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ascii="方正小标宋_GBK" w:hAnsi="方正小标宋_GBK" w:eastAsia="方正小标宋_GBK"/>
          <w:bCs/>
          <w:kern w:val="0"/>
          <w:sz w:val="36"/>
          <w:szCs w:val="36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</w:t>
      </w:r>
      <w:r>
        <w:rPr>
          <w:rFonts w:hint="eastAsia"/>
          <w:bCs/>
          <w:kern w:val="0"/>
          <w:sz w:val="36"/>
          <w:szCs w:val="36"/>
          <w:lang w:val="en-US" w:eastAsia="zh-CN"/>
        </w:rPr>
        <w:t>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</w:t>
      </w:r>
    </w:p>
    <w:p>
      <w:pPr>
        <w:widowControl/>
        <w:jc w:val="center"/>
        <w:rPr>
          <w:rFonts w:hint="default" w:ascii="仿宋_GB2312" w:hAnsi="仿宋_GB2312" w:eastAsia="宋体"/>
          <w:kern w:val="0"/>
          <w:lang w:val="en-US" w:eastAsia="zh-CN"/>
        </w:rPr>
      </w:pPr>
      <w:r>
        <w:rPr>
          <w:rFonts w:ascii="仿宋_GB2312" w:hAnsi="仿宋_GB2312"/>
          <w:kern w:val="0"/>
          <w:sz w:val="24"/>
          <w:szCs w:val="24"/>
        </w:rPr>
        <w:t>填报单位：</w:t>
      </w:r>
      <w:r>
        <w:rPr>
          <w:rFonts w:hint="eastAsia" w:ascii="仿宋_GB2312" w:hAnsi="仿宋_GB2312"/>
          <w:kern w:val="0"/>
          <w:sz w:val="24"/>
          <w:szCs w:val="24"/>
          <w:lang w:val="en-US" w:eastAsia="zh-CN"/>
        </w:rPr>
        <w:t>双牌县五星岭乡人民政府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                        </w:t>
      </w:r>
      <w:r>
        <w:rPr>
          <w:rFonts w:ascii="仿宋_GB2312" w:hAnsi="仿宋"/>
          <w:color w:val="000000"/>
          <w:kern w:val="0"/>
          <w:sz w:val="24"/>
          <w:szCs w:val="24"/>
        </w:rPr>
        <w:t>单位：万元</w:t>
      </w: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双牌县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五星岭乡</w:t>
            </w:r>
            <w:r>
              <w:rPr>
                <w:rFonts w:hint="eastAsia" w:ascii="仿宋_GB2312" w:hAnsi="仿宋_GB2312"/>
                <w:kern w:val="0"/>
              </w:rPr>
              <w:t>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  <w:r>
              <w:rPr>
                <w:rFonts w:ascii="仿宋_GB2312" w:hAnsi="仿宋_GB2312"/>
                <w:kern w:val="0"/>
              </w:rPr>
              <w:br w:type="textWrapping"/>
            </w: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资金总额：438.36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438.36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基本支出：288.7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项目支出：149.66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（一）认真贯彻执行党的基本路线、方针政策和上级组织的决议、指示、命令。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（二）对本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的重大问题进行决策，研究制定全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经济、社会和文化发展规划。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（三）依照法律和政策，运用经济法律和行政等各种手段，对全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社会、经济、文化进行管理、监督和调控。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（四）负责本辖区内社会公益事业的建设，促进科技、文化、教育、环保等各项社会事业的协调发展。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（五）维护社会秩序，保证社会公正，不断改善经济社会发展环境，为经济建设和人民生活创造良好的条件。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（六）加强民主法制宣传教育，加强社会管理综合治理，完善农村治安防控体系，保障人民生命财产安全，确保社会稳定。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（七）领导共青团和妇联等组织，搞好民族宗教和统一战线工作。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（八）完成上级组织交办的其他事项。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目标1：保障人员支出和单位正常运转；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目标2：</w:t>
            </w:r>
            <w:r>
              <w:rPr>
                <w:rFonts w:hint="eastAsia" w:ascii="仿宋_GB2312" w:hAnsi="仿宋_GB2312"/>
                <w:kern w:val="0"/>
              </w:rPr>
              <w:tab/>
            </w:r>
            <w:r>
              <w:rPr>
                <w:rFonts w:hint="eastAsia" w:ascii="仿宋_GB2312" w:hAnsi="仿宋_GB2312"/>
                <w:kern w:val="0"/>
              </w:rPr>
              <w:t>认真贯彻执行党的基本路线、方针政策和上级组织的决议、指示、命令；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目标3：对本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的重大问题进行决策，研究制定全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乡</w:t>
            </w:r>
            <w:r>
              <w:rPr>
                <w:rFonts w:hint="eastAsia" w:ascii="仿宋_GB2312" w:hAnsi="仿宋_GB2312"/>
                <w:kern w:val="0"/>
              </w:rPr>
              <w:t>经济、社会和文化发展规划。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完成支出总额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/>
                <w:kern w:val="0"/>
                <w:lang w:eastAsia="zh-CN"/>
              </w:rPr>
              <w:t>438.36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资金使用合格率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支出控制在预算内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完成支出及时率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促进本乡经济发展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经济增长、物价稳定、公平分配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改善环境，保护环境意识提高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促进可持续发展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≥95%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 xml:space="preserve">徐麟钰  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199****8760 </w:t>
      </w:r>
      <w:r>
        <w:rPr>
          <w:rFonts w:ascii="仿宋_GB2312" w:hAnsi="仿宋_GB2312"/>
          <w:kern w:val="0"/>
        </w:rPr>
        <w:t xml:space="preserve"> 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5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</w:t>
            </w: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：双牌县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>五星岭乡</w:t>
            </w: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人民政府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项目支出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双牌县江村镇人民政府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149.66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149.66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2023.1.1-2023.12.31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改善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五星岭乡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人民生活环境，保障支撑经济社会发展和关系民生福祉的项目，确保全镇经济社会事业持续健康发展，各项惠民实事如期完成。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改善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五星岭乡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人民生活环境，保障支撑经济社会发展和关系民生福祉的项目，确保全镇经济社会事业持续健康发展，各项惠民实事如期完成。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完成支出总额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项目验收合格率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资金支出情况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无特殊情况原因不超预算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促进经济发展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促进社会发展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环保率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村容村貌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持续改善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社会公众或服务对象满意度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 xml:space="preserve">徐麟钰  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199****8760 </w:t>
      </w:r>
      <w:r>
        <w:rPr>
          <w:rFonts w:ascii="仿宋_GB2312" w:hAnsi="仿宋_GB2312"/>
          <w:kern w:val="0"/>
        </w:rPr>
        <w:t xml:space="preserve"> 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"/>
          <w:kern w:val="0"/>
          <w:sz w:val="24"/>
          <w:szCs w:val="24"/>
        </w:rPr>
        <w:t>双牌县</w:t>
      </w:r>
      <w:r>
        <w:rPr>
          <w:rFonts w:hint="eastAsia" w:ascii="仿宋_GB2312" w:hAnsi="仿宋"/>
          <w:kern w:val="0"/>
          <w:sz w:val="24"/>
          <w:szCs w:val="24"/>
          <w:lang w:val="en-US" w:eastAsia="zh-CN"/>
        </w:rPr>
        <w:t>五星岭乡</w:t>
      </w:r>
      <w:r>
        <w:rPr>
          <w:rFonts w:hint="eastAsia" w:ascii="仿宋_GB2312" w:hAnsi="仿宋"/>
          <w:kern w:val="0"/>
          <w:sz w:val="24"/>
          <w:szCs w:val="24"/>
        </w:rPr>
        <w:t>人民政府</w:t>
      </w:r>
      <w:r>
        <w:rPr>
          <w:rFonts w:ascii="仿宋_GB2312" w:hAnsi="仿宋"/>
          <w:kern w:val="0"/>
          <w:sz w:val="24"/>
          <w:szCs w:val="24"/>
        </w:rPr>
        <w:t xml:space="preserve">  </w:t>
      </w:r>
      <w:r>
        <w:rPr>
          <w:rFonts w:ascii="仿宋_GB2312" w:hAnsi="黑体"/>
          <w:kern w:val="0"/>
        </w:rPr>
        <w:tab/>
      </w:r>
      <w:r>
        <w:rPr>
          <w:rFonts w:hint="eastAsia" w:ascii="仿宋_GB2312" w:hAnsi="黑体"/>
          <w:kern w:val="0"/>
        </w:rPr>
        <w:t xml:space="preserve"> 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790"/>
        <w:gridCol w:w="1308"/>
        <w:gridCol w:w="1695"/>
        <w:gridCol w:w="100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村级运转经费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2023.1.1-2023.12.31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双牌县五星岭乡人民政府 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双牌县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>五星岭乡</w:t>
            </w: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/>
                <w:kern w:val="0"/>
              </w:rPr>
            </w:pPr>
            <w:r>
              <w:rPr>
                <w:rFonts w:hint="default" w:ascii="仿宋_GB2312" w:hAnsi="仿宋_GB2312"/>
                <w:kern w:val="0"/>
              </w:rPr>
              <w:t>熊燕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88</w:t>
            </w:r>
            <w:r>
              <w:rPr>
                <w:rFonts w:ascii="仿宋_GB2312" w:hAnsi="仿宋_GB2312"/>
                <w:kern w:val="0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保证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辖内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村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委会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正常运转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2023.1.1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2023.12.31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保障农村社会稳定，发展农村基层组织运转正常，确保村干部及工作人员工资正常发放，办公经费及其他必要开支。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保障农村社会稳定，发展农村基层组织运转正常，确保村干部及工作人员工资正常发放，办公经费及其他必要开支。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支持村个数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kern w:val="0"/>
                <w:lang w:val="en-US"/>
              </w:rPr>
            </w:pPr>
            <w:r>
              <w:rPr>
                <w:rFonts w:hint="default" w:ascii="仿宋_GB2312" w:hAnsi="仿宋_GB2312"/>
                <w:kern w:val="0"/>
                <w:lang w:eastAsia="zh-CN"/>
              </w:rPr>
              <w:t>6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质量达标率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补助标准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核定职数个数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促进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村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经济发展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改善村民生活条件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改善村周边环境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群众满意度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 xml:space="preserve">徐麟钰  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199****8760 </w:t>
      </w:r>
      <w:r>
        <w:rPr>
          <w:rFonts w:ascii="仿宋_GB2312" w:hAnsi="仿宋_GB2312"/>
          <w:kern w:val="0"/>
        </w:rPr>
        <w:t xml:space="preserve"> 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"/>
          <w:kern w:val="0"/>
          <w:sz w:val="24"/>
          <w:szCs w:val="24"/>
        </w:rPr>
        <w:t>双牌县</w:t>
      </w:r>
      <w:r>
        <w:rPr>
          <w:rFonts w:hint="eastAsia" w:ascii="仿宋_GB2312" w:hAnsi="仿宋"/>
          <w:kern w:val="0"/>
          <w:sz w:val="24"/>
          <w:szCs w:val="24"/>
          <w:lang w:val="en-US" w:eastAsia="zh-CN"/>
        </w:rPr>
        <w:t>五星岭乡</w:t>
      </w:r>
      <w:r>
        <w:rPr>
          <w:rFonts w:hint="eastAsia" w:ascii="仿宋_GB2312" w:hAnsi="仿宋"/>
          <w:kern w:val="0"/>
          <w:sz w:val="24"/>
          <w:szCs w:val="24"/>
        </w:rPr>
        <w:t>人民政府</w:t>
      </w:r>
      <w:r>
        <w:rPr>
          <w:rFonts w:ascii="仿宋_GB2312" w:hAnsi="黑体"/>
          <w:kern w:val="0"/>
        </w:rPr>
        <w:tab/>
      </w:r>
      <w:r>
        <w:rPr>
          <w:rFonts w:hint="eastAsia" w:ascii="仿宋_GB2312" w:hAnsi="黑体"/>
          <w:kern w:val="0"/>
        </w:rPr>
        <w:t xml:space="preserve"> 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17"/>
        <w:gridCol w:w="1500"/>
        <w:gridCol w:w="1695"/>
        <w:gridCol w:w="100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自然灾害救灾资金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2023.1.1-2023.12.31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双牌县五星岭乡人民政府 200001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双牌县五星岭乡人民政府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仿宋_GB2312" w:eastAsia="宋体"/>
                <w:kern w:val="0"/>
                <w:lang w:val="en-US" w:eastAsia="zh-CN"/>
              </w:rPr>
              <w:t>灾害应急救助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和过渡性生活救助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2023.1.1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2023.12.31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default" w:ascii="仿宋_GB2312" w:hAnsi="仿宋_GB2312" w:eastAsia="宋体"/>
                <w:kern w:val="0"/>
                <w:lang w:val="en-US" w:eastAsia="zh-CN"/>
              </w:rPr>
              <w:t>救灾储备物资采购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、临时生活困难救助、灾害紧急抢救和转移安置受灾群众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default" w:ascii="仿宋_GB2312" w:hAnsi="仿宋_GB2312" w:eastAsia="宋体"/>
                <w:kern w:val="0"/>
                <w:lang w:val="en-US" w:eastAsia="zh-CN"/>
              </w:rPr>
              <w:t>救灾储备物资采购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、临时生活困难救助、灾害紧急抢救和转移安置受灾群众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完成支出总额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整改合格率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补助标准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37.71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万元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促进经济发展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问题整改完成情况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灾后建设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良好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695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群众满意度</w:t>
            </w:r>
          </w:p>
        </w:tc>
        <w:tc>
          <w:tcPr>
            <w:tcW w:w="100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</w:p>
        </w:tc>
        <w:tc>
          <w:tcPr>
            <w:tcW w:w="0" w:type="auto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 xml:space="preserve">徐麟钰  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199****8760 </w:t>
      </w:r>
      <w:r>
        <w:rPr>
          <w:rFonts w:ascii="仿宋_GB2312" w:hAnsi="仿宋_GB2312"/>
          <w:kern w:val="0"/>
        </w:rPr>
        <w:t xml:space="preserve"> 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单位负责人签字：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124A9"/>
    <w:rsid w:val="00000CE7"/>
    <w:rsid w:val="000217A3"/>
    <w:rsid w:val="0003201E"/>
    <w:rsid w:val="000338F9"/>
    <w:rsid w:val="0003778B"/>
    <w:rsid w:val="000407B3"/>
    <w:rsid w:val="0005006A"/>
    <w:rsid w:val="000503ED"/>
    <w:rsid w:val="00051DFC"/>
    <w:rsid w:val="00054ADD"/>
    <w:rsid w:val="00060AFE"/>
    <w:rsid w:val="00081E08"/>
    <w:rsid w:val="0008594E"/>
    <w:rsid w:val="0008662E"/>
    <w:rsid w:val="00091F78"/>
    <w:rsid w:val="00092094"/>
    <w:rsid w:val="000A0D39"/>
    <w:rsid w:val="000A3419"/>
    <w:rsid w:val="000A42B5"/>
    <w:rsid w:val="000A6FCC"/>
    <w:rsid w:val="000C2479"/>
    <w:rsid w:val="000D522F"/>
    <w:rsid w:val="000D67BF"/>
    <w:rsid w:val="000E4A08"/>
    <w:rsid w:val="00102EDC"/>
    <w:rsid w:val="001124A9"/>
    <w:rsid w:val="001152E9"/>
    <w:rsid w:val="001207D2"/>
    <w:rsid w:val="00122E0B"/>
    <w:rsid w:val="001409A3"/>
    <w:rsid w:val="001573BB"/>
    <w:rsid w:val="0016512C"/>
    <w:rsid w:val="001678A9"/>
    <w:rsid w:val="00172B76"/>
    <w:rsid w:val="00173ECA"/>
    <w:rsid w:val="00186EBC"/>
    <w:rsid w:val="00196509"/>
    <w:rsid w:val="00197637"/>
    <w:rsid w:val="001A3A16"/>
    <w:rsid w:val="001A7ADE"/>
    <w:rsid w:val="001A7CA9"/>
    <w:rsid w:val="001B1C4F"/>
    <w:rsid w:val="001B1E7B"/>
    <w:rsid w:val="001C4DC7"/>
    <w:rsid w:val="001C500A"/>
    <w:rsid w:val="001C6330"/>
    <w:rsid w:val="001D5290"/>
    <w:rsid w:val="001F0100"/>
    <w:rsid w:val="001F31D0"/>
    <w:rsid w:val="0020660E"/>
    <w:rsid w:val="00212C29"/>
    <w:rsid w:val="002325E9"/>
    <w:rsid w:val="002476C5"/>
    <w:rsid w:val="00253CCB"/>
    <w:rsid w:val="00267CAD"/>
    <w:rsid w:val="00280B52"/>
    <w:rsid w:val="00280F7B"/>
    <w:rsid w:val="002832F5"/>
    <w:rsid w:val="00297DEC"/>
    <w:rsid w:val="002A1F09"/>
    <w:rsid w:val="002B6CB4"/>
    <w:rsid w:val="002C1828"/>
    <w:rsid w:val="002D3094"/>
    <w:rsid w:val="00303CC5"/>
    <w:rsid w:val="00331F3F"/>
    <w:rsid w:val="003346B2"/>
    <w:rsid w:val="00334E3C"/>
    <w:rsid w:val="00340006"/>
    <w:rsid w:val="00351F39"/>
    <w:rsid w:val="00354F1A"/>
    <w:rsid w:val="0038639A"/>
    <w:rsid w:val="0039578E"/>
    <w:rsid w:val="003A20A6"/>
    <w:rsid w:val="003B1ADB"/>
    <w:rsid w:val="003D6E1B"/>
    <w:rsid w:val="003E539D"/>
    <w:rsid w:val="003E6B85"/>
    <w:rsid w:val="003F6980"/>
    <w:rsid w:val="004074F1"/>
    <w:rsid w:val="0041042A"/>
    <w:rsid w:val="00416A19"/>
    <w:rsid w:val="00432029"/>
    <w:rsid w:val="00461B0F"/>
    <w:rsid w:val="00464E9A"/>
    <w:rsid w:val="004660A2"/>
    <w:rsid w:val="0046639F"/>
    <w:rsid w:val="00476B6F"/>
    <w:rsid w:val="004821BF"/>
    <w:rsid w:val="00483BD6"/>
    <w:rsid w:val="00485C8A"/>
    <w:rsid w:val="004B1C33"/>
    <w:rsid w:val="004B4583"/>
    <w:rsid w:val="004D2526"/>
    <w:rsid w:val="004E30C5"/>
    <w:rsid w:val="004E7554"/>
    <w:rsid w:val="004F0BD6"/>
    <w:rsid w:val="004F3066"/>
    <w:rsid w:val="004F601C"/>
    <w:rsid w:val="00513F3F"/>
    <w:rsid w:val="005225EA"/>
    <w:rsid w:val="00532412"/>
    <w:rsid w:val="005374D5"/>
    <w:rsid w:val="005438C6"/>
    <w:rsid w:val="005506AF"/>
    <w:rsid w:val="00572CB3"/>
    <w:rsid w:val="0059099E"/>
    <w:rsid w:val="005A0C0B"/>
    <w:rsid w:val="005A1167"/>
    <w:rsid w:val="005A7EBF"/>
    <w:rsid w:val="005B0282"/>
    <w:rsid w:val="005B0995"/>
    <w:rsid w:val="005B26E0"/>
    <w:rsid w:val="005B549B"/>
    <w:rsid w:val="005B5D89"/>
    <w:rsid w:val="0060780D"/>
    <w:rsid w:val="0061583A"/>
    <w:rsid w:val="00616464"/>
    <w:rsid w:val="006264B4"/>
    <w:rsid w:val="00640CD6"/>
    <w:rsid w:val="006513EF"/>
    <w:rsid w:val="006526E9"/>
    <w:rsid w:val="00652C42"/>
    <w:rsid w:val="00653196"/>
    <w:rsid w:val="00657D63"/>
    <w:rsid w:val="00673C6A"/>
    <w:rsid w:val="0068608E"/>
    <w:rsid w:val="0069550D"/>
    <w:rsid w:val="006B301F"/>
    <w:rsid w:val="006B7065"/>
    <w:rsid w:val="006C0227"/>
    <w:rsid w:val="006C5813"/>
    <w:rsid w:val="006C5C52"/>
    <w:rsid w:val="006D5298"/>
    <w:rsid w:val="006E1F09"/>
    <w:rsid w:val="006F26F8"/>
    <w:rsid w:val="00700963"/>
    <w:rsid w:val="007011E3"/>
    <w:rsid w:val="00706ABF"/>
    <w:rsid w:val="00716A68"/>
    <w:rsid w:val="007200E1"/>
    <w:rsid w:val="007209AF"/>
    <w:rsid w:val="0073790F"/>
    <w:rsid w:val="00747591"/>
    <w:rsid w:val="0077595F"/>
    <w:rsid w:val="00791949"/>
    <w:rsid w:val="007A7198"/>
    <w:rsid w:val="007B2BA9"/>
    <w:rsid w:val="007C4F4A"/>
    <w:rsid w:val="007D51E1"/>
    <w:rsid w:val="007E69B1"/>
    <w:rsid w:val="007F6139"/>
    <w:rsid w:val="0080002A"/>
    <w:rsid w:val="00801DD2"/>
    <w:rsid w:val="00812F8D"/>
    <w:rsid w:val="0081649A"/>
    <w:rsid w:val="008240C4"/>
    <w:rsid w:val="008266A0"/>
    <w:rsid w:val="00826839"/>
    <w:rsid w:val="00850052"/>
    <w:rsid w:val="00866B24"/>
    <w:rsid w:val="008712BD"/>
    <w:rsid w:val="00871910"/>
    <w:rsid w:val="00886532"/>
    <w:rsid w:val="008A5EE5"/>
    <w:rsid w:val="008A66E2"/>
    <w:rsid w:val="008C6929"/>
    <w:rsid w:val="008D746A"/>
    <w:rsid w:val="008D7A3D"/>
    <w:rsid w:val="008E4DC6"/>
    <w:rsid w:val="008F10ED"/>
    <w:rsid w:val="008F3EDA"/>
    <w:rsid w:val="00900DF9"/>
    <w:rsid w:val="00907EDD"/>
    <w:rsid w:val="009125E9"/>
    <w:rsid w:val="00914B11"/>
    <w:rsid w:val="00914BFB"/>
    <w:rsid w:val="009157B9"/>
    <w:rsid w:val="00916F6A"/>
    <w:rsid w:val="00917D44"/>
    <w:rsid w:val="009267D5"/>
    <w:rsid w:val="00926B21"/>
    <w:rsid w:val="0093261C"/>
    <w:rsid w:val="009354B8"/>
    <w:rsid w:val="0094581C"/>
    <w:rsid w:val="0095097B"/>
    <w:rsid w:val="00951047"/>
    <w:rsid w:val="009543B5"/>
    <w:rsid w:val="0095489F"/>
    <w:rsid w:val="009717EC"/>
    <w:rsid w:val="0097227C"/>
    <w:rsid w:val="00995D6A"/>
    <w:rsid w:val="0099631E"/>
    <w:rsid w:val="009A3270"/>
    <w:rsid w:val="009A5A79"/>
    <w:rsid w:val="009B520A"/>
    <w:rsid w:val="009D421E"/>
    <w:rsid w:val="009D559E"/>
    <w:rsid w:val="009D65F7"/>
    <w:rsid w:val="009F49EA"/>
    <w:rsid w:val="00A245F0"/>
    <w:rsid w:val="00A32453"/>
    <w:rsid w:val="00A37843"/>
    <w:rsid w:val="00A473D0"/>
    <w:rsid w:val="00A541FC"/>
    <w:rsid w:val="00A62787"/>
    <w:rsid w:val="00A64595"/>
    <w:rsid w:val="00A75CB8"/>
    <w:rsid w:val="00A821A9"/>
    <w:rsid w:val="00A96867"/>
    <w:rsid w:val="00AA6E26"/>
    <w:rsid w:val="00AB0501"/>
    <w:rsid w:val="00AB3242"/>
    <w:rsid w:val="00AB5C0D"/>
    <w:rsid w:val="00AC25E3"/>
    <w:rsid w:val="00AC382E"/>
    <w:rsid w:val="00AC7365"/>
    <w:rsid w:val="00AD5589"/>
    <w:rsid w:val="00AE4515"/>
    <w:rsid w:val="00B1194C"/>
    <w:rsid w:val="00B119E1"/>
    <w:rsid w:val="00B16640"/>
    <w:rsid w:val="00B2017B"/>
    <w:rsid w:val="00B22AAF"/>
    <w:rsid w:val="00B31EFA"/>
    <w:rsid w:val="00B365B9"/>
    <w:rsid w:val="00B376D4"/>
    <w:rsid w:val="00B46800"/>
    <w:rsid w:val="00B50767"/>
    <w:rsid w:val="00B56853"/>
    <w:rsid w:val="00B60E59"/>
    <w:rsid w:val="00B65FF2"/>
    <w:rsid w:val="00B666A0"/>
    <w:rsid w:val="00B67B4D"/>
    <w:rsid w:val="00B750E4"/>
    <w:rsid w:val="00B92D90"/>
    <w:rsid w:val="00B974B1"/>
    <w:rsid w:val="00BA25FA"/>
    <w:rsid w:val="00BA2A8F"/>
    <w:rsid w:val="00BA3605"/>
    <w:rsid w:val="00BA4E37"/>
    <w:rsid w:val="00BB7294"/>
    <w:rsid w:val="00BC099F"/>
    <w:rsid w:val="00BD0581"/>
    <w:rsid w:val="00BD1FAE"/>
    <w:rsid w:val="00BD2625"/>
    <w:rsid w:val="00BD42E6"/>
    <w:rsid w:val="00BD4C3B"/>
    <w:rsid w:val="00BE355D"/>
    <w:rsid w:val="00BF06B3"/>
    <w:rsid w:val="00BF098F"/>
    <w:rsid w:val="00C13D8E"/>
    <w:rsid w:val="00C1779B"/>
    <w:rsid w:val="00C21353"/>
    <w:rsid w:val="00C27912"/>
    <w:rsid w:val="00C27F10"/>
    <w:rsid w:val="00C31395"/>
    <w:rsid w:val="00C54803"/>
    <w:rsid w:val="00C5516B"/>
    <w:rsid w:val="00C61F14"/>
    <w:rsid w:val="00C62ED1"/>
    <w:rsid w:val="00C65787"/>
    <w:rsid w:val="00C65918"/>
    <w:rsid w:val="00C85497"/>
    <w:rsid w:val="00C92837"/>
    <w:rsid w:val="00C93931"/>
    <w:rsid w:val="00CA1194"/>
    <w:rsid w:val="00CB1715"/>
    <w:rsid w:val="00CC3481"/>
    <w:rsid w:val="00CF58B3"/>
    <w:rsid w:val="00D00139"/>
    <w:rsid w:val="00D01814"/>
    <w:rsid w:val="00D03C59"/>
    <w:rsid w:val="00D32FD1"/>
    <w:rsid w:val="00D47EAE"/>
    <w:rsid w:val="00D52FF1"/>
    <w:rsid w:val="00D551E5"/>
    <w:rsid w:val="00D708E3"/>
    <w:rsid w:val="00D74DA1"/>
    <w:rsid w:val="00D75A43"/>
    <w:rsid w:val="00D82106"/>
    <w:rsid w:val="00D8584D"/>
    <w:rsid w:val="00D96E43"/>
    <w:rsid w:val="00DA477E"/>
    <w:rsid w:val="00DA618B"/>
    <w:rsid w:val="00DB2452"/>
    <w:rsid w:val="00DB4193"/>
    <w:rsid w:val="00DB7476"/>
    <w:rsid w:val="00DC121E"/>
    <w:rsid w:val="00DC22C4"/>
    <w:rsid w:val="00DF09CF"/>
    <w:rsid w:val="00DF124F"/>
    <w:rsid w:val="00DF27AE"/>
    <w:rsid w:val="00E12F68"/>
    <w:rsid w:val="00E17DD4"/>
    <w:rsid w:val="00E20E7C"/>
    <w:rsid w:val="00E27B0F"/>
    <w:rsid w:val="00E43AA1"/>
    <w:rsid w:val="00E47DFC"/>
    <w:rsid w:val="00E51937"/>
    <w:rsid w:val="00E572F0"/>
    <w:rsid w:val="00E90B11"/>
    <w:rsid w:val="00E9305B"/>
    <w:rsid w:val="00E956FD"/>
    <w:rsid w:val="00EB4406"/>
    <w:rsid w:val="00EC0EE8"/>
    <w:rsid w:val="00EC4BEB"/>
    <w:rsid w:val="00EC7C12"/>
    <w:rsid w:val="00ED125F"/>
    <w:rsid w:val="00ED3ADD"/>
    <w:rsid w:val="00F129F4"/>
    <w:rsid w:val="00F131A9"/>
    <w:rsid w:val="00F21833"/>
    <w:rsid w:val="00F21CCA"/>
    <w:rsid w:val="00F400EC"/>
    <w:rsid w:val="00F435A4"/>
    <w:rsid w:val="00F47327"/>
    <w:rsid w:val="00F5162E"/>
    <w:rsid w:val="00F55834"/>
    <w:rsid w:val="00F56D79"/>
    <w:rsid w:val="00F66CD9"/>
    <w:rsid w:val="00F7565B"/>
    <w:rsid w:val="00F75895"/>
    <w:rsid w:val="00F83FED"/>
    <w:rsid w:val="00F86B44"/>
    <w:rsid w:val="00F9272D"/>
    <w:rsid w:val="00F97F78"/>
    <w:rsid w:val="00FA3B0F"/>
    <w:rsid w:val="00FB789B"/>
    <w:rsid w:val="00FB7B74"/>
    <w:rsid w:val="00FC70D7"/>
    <w:rsid w:val="00FD4714"/>
    <w:rsid w:val="00FE1042"/>
    <w:rsid w:val="00FE40A3"/>
    <w:rsid w:val="0E8D03BC"/>
    <w:rsid w:val="17B403FF"/>
    <w:rsid w:val="1FDC01B1"/>
    <w:rsid w:val="25622B59"/>
    <w:rsid w:val="297A43CC"/>
    <w:rsid w:val="3CC1050E"/>
    <w:rsid w:val="3E365DF6"/>
    <w:rsid w:val="49927207"/>
    <w:rsid w:val="4DB73238"/>
    <w:rsid w:val="5E3F7930"/>
    <w:rsid w:val="67DD61F9"/>
    <w:rsid w:val="7B3C2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4</Pages>
  <Words>2288</Words>
  <Characters>2549</Characters>
  <Lines>37</Lines>
  <Paragraphs>10</Paragraphs>
  <TotalTime>0</TotalTime>
  <ScaleCrop>false</ScaleCrop>
  <LinksUpToDate>false</LinksUpToDate>
  <CharactersWithSpaces>3041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2021-05-11T13:55:00Z</dcterms:created>
  <dc:creator>Users</dc:creator>
  <cp:lastModifiedBy>Administrator</cp:lastModifiedBy>
  <cp:lastPrinted>2022-07-05T03:43:00Z</cp:lastPrinted>
  <dcterms:modified xsi:type="dcterms:W3CDTF">2023-09-04T01:57:19Z</dcterms:modified>
  <dc:title>双财绩〔2021〕1号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1847860D992F4B8E93C02EE48998AF4B_13</vt:lpwstr>
  </property>
</Properties>
</file>