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center"/>
        <w:outlineLvl w:val="1"/>
        <w:rPr>
          <w:rFonts w:hint="eastAsia" w:ascii="方正小标宋简体" w:eastAsia="方正小标宋简体"/>
          <w:sz w:val="52"/>
          <w:szCs w:val="24"/>
        </w:rPr>
      </w:pPr>
    </w:p>
    <w:p>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双牌县泷泊国有林场部门</w:t>
      </w:r>
      <w:r>
        <w:rPr>
          <w:rFonts w:hint="eastAsia" w:ascii="方正小标宋简体" w:eastAsia="方正小标宋简体"/>
          <w:sz w:val="52"/>
          <w:szCs w:val="24"/>
        </w:rPr>
        <w:t>整体支出绩效自评报告</w:t>
      </w:r>
    </w:p>
    <w:p>
      <w:pPr>
        <w:spacing w:beforeLines="0" w:afterLines="0"/>
        <w:jc w:val="center"/>
        <w:rPr>
          <w:rFonts w:hint="default" w:eastAsia="黑体"/>
          <w:sz w:val="32"/>
          <w:szCs w:val="24"/>
        </w:rPr>
      </w:pPr>
    </w:p>
    <w:p>
      <w:pPr>
        <w:spacing w:beforeLines="0" w:afterLines="0"/>
        <w:jc w:val="center"/>
        <w:rPr>
          <w:rFonts w:hint="default" w:eastAsia="黑体"/>
          <w:sz w:val="32"/>
          <w:szCs w:val="24"/>
        </w:rPr>
      </w:pPr>
    </w:p>
    <w:p>
      <w:pPr>
        <w:spacing w:beforeLines="0" w:afterLines="0"/>
        <w:jc w:val="center"/>
        <w:rPr>
          <w:rFonts w:hint="default" w:eastAsia="黑体"/>
          <w:sz w:val="32"/>
          <w:szCs w:val="24"/>
        </w:rPr>
      </w:pPr>
    </w:p>
    <w:p>
      <w:pPr>
        <w:spacing w:beforeLines="0" w:afterLines="0"/>
        <w:rPr>
          <w:rFonts w:hint="default" w:eastAsia="黑体"/>
          <w:sz w:val="32"/>
          <w:szCs w:val="24"/>
        </w:rPr>
      </w:pPr>
    </w:p>
    <w:p>
      <w:pPr>
        <w:spacing w:beforeLines="0" w:afterLines="0"/>
        <w:jc w:val="center"/>
        <w:rPr>
          <w:rFonts w:hint="default" w:eastAsia="黑体"/>
          <w:sz w:val="32"/>
          <w:szCs w:val="24"/>
        </w:rPr>
      </w:pPr>
    </w:p>
    <w:p>
      <w:pPr>
        <w:spacing w:beforeLines="0" w:afterLines="0"/>
        <w:jc w:val="center"/>
        <w:rPr>
          <w:rFonts w:hint="default" w:eastAsia="黑体"/>
          <w:sz w:val="32"/>
          <w:szCs w:val="24"/>
        </w:rPr>
      </w:pPr>
    </w:p>
    <w:p>
      <w:pPr>
        <w:spacing w:beforeLines="0" w:afterLines="0"/>
        <w:jc w:val="center"/>
        <w:rPr>
          <w:rFonts w:hint="default" w:eastAsia="黑体"/>
          <w:sz w:val="32"/>
          <w:szCs w:val="24"/>
        </w:rPr>
      </w:pPr>
    </w:p>
    <w:p>
      <w:pPr>
        <w:spacing w:beforeLines="0" w:afterLines="0" w:line="600" w:lineRule="exact"/>
        <w:ind w:firstLine="1920" w:firstLineChars="600"/>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r>
        <w:rPr>
          <w:rFonts w:hint="eastAsia" w:eastAsia="仿宋_GB2312"/>
          <w:sz w:val="32"/>
          <w:szCs w:val="24"/>
          <w:u w:val="single"/>
          <w:lang w:eastAsia="zh-CN"/>
        </w:rPr>
        <w:t>双牌县泷泊国有林场</w:t>
      </w:r>
      <w:r>
        <w:rPr>
          <w:rFonts w:hint="eastAsia" w:eastAsia="仿宋_GB2312"/>
          <w:sz w:val="32"/>
          <w:szCs w:val="24"/>
          <w:u w:val="single"/>
        </w:rPr>
        <w:t xml:space="preserve">      </w:t>
      </w:r>
    </w:p>
    <w:p>
      <w:pPr>
        <w:spacing w:beforeLines="0" w:afterLines="0" w:line="600" w:lineRule="exact"/>
        <w:ind w:firstLine="3200" w:firstLineChars="1000"/>
        <w:rPr>
          <w:rFonts w:hint="eastAsia" w:eastAsia="楷体_GB2312"/>
          <w:sz w:val="32"/>
          <w:szCs w:val="24"/>
        </w:rPr>
      </w:pPr>
    </w:p>
    <w:p>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 xml:space="preserve">年 </w:t>
      </w:r>
      <w:r>
        <w:rPr>
          <w:rFonts w:hint="eastAsia" w:eastAsia="楷体_GB2312"/>
          <w:sz w:val="32"/>
          <w:szCs w:val="24"/>
          <w:lang w:val="en-US" w:eastAsia="zh-CN"/>
        </w:rPr>
        <w:t>4</w:t>
      </w:r>
      <w:r>
        <w:rPr>
          <w:rFonts w:hint="eastAsia" w:eastAsia="楷体_GB2312"/>
          <w:sz w:val="32"/>
          <w:szCs w:val="24"/>
        </w:rPr>
        <w:t xml:space="preserve"> 月 </w:t>
      </w:r>
      <w:r>
        <w:rPr>
          <w:rFonts w:hint="eastAsia" w:eastAsia="楷体_GB2312"/>
          <w:sz w:val="32"/>
          <w:szCs w:val="24"/>
          <w:lang w:val="en-US" w:eastAsia="zh-CN"/>
        </w:rPr>
        <w:t>28</w:t>
      </w:r>
      <w:r>
        <w:rPr>
          <w:rFonts w:hint="eastAsia" w:eastAsia="楷体_GB2312"/>
          <w:sz w:val="32"/>
          <w:szCs w:val="24"/>
        </w:rPr>
        <w:t>日</w:t>
      </w:r>
    </w:p>
    <w:p>
      <w:pPr>
        <w:spacing w:beforeLines="0" w:afterLines="0"/>
        <w:jc w:val="center"/>
        <w:rPr>
          <w:rFonts w:hint="default" w:eastAsia="黑体"/>
          <w:sz w:val="32"/>
          <w:szCs w:val="24"/>
        </w:rPr>
      </w:pPr>
    </w:p>
    <w:p>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部门（单位）基本情况</w:t>
      </w:r>
    </w:p>
    <w:p>
      <w:pPr>
        <w:spacing w:beforeLines="0" w:afterLines="0" w:line="570" w:lineRule="exact"/>
        <w:ind w:firstLine="640" w:firstLineChars="200"/>
        <w:outlineLvl w:val="1"/>
        <w:rPr>
          <w:rFonts w:hint="eastAsia" w:eastAsia="仿宋_GB2312"/>
          <w:color w:val="000000"/>
          <w:sz w:val="32"/>
          <w:szCs w:val="24"/>
          <w:lang w:val="en-US" w:eastAsia="zh-CN"/>
        </w:rPr>
      </w:pPr>
      <w:r>
        <w:rPr>
          <w:rFonts w:hint="eastAsia" w:eastAsia="仿宋_GB2312"/>
          <w:color w:val="000000"/>
          <w:sz w:val="32"/>
          <w:szCs w:val="24"/>
          <w:lang w:val="en-US" w:eastAsia="zh-CN"/>
        </w:rPr>
        <w:t>1.单位主要职责</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（1）负责贯彻执行党的基本路线、方针政策和国家法律、法规，落实上级党委、政府的各项决议和决定。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（2）对本辖区内的重大问题进行决策，研究制定经济社会和文化发展规划。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（3）依照法律和政策，运用经济法律和行政等各种手段，对社会、经济、文化进行管理、监督和调控。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（4）负责本辖区内社会公益事业的建设，促进科技、文化、教育、环保等各项社会事业的协调发展。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（5）维护社会秩序，保证社会公正，不断改善经济社会发展环境，为经济建设和人民生活创造良好的条件。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（6）加强民主法制宣传教育，加强社会管理综合治理，完善农村治安防控体系，保障人民生命财产安全，确保社会稳定。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（7）领导共青团和妇联等组织，搞好民族宗教和统一战线工作。 </w:t>
      </w:r>
    </w:p>
    <w:p>
      <w:pPr>
        <w:pStyle w:val="2"/>
        <w:spacing w:line="560" w:lineRule="exact"/>
        <w:ind w:firstLine="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（8）完成上级组织交办的其他事项。 </w:t>
      </w:r>
    </w:p>
    <w:p>
      <w:pPr>
        <w:spacing w:beforeLines="0" w:afterLines="0" w:line="570" w:lineRule="exact"/>
        <w:ind w:firstLine="640" w:firstLineChars="200"/>
        <w:outlineLvl w:val="1"/>
        <w:rPr>
          <w:rFonts w:hint="eastAsia" w:eastAsia="仿宋_GB2312"/>
          <w:color w:val="000000"/>
          <w:sz w:val="32"/>
          <w:szCs w:val="24"/>
          <w:lang w:val="en-US" w:eastAsia="zh-CN"/>
        </w:rPr>
      </w:pPr>
      <w:r>
        <w:rPr>
          <w:rFonts w:hint="eastAsia" w:eastAsia="仿宋_GB2312"/>
          <w:color w:val="000000"/>
          <w:sz w:val="32"/>
          <w:szCs w:val="24"/>
          <w:lang w:val="en-US" w:eastAsia="zh-CN"/>
        </w:rPr>
        <w:t>2.机构设置</w:t>
      </w:r>
    </w:p>
    <w:p>
      <w:pPr>
        <w:spacing w:beforeLines="0" w:afterLines="0" w:line="570" w:lineRule="exact"/>
        <w:ind w:firstLine="640" w:firstLineChars="200"/>
        <w:outlineLvl w:val="1"/>
        <w:rPr>
          <w:rFonts w:hint="eastAsia" w:ascii="仿宋_GB2312" w:hAnsi="仿宋_GB2312" w:eastAsia="仿宋_GB2312" w:cs="仿宋_GB2312"/>
          <w:color w:val="000000"/>
          <w:kern w:val="0"/>
          <w:sz w:val="32"/>
          <w:szCs w:val="32"/>
          <w:lang w:val="en-US" w:eastAsia="zh-CN" w:bidi="ar"/>
        </w:rPr>
      </w:pPr>
      <w:r>
        <w:rPr>
          <w:rFonts w:hint="eastAsia" w:eastAsia="仿宋_GB2312"/>
          <w:color w:val="000000"/>
          <w:sz w:val="32"/>
          <w:szCs w:val="24"/>
          <w:lang w:val="en-US" w:eastAsia="zh-CN"/>
        </w:rPr>
        <w:t>双牌县泷泊国有林场属公益一类事业单位，</w:t>
      </w:r>
      <w:r>
        <w:rPr>
          <w:rFonts w:hint="eastAsia" w:ascii="仿宋_GB2312" w:hAnsi="仿宋_GB2312" w:eastAsia="仿宋_GB2312" w:cs="仿宋_GB2312"/>
          <w:color w:val="000000"/>
          <w:kern w:val="0"/>
          <w:sz w:val="32"/>
          <w:szCs w:val="32"/>
          <w:lang w:val="en-US" w:eastAsia="zh-CN" w:bidi="ar"/>
        </w:rPr>
        <w:t>林场内设机构：办公室、政工股、营林科技股、计划财务股、资源保护和安全监管股、法制和信访调纠股</w:t>
      </w:r>
      <w:r>
        <w:rPr>
          <w:rFonts w:hint="eastAsia" w:eastAsia="仿宋_GB2312"/>
          <w:color w:val="000000"/>
          <w:sz w:val="32"/>
          <w:szCs w:val="24"/>
          <w:lang w:val="en-US" w:eastAsia="zh-CN"/>
        </w:rPr>
        <w:t>。</w:t>
      </w:r>
      <w:r>
        <w:rPr>
          <w:rFonts w:hint="eastAsia" w:ascii="仿宋_GB2312" w:hAnsi="仿宋_GB2312" w:eastAsia="仿宋_GB2312" w:cs="仿宋_GB2312"/>
          <w:color w:val="000000"/>
          <w:kern w:val="0"/>
          <w:sz w:val="32"/>
          <w:szCs w:val="32"/>
          <w:lang w:val="en-US" w:eastAsia="zh-CN" w:bidi="ar"/>
        </w:rPr>
        <w:t>下设五个工区、1个合作分场和1个苗圃基地。</w:t>
      </w:r>
    </w:p>
    <w:p>
      <w:pPr>
        <w:spacing w:beforeLines="0" w:afterLines="0" w:line="570" w:lineRule="exact"/>
        <w:ind w:firstLine="640" w:firstLineChars="200"/>
        <w:outlineLvl w:val="1"/>
        <w:rPr>
          <w:rFonts w:hint="eastAsia" w:eastAsia="仿宋_GB2312"/>
          <w:color w:val="000000"/>
          <w:sz w:val="32"/>
          <w:szCs w:val="24"/>
          <w:lang w:val="en-US" w:eastAsia="zh-CN"/>
        </w:rPr>
      </w:pPr>
      <w:r>
        <w:rPr>
          <w:rFonts w:hint="eastAsia" w:eastAsia="仿宋_GB2312"/>
          <w:color w:val="000000"/>
          <w:sz w:val="32"/>
          <w:szCs w:val="24"/>
          <w:lang w:val="en-US" w:eastAsia="zh-CN"/>
        </w:rPr>
        <w:t>3.人员情况</w:t>
      </w:r>
    </w:p>
    <w:p>
      <w:pPr>
        <w:spacing w:beforeLines="0" w:afterLines="0" w:line="570" w:lineRule="exact"/>
        <w:ind w:firstLine="640" w:firstLineChars="200"/>
        <w:outlineLvl w:val="1"/>
        <w:rPr>
          <w:rFonts w:hint="eastAsia" w:ascii="仿宋_GB2312" w:hAnsi="仿宋_GB2312" w:eastAsia="仿宋_GB2312" w:cs="仿宋_GB2312"/>
          <w:color w:val="000000"/>
          <w:kern w:val="0"/>
          <w:sz w:val="32"/>
          <w:szCs w:val="32"/>
          <w:lang w:val="en-US" w:eastAsia="zh-CN" w:bidi="ar"/>
        </w:rPr>
      </w:pPr>
      <w:r>
        <w:rPr>
          <w:rFonts w:hint="eastAsia" w:eastAsia="仿宋_GB2312"/>
          <w:color w:val="000000"/>
          <w:sz w:val="32"/>
          <w:szCs w:val="24"/>
          <w:lang w:val="en-US" w:eastAsia="zh-CN"/>
        </w:rPr>
        <w:t>2025年年末单位</w:t>
      </w:r>
      <w:r>
        <w:rPr>
          <w:rFonts w:hint="eastAsia" w:ascii="仿宋_GB2312" w:hAnsi="仿宋_GB2312" w:eastAsia="仿宋_GB2312" w:cs="仿宋_GB2312"/>
          <w:color w:val="000000"/>
          <w:kern w:val="0"/>
          <w:sz w:val="32"/>
          <w:szCs w:val="32"/>
          <w:lang w:val="en-US" w:eastAsia="zh-CN" w:bidi="ar"/>
        </w:rPr>
        <w:t>在职77人（在岗34人、待岗人数43人）、离退休人员289人。</w:t>
      </w:r>
    </w:p>
    <w:p>
      <w:pPr>
        <w:spacing w:beforeLines="0" w:afterLines="0" w:line="570" w:lineRule="exact"/>
        <w:ind w:firstLine="642" w:firstLineChars="200"/>
        <w:outlineLvl w:val="1"/>
        <w:rPr>
          <w:rFonts w:hint="eastAsia" w:ascii="仿宋_GB2312" w:eastAsia="仿宋_GB2312"/>
          <w:sz w:val="32"/>
          <w:szCs w:val="24"/>
          <w:lang w:val="en-US" w:eastAsia="zh-CN"/>
        </w:rPr>
      </w:pPr>
      <w:r>
        <w:rPr>
          <w:rFonts w:hint="eastAsia" w:ascii="仿宋_GB2312" w:eastAsia="仿宋_GB2312"/>
          <w:b/>
          <w:bCs/>
          <w:sz w:val="32"/>
          <w:szCs w:val="24"/>
          <w:lang w:val="en-US" w:eastAsia="zh-CN"/>
        </w:rPr>
        <w:t>4.</w:t>
      </w:r>
      <w:r>
        <w:rPr>
          <w:rFonts w:hint="eastAsia" w:ascii="仿宋_GB2312" w:eastAsia="仿宋_GB2312"/>
          <w:sz w:val="32"/>
          <w:szCs w:val="24"/>
          <w:lang w:val="en-US" w:eastAsia="zh-CN"/>
        </w:rPr>
        <w:t>部门整体收支结构分析</w:t>
      </w:r>
    </w:p>
    <w:p>
      <w:pPr>
        <w:spacing w:line="520" w:lineRule="exact"/>
        <w:ind w:firstLine="640"/>
        <w:rPr>
          <w:rFonts w:hint="eastAsia" w:ascii="仿宋" w:hAnsi="仿宋" w:eastAsia="仿宋"/>
          <w:sz w:val="32"/>
          <w:szCs w:val="24"/>
          <w:lang w:val="en-US" w:eastAsia="zh-CN"/>
        </w:rPr>
      </w:pPr>
      <w:r>
        <w:rPr>
          <w:rFonts w:hint="eastAsia" w:ascii="仿宋" w:hAnsi="仿宋" w:eastAsia="仿宋"/>
          <w:sz w:val="32"/>
          <w:szCs w:val="24"/>
          <w:lang w:val="en-US" w:eastAsia="zh-CN"/>
        </w:rPr>
        <w:t>2025年总收入</w:t>
      </w:r>
      <w:r>
        <w:rPr>
          <w:rFonts w:hint="eastAsia" w:ascii="仿宋" w:hAnsi="仿宋" w:eastAsia="仿宋"/>
          <w:sz w:val="32"/>
          <w:szCs w:val="24"/>
          <w:highlight w:val="none"/>
          <w:lang w:val="en-US" w:eastAsia="zh-CN"/>
        </w:rPr>
        <w:t>1160.11万元，</w:t>
      </w:r>
      <w:r>
        <w:rPr>
          <w:rFonts w:hint="eastAsia" w:ascii="仿宋" w:hAnsi="仿宋" w:eastAsia="仿宋"/>
          <w:sz w:val="32"/>
          <w:szCs w:val="24"/>
          <w:highlight w:val="none"/>
          <w:lang w:val="en-US"/>
        </w:rPr>
        <w:t>其中：</w:t>
      </w:r>
      <w:r>
        <w:rPr>
          <w:rFonts w:hint="eastAsia" w:ascii="仿宋" w:hAnsi="仿宋" w:eastAsia="仿宋"/>
          <w:sz w:val="32"/>
          <w:szCs w:val="24"/>
          <w:highlight w:val="none"/>
          <w:lang w:val="en-US" w:eastAsia="zh-CN"/>
        </w:rPr>
        <w:t>财政拨款1105.51</w:t>
      </w:r>
      <w:r>
        <w:rPr>
          <w:rFonts w:hint="eastAsia" w:ascii="仿宋" w:hAnsi="仿宋" w:eastAsia="仿宋"/>
          <w:sz w:val="32"/>
          <w:szCs w:val="24"/>
          <w:highlight w:val="none"/>
          <w:lang w:val="en-US"/>
        </w:rPr>
        <w:t>万元，占总收入的</w:t>
      </w:r>
      <w:r>
        <w:rPr>
          <w:rFonts w:hint="eastAsia" w:ascii="仿宋" w:hAnsi="仿宋" w:eastAsia="仿宋"/>
          <w:sz w:val="32"/>
          <w:szCs w:val="24"/>
          <w:highlight w:val="none"/>
          <w:lang w:val="en-US" w:eastAsia="zh-CN"/>
        </w:rPr>
        <w:t>95.29</w:t>
      </w:r>
      <w:r>
        <w:rPr>
          <w:rFonts w:hint="eastAsia" w:ascii="仿宋" w:hAnsi="仿宋" w:eastAsia="仿宋"/>
          <w:sz w:val="32"/>
          <w:szCs w:val="24"/>
          <w:highlight w:val="none"/>
          <w:lang w:val="en-US"/>
        </w:rPr>
        <w:t>%；</w:t>
      </w:r>
      <w:r>
        <w:rPr>
          <w:rFonts w:hint="eastAsia" w:ascii="仿宋" w:hAnsi="仿宋" w:eastAsia="仿宋"/>
          <w:sz w:val="32"/>
          <w:szCs w:val="24"/>
          <w:highlight w:val="none"/>
          <w:lang w:val="en-US" w:eastAsia="zh-CN"/>
        </w:rPr>
        <w:t>其他收入54.6占总收入</w:t>
      </w:r>
      <w:r>
        <w:rPr>
          <w:rFonts w:hint="eastAsia" w:ascii="仿宋" w:hAnsi="仿宋" w:eastAsia="仿宋"/>
          <w:sz w:val="32"/>
          <w:szCs w:val="24"/>
          <w:highlight w:val="none"/>
          <w:lang w:val="en-US"/>
        </w:rPr>
        <w:t>的</w:t>
      </w:r>
      <w:r>
        <w:rPr>
          <w:rFonts w:hint="eastAsia" w:ascii="仿宋" w:hAnsi="仿宋" w:eastAsia="仿宋"/>
          <w:sz w:val="32"/>
          <w:szCs w:val="24"/>
          <w:highlight w:val="none"/>
          <w:lang w:val="en-US" w:eastAsia="zh-CN"/>
        </w:rPr>
        <w:t>4.71</w:t>
      </w:r>
      <w:r>
        <w:rPr>
          <w:rFonts w:hint="eastAsia" w:ascii="仿宋" w:hAnsi="仿宋" w:eastAsia="仿宋"/>
          <w:sz w:val="32"/>
          <w:szCs w:val="24"/>
          <w:highlight w:val="none"/>
          <w:lang w:val="en-US"/>
        </w:rPr>
        <w:t>%。</w:t>
      </w:r>
    </w:p>
    <w:p>
      <w:pPr>
        <w:snapToGrid w:val="0"/>
        <w:spacing w:line="520" w:lineRule="exact"/>
        <w:ind w:firstLine="640" w:firstLineChars="200"/>
        <w:rPr>
          <w:rFonts w:hint="eastAsia" w:ascii="仿宋_GB2312" w:eastAsia="仿宋_GB2312"/>
          <w:sz w:val="32"/>
          <w:szCs w:val="24"/>
          <w:lang w:val="en-US" w:eastAsia="zh-CN"/>
        </w:rPr>
      </w:pPr>
      <w:r>
        <w:rPr>
          <w:rFonts w:hint="eastAsia" w:ascii="仿宋" w:hAnsi="仿宋" w:eastAsia="仿宋"/>
          <w:sz w:val="32"/>
          <w:szCs w:val="24"/>
          <w:lang w:val="en-US" w:eastAsia="zh-CN"/>
        </w:rPr>
        <w:t>2025年</w:t>
      </w:r>
      <w:r>
        <w:rPr>
          <w:rFonts w:hint="eastAsia" w:ascii="仿宋" w:hAnsi="仿宋" w:eastAsia="仿宋"/>
          <w:sz w:val="32"/>
          <w:szCs w:val="24"/>
          <w:highlight w:val="none"/>
          <w:lang w:val="en-US"/>
        </w:rPr>
        <w:t>总支出</w:t>
      </w:r>
      <w:r>
        <w:rPr>
          <w:rFonts w:hint="eastAsia" w:ascii="仿宋" w:hAnsi="仿宋" w:eastAsia="仿宋"/>
          <w:sz w:val="32"/>
          <w:szCs w:val="24"/>
          <w:highlight w:val="none"/>
          <w:lang w:val="en-US" w:eastAsia="zh-CN"/>
        </w:rPr>
        <w:t>1160.11</w:t>
      </w:r>
      <w:r>
        <w:rPr>
          <w:rFonts w:hint="eastAsia" w:ascii="仿宋" w:hAnsi="仿宋" w:eastAsia="仿宋"/>
          <w:sz w:val="32"/>
          <w:szCs w:val="24"/>
          <w:highlight w:val="none"/>
          <w:lang w:val="en-US"/>
        </w:rPr>
        <w:t>万元，其中：工资福利</w:t>
      </w:r>
      <w:r>
        <w:rPr>
          <w:rFonts w:hint="eastAsia" w:ascii="仿宋" w:hAnsi="仿宋" w:eastAsia="仿宋"/>
          <w:sz w:val="32"/>
          <w:szCs w:val="24"/>
          <w:highlight w:val="none"/>
          <w:lang w:val="en-US" w:eastAsia="zh-CN"/>
        </w:rPr>
        <w:t>收入</w:t>
      </w:r>
      <w:r>
        <w:rPr>
          <w:rFonts w:hint="eastAsia" w:ascii="仿宋" w:hAnsi="仿宋" w:eastAsia="仿宋"/>
          <w:sz w:val="32"/>
          <w:szCs w:val="24"/>
          <w:highlight w:val="none"/>
          <w:lang w:val="en-US"/>
        </w:rPr>
        <w:t>支出</w:t>
      </w:r>
      <w:r>
        <w:rPr>
          <w:rFonts w:hint="eastAsia" w:ascii="仿宋" w:hAnsi="仿宋" w:eastAsia="仿宋"/>
          <w:sz w:val="32"/>
          <w:szCs w:val="24"/>
          <w:highlight w:val="none"/>
          <w:lang w:val="en-US" w:eastAsia="zh-CN"/>
        </w:rPr>
        <w:t>465.9</w:t>
      </w:r>
      <w:r>
        <w:rPr>
          <w:rFonts w:hint="eastAsia" w:ascii="仿宋" w:hAnsi="仿宋" w:eastAsia="仿宋"/>
          <w:sz w:val="32"/>
          <w:szCs w:val="24"/>
          <w:highlight w:val="none"/>
          <w:lang w:val="en-US"/>
        </w:rPr>
        <w:t>万元，占总支出的</w:t>
      </w:r>
      <w:r>
        <w:rPr>
          <w:rFonts w:hint="eastAsia" w:ascii="仿宋" w:hAnsi="仿宋" w:eastAsia="仿宋"/>
          <w:sz w:val="32"/>
          <w:szCs w:val="24"/>
          <w:highlight w:val="none"/>
          <w:lang w:val="en-US" w:eastAsia="zh-CN"/>
        </w:rPr>
        <w:t>40.16</w:t>
      </w:r>
      <w:r>
        <w:rPr>
          <w:rFonts w:hint="eastAsia" w:ascii="仿宋" w:hAnsi="仿宋" w:eastAsia="仿宋"/>
          <w:sz w:val="32"/>
          <w:szCs w:val="24"/>
          <w:highlight w:val="none"/>
          <w:lang w:val="en-US"/>
        </w:rPr>
        <w:t>%；商品和服务支出</w:t>
      </w:r>
      <w:r>
        <w:rPr>
          <w:rFonts w:hint="eastAsia" w:ascii="仿宋" w:hAnsi="仿宋" w:eastAsia="仿宋"/>
          <w:sz w:val="32"/>
          <w:szCs w:val="24"/>
          <w:highlight w:val="none"/>
          <w:lang w:val="en-US" w:eastAsia="zh-CN"/>
        </w:rPr>
        <w:t>205.62</w:t>
      </w:r>
      <w:r>
        <w:rPr>
          <w:rFonts w:hint="eastAsia" w:ascii="仿宋" w:hAnsi="仿宋" w:eastAsia="仿宋"/>
          <w:sz w:val="32"/>
          <w:szCs w:val="24"/>
          <w:highlight w:val="none"/>
          <w:lang w:val="en-US"/>
        </w:rPr>
        <w:t>万元，占总支出的</w:t>
      </w:r>
      <w:r>
        <w:rPr>
          <w:rFonts w:hint="eastAsia" w:ascii="仿宋" w:hAnsi="仿宋" w:eastAsia="仿宋"/>
          <w:sz w:val="32"/>
          <w:szCs w:val="24"/>
          <w:highlight w:val="none"/>
          <w:lang w:val="en-US" w:eastAsia="zh-CN"/>
        </w:rPr>
        <w:t>17.72</w:t>
      </w:r>
      <w:r>
        <w:rPr>
          <w:rFonts w:hint="eastAsia" w:ascii="仿宋" w:hAnsi="仿宋" w:eastAsia="仿宋"/>
          <w:sz w:val="32"/>
          <w:szCs w:val="24"/>
          <w:highlight w:val="none"/>
          <w:lang w:val="en-US"/>
        </w:rPr>
        <w:t>%；</w:t>
      </w:r>
      <w:r>
        <w:rPr>
          <w:rFonts w:hint="eastAsia" w:ascii="仿宋" w:hAnsi="仿宋" w:eastAsia="仿宋"/>
          <w:sz w:val="32"/>
          <w:szCs w:val="24"/>
          <w:highlight w:val="none"/>
          <w:lang w:val="en-US" w:eastAsia="zh-CN"/>
        </w:rPr>
        <w:t>资本性</w:t>
      </w:r>
      <w:r>
        <w:rPr>
          <w:rFonts w:hint="eastAsia" w:ascii="仿宋" w:hAnsi="仿宋" w:eastAsia="仿宋"/>
          <w:sz w:val="32"/>
          <w:szCs w:val="24"/>
          <w:highlight w:val="none"/>
          <w:lang w:val="en-US"/>
        </w:rPr>
        <w:t>支出</w:t>
      </w:r>
      <w:r>
        <w:rPr>
          <w:rFonts w:hint="eastAsia" w:ascii="仿宋" w:hAnsi="仿宋" w:eastAsia="仿宋"/>
          <w:sz w:val="32"/>
          <w:szCs w:val="24"/>
          <w:highlight w:val="none"/>
          <w:lang w:val="en-US" w:eastAsia="zh-CN"/>
        </w:rPr>
        <w:t>86.76</w:t>
      </w:r>
      <w:r>
        <w:rPr>
          <w:rFonts w:hint="eastAsia" w:ascii="仿宋" w:hAnsi="仿宋" w:eastAsia="仿宋"/>
          <w:sz w:val="32"/>
          <w:szCs w:val="24"/>
          <w:highlight w:val="none"/>
          <w:lang w:val="en-US"/>
        </w:rPr>
        <w:t>万元，占总支出的</w:t>
      </w:r>
      <w:r>
        <w:rPr>
          <w:rFonts w:hint="eastAsia" w:ascii="仿宋" w:hAnsi="仿宋" w:eastAsia="仿宋"/>
          <w:sz w:val="32"/>
          <w:szCs w:val="24"/>
          <w:highlight w:val="none"/>
          <w:lang w:val="en-US" w:eastAsia="zh-CN"/>
        </w:rPr>
        <w:t>7.48</w:t>
      </w:r>
      <w:r>
        <w:rPr>
          <w:rFonts w:hint="eastAsia" w:ascii="仿宋" w:hAnsi="仿宋" w:eastAsia="仿宋"/>
          <w:sz w:val="32"/>
          <w:szCs w:val="24"/>
          <w:highlight w:val="none"/>
          <w:lang w:val="en-US"/>
        </w:rPr>
        <w:t>%</w:t>
      </w:r>
      <w:r>
        <w:rPr>
          <w:rFonts w:hint="eastAsia" w:ascii="仿宋" w:hAnsi="仿宋" w:eastAsia="仿宋"/>
          <w:sz w:val="32"/>
          <w:szCs w:val="24"/>
          <w:highlight w:val="none"/>
          <w:lang w:val="en-US" w:eastAsia="zh-CN"/>
        </w:rPr>
        <w:t>；对个人和家庭的补助支出401.83万元，占</w:t>
      </w:r>
      <w:r>
        <w:rPr>
          <w:rFonts w:hint="eastAsia" w:ascii="仿宋" w:hAnsi="仿宋" w:eastAsia="仿宋"/>
          <w:sz w:val="32"/>
          <w:szCs w:val="24"/>
          <w:highlight w:val="none"/>
          <w:lang w:val="en-US"/>
        </w:rPr>
        <w:t>总支出的</w:t>
      </w:r>
      <w:r>
        <w:rPr>
          <w:rFonts w:hint="eastAsia" w:ascii="仿宋" w:hAnsi="仿宋" w:eastAsia="仿宋"/>
          <w:sz w:val="32"/>
          <w:szCs w:val="24"/>
          <w:highlight w:val="none"/>
          <w:lang w:val="en-US" w:eastAsia="zh-CN"/>
        </w:rPr>
        <w:t>34.64</w:t>
      </w:r>
      <w:r>
        <w:rPr>
          <w:rFonts w:hint="eastAsia" w:ascii="仿宋" w:hAnsi="仿宋" w:eastAsia="仿宋"/>
          <w:sz w:val="32"/>
          <w:szCs w:val="24"/>
          <w:highlight w:val="none"/>
          <w:lang w:val="en-US"/>
        </w:rPr>
        <w:t>%</w:t>
      </w:r>
      <w:r>
        <w:rPr>
          <w:rFonts w:hint="eastAsia" w:ascii="仿宋" w:hAnsi="仿宋" w:eastAsia="仿宋"/>
          <w:sz w:val="32"/>
          <w:szCs w:val="24"/>
          <w:highlight w:val="none"/>
          <w:lang w:val="en-US" w:eastAsia="zh-CN"/>
        </w:rPr>
        <w:t>。</w:t>
      </w:r>
    </w:p>
    <w:p>
      <w:pPr>
        <w:numPr>
          <w:ilvl w:val="0"/>
          <w:numId w:val="0"/>
        </w:numPr>
        <w:spacing w:beforeLines="0" w:afterLines="0" w:line="570" w:lineRule="exact"/>
        <w:ind w:firstLine="642" w:firstLineChars="200"/>
        <w:outlineLvl w:val="1"/>
        <w:rPr>
          <w:rFonts w:hint="eastAsia" w:eastAsia="仿宋_GB2312"/>
          <w:color w:val="000000"/>
          <w:sz w:val="32"/>
          <w:szCs w:val="24"/>
          <w:lang w:val="en-US" w:eastAsia="zh-CN"/>
        </w:rPr>
      </w:pPr>
      <w:r>
        <w:rPr>
          <w:rFonts w:hint="eastAsia" w:ascii="仿宋_GB2312" w:eastAsia="仿宋_GB2312"/>
          <w:b/>
          <w:bCs/>
          <w:sz w:val="32"/>
          <w:szCs w:val="24"/>
          <w:lang w:val="en-US" w:eastAsia="zh-CN"/>
        </w:rPr>
        <w:t>5.</w:t>
      </w:r>
      <w:r>
        <w:rPr>
          <w:rFonts w:hint="eastAsia" w:eastAsia="仿宋_GB2312"/>
          <w:color w:val="000000"/>
          <w:sz w:val="32"/>
          <w:szCs w:val="24"/>
        </w:rPr>
        <w:t>“三公经费”支出</w:t>
      </w:r>
      <w:r>
        <w:rPr>
          <w:rFonts w:hint="eastAsia" w:eastAsia="仿宋_GB2312"/>
          <w:color w:val="000000"/>
          <w:sz w:val="32"/>
          <w:szCs w:val="24"/>
          <w:lang w:val="en-US" w:eastAsia="zh-CN"/>
        </w:rPr>
        <w:t>情况</w:t>
      </w:r>
    </w:p>
    <w:p>
      <w:pPr>
        <w:numPr>
          <w:ilvl w:val="0"/>
          <w:numId w:val="0"/>
        </w:numPr>
        <w:spacing w:beforeLines="0" w:afterLines="0" w:line="570" w:lineRule="exact"/>
        <w:ind w:firstLine="640" w:firstLineChars="200"/>
        <w:outlineLvl w:val="1"/>
        <w:rPr>
          <w:rFonts w:hint="eastAsia" w:eastAsia="仿宋_GB2312"/>
          <w:color w:val="000000"/>
          <w:sz w:val="32"/>
          <w:szCs w:val="24"/>
          <w:lang w:val="en-US" w:eastAsia="zh-CN"/>
        </w:rPr>
      </w:pPr>
      <w:r>
        <w:rPr>
          <w:rFonts w:hint="eastAsia" w:eastAsia="仿宋_GB2312"/>
          <w:color w:val="000000"/>
          <w:sz w:val="32"/>
          <w:szCs w:val="24"/>
          <w:lang w:val="en-US" w:eastAsia="zh-CN"/>
        </w:rPr>
        <w:t>本单位无“三公经费”。</w:t>
      </w:r>
    </w:p>
    <w:p>
      <w:pPr>
        <w:spacing w:beforeLines="0" w:afterLines="0" w:line="570" w:lineRule="exact"/>
        <w:ind w:firstLine="640" w:firstLineChars="200"/>
        <w:outlineLvl w:val="1"/>
        <w:rPr>
          <w:rFonts w:hint="default" w:ascii="仿宋_GB2312" w:eastAsia="仿宋_GB2312"/>
          <w:sz w:val="32"/>
          <w:szCs w:val="24"/>
          <w:lang w:val="en-US" w:eastAsia="zh-CN"/>
        </w:rPr>
      </w:pPr>
    </w:p>
    <w:p>
      <w:pPr>
        <w:pStyle w:val="10"/>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pPr>
        <w:pStyle w:val="10"/>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pPr>
        <w:pStyle w:val="10"/>
        <w:spacing w:beforeLines="0" w:afterLines="0" w:line="570" w:lineRule="exact"/>
        <w:ind w:firstLine="640"/>
        <w:outlineLvl w:val="1"/>
        <w:rPr>
          <w:rFonts w:hint="default" w:ascii="Times New Roman" w:hAnsi="Times New Roman" w:eastAsia="仿宋_GB2312"/>
          <w:sz w:val="32"/>
          <w:szCs w:val="24"/>
        </w:rPr>
      </w:pPr>
      <w:r>
        <w:rPr>
          <w:rFonts w:hint="eastAsia" w:ascii="Times New Roman" w:hAnsi="Times New Roman" w:eastAsia="仿宋_GB2312"/>
          <w:sz w:val="32"/>
          <w:szCs w:val="24"/>
          <w:lang w:val="en-US" w:eastAsia="zh-CN"/>
        </w:rPr>
        <w:t>2025年度预算</w:t>
      </w:r>
      <w:r>
        <w:rPr>
          <w:rFonts w:hint="eastAsia" w:ascii="仿宋" w:hAnsi="仿宋" w:eastAsia="仿宋"/>
          <w:sz w:val="32"/>
          <w:szCs w:val="24"/>
          <w:lang w:val="en-US"/>
        </w:rPr>
        <w:t>支出</w:t>
      </w:r>
      <w:r>
        <w:rPr>
          <w:rFonts w:hint="eastAsia" w:ascii="仿宋" w:hAnsi="仿宋" w:eastAsia="仿宋"/>
          <w:sz w:val="32"/>
          <w:szCs w:val="24"/>
          <w:highlight w:val="none"/>
          <w:lang w:val="en-US" w:eastAsia="zh-CN"/>
        </w:rPr>
        <w:t>1160.11</w:t>
      </w:r>
      <w:r>
        <w:rPr>
          <w:rFonts w:hint="eastAsia" w:ascii="仿宋" w:hAnsi="仿宋" w:eastAsia="仿宋"/>
          <w:sz w:val="32"/>
          <w:szCs w:val="24"/>
          <w:lang w:val="en-US" w:eastAsia="zh-CN"/>
        </w:rPr>
        <w:t>万元，其中</w:t>
      </w:r>
      <w:r>
        <w:rPr>
          <w:rFonts w:hint="default" w:ascii="Times New Roman" w:hAnsi="Times New Roman" w:eastAsia="仿宋_GB2312"/>
          <w:sz w:val="32"/>
          <w:szCs w:val="24"/>
          <w:lang w:val="en-US" w:eastAsia="zh-CN"/>
        </w:rPr>
        <w:t>基本支出</w:t>
      </w:r>
      <w:r>
        <w:rPr>
          <w:rFonts w:hint="eastAsia" w:ascii="Times New Roman" w:hAnsi="Times New Roman" w:eastAsia="仿宋_GB2312"/>
          <w:sz w:val="32"/>
          <w:szCs w:val="24"/>
          <w:lang w:val="en-US" w:eastAsia="zh-CN"/>
        </w:rPr>
        <w:t>354.88</w:t>
      </w:r>
      <w:r>
        <w:rPr>
          <w:rFonts w:hint="default" w:ascii="Times New Roman" w:hAnsi="Times New Roman" w:eastAsia="仿宋_GB2312"/>
          <w:sz w:val="32"/>
          <w:szCs w:val="24"/>
          <w:lang w:val="en-US" w:eastAsia="zh-CN"/>
        </w:rPr>
        <w:t>万元，占总支出的比重为</w:t>
      </w:r>
      <w:r>
        <w:rPr>
          <w:rFonts w:hint="eastAsia" w:ascii="Times New Roman" w:hAnsi="Times New Roman" w:eastAsia="仿宋_GB2312"/>
          <w:sz w:val="32"/>
          <w:szCs w:val="24"/>
          <w:lang w:val="en-US" w:eastAsia="zh-CN"/>
        </w:rPr>
        <w:t>30.59</w:t>
      </w:r>
      <w:r>
        <w:rPr>
          <w:rFonts w:hint="default" w:ascii="Times New Roman" w:hAnsi="Times New Roman" w:eastAsia="仿宋_GB2312"/>
          <w:sz w:val="32"/>
          <w:szCs w:val="24"/>
          <w:lang w:val="en-US" w:eastAsia="zh-CN"/>
        </w:rPr>
        <w:t>%。基本支出中人员经费</w:t>
      </w:r>
      <w:r>
        <w:rPr>
          <w:rFonts w:hint="eastAsia" w:ascii="Times New Roman" w:hAnsi="Times New Roman" w:eastAsia="仿宋_GB2312"/>
          <w:sz w:val="32"/>
          <w:szCs w:val="24"/>
          <w:lang w:val="en-US" w:eastAsia="zh-CN"/>
        </w:rPr>
        <w:t>354.88</w:t>
      </w:r>
      <w:r>
        <w:rPr>
          <w:rFonts w:hint="default" w:ascii="Times New Roman" w:hAnsi="Times New Roman" w:eastAsia="仿宋_GB2312"/>
          <w:sz w:val="32"/>
          <w:szCs w:val="24"/>
          <w:lang w:val="en-US" w:eastAsia="zh-CN"/>
        </w:rPr>
        <w:t>万元，主要</w:t>
      </w:r>
      <w:r>
        <w:rPr>
          <w:rFonts w:hint="eastAsia" w:ascii="Times New Roman" w:hAnsi="Times New Roman" w:eastAsia="仿宋_GB2312"/>
          <w:sz w:val="32"/>
          <w:szCs w:val="24"/>
          <w:lang w:val="en-US" w:eastAsia="zh-CN"/>
        </w:rPr>
        <w:t>是</w:t>
      </w:r>
      <w:r>
        <w:rPr>
          <w:rFonts w:hint="eastAsia" w:ascii="仿宋" w:hAnsi="仿宋" w:eastAsia="仿宋"/>
          <w:sz w:val="32"/>
          <w:szCs w:val="24"/>
          <w:lang w:val="en-US"/>
        </w:rPr>
        <w:t>基本工资、津贴补贴、奖金、其他社会保障缴费、住房公积金等</w:t>
      </w:r>
      <w:r>
        <w:rPr>
          <w:rFonts w:hint="eastAsia" w:ascii="仿宋" w:hAnsi="仿宋" w:eastAsia="仿宋"/>
          <w:sz w:val="32"/>
          <w:szCs w:val="24"/>
          <w:lang w:val="en-US" w:eastAsia="zh-CN"/>
        </w:rPr>
        <w:t>支出。</w:t>
      </w:r>
    </w:p>
    <w:p>
      <w:pPr>
        <w:pStyle w:val="10"/>
        <w:numPr>
          <w:ilvl w:val="0"/>
          <w:numId w:val="2"/>
        </w:numPr>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项目支出情况</w:t>
      </w:r>
    </w:p>
    <w:p>
      <w:pPr>
        <w:pStyle w:val="10"/>
        <w:numPr>
          <w:ilvl w:val="0"/>
          <w:numId w:val="0"/>
        </w:numPr>
        <w:spacing w:beforeLines="0" w:afterLines="0" w:line="570" w:lineRule="exact"/>
        <w:ind w:firstLine="640" w:firstLineChars="200"/>
        <w:outlineLvl w:val="1"/>
        <w:rPr>
          <w:rFonts w:hint="default" w:ascii="Times New Roman" w:hAnsi="Times New Roman" w:eastAsia="仿宋_GB2312"/>
          <w:sz w:val="32"/>
          <w:szCs w:val="24"/>
          <w:lang w:val="en-US" w:eastAsia="zh-CN"/>
        </w:rPr>
      </w:pPr>
      <w:r>
        <w:rPr>
          <w:rFonts w:hint="eastAsia" w:ascii="Times New Roman" w:hAnsi="Times New Roman" w:eastAsia="仿宋_GB2312"/>
          <w:sz w:val="32"/>
          <w:szCs w:val="24"/>
          <w:lang w:val="en-US" w:eastAsia="zh-CN"/>
        </w:rPr>
        <w:t>2025年度预算</w:t>
      </w:r>
      <w:r>
        <w:rPr>
          <w:rFonts w:hint="eastAsia" w:ascii="仿宋" w:hAnsi="仿宋" w:eastAsia="仿宋"/>
          <w:sz w:val="32"/>
          <w:szCs w:val="24"/>
          <w:lang w:val="en-US"/>
        </w:rPr>
        <w:t>支出</w:t>
      </w:r>
      <w:r>
        <w:rPr>
          <w:rFonts w:hint="eastAsia" w:ascii="仿宋" w:hAnsi="仿宋" w:eastAsia="仿宋"/>
          <w:sz w:val="32"/>
          <w:szCs w:val="24"/>
          <w:highlight w:val="none"/>
          <w:lang w:val="en-US" w:eastAsia="zh-CN"/>
        </w:rPr>
        <w:t>1160.11</w:t>
      </w:r>
      <w:r>
        <w:rPr>
          <w:rFonts w:hint="eastAsia" w:ascii="仿宋" w:hAnsi="仿宋" w:eastAsia="仿宋"/>
          <w:sz w:val="32"/>
          <w:szCs w:val="24"/>
          <w:lang w:val="en-US" w:eastAsia="zh-CN"/>
        </w:rPr>
        <w:t>万元，其中</w:t>
      </w:r>
      <w:r>
        <w:rPr>
          <w:rFonts w:hint="eastAsia" w:ascii="Times New Roman" w:hAnsi="Times New Roman" w:eastAsia="仿宋_GB2312"/>
          <w:sz w:val="32"/>
          <w:szCs w:val="24"/>
          <w:lang w:val="en-US" w:eastAsia="zh-CN"/>
        </w:rPr>
        <w:t>项目</w:t>
      </w:r>
      <w:r>
        <w:rPr>
          <w:rFonts w:hint="default" w:ascii="Times New Roman" w:hAnsi="Times New Roman" w:eastAsia="仿宋_GB2312"/>
          <w:sz w:val="32"/>
          <w:szCs w:val="24"/>
          <w:lang w:val="en-US" w:eastAsia="zh-CN"/>
        </w:rPr>
        <w:t>支出</w:t>
      </w:r>
      <w:r>
        <w:rPr>
          <w:rFonts w:hint="eastAsia" w:ascii="Times New Roman" w:hAnsi="Times New Roman" w:eastAsia="仿宋_GB2312"/>
          <w:sz w:val="32"/>
          <w:szCs w:val="24"/>
          <w:lang w:val="en-US" w:eastAsia="zh-CN"/>
        </w:rPr>
        <w:t>805.23</w:t>
      </w:r>
      <w:r>
        <w:rPr>
          <w:rFonts w:hint="default" w:ascii="Times New Roman" w:hAnsi="Times New Roman" w:eastAsia="仿宋_GB2312"/>
          <w:sz w:val="32"/>
          <w:szCs w:val="24"/>
          <w:lang w:val="en-US" w:eastAsia="zh-CN"/>
        </w:rPr>
        <w:t>万元，占总支出的比重为</w:t>
      </w:r>
      <w:r>
        <w:rPr>
          <w:rFonts w:hint="eastAsia" w:ascii="Times New Roman" w:hAnsi="Times New Roman" w:eastAsia="仿宋_GB2312"/>
          <w:sz w:val="32"/>
          <w:szCs w:val="24"/>
          <w:lang w:val="en-US" w:eastAsia="zh-CN"/>
        </w:rPr>
        <w:t>69.41</w:t>
      </w:r>
      <w:r>
        <w:rPr>
          <w:rFonts w:hint="default" w:ascii="Times New Roman" w:hAnsi="Times New Roman" w:eastAsia="仿宋_GB2312"/>
          <w:sz w:val="32"/>
          <w:szCs w:val="24"/>
          <w:lang w:val="en-US" w:eastAsia="zh-CN"/>
        </w:rPr>
        <w:t>%。</w:t>
      </w:r>
      <w:r>
        <w:rPr>
          <w:rFonts w:hint="eastAsia" w:ascii="Times New Roman" w:hAnsi="Times New Roman" w:eastAsia="仿宋_GB2312"/>
          <w:sz w:val="32"/>
          <w:szCs w:val="24"/>
          <w:lang w:val="en-US" w:eastAsia="zh-CN"/>
        </w:rPr>
        <w:t>项目</w:t>
      </w:r>
      <w:r>
        <w:rPr>
          <w:rFonts w:hint="default" w:ascii="Times New Roman" w:hAnsi="Times New Roman" w:eastAsia="仿宋_GB2312"/>
          <w:sz w:val="32"/>
          <w:szCs w:val="24"/>
          <w:lang w:val="en-US" w:eastAsia="zh-CN"/>
        </w:rPr>
        <w:t>支出中</w:t>
      </w:r>
      <w:r>
        <w:rPr>
          <w:rFonts w:hint="eastAsia" w:ascii="Times New Roman" w:hAnsi="Times New Roman" w:eastAsia="仿宋_GB2312"/>
          <w:sz w:val="32"/>
          <w:szCs w:val="24"/>
          <w:lang w:val="en-US" w:eastAsia="zh-CN"/>
        </w:rPr>
        <w:t>自主创业资金128.41万元；湘江源综合治理精准提升项目资金66.76万元；泷泊林场管护用房建设20万元；林火阻隔系统、消防蓄水池及队伍建设24万元；国有林场维修加固管护站点建设20万元；退休人员补差工资297.40万元；退休人员生活补贴56.91万元；非税返还191.75万元。</w:t>
      </w:r>
    </w:p>
    <w:p>
      <w:pPr>
        <w:pStyle w:val="10"/>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三、政府性基金预算支出情况。</w:t>
      </w:r>
    </w:p>
    <w:p>
      <w:pPr>
        <w:pStyle w:val="10"/>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仿宋_GB2312"/>
          <w:color w:val="000000"/>
          <w:sz w:val="32"/>
          <w:szCs w:val="24"/>
        </w:rPr>
        <w:t>我单位无政府性基金预算支出情况</w:t>
      </w:r>
    </w:p>
    <w:p>
      <w:pPr>
        <w:pStyle w:val="10"/>
        <w:numPr>
          <w:ilvl w:val="0"/>
          <w:numId w:val="3"/>
        </w:numPr>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国有资本经营预算支出情况。</w:t>
      </w:r>
    </w:p>
    <w:p>
      <w:pPr>
        <w:pStyle w:val="10"/>
        <w:numPr>
          <w:ilvl w:val="0"/>
          <w:numId w:val="0"/>
        </w:numPr>
        <w:spacing w:beforeLines="0" w:afterLines="0" w:line="570" w:lineRule="exact"/>
        <w:ind w:firstLine="640" w:firstLineChars="200"/>
        <w:jc w:val="left"/>
        <w:outlineLvl w:val="0"/>
        <w:rPr>
          <w:rFonts w:hint="eastAsia" w:ascii="Times New Roman" w:hAnsi="Times New Roman" w:eastAsia="黑体"/>
          <w:sz w:val="32"/>
          <w:szCs w:val="24"/>
        </w:rPr>
      </w:pPr>
      <w:r>
        <w:rPr>
          <w:rFonts w:hint="eastAsia" w:ascii="Times New Roman" w:hAnsi="Times New Roman" w:eastAsia="仿宋_GB2312"/>
          <w:color w:val="000000"/>
          <w:sz w:val="32"/>
          <w:szCs w:val="24"/>
        </w:rPr>
        <w:t>我单位无国有资本经营预算支出情况</w:t>
      </w:r>
    </w:p>
    <w:p>
      <w:pPr>
        <w:pStyle w:val="10"/>
        <w:numPr>
          <w:ilvl w:val="0"/>
          <w:numId w:val="3"/>
        </w:numPr>
        <w:spacing w:beforeLines="0" w:afterLines="0" w:line="570" w:lineRule="exact"/>
        <w:ind w:left="0" w:leftChars="0" w:firstLine="640" w:firstLineChars="200"/>
        <w:jc w:val="left"/>
        <w:outlineLvl w:val="0"/>
        <w:rPr>
          <w:rFonts w:hint="eastAsia" w:ascii="Times New Roman" w:hAnsi="Times New Roman" w:eastAsia="黑体"/>
          <w:sz w:val="32"/>
          <w:szCs w:val="24"/>
        </w:rPr>
      </w:pPr>
      <w:r>
        <w:rPr>
          <w:rFonts w:hint="eastAsia" w:ascii="Times New Roman" w:hAnsi="Times New Roman" w:eastAsia="黑体"/>
          <w:sz w:val="32"/>
          <w:szCs w:val="24"/>
        </w:rPr>
        <w:t>社会保险基金预算支出情况。</w:t>
      </w:r>
    </w:p>
    <w:p>
      <w:pPr>
        <w:pStyle w:val="10"/>
        <w:numPr>
          <w:ilvl w:val="0"/>
          <w:numId w:val="0"/>
        </w:numPr>
        <w:spacing w:beforeLines="0" w:afterLines="0" w:line="570" w:lineRule="exact"/>
        <w:ind w:leftChars="200" w:firstLine="320" w:firstLineChars="100"/>
        <w:jc w:val="left"/>
        <w:outlineLvl w:val="0"/>
        <w:rPr>
          <w:rFonts w:hint="eastAsia" w:ascii="Times New Roman" w:hAnsi="Times New Roman" w:eastAsia="黑体"/>
          <w:sz w:val="32"/>
          <w:szCs w:val="24"/>
        </w:rPr>
      </w:pPr>
      <w:r>
        <w:rPr>
          <w:rFonts w:hint="eastAsia" w:ascii="Times New Roman" w:hAnsi="Times New Roman" w:eastAsia="仿宋_GB2312"/>
          <w:color w:val="000000"/>
          <w:sz w:val="32"/>
          <w:szCs w:val="24"/>
        </w:rPr>
        <w:t>我单位无社会保险基金预算支出情况</w:t>
      </w:r>
    </w:p>
    <w:p>
      <w:pPr>
        <w:spacing w:beforeLines="0" w:afterLines="0" w:line="570" w:lineRule="exact"/>
        <w:ind w:firstLine="645"/>
        <w:jc w:val="left"/>
        <w:outlineLvl w:val="0"/>
        <w:rPr>
          <w:rFonts w:hint="default" w:eastAsia="黑体"/>
          <w:sz w:val="32"/>
          <w:szCs w:val="24"/>
        </w:rPr>
      </w:pPr>
      <w:r>
        <w:rPr>
          <w:rFonts w:hint="eastAsia" w:eastAsia="黑体"/>
          <w:sz w:val="32"/>
          <w:szCs w:val="24"/>
        </w:rPr>
        <w:t>六、部门整体支出绩效情况</w:t>
      </w:r>
    </w:p>
    <w:p>
      <w:pPr>
        <w:spacing w:beforeLines="0" w:afterLines="0" w:line="570" w:lineRule="exact"/>
        <w:ind w:firstLine="645"/>
        <w:jc w:val="both"/>
        <w:rPr>
          <w:rFonts w:hint="eastAsia" w:eastAsia="仿宋_GB2312"/>
          <w:color w:val="000000"/>
          <w:sz w:val="32"/>
          <w:szCs w:val="24"/>
          <w:lang w:val="en-US" w:eastAsia="zh-CN"/>
        </w:rPr>
      </w:pPr>
      <w:r>
        <w:rPr>
          <w:rFonts w:hint="eastAsia" w:eastAsia="仿宋_GB2312"/>
          <w:color w:val="000000"/>
          <w:sz w:val="32"/>
          <w:szCs w:val="24"/>
          <w:lang w:val="en-US" w:eastAsia="zh-CN"/>
        </w:rPr>
        <w:t>根据《部门整体支出绩效评价指标》评分，得分</w:t>
      </w:r>
      <w:r>
        <w:rPr>
          <w:rFonts w:hint="eastAsia" w:eastAsia="仿宋_GB2312"/>
          <w:color w:val="auto"/>
          <w:sz w:val="32"/>
          <w:szCs w:val="24"/>
          <w:lang w:val="en-US" w:eastAsia="zh-CN"/>
        </w:rPr>
        <w:t>98</w:t>
      </w:r>
      <w:r>
        <w:rPr>
          <w:rFonts w:hint="eastAsia" w:eastAsia="仿宋_GB2312"/>
          <w:color w:val="000000"/>
          <w:sz w:val="32"/>
          <w:szCs w:val="24"/>
          <w:lang w:val="en-US" w:eastAsia="zh-CN"/>
        </w:rPr>
        <w:t>分（详见附件2：部门整体支出绩效自评表）。主要绩效如下：</w:t>
      </w:r>
    </w:p>
    <w:p>
      <w:pPr>
        <w:spacing w:beforeLines="0" w:afterLines="0" w:line="570" w:lineRule="exact"/>
        <w:ind w:firstLine="645"/>
        <w:jc w:val="both"/>
        <w:rPr>
          <w:rFonts w:hint="eastAsia" w:eastAsia="仿宋_GB2312"/>
          <w:color w:val="000000"/>
          <w:sz w:val="32"/>
          <w:szCs w:val="24"/>
          <w:lang w:val="en-US" w:eastAsia="zh-CN"/>
        </w:rPr>
      </w:pPr>
      <w:r>
        <w:rPr>
          <w:rFonts w:hint="eastAsia" w:eastAsia="仿宋_GB2312"/>
          <w:color w:val="000000"/>
          <w:sz w:val="32"/>
          <w:szCs w:val="24"/>
          <w:lang w:val="en-US" w:eastAsia="zh-CN"/>
        </w:rPr>
        <w:t>从经济性情况分析看，预算资金覆盖各个需求方面。2025年预算资金能保障单位正常运转需要，分配办法科学，考虑的因素必要合理，分配的结果合理，能基本保证人员经费支出和机构全年工作运转。</w:t>
      </w:r>
    </w:p>
    <w:p>
      <w:pPr>
        <w:spacing w:beforeLines="0" w:afterLines="0" w:line="570" w:lineRule="exact"/>
        <w:ind w:firstLine="645"/>
        <w:jc w:val="both"/>
        <w:rPr>
          <w:rFonts w:hint="eastAsia" w:eastAsia="仿宋_GB2312"/>
          <w:color w:val="000000"/>
          <w:sz w:val="32"/>
          <w:szCs w:val="24"/>
          <w:lang w:val="en-US" w:eastAsia="zh-CN"/>
        </w:rPr>
      </w:pPr>
      <w:r>
        <w:rPr>
          <w:rFonts w:hint="eastAsia" w:eastAsia="仿宋_GB2312"/>
          <w:color w:val="000000"/>
          <w:sz w:val="32"/>
          <w:szCs w:val="24"/>
          <w:lang w:val="en-US" w:eastAsia="zh-CN"/>
        </w:rPr>
        <w:t>从效率性情况分析看，在各项工作费用支出中，干部职工的医疗保险、工伤保险、福利费、工会经费等人员经费支出能及时按进度保质保量完成。预算公用经费及时拨付到位，预算完成率和预算控制率较好。</w:t>
      </w:r>
    </w:p>
    <w:p>
      <w:pPr>
        <w:spacing w:beforeLines="0" w:afterLines="0" w:line="570" w:lineRule="exact"/>
        <w:ind w:firstLine="645"/>
        <w:jc w:val="both"/>
        <w:rPr>
          <w:rFonts w:hint="eastAsia" w:eastAsia="仿宋_GB2312"/>
          <w:color w:val="000000"/>
          <w:sz w:val="32"/>
          <w:szCs w:val="24"/>
          <w:lang w:val="en-US" w:eastAsia="zh-CN"/>
        </w:rPr>
      </w:pPr>
      <w:r>
        <w:rPr>
          <w:rFonts w:hint="eastAsia" w:eastAsia="仿宋_GB2312"/>
          <w:color w:val="000000"/>
          <w:sz w:val="32"/>
          <w:szCs w:val="24"/>
          <w:lang w:val="en-US" w:eastAsia="zh-CN"/>
        </w:rPr>
        <w:t>从可持续性分析看，我单位在人员严重缺少，工作任务繁重的条件下，依然充分履行审计作为国家利益的“捍卫者”、经济发展的“安全员”、公共资金的“守护者”等职责，为促进国民经济社会发展做出积极贡献。</w:t>
      </w:r>
    </w:p>
    <w:p>
      <w:pPr>
        <w:pStyle w:val="10"/>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pPr>
        <w:spacing w:beforeLines="0" w:afterLines="0" w:line="570" w:lineRule="exact"/>
        <w:ind w:firstLine="640" w:firstLineChars="200"/>
        <w:jc w:val="left"/>
        <w:rPr>
          <w:rFonts w:hint="eastAsia" w:eastAsia="仿宋_GB2312"/>
          <w:color w:val="000000"/>
          <w:sz w:val="32"/>
          <w:szCs w:val="24"/>
          <w:lang w:val="en-US" w:eastAsia="zh-CN"/>
        </w:rPr>
      </w:pPr>
      <w:r>
        <w:rPr>
          <w:rFonts w:hint="eastAsia" w:eastAsia="仿宋_GB2312"/>
          <w:color w:val="000000"/>
          <w:sz w:val="32"/>
          <w:szCs w:val="24"/>
          <w:lang w:val="en-US" w:eastAsia="zh-CN"/>
        </w:rPr>
        <w:t>1.预算执行率有待加强。由于预算项目支出存在一定不确定性导致项目支出波动性较大。</w:t>
      </w:r>
    </w:p>
    <w:p>
      <w:pPr>
        <w:spacing w:beforeLines="0" w:afterLines="0" w:line="570" w:lineRule="exact"/>
        <w:ind w:firstLine="640" w:firstLineChars="200"/>
        <w:jc w:val="left"/>
        <w:rPr>
          <w:rFonts w:hint="eastAsia" w:eastAsia="仿宋_GB2312"/>
          <w:color w:val="000000"/>
          <w:sz w:val="32"/>
          <w:szCs w:val="24"/>
          <w:lang w:val="en-US" w:eastAsia="zh-CN"/>
        </w:rPr>
      </w:pPr>
      <w:r>
        <w:rPr>
          <w:rFonts w:hint="eastAsia" w:eastAsia="仿宋_GB2312"/>
          <w:color w:val="000000"/>
          <w:sz w:val="32"/>
          <w:szCs w:val="24"/>
          <w:lang w:val="en-US" w:eastAsia="zh-CN"/>
        </w:rPr>
        <w:t>2.绩效目标设立不够细化和量化，绩效目标编制的合理性需要提高。</w:t>
      </w:r>
    </w:p>
    <w:p>
      <w:pPr>
        <w:spacing w:beforeLines="0" w:afterLines="0" w:line="570" w:lineRule="exact"/>
        <w:ind w:firstLine="640" w:firstLineChars="200"/>
        <w:jc w:val="left"/>
        <w:outlineLvl w:val="0"/>
        <w:rPr>
          <w:rFonts w:hint="eastAsia" w:eastAsia="黑体"/>
          <w:sz w:val="32"/>
          <w:szCs w:val="24"/>
        </w:rPr>
      </w:pPr>
      <w:r>
        <w:rPr>
          <w:rFonts w:hint="eastAsia" w:eastAsia="黑体"/>
          <w:sz w:val="32"/>
          <w:szCs w:val="24"/>
        </w:rPr>
        <w:t>八、下一步改进措施</w:t>
      </w:r>
    </w:p>
    <w:p>
      <w:pPr>
        <w:spacing w:beforeLines="0" w:afterLines="0" w:line="570" w:lineRule="exact"/>
        <w:ind w:firstLine="616" w:firstLineChars="200"/>
        <w:jc w:val="left"/>
        <w:rPr>
          <w:rFonts w:hint="eastAsia" w:eastAsia="仿宋_GB2312"/>
          <w:color w:val="000000"/>
          <w:spacing w:val="-6"/>
          <w:sz w:val="32"/>
          <w:szCs w:val="24"/>
          <w:lang w:val="en-US" w:eastAsia="zh-CN"/>
        </w:rPr>
      </w:pPr>
      <w:r>
        <w:rPr>
          <w:rFonts w:hint="eastAsia" w:eastAsia="仿宋_GB2312"/>
          <w:color w:val="000000"/>
          <w:spacing w:val="-6"/>
          <w:sz w:val="32"/>
          <w:szCs w:val="24"/>
          <w:lang w:val="en-US" w:eastAsia="zh-CN"/>
        </w:rPr>
        <w:t>1.细化预算编制工作，认真做好预算的编制。进一步提高预算编制的科学性、严谨性和可控性，严格按照预算编制的相关制度和要求进行预算编制。</w:t>
      </w:r>
    </w:p>
    <w:p>
      <w:pPr>
        <w:spacing w:beforeLines="0" w:afterLines="0" w:line="570" w:lineRule="exact"/>
        <w:ind w:firstLine="616" w:firstLineChars="200"/>
        <w:jc w:val="left"/>
        <w:rPr>
          <w:rFonts w:hint="eastAsia" w:eastAsia="仿宋_GB2312"/>
          <w:color w:val="000000"/>
          <w:spacing w:val="-6"/>
          <w:sz w:val="32"/>
          <w:szCs w:val="24"/>
          <w:lang w:val="en-US" w:eastAsia="zh-CN"/>
        </w:rPr>
      </w:pPr>
      <w:r>
        <w:rPr>
          <w:rFonts w:hint="eastAsia" w:eastAsia="仿宋_GB2312"/>
          <w:color w:val="000000"/>
          <w:spacing w:val="-6"/>
          <w:sz w:val="32"/>
          <w:szCs w:val="24"/>
          <w:lang w:val="en-US" w:eastAsia="zh-CN"/>
        </w:rPr>
        <w:t>2.严格编制政府采购年初预算和计划，规范各类资产的购置审批制度、资产采购制度等。严格控制“三公”经费的规模和比例，把关“三公”经费支出的审核、审批。</w:t>
      </w:r>
    </w:p>
    <w:p>
      <w:pPr>
        <w:spacing w:beforeLines="0" w:afterLines="0" w:line="570" w:lineRule="exact"/>
        <w:ind w:firstLine="616" w:firstLineChars="200"/>
        <w:jc w:val="left"/>
        <w:rPr>
          <w:rFonts w:hint="default" w:eastAsia="黑体"/>
          <w:sz w:val="32"/>
          <w:szCs w:val="24"/>
        </w:rPr>
      </w:pPr>
      <w:r>
        <w:rPr>
          <w:rFonts w:hint="eastAsia" w:eastAsia="仿宋_GB2312"/>
          <w:color w:val="000000"/>
          <w:spacing w:val="-6"/>
          <w:sz w:val="32"/>
          <w:szCs w:val="24"/>
          <w:lang w:val="en-US" w:eastAsia="zh-CN"/>
        </w:rPr>
        <w:t>3.规范部门预算收支核算，切实提高部门预算收支管理水平。</w:t>
      </w:r>
    </w:p>
    <w:p>
      <w:pPr>
        <w:spacing w:beforeLines="0" w:afterLines="0" w:line="570" w:lineRule="exact"/>
        <w:ind w:firstLine="645"/>
        <w:jc w:val="left"/>
        <w:outlineLvl w:val="0"/>
        <w:rPr>
          <w:rFonts w:hint="eastAsia" w:eastAsia="黑体"/>
          <w:sz w:val="32"/>
          <w:szCs w:val="24"/>
        </w:rPr>
      </w:pPr>
      <w:r>
        <w:rPr>
          <w:rFonts w:hint="eastAsia" w:eastAsia="黑体"/>
          <w:sz w:val="32"/>
          <w:szCs w:val="24"/>
        </w:rPr>
        <w:t>九、部门整体支出绩效自评结果拟应用和公开情况</w:t>
      </w:r>
    </w:p>
    <w:p>
      <w:pPr>
        <w:spacing w:beforeLines="0" w:afterLines="0" w:line="570" w:lineRule="exact"/>
        <w:ind w:firstLine="645"/>
        <w:jc w:val="left"/>
        <w:outlineLvl w:val="0"/>
        <w:rPr>
          <w:rFonts w:hint="default" w:eastAsia="黑体"/>
          <w:sz w:val="32"/>
          <w:szCs w:val="24"/>
        </w:rPr>
      </w:pPr>
      <w:r>
        <w:rPr>
          <w:rFonts w:hint="eastAsia" w:eastAsia="仿宋_GB2312"/>
          <w:color w:val="000000"/>
          <w:spacing w:val="-6"/>
          <w:sz w:val="32"/>
          <w:szCs w:val="24"/>
          <w:lang w:val="en-US" w:eastAsia="zh-CN"/>
        </w:rPr>
        <w:t>根据部门整体支出绩效评价指标体系，我单位2025年度评价得分为</w:t>
      </w:r>
      <w:r>
        <w:rPr>
          <w:rFonts w:hint="eastAsia" w:eastAsia="仿宋_GB2312"/>
          <w:color w:val="auto"/>
          <w:spacing w:val="-6"/>
          <w:sz w:val="32"/>
          <w:szCs w:val="24"/>
          <w:lang w:val="en-US" w:eastAsia="zh-CN"/>
        </w:rPr>
        <w:t>92分</w:t>
      </w:r>
      <w:r>
        <w:rPr>
          <w:rFonts w:hint="eastAsia" w:eastAsia="仿宋_GB2312"/>
          <w:color w:val="000000"/>
          <w:spacing w:val="-6"/>
          <w:sz w:val="32"/>
          <w:szCs w:val="24"/>
          <w:lang w:val="en-US" w:eastAsia="zh-CN"/>
        </w:rPr>
        <w:t>。</w:t>
      </w:r>
    </w:p>
    <w:p>
      <w:pPr>
        <w:spacing w:beforeLines="0" w:afterLines="0" w:line="570" w:lineRule="exact"/>
        <w:ind w:firstLine="645"/>
        <w:jc w:val="left"/>
        <w:rPr>
          <w:rFonts w:hint="default" w:eastAsia="黑体"/>
          <w:sz w:val="32"/>
          <w:szCs w:val="24"/>
        </w:rPr>
      </w:pPr>
      <w:r>
        <w:rPr>
          <w:rFonts w:hint="eastAsia" w:eastAsia="黑体"/>
          <w:sz w:val="32"/>
          <w:szCs w:val="24"/>
        </w:rPr>
        <w:t>其他需要说明的情况</w:t>
      </w:r>
    </w:p>
    <w:p>
      <w:pPr>
        <w:spacing w:beforeLines="0" w:after="120" w:afterLines="50" w:line="600" w:lineRule="exact"/>
        <w:ind w:firstLine="616" w:firstLineChars="200"/>
        <w:rPr>
          <w:rFonts w:hint="default" w:eastAsia="黑体"/>
          <w:sz w:val="32"/>
          <w:szCs w:val="24"/>
        </w:rPr>
      </w:pPr>
      <w:r>
        <w:rPr>
          <w:rFonts w:hint="eastAsia" w:eastAsia="仿宋_GB2312"/>
          <w:color w:val="000000"/>
          <w:spacing w:val="-6"/>
          <w:sz w:val="32"/>
          <w:szCs w:val="24"/>
          <w:lang w:val="en-US" w:eastAsia="zh-CN"/>
        </w:rPr>
        <w:t>无</w:t>
      </w:r>
    </w:p>
    <w:p>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pPr>
        <w:pStyle w:val="2"/>
        <w:rPr>
          <w:rFonts w:hint="eastAsia" w:ascii="黑体" w:hAnsi="黑体" w:eastAsia="黑体" w:cs="黑体"/>
          <w:sz w:val="32"/>
          <w:szCs w:val="32"/>
        </w:rPr>
      </w:pPr>
    </w:p>
    <w:p>
      <w:pPr>
        <w:pStyle w:val="2"/>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7"/>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811"/>
        <w:gridCol w:w="1035"/>
        <w:gridCol w:w="94"/>
        <w:gridCol w:w="2196"/>
        <w:gridCol w:w="1154"/>
        <w:gridCol w:w="9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财政供养人员情况</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sz w:val="24"/>
                <w:szCs w:val="24"/>
              </w:rPr>
            </w:pPr>
            <w:r>
              <w:rPr>
                <w:rFonts w:hint="eastAsia" w:ascii="宋体" w:hAnsi="宋体" w:eastAsia="宋体" w:cs="宋体"/>
                <w:b/>
                <w:bCs/>
                <w:i w:val="0"/>
                <w:iCs w:val="0"/>
                <w:color w:val="000000"/>
                <w:kern w:val="0"/>
                <w:sz w:val="18"/>
                <w:szCs w:val="18"/>
                <w:u w:val="none"/>
                <w:lang w:val="en-US" w:eastAsia="zh-CN" w:bidi="ar"/>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sz w:val="24"/>
                <w:szCs w:val="24"/>
              </w:rPr>
            </w:pPr>
            <w:r>
              <w:rPr>
                <w:rFonts w:hint="eastAsia" w:ascii="宋体" w:hAnsi="宋体" w:eastAsia="宋体" w:cs="宋体"/>
                <w:b/>
                <w:bCs/>
                <w:i w:val="0"/>
                <w:iCs w:val="0"/>
                <w:color w:val="000000"/>
                <w:kern w:val="0"/>
                <w:sz w:val="18"/>
                <w:szCs w:val="18"/>
                <w:u w:val="none"/>
                <w:lang w:val="en-US" w:eastAsia="zh-CN" w:bidi="ar"/>
              </w:rPr>
              <w:t>2025年实际在职人数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sz w:val="24"/>
                <w:szCs w:val="24"/>
              </w:rPr>
            </w:pPr>
            <w:r>
              <w:rPr>
                <w:rFonts w:hint="eastAsia" w:ascii="宋体" w:hAnsi="宋体" w:eastAsia="宋体" w:cs="宋体"/>
                <w:b/>
                <w:bCs/>
                <w:i w:val="0"/>
                <w:iCs w:val="0"/>
                <w:color w:val="000000"/>
                <w:kern w:val="0"/>
                <w:sz w:val="18"/>
                <w:szCs w:val="18"/>
                <w:u w:val="none"/>
                <w:lang w:val="en-US" w:eastAsia="zh-CN" w:bidi="ar"/>
              </w:rPr>
              <w:t>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rPr>
            </w:pPr>
            <w:r>
              <w:rPr>
                <w:rFonts w:hint="eastAsia" w:ascii="宋体" w:hAnsi="宋体" w:eastAsia="宋体" w:cs="宋体"/>
                <w:i w:val="0"/>
                <w:iCs w:val="0"/>
                <w:color w:val="000000"/>
                <w:kern w:val="0"/>
                <w:sz w:val="18"/>
                <w:szCs w:val="18"/>
                <w:u w:val="none"/>
                <w:lang w:val="en-US" w:eastAsia="zh-CN" w:bidi="ar"/>
              </w:rPr>
              <w:t>77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18"/>
                <w:szCs w:val="18"/>
                <w:u w:val="none"/>
                <w:lang w:val="en-US" w:eastAsia="zh-CN" w:bidi="ar"/>
              </w:rPr>
              <w:t>74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96.1%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sz w:val="24"/>
                <w:szCs w:val="24"/>
              </w:rPr>
            </w:pPr>
            <w:r>
              <w:rPr>
                <w:rFonts w:hint="eastAsia" w:ascii="宋体" w:hAnsi="宋体" w:eastAsia="宋体" w:cs="宋体"/>
                <w:b/>
                <w:bCs/>
                <w:i w:val="0"/>
                <w:iCs w:val="0"/>
                <w:color w:val="000000"/>
                <w:kern w:val="0"/>
                <w:sz w:val="18"/>
                <w:szCs w:val="18"/>
                <w:u w:val="none"/>
                <w:lang w:val="en-US" w:eastAsia="zh-CN" w:bidi="ar"/>
              </w:rPr>
              <w:t>2024年决算数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sz w:val="24"/>
                <w:szCs w:val="24"/>
              </w:rPr>
            </w:pPr>
            <w:r>
              <w:rPr>
                <w:rFonts w:hint="eastAsia" w:ascii="宋体" w:hAnsi="宋体" w:eastAsia="宋体" w:cs="宋体"/>
                <w:b/>
                <w:bCs/>
                <w:i w:val="0"/>
                <w:iCs w:val="0"/>
                <w:color w:val="000000"/>
                <w:kern w:val="0"/>
                <w:sz w:val="18"/>
                <w:szCs w:val="18"/>
                <w:u w:val="none"/>
                <w:lang w:val="en-US" w:eastAsia="zh-CN" w:bidi="ar"/>
              </w:rPr>
              <w:t>2025年预算数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sz w:val="24"/>
                <w:szCs w:val="24"/>
              </w:rPr>
            </w:pPr>
            <w:r>
              <w:rPr>
                <w:rFonts w:hint="eastAsia" w:ascii="宋体" w:hAnsi="宋体" w:eastAsia="宋体" w:cs="宋体"/>
                <w:b/>
                <w:bCs/>
                <w:i w:val="0"/>
                <w:iCs w:val="0"/>
                <w:color w:val="000000"/>
                <w:kern w:val="0"/>
                <w:sz w:val="18"/>
                <w:szCs w:val="18"/>
                <w:u w:val="none"/>
                <w:lang w:val="en-US" w:eastAsia="zh-CN" w:bidi="ar"/>
              </w:rPr>
              <w:t>2025年决算数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eastAsia="zh-CN"/>
              </w:rPr>
            </w:pPr>
            <w:r>
              <w:rPr>
                <w:rFonts w:hint="eastAsia" w:ascii="宋体" w:hAnsi="宋体" w:eastAsia="宋体" w:cs="宋体"/>
                <w:i w:val="0"/>
                <w:iCs w:val="0"/>
                <w:color w:val="000000"/>
                <w:kern w:val="0"/>
                <w:sz w:val="18"/>
                <w:szCs w:val="18"/>
                <w:u w:val="none"/>
                <w:lang w:val="en-US" w:eastAsia="zh-CN" w:bidi="ar"/>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eastAsia="zh-CN"/>
              </w:rPr>
            </w:pPr>
            <w:r>
              <w:rPr>
                <w:rFonts w:hint="eastAsia" w:ascii="宋体" w:hAnsi="宋体" w:eastAsia="宋体" w:cs="宋体"/>
                <w:i w:val="0"/>
                <w:iCs w:val="0"/>
                <w:color w:val="000000"/>
                <w:kern w:val="0"/>
                <w:sz w:val="18"/>
                <w:szCs w:val="18"/>
                <w:u w:val="none"/>
                <w:lang w:val="en-US" w:eastAsia="zh-CN" w:bidi="ar"/>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kern w:val="2"/>
                <w:sz w:val="24"/>
                <w:szCs w:val="24"/>
                <w:lang w:val="en-US" w:eastAsia="zh-CN" w:bidi="ar-SA"/>
              </w:rPr>
            </w:pPr>
            <w:r>
              <w:rPr>
                <w:rFonts w:hint="eastAsia" w:ascii="宋体" w:hAnsi="宋体" w:eastAsia="宋体" w:cs="宋体"/>
                <w:i w:val="0"/>
                <w:iCs w:val="0"/>
                <w:color w:val="000000"/>
                <w:kern w:val="0"/>
                <w:sz w:val="18"/>
                <w:szCs w:val="18"/>
                <w:u w:val="none"/>
                <w:lang w:val="en-US" w:eastAsia="zh-CN" w:bidi="ar"/>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eastAsia="zh-CN"/>
              </w:rPr>
            </w:pPr>
            <w:r>
              <w:rPr>
                <w:rFonts w:hint="eastAsia" w:ascii="宋体" w:hAnsi="宋体" w:eastAsia="宋体" w:cs="宋体"/>
                <w:i w:val="0"/>
                <w:iCs w:val="0"/>
                <w:color w:val="000000"/>
                <w:kern w:val="0"/>
                <w:sz w:val="18"/>
                <w:szCs w:val="18"/>
                <w:u w:val="none"/>
                <w:lang w:val="en-US" w:eastAsia="zh-CN" w:bidi="ar"/>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eastAsia="zh-CN"/>
              </w:rPr>
            </w:pPr>
            <w:r>
              <w:rPr>
                <w:rFonts w:hint="eastAsia" w:ascii="宋体" w:hAnsi="宋体" w:eastAsia="宋体" w:cs="宋体"/>
                <w:i w:val="0"/>
                <w:iCs w:val="0"/>
                <w:color w:val="000000"/>
                <w:kern w:val="0"/>
                <w:sz w:val="18"/>
                <w:szCs w:val="18"/>
                <w:u w:val="none"/>
                <w:lang w:val="en-US" w:eastAsia="zh-CN" w:bidi="ar"/>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其中：公车购置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kern w:val="2"/>
                <w:sz w:val="24"/>
                <w:szCs w:val="24"/>
                <w:lang w:val="en-US" w:eastAsia="zh-CN" w:bidi="ar-SA"/>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公车运行维护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kern w:val="2"/>
                <w:sz w:val="24"/>
                <w:szCs w:val="24"/>
                <w:lang w:val="en-US" w:eastAsia="zh-CN" w:bidi="ar-SA"/>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default" w:asciiTheme="minorEastAsia" w:hAnsiTheme="minorEastAsia" w:eastAsiaTheme="minorEastAsia" w:cstheme="minorEastAsia"/>
                <w:sz w:val="24"/>
                <w:szCs w:val="24"/>
                <w:lang w:val="en-US"/>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项目支出：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rPr>
            </w:pPr>
            <w:r>
              <w:rPr>
                <w:rFonts w:hint="eastAsia" w:ascii="宋体" w:hAnsi="宋体" w:eastAsia="宋体" w:cs="宋体"/>
                <w:i w:val="0"/>
                <w:iCs w:val="0"/>
                <w:color w:val="000000"/>
                <w:kern w:val="0"/>
                <w:sz w:val="18"/>
                <w:szCs w:val="18"/>
                <w:u w:val="none"/>
                <w:lang w:val="en-US" w:eastAsia="zh-CN" w:bidi="ar"/>
              </w:rPr>
              <w:t>1332.76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rPr>
            </w:pPr>
            <w:r>
              <w:rPr>
                <w:rFonts w:hint="eastAsia" w:ascii="宋体" w:hAnsi="宋体" w:eastAsia="宋体" w:cs="宋体"/>
                <w:i w:val="0"/>
                <w:iCs w:val="0"/>
                <w:color w:val="000000"/>
                <w:kern w:val="0"/>
                <w:sz w:val="18"/>
                <w:szCs w:val="18"/>
                <w:u w:val="none"/>
                <w:lang w:val="en-US" w:eastAsia="zh-CN" w:bidi="ar"/>
              </w:rPr>
              <w:t>805.23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1、业务工作经费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2、运行维护经费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3、本级专项资金（一个专项一行）</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湘江源综合治理精准提升项目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66.76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管护用房建设</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林火阻隔系统、消防蓄水池及队伍建设</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国有林场维修加固管护站点建设</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非税安排公用经费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191.75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退休人员补差资金</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297.4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退休人员生活补助</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56.91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自主创业人员项目资金</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128.41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其中：办公经费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default" w:asciiTheme="minorEastAsia" w:hAnsiTheme="minorEastAsia" w:eastAsiaTheme="minorEastAsia" w:cstheme="minorEastAsia"/>
                <w:kern w:val="2"/>
                <w:sz w:val="24"/>
                <w:szCs w:val="24"/>
                <w:lang w:val="en-US" w:eastAsia="zh-CN" w:bidi="ar-SA"/>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default" w:asciiTheme="minorEastAsia" w:hAnsiTheme="minorEastAsia" w:eastAsiaTheme="minorEastAsia" w:cstheme="minorEastAsia"/>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default" w:asciiTheme="minorEastAsia" w:hAnsiTheme="minorEastAsia" w:eastAsiaTheme="minorEastAsia" w:cstheme="minorEastAsia"/>
                <w:kern w:val="2"/>
                <w:sz w:val="24"/>
                <w:szCs w:val="24"/>
                <w:lang w:val="en-US" w:eastAsia="zh-CN" w:bidi="ar-SA"/>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kern w:val="2"/>
                <w:sz w:val="24"/>
                <w:szCs w:val="24"/>
                <w:lang w:val="en-US" w:eastAsia="zh-CN" w:bidi="ar-SA"/>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18"/>
                <w:szCs w:val="18"/>
                <w:u w:val="none"/>
                <w:lang w:val="en-US" w:eastAsia="zh-CN" w:bidi="ar"/>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default" w:asciiTheme="minorEastAsia" w:hAnsiTheme="minorEastAsia" w:eastAsiaTheme="minorEastAsia" w:cstheme="minorEastAsia"/>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18"/>
                <w:szCs w:val="18"/>
                <w:u w:val="none"/>
                <w:lang w:val="en-US" w:eastAsia="zh-CN" w:bidi="ar"/>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default" w:asciiTheme="minorEastAsia" w:hAnsiTheme="minorEastAsia" w:eastAsiaTheme="minorEastAsia" w:cstheme="minorEastAsia"/>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default" w:asciiTheme="minorEastAsia" w:hAnsiTheme="minorEastAsia" w:eastAsiaTheme="minorEastAsia" w:cstheme="minorEastAsia"/>
                <w:color w:val="auto"/>
                <w:sz w:val="24"/>
                <w:szCs w:val="24"/>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 xml:space="preserve">楼堂馆所控制情况 </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（2025年完工项目）</w:t>
            </w:r>
          </w:p>
        </w:tc>
        <w:tc>
          <w:tcPr>
            <w:tcW w:w="81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 xml:space="preserve">批复规模 </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w:t>
            </w:r>
          </w:p>
        </w:tc>
        <w:tc>
          <w:tcPr>
            <w:tcW w:w="103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实际规模</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w:t>
            </w:r>
          </w:p>
        </w:tc>
        <w:tc>
          <w:tcPr>
            <w:tcW w:w="9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规模控制率</w:t>
            </w:r>
          </w:p>
        </w:tc>
        <w:tc>
          <w:tcPr>
            <w:tcW w:w="219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预算投资</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1154" w:type="dxa"/>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实际投资</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918" w:type="dxa"/>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投资概算控制率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81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18"/>
                <w:szCs w:val="18"/>
                <w:u w:val="none"/>
                <w:lang w:val="en-US" w:eastAsia="zh-CN" w:bidi="ar"/>
              </w:rPr>
              <w:t>0.00</w:t>
            </w:r>
          </w:p>
        </w:tc>
        <w:tc>
          <w:tcPr>
            <w:tcW w:w="103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0.00</w:t>
            </w:r>
          </w:p>
        </w:tc>
        <w:tc>
          <w:tcPr>
            <w:tcW w:w="94"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219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pPr>
          </w:p>
        </w:tc>
        <w:tc>
          <w:tcPr>
            <w:tcW w:w="1154" w:type="dxa"/>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918" w:type="dxa"/>
            <w:tcBorders>
              <w:top w:val="single" w:color="auto" w:sz="6" w:space="0"/>
              <w:left w:val="single" w:color="auto" w:sz="6" w:space="0"/>
              <w:bottom w:val="single" w:color="auto" w:sz="6" w:space="0"/>
              <w:right w:val="single" w:color="auto" w:sz="12" w:space="0"/>
              <w:tl2br w:val="nil"/>
              <w:tr2bl w:val="nil"/>
            </w:tcBorders>
            <w:noWrap w:val="0"/>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厉行节约保障措施</w:t>
            </w:r>
          </w:p>
        </w:tc>
        <w:tc>
          <w:tcPr>
            <w:tcW w:w="6208" w:type="dxa"/>
            <w:gridSpan w:val="6"/>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财政供养人员情况</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编制数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2025年实际在职人数</w:t>
            </w:r>
          </w:p>
        </w:tc>
        <w:tc>
          <w:tcPr>
            <w:tcW w:w="207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18"/>
                <w:szCs w:val="18"/>
                <w:u w:val="none"/>
                <w:lang w:val="en-US" w:eastAsia="zh-CN" w:bidi="ar"/>
              </w:rPr>
              <w:t>控制率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12"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rPr>
            </w:pPr>
            <w:r>
              <w:rPr>
                <w:rFonts w:hint="eastAsia" w:ascii="宋体" w:hAnsi="宋体" w:eastAsia="宋体" w:cs="宋体"/>
                <w:i w:val="0"/>
                <w:iCs w:val="0"/>
                <w:color w:val="000000"/>
                <w:kern w:val="0"/>
                <w:sz w:val="18"/>
                <w:szCs w:val="18"/>
                <w:u w:val="none"/>
                <w:lang w:val="en-US" w:eastAsia="zh-CN" w:bidi="ar"/>
              </w:rPr>
              <w:t>77</w:t>
            </w:r>
          </w:p>
        </w:tc>
        <w:tc>
          <w:tcPr>
            <w:tcW w:w="2290" w:type="dxa"/>
            <w:gridSpan w:val="2"/>
            <w:tcBorders>
              <w:top w:val="single" w:color="auto" w:sz="6" w:space="0"/>
              <w:left w:val="single" w:color="auto" w:sz="6" w:space="0"/>
              <w:bottom w:val="single" w:color="auto" w:sz="12"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18"/>
                <w:szCs w:val="18"/>
                <w:u w:val="none"/>
                <w:lang w:val="en-US" w:eastAsia="zh-CN" w:bidi="ar"/>
              </w:rPr>
              <w:t>74</w:t>
            </w:r>
          </w:p>
        </w:tc>
        <w:tc>
          <w:tcPr>
            <w:tcW w:w="2072" w:type="dxa"/>
            <w:gridSpan w:val="2"/>
            <w:tcBorders>
              <w:top w:val="single" w:color="auto" w:sz="6" w:space="0"/>
              <w:left w:val="single" w:color="auto" w:sz="6" w:space="0"/>
              <w:bottom w:val="single" w:color="auto" w:sz="12"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18"/>
                <w:szCs w:val="18"/>
                <w:u w:val="none"/>
                <w:lang w:val="en-US" w:eastAsia="zh-CN" w:bidi="ar"/>
              </w:rPr>
              <w:t>96.1</w:t>
            </w:r>
          </w:p>
        </w:tc>
      </w:tr>
    </w:tbl>
    <w:p>
      <w:pPr>
        <w:spacing w:beforeLines="0" w:afterLines="0" w:line="100" w:lineRule="exact"/>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pPr>
        <w:spacing w:beforeLines="0" w:afterLines="0" w:line="100" w:lineRule="exact"/>
        <w:jc w:val="left"/>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15746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rPr>
        <w:t xml:space="preserve">      单位负责人签字：</w:t>
      </w:r>
      <w:r>
        <w:rPr>
          <w:rFonts w:hint="default" w:eastAsia="仿宋_GB2312"/>
          <w:sz w:val="22"/>
          <w:szCs w:val="24"/>
        </w:rPr>
        <w:br w:type="page"/>
      </w:r>
      <w:r>
        <w:rPr>
          <w:rFonts w:hint="eastAsia" w:ascii="黑体" w:hAnsi="黑体" w:eastAsia="黑体" w:cs="黑体"/>
          <w:sz w:val="32"/>
          <w:szCs w:val="32"/>
        </w:rPr>
        <w:t>附件3</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7"/>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62"/>
        <w:gridCol w:w="948"/>
        <w:gridCol w:w="930"/>
        <w:gridCol w:w="1078"/>
        <w:gridCol w:w="68"/>
        <w:gridCol w:w="1078"/>
        <w:gridCol w:w="1202"/>
        <w:gridCol w:w="718"/>
        <w:gridCol w:w="884"/>
        <w:gridCol w:w="14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8349"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双牌县泷泊林场</w:t>
            </w: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1818.69</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1687.64</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1160.11</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68.74%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6.84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1633.04</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354.88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政府性基金拨款：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805.23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纳入专户管理的非税收入拨款：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ind w:firstLine="1680" w:firstLineChars="7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sz w:val="24"/>
                <w:szCs w:val="24"/>
                <w:lang w:val="en-US" w:eastAsia="zh-CN"/>
              </w:rPr>
              <w:t>54.6</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仿宋_GB2312" w:hAnsi="宋体" w:eastAsia="仿宋_GB2312" w:cs="仿宋_GB2312"/>
                <w:i w:val="0"/>
                <w:iCs w:val="0"/>
                <w:color w:val="000000"/>
                <w:kern w:val="0"/>
                <w:sz w:val="18"/>
                <w:szCs w:val="18"/>
                <w:u w:val="none"/>
                <w:lang w:val="en-US" w:eastAsia="zh-CN" w:bidi="ar"/>
              </w:rPr>
              <w:t>1、完成森林资源保护；2、负责全场造林绿化工作；3、负责全场森林资源的病虫害，林业有害生物防治、检疫和预测预报工作；4、负责全场森林防火工作。</w:t>
            </w:r>
            <w:r>
              <w:rPr>
                <w:rFonts w:hint="eastAsia" w:asciiTheme="minorEastAsia" w:hAnsiTheme="minorEastAsia" w:eastAsiaTheme="minorEastAsia" w:cstheme="minorEastAsia"/>
                <w:color w:val="000000"/>
                <w:sz w:val="24"/>
                <w:szCs w:val="24"/>
              </w:rPr>
              <w:t>　　</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仿宋_GB2312" w:hAnsi="宋体" w:eastAsia="仿宋_GB2312" w:cs="仿宋_GB2312"/>
                <w:i w:val="0"/>
                <w:iCs w:val="0"/>
                <w:color w:val="000000"/>
                <w:kern w:val="0"/>
                <w:sz w:val="18"/>
                <w:szCs w:val="18"/>
                <w:u w:val="none"/>
                <w:lang w:val="en-US" w:eastAsia="zh-CN" w:bidi="ar"/>
              </w:rPr>
              <w:t>1、完成森林资源保护；2、负责全场造林绿化工作；3、负责全场森林资源的病虫害，林业有害生物防治、检疫和预测预报工作；4、负责全场森林防火工作。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(50分)</w:t>
            </w: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重点工作</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完成支出</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1160.11万元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1160.11万元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资金使用合格率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履职目</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标实现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both"/>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完成支出及时率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both"/>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总金额</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1160.11万元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1160.11万元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
              </w:rPr>
              <w:t>4</w:t>
            </w:r>
            <w:r>
              <w:rPr>
                <w:rFonts w:hint="eastAsia" w:asciiTheme="minorEastAsia" w:hAnsiTheme="minorEastAsia" w:eastAsiaTheme="minorEastAsia" w:cstheme="minorEastAsia"/>
                <w:color w:val="000000"/>
                <w:sz w:val="24"/>
                <w:szCs w:val="24"/>
              </w:rPr>
              <w:t>0分）</w:t>
            </w:r>
          </w:p>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w:t>
            </w:r>
          </w:p>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经济效益指标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促进经济发展</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促进经济发展</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社会效益指标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维护社会稳定</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维护社会稳定</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eastAsia="zh-CN"/>
              </w:rPr>
              <w:t>生态效益指标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生态保护</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生态保护</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促进可持续发展</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促进可持续发展</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促进可持续发展</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xml:space="preserve">  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xml:space="preserve">  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服务对象满意度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90%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90%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tcBorders>
              <w:top w:val="single" w:color="auto" w:sz="6" w:space="0"/>
              <w:left w:val="single" w:color="auto" w:sz="12" w:space="0"/>
              <w:bottom w:val="single" w:color="auto" w:sz="12"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18"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84"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1443"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仿宋_GB2312"/>
          <w:sz w:val="22"/>
          <w:szCs w:val="24"/>
        </w:rPr>
      </w:pPr>
      <w:r>
        <w:rPr>
          <w:rFonts w:hint="eastAsia" w:eastAsia="仿宋_GB2312"/>
          <w:sz w:val="22"/>
          <w:szCs w:val="24"/>
        </w:rPr>
        <w:t>填表人：</w:t>
      </w:r>
      <w:r>
        <w:rPr>
          <w:rFonts w:hint="eastAsia" w:eastAsia="仿宋_GB2312"/>
          <w:sz w:val="22"/>
          <w:szCs w:val="24"/>
          <w:lang w:eastAsia="zh-CN"/>
        </w:rPr>
        <w:t>张娅媛</w:t>
      </w:r>
      <w:r>
        <w:rPr>
          <w:rFonts w:hint="eastAsia" w:eastAsia="仿宋_GB2312"/>
          <w:sz w:val="22"/>
          <w:szCs w:val="24"/>
          <w:lang w:val="en-US" w:eastAsia="zh-CN"/>
        </w:rPr>
        <w:t xml:space="preserve"> </w:t>
      </w:r>
      <w:r>
        <w:rPr>
          <w:rFonts w:hint="eastAsia" w:eastAsia="仿宋_GB2312"/>
          <w:sz w:val="22"/>
          <w:szCs w:val="24"/>
        </w:rPr>
        <w:t>填报日期：</w:t>
      </w:r>
      <w:r>
        <w:rPr>
          <w:rFonts w:hint="eastAsia" w:eastAsia="仿宋_GB2312"/>
          <w:sz w:val="22"/>
          <w:szCs w:val="24"/>
          <w:lang w:val="en-US" w:eastAsia="zh-CN"/>
        </w:rPr>
        <w:t>2026年4月28日</w:t>
      </w:r>
      <w:r>
        <w:rPr>
          <w:rFonts w:hint="default" w:eastAsia="仿宋_GB2312"/>
          <w:sz w:val="22"/>
          <w:szCs w:val="24"/>
        </w:rPr>
        <w:t xml:space="preserve">  </w:t>
      </w:r>
      <w:r>
        <w:rPr>
          <w:rFonts w:hint="eastAsia" w:eastAsia="仿宋_GB2312"/>
          <w:sz w:val="22"/>
          <w:szCs w:val="24"/>
        </w:rPr>
        <w:t>联系电话：</w:t>
      </w:r>
      <w:r>
        <w:rPr>
          <w:rFonts w:hint="eastAsia" w:eastAsia="仿宋_GB2312"/>
          <w:sz w:val="22"/>
          <w:szCs w:val="24"/>
          <w:lang w:val="en-US" w:eastAsia="zh-CN"/>
        </w:rPr>
        <w:t>1567467</w:t>
      </w:r>
      <w:r>
        <w:rPr>
          <w:rFonts w:hint="default" w:eastAsia="仿宋_GB2312"/>
          <w:sz w:val="22"/>
          <w:szCs w:val="24"/>
          <w:lang w:val="en" w:eastAsia="zh-CN"/>
        </w:rPr>
        <w:t>****</w:t>
      </w:r>
      <w:r>
        <w:rPr>
          <w:rFonts w:hint="eastAsia" w:eastAsia="仿宋_GB2312"/>
          <w:sz w:val="22"/>
          <w:szCs w:val="24"/>
        </w:rPr>
        <w:t>单位负责人签字：</w:t>
      </w:r>
      <w:r>
        <w:rPr>
          <w:rFonts w:hint="default" w:eastAsia="仿宋_GB2312"/>
          <w:sz w:val="22"/>
          <w:szCs w:val="24"/>
        </w:rPr>
        <w:br w:type="page"/>
      </w: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附件4</w:t>
      </w:r>
      <w:r>
        <w:rPr>
          <w:rFonts w:hint="eastAsia" w:ascii="黑体" w:hAnsi="黑体" w:eastAsia="黑体" w:cs="黑体"/>
          <w:color w:val="00000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湘江源综合治理精准提升项目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66.76万元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湘江源综合治理精准提升项目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已支出66.76万元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1567467</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湘江源综合治理精准提升项目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66.76</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湘江源综合治理精准提升项目</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项目己完工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保护恢复资金</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3157</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3157</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资金使用合规性</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完成及时</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专项资金使用效益</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促进林业发展</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有效促进</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有效促进</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可持续发展</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      </w:t>
      </w:r>
      <w:r>
        <w:rPr>
          <w:rFonts w:hint="eastAsia" w:asciiTheme="minorEastAsia" w:hAnsiTheme="minorEastAsia" w:eastAsiaTheme="minorEastAsia" w:cstheme="minorEastAsia"/>
          <w:sz w:val="24"/>
          <w:szCs w:val="24"/>
        </w:rPr>
        <w:t>单位负责人签字：</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ascii="黑体" w:hAnsi="黑体" w:eastAsia="黑体" w:cs="黑体"/>
          <w:sz w:val="32"/>
          <w:szCs w:val="32"/>
          <w:lang w:val="en-US" w:eastAsia="zh-CN"/>
        </w:rPr>
      </w:pPr>
      <w:r>
        <w:rPr>
          <w:rFonts w:hint="default" w:eastAsia="仿宋_GB2312"/>
          <w:sz w:val="21"/>
          <w:szCs w:val="22"/>
        </w:rPr>
        <w:br w:type="page"/>
      </w:r>
      <w:r>
        <w:rPr>
          <w:rFonts w:hint="eastAsia" w:ascii="黑体" w:hAnsi="黑体" w:eastAsia="黑体" w:cs="黑体"/>
          <w:sz w:val="32"/>
          <w:szCs w:val="32"/>
        </w:rPr>
        <w:t>附件5</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泷泊林场管护用房建设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泷泊林场管护用房建设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已支出20万元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303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p>
    <w:p>
      <w:pPr>
        <w:pStyle w:val="2"/>
        <w:ind w:left="0" w:leftChars="0" w:firstLine="0" w:firstLineChars="0"/>
        <w:rPr>
          <w:rFonts w:hint="default"/>
          <w:lang w:val="en-US" w:eastAsia="zh-CN"/>
        </w:rPr>
        <w:sectPr>
          <w:footerReference r:id="rId3" w:type="default"/>
          <w:footerReference r:id="rId4" w:type="even"/>
          <w:pgSz w:w="12240" w:h="15840"/>
          <w:pgMar w:top="1440" w:right="1800" w:bottom="1440" w:left="1800" w:header="720" w:footer="720" w:gutter="0"/>
          <w:lnNumType w:countBy="0" w:distance="36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ascii="黑体" w:hAnsi="黑体" w:eastAsia="黑体" w:cs="黑体"/>
          <w:sz w:val="32"/>
          <w:szCs w:val="32"/>
          <w:lang w:val="en-US" w:eastAsia="zh-CN"/>
        </w:rPr>
      </w:pPr>
      <w:r>
        <w:rPr>
          <w:rFonts w:hint="eastAsia" w:ascii="黑体" w:hAnsi="黑体" w:eastAsia="黑体" w:cs="黑体"/>
          <w:sz w:val="32"/>
          <w:szCs w:val="32"/>
        </w:rPr>
        <w:t>附件5</w:t>
      </w:r>
      <w:r>
        <w:rPr>
          <w:rFonts w:hint="eastAsia" w:ascii="黑体" w:hAnsi="黑体" w:eastAsia="黑体" w:cs="黑体"/>
          <w:sz w:val="32"/>
          <w:szCs w:val="32"/>
          <w:lang w:val="en-US" w:eastAsia="zh-CN"/>
        </w:rPr>
        <w:t>-2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泷泊林场管护用房建设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泷泊林场管护用房建设</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项目己完工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完成工作合格率</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项目完成情况</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项目时效</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其他社会保障项目经费</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15</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社会稳定的影响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社会经济发展影响</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项目实施对单位事业发展的影响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服务对象满意度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92</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支出成本</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社会成本需求度</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15</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生态环境需求度</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15</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15</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03     </w:t>
      </w:r>
      <w:r>
        <w:rPr>
          <w:rFonts w:hint="eastAsia" w:asciiTheme="minorEastAsia" w:hAnsiTheme="minorEastAsia" w:eastAsiaTheme="minorEastAsia" w:cstheme="minorEastAsia"/>
          <w:sz w:val="24"/>
          <w:szCs w:val="24"/>
        </w:rPr>
        <w:t>单位负责人签字：</w:t>
      </w:r>
      <w:r>
        <w:rPr>
          <w:rFonts w:hint="default" w:eastAsia="仿宋_GB2312"/>
          <w:sz w:val="22"/>
          <w:szCs w:val="24"/>
        </w:rPr>
        <w:br w:type="page"/>
      </w: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6-1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林火阻隔系统、消防蓄水池及队伍建设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24万元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林火阻隔系统、消防蓄水池及队伍建设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已支出24万元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15674</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303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r>
        <w:rPr>
          <w:rFonts w:hint="default" w:eastAsia="仿宋_GB2312"/>
          <w:sz w:val="21"/>
          <w:szCs w:val="2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6-2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林火阻隔系统、消防蓄水池及队伍建设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lang w:eastAsia="zh-CN"/>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24</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林火阻隔系统、消防蓄水池及队伍建设</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项目己完成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实施工程量</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资金使用合规性</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2025</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专项资金使用效益</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促进乡镇社会发展</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有效促进</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有效促进</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可持续发展</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服务对象满意程度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60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60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303     </w:t>
      </w:r>
      <w:r>
        <w:rPr>
          <w:rFonts w:hint="eastAsia" w:asciiTheme="minorEastAsia" w:hAnsiTheme="minorEastAsia" w:eastAsiaTheme="minorEastAsia" w:cstheme="minorEastAsia"/>
          <w:sz w:val="24"/>
          <w:szCs w:val="24"/>
        </w:rPr>
        <w:t>单位负责人签字：</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7-1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国有林场维修加固管护站点建设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国有林场维修加固管护站点建设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支出20万元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r>
        <w:rPr>
          <w:rFonts w:hint="default" w:eastAsia="仿宋_GB2312"/>
          <w:sz w:val="21"/>
          <w:szCs w:val="2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7-2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国有林场维修加固管护站点建设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lang w:eastAsia="zh-CN"/>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2"/>
                <w:szCs w:val="22"/>
                <w:u w:val="none"/>
                <w:lang w:val="en-US" w:eastAsia="zh-CN" w:bidi="ar"/>
              </w:rPr>
              <w:t>国有林场维修加固管护站点建设</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项目已完工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实施工程量</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资金使用合规性</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项目时效</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专项资金使用效益</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社会稳定的影响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社会经济发展影响</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项目实施对单位事业发展的影响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群众满意度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其他社会保障项目支出</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生态环境需求度</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03     </w:t>
      </w:r>
      <w:r>
        <w:rPr>
          <w:rFonts w:hint="eastAsia" w:asciiTheme="minorEastAsia" w:hAnsiTheme="minorEastAsia" w:eastAsiaTheme="minorEastAsia" w:cstheme="minorEastAsia"/>
          <w:sz w:val="24"/>
          <w:szCs w:val="24"/>
        </w:rPr>
        <w:t>单位负责人签字：</w:t>
      </w:r>
      <w:r>
        <w:rPr>
          <w:rFonts w:hint="default" w:eastAsia="仿宋_GB2312"/>
          <w:sz w:val="22"/>
          <w:szCs w:val="24"/>
        </w:rPr>
        <w:br w:type="page"/>
      </w: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8-1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非税安排公用经费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191.75万元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非税安排公用经费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非税安排公用经费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已支出191.75万元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 xml:space="preserve">15674674303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r>
        <w:rPr>
          <w:rFonts w:hint="default" w:eastAsia="仿宋_GB2312"/>
          <w:sz w:val="21"/>
          <w:szCs w:val="2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8-2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非税安排公用经费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双牌县打鼓坪林场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双牌县打鼓坪林场本级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191.75</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非税安排公用经费</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己经完成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单位其他运转经费</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191.75</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191.75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 资金使用合规性</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项目时效</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其他社会保障支出</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191.75</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191.75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社会稳定的影响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社会经济发展影响</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可持续发展</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服务对象满意程度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150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150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303     </w:t>
      </w:r>
      <w:r>
        <w:rPr>
          <w:rFonts w:hint="eastAsia" w:asciiTheme="minorEastAsia" w:hAnsiTheme="minorEastAsia" w:eastAsiaTheme="minorEastAsia" w:cstheme="minorEastAsia"/>
          <w:sz w:val="24"/>
          <w:szCs w:val="24"/>
        </w:rPr>
        <w:t>单位负责人签字：</w:t>
      </w: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9-1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林场退休人员补差资金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297.4万元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林场退休人员补差资金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已支出297.4万元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4303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r>
        <w:rPr>
          <w:rFonts w:hint="default" w:eastAsia="仿宋_GB2312"/>
          <w:sz w:val="21"/>
          <w:szCs w:val="2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9-2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林场退休人员补差资金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双牌县打鼓坪林场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双牌县打鼓坪林场本级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297.4</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林场退休人员补差资金</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己完成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退休人员人数</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289</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289</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项目完成情况</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项目时效</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退休人员退休金补差</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297.4</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297.4</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社会稳定的影响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社会经济发展影响</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项目实施对单位事业发展的影响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服务对象满意度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92</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退休人员补差经费</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297.4</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297.4</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社会成本需求度</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生态环境需求度</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4303      </w:t>
      </w:r>
      <w:r>
        <w:rPr>
          <w:rFonts w:hint="eastAsia" w:asciiTheme="minorEastAsia" w:hAnsiTheme="minorEastAsia" w:eastAsiaTheme="minorEastAsia" w:cstheme="minorEastAsia"/>
          <w:sz w:val="24"/>
          <w:szCs w:val="24"/>
        </w:rPr>
        <w:t>单位负责人签字：</w:t>
      </w:r>
    </w:p>
    <w:p>
      <w:pPr>
        <w:spacing w:beforeLines="0" w:afterLines="0"/>
        <w:jc w:val="left"/>
        <w:rPr>
          <w:rFonts w:hint="eastAsia" w:asciiTheme="minorEastAsia" w:hAnsiTheme="minorEastAsia" w:eastAsiaTheme="minorEastAsia" w:cstheme="minorEastAsia"/>
          <w:sz w:val="24"/>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10-1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退休人员生活补助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56.91万元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退休人员生活补助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已支出56.91万元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03</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r>
        <w:rPr>
          <w:rFonts w:hint="default" w:eastAsia="仿宋_GB2312"/>
          <w:sz w:val="21"/>
          <w:szCs w:val="2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10-2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退休人员生活补助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56.91</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退休人员生活补助</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退休人员生活补助发放到位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其他运转经费</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资金使用合规性</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项目时效</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2025年</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其他社会保障项目经费</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社会稳定的影响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社会经济发展影响</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项目实施对单位事业发展的影响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群众满意度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其他社会保障项目支出</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社会成本需求度</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生态环境需求度</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303     </w:t>
      </w:r>
      <w:r>
        <w:rPr>
          <w:rFonts w:hint="eastAsia" w:asciiTheme="minorEastAsia" w:hAnsiTheme="minorEastAsia" w:eastAsiaTheme="minorEastAsia" w:cstheme="minorEastAsia"/>
          <w:sz w:val="24"/>
          <w:szCs w:val="24"/>
        </w:rPr>
        <w:t>单位负责人签字：</w:t>
      </w: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11-1</w:t>
      </w:r>
    </w:p>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自主创业人员项目资金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128.41万元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双牌县泷泊国有林场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自主创业人员项目资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已支出128.41万元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已完成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jc w:val="center"/>
              <w:rPr>
                <w:rFonts w:hint="eastAsia" w:asciiTheme="minorEastAsia" w:hAnsiTheme="minorEastAsia" w:eastAsiaTheme="minorEastAsia" w:cstheme="minorEastAsia"/>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pPr>
              <w:spacing w:beforeLines="0" w:afterLines="0"/>
              <w:rPr>
                <w:rFonts w:hint="eastAsia" w:asciiTheme="minorEastAsia" w:hAnsiTheme="minorEastAsia" w:eastAsiaTheme="minorEastAsia" w:cstheme="minorEastAsia"/>
                <w:sz w:val="24"/>
                <w:szCs w:val="24"/>
              </w:rPr>
            </w:pPr>
          </w:p>
          <w:p>
            <w:pPr>
              <w:spacing w:beforeLines="0" w:afterLines="0"/>
              <w:ind w:firstLine="240" w:firstLineChars="10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pPr>
              <w:spacing w:beforeLines="0" w:afterLines="0"/>
              <w:rPr>
                <w:rFonts w:hint="eastAsia" w:asciiTheme="minorEastAsia" w:hAnsiTheme="minorEastAsia" w:eastAsiaTheme="minorEastAsia" w:cstheme="minorEastAsia"/>
                <w:sz w:val="24"/>
                <w:szCs w:val="24"/>
              </w:rPr>
            </w:pPr>
          </w:p>
        </w:tc>
      </w:tr>
    </w:tbl>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备注：每个项目支出分别填报自评报告和自评表。</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4"/>
          <w:szCs w:val="24"/>
          <w:lang w:eastAsia="zh-CN"/>
        </w:rPr>
        <w:t>张娅媛</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eastAsia="zh-CN"/>
        </w:rPr>
        <w:t>填报日期：2026年4月2</w:t>
      </w:r>
      <w:r>
        <w:rPr>
          <w:rFonts w:hint="eastAsia" w:asciiTheme="minorEastAsia" w:hAnsiTheme="minorEastAsia" w:eastAsiaTheme="minorEastAsia" w:cstheme="minorEastAsia"/>
          <w:sz w:val="22"/>
          <w:szCs w:val="22"/>
          <w:lang w:val="en-US" w:eastAsia="zh-CN"/>
        </w:rPr>
        <w:t>8</w:t>
      </w:r>
      <w:r>
        <w:rPr>
          <w:rFonts w:hint="eastAsia" w:asciiTheme="minorEastAsia" w:hAnsiTheme="minorEastAsia" w:eastAsiaTheme="minorEastAsia" w:cstheme="minorEastAsia"/>
          <w:sz w:val="22"/>
          <w:szCs w:val="22"/>
          <w:lang w:eastAsia="zh-CN"/>
        </w:rPr>
        <w:t xml:space="preserve">日 </w:t>
      </w:r>
      <w:r>
        <w:rPr>
          <w:rFonts w:hint="eastAsia" w:asciiTheme="minorEastAsia" w:hAnsiTheme="minorEastAsia" w:eastAsiaTheme="minorEastAsia" w:cstheme="minorEastAsia"/>
          <w:sz w:val="22"/>
          <w:szCs w:val="22"/>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240" w:lineRule="auto"/>
        <w:jc w:val="left"/>
        <w:textAlignment w:val="auto"/>
        <w:rPr>
          <w:rFonts w:hint="default" w:ascii="黑体" w:hAnsi="黑体" w:eastAsia="黑体" w:cs="黑体"/>
          <w:sz w:val="32"/>
          <w:szCs w:val="32"/>
          <w:lang w:val="en-US" w:eastAsia="zh-CN"/>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4"/>
          <w:szCs w:val="24"/>
          <w:lang w:val="en-US" w:eastAsia="zh-CN"/>
        </w:rPr>
        <w:t>156746</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03</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z w:val="22"/>
          <w:szCs w:val="22"/>
          <w:lang w:val="en-US" w:eastAsia="zh-CN"/>
        </w:rPr>
        <w:t xml:space="preserve"> </w:t>
      </w:r>
      <w:r>
        <w:rPr>
          <w:rFonts w:hint="eastAsia" w:asciiTheme="minorEastAsia" w:hAnsiTheme="minorEastAsia" w:eastAsiaTheme="minorEastAsia" w:cstheme="minorEastAsia"/>
          <w:sz w:val="22"/>
          <w:szCs w:val="22"/>
        </w:rPr>
        <w:t>单位负责人签字：</w:t>
      </w:r>
      <w:r>
        <w:rPr>
          <w:rFonts w:hint="default" w:eastAsia="仿宋_GB2312"/>
          <w:sz w:val="21"/>
          <w:szCs w:val="22"/>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11-2</w:t>
      </w:r>
    </w:p>
    <w:p>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954"/>
        <w:gridCol w:w="955"/>
        <w:gridCol w:w="697"/>
        <w:gridCol w:w="653"/>
        <w:gridCol w:w="1389"/>
        <w:gridCol w:w="1060"/>
        <w:gridCol w:w="1561"/>
        <w:gridCol w:w="126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项目支出名称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自主创业人员项目资金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主管部门</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实施单位</w:t>
            </w:r>
          </w:p>
        </w:tc>
        <w:tc>
          <w:tcPr>
            <w:tcW w:w="388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双牌县泷泊林场本级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项目资金(万元)</w:t>
            </w: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 xml:space="preserve">     资金来源</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年初预算数</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全年预算数</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全年执行数</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执行率</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其中:当年财政拨款</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上年结转金额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default" w:asciiTheme="minorEastAsia" w:hAnsiTheme="minorEastAsia" w:eastAsiaTheme="minorEastAsia" w:cstheme="minorEastAsia"/>
                <w:color w:val="000000"/>
                <w:sz w:val="24"/>
                <w:szCs w:val="24"/>
                <w:lang w:val="en-US" w:eastAsia="zh-CN"/>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其它资金</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190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年度资金总额</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128.41</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0"/>
                <w:szCs w:val="20"/>
                <w:u w:val="none"/>
                <w:lang w:val="en-US" w:eastAsia="zh-CN" w:bidi="ar"/>
              </w:rPr>
              <w:t>年度总体目标</w:t>
            </w: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预期目标</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实际完成情况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32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自主创业人员项目资金</w:t>
            </w:r>
          </w:p>
        </w:tc>
        <w:tc>
          <w:tcPr>
            <w:tcW w:w="5276"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自主创业人员资金发放到位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2"/>
                <w:szCs w:val="22"/>
                <w:u w:val="none"/>
                <w:lang w:val="en-US" w:eastAsia="zh-CN" w:bidi="ar"/>
              </w:rPr>
              <w:t>绩效指标</w:t>
            </w: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一级指标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二级指标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三级指标</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b/>
                <w:bCs/>
                <w:i w:val="0"/>
                <w:iCs w:val="0"/>
                <w:color w:val="000000"/>
                <w:kern w:val="0"/>
                <w:sz w:val="22"/>
                <w:szCs w:val="22"/>
                <w:u w:val="none"/>
                <w:lang w:val="en-US" w:eastAsia="zh-CN" w:bidi="ar"/>
              </w:rPr>
              <w:t>年度指标值</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实际完成值</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分值</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得分</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b/>
                <w:bCs/>
                <w:i w:val="0"/>
                <w:iCs w:val="0"/>
                <w:color w:val="000000"/>
                <w:kern w:val="0"/>
                <w:sz w:val="22"/>
                <w:szCs w:val="22"/>
                <w:u w:val="none"/>
                <w:lang w:val="en-US" w:eastAsia="zh-CN" w:bidi="ar"/>
              </w:rPr>
              <w:t>偏差原因分析及改进措施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其他运转经费</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128.41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128.41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6"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资金使用合规性</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100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lang w:eastAsia="zh-CN"/>
              </w:rPr>
            </w:pPr>
            <w:r>
              <w:rPr>
                <w:rFonts w:hint="eastAsia" w:ascii="微软雅黑" w:hAnsi="微软雅黑" w:eastAsia="微软雅黑" w:cs="微软雅黑"/>
                <w:i w:val="0"/>
                <w:iCs w:val="0"/>
                <w:color w:val="000000"/>
                <w:kern w:val="0"/>
                <w:sz w:val="20"/>
                <w:szCs w:val="20"/>
                <w:u w:val="none"/>
                <w:lang w:val="en-US" w:eastAsia="zh-CN" w:bidi="ar"/>
              </w:rPr>
              <w:t>项目时效</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12</w:t>
            </w:r>
          </w:p>
        </w:tc>
        <w:tc>
          <w:tcPr>
            <w:tcW w:w="1389"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2025年</w:t>
            </w:r>
          </w:p>
        </w:tc>
        <w:tc>
          <w:tcPr>
            <w:tcW w:w="1060"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其他社会保障项目经费</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128.41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128.41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社会稳定的影响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社会经济发展影响</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kern w:val="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项目实施对单位事业发展的影响</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群众满意度</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90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69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left"/>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其他社会保障项目支出</w:t>
            </w:r>
          </w:p>
        </w:tc>
        <w:tc>
          <w:tcPr>
            <w:tcW w:w="6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56.91</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5"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697"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社会成本需求度</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pPr>
              <w:jc w:val="center"/>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c>
          <w:tcPr>
            <w:tcW w:w="954" w:type="dxa"/>
            <w:vMerge w:val="continue"/>
            <w:tcBorders>
              <w:top w:val="single" w:color="auto" w:sz="6" w:space="0"/>
              <w:left w:val="single" w:color="auto" w:sz="12" w:space="0"/>
              <w:bottom w:val="single" w:color="auto" w:sz="12" w:space="0"/>
              <w:right w:val="single" w:color="auto" w:sz="6" w:space="0"/>
              <w:tl2br w:val="nil"/>
              <w:tr2bl w:val="nil"/>
            </w:tcBorders>
            <w:noWrap w:val="0"/>
            <w:vAlign w:val="center"/>
          </w:tcPr>
          <w:p>
            <w:pPr>
              <w:jc w:val="center"/>
            </w:pPr>
          </w:p>
        </w:tc>
        <w:tc>
          <w:tcPr>
            <w:tcW w:w="955"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697"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left"/>
              <w:textAlignment w:val="center"/>
            </w:pPr>
            <w:r>
              <w:rPr>
                <w:rFonts w:hint="eastAsia" w:ascii="微软雅黑" w:hAnsi="微软雅黑" w:eastAsia="微软雅黑" w:cs="微软雅黑"/>
                <w:i w:val="0"/>
                <w:iCs w:val="0"/>
                <w:color w:val="000000"/>
                <w:kern w:val="0"/>
                <w:sz w:val="20"/>
                <w:szCs w:val="20"/>
                <w:u w:val="none"/>
                <w:lang w:val="en-US" w:eastAsia="zh-CN" w:bidi="ar"/>
              </w:rPr>
              <w:t>生态环境需求度</w:t>
            </w:r>
          </w:p>
        </w:tc>
        <w:tc>
          <w:tcPr>
            <w:tcW w:w="653"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389" w:type="dxa"/>
            <w:tcBorders>
              <w:top w:val="single" w:color="auto" w:sz="6" w:space="0"/>
              <w:left w:val="single" w:color="auto" w:sz="12"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pPr>
            <w:r>
              <w:rPr>
                <w:rFonts w:hint="eastAsia" w:ascii="微软雅黑" w:hAnsi="微软雅黑" w:eastAsia="微软雅黑" w:cs="微软雅黑"/>
                <w:i w:val="0"/>
                <w:iCs w:val="0"/>
                <w:color w:val="000000"/>
                <w:kern w:val="0"/>
                <w:sz w:val="20"/>
                <w:szCs w:val="20"/>
                <w:u w:val="none"/>
                <w:lang w:val="en-US" w:eastAsia="zh-CN" w:bidi="ar"/>
              </w:rPr>
              <w:t>50</w:t>
            </w:r>
          </w:p>
        </w:tc>
        <w:tc>
          <w:tcPr>
            <w:tcW w:w="1060"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61" w:type="dxa"/>
            <w:tcBorders>
              <w:top w:val="single" w:color="auto" w:sz="6" w:space="0"/>
              <w:left w:val="single" w:color="auto" w:sz="6" w:space="0"/>
              <w:bottom w:val="single" w:color="auto" w:sz="12" w:space="0"/>
              <w:right w:val="single" w:color="auto" w:sz="6" w:space="0"/>
              <w:tl2br w:val="nil"/>
              <w:tr2bl w:val="nil"/>
            </w:tcBorders>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266" w:type="dxa"/>
            <w:tcBorders>
              <w:top w:val="single" w:color="auto" w:sz="6" w:space="0"/>
              <w:left w:val="single" w:color="auto" w:sz="6" w:space="0"/>
              <w:bottom w:val="single" w:color="auto" w:sz="12" w:space="0"/>
              <w:right w:val="single" w:color="auto" w:sz="12" w:space="0"/>
              <w:tl2br w:val="nil"/>
              <w:tr2bl w:val="nil"/>
            </w:tcBorders>
            <w:noWrap w:val="0"/>
            <w:vAlign w:val="center"/>
          </w:tcPr>
          <w:p>
            <w:pPr>
              <w:jc w:val="center"/>
              <w:rPr>
                <w:rFonts w:hint="eastAsia" w:asciiTheme="minorEastAsia" w:hAnsiTheme="minorEastAsia" w:eastAsiaTheme="minorEastAsia" w:cstheme="minorEastAsia"/>
                <w:color w:val="000000"/>
                <w:sz w:val="24"/>
                <w:szCs w:val="24"/>
              </w:rPr>
            </w:pPr>
          </w:p>
        </w:tc>
      </w:tr>
    </w:tbl>
    <w:p>
      <w:pPr>
        <w:spacing w:beforeLines="0" w:afterLine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：张娅媛</w:t>
      </w:r>
    </w:p>
    <w:p>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填报日期：2026年4月2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15674</w:t>
      </w:r>
      <w:r>
        <w:rPr>
          <w:rFonts w:hint="default" w:asciiTheme="minorEastAsia" w:hAnsiTheme="minorEastAsia" w:eastAsiaTheme="minorEastAsia" w:cstheme="minorEastAsia"/>
          <w:sz w:val="24"/>
          <w:szCs w:val="24"/>
          <w:lang w:val="en" w:eastAsia="zh-CN"/>
        </w:rPr>
        <w:t>****</w:t>
      </w:r>
      <w:r>
        <w:rPr>
          <w:rFonts w:hint="eastAsia" w:asciiTheme="minorEastAsia" w:hAnsiTheme="minorEastAsia" w:eastAsiaTheme="minorEastAsia" w:cstheme="minorEastAsia"/>
          <w:sz w:val="24"/>
          <w:szCs w:val="24"/>
          <w:lang w:val="en-US" w:eastAsia="zh-CN"/>
        </w:rPr>
        <w:t xml:space="preserve">03     </w:t>
      </w:r>
      <w:r>
        <w:rPr>
          <w:rFonts w:hint="eastAsia" w:asciiTheme="minorEastAsia" w:hAnsiTheme="minorEastAsia" w:eastAsiaTheme="minorEastAsia" w:cstheme="minorEastAsia"/>
          <w:sz w:val="24"/>
          <w:szCs w:val="24"/>
        </w:rPr>
        <w:t>单位负责人签字：</w:t>
      </w: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spacing w:beforeLines="0" w:afterLines="0"/>
        <w:jc w:val="left"/>
        <w:rPr>
          <w:rFonts w:hint="default" w:eastAsia="仿宋_GB2312"/>
          <w:sz w:val="22"/>
          <w:szCs w:val="24"/>
        </w:rPr>
      </w:pPr>
    </w:p>
    <w:p>
      <w:pPr>
        <w:pStyle w:val="2"/>
        <w:rPr>
          <w:rFonts w:hint="default"/>
        </w:rPr>
      </w:pPr>
    </w:p>
    <w:p>
      <w:pPr>
        <w:pStyle w:val="2"/>
        <w:rPr>
          <w:rFonts w:hint="default"/>
        </w:rPr>
      </w:pPr>
    </w:p>
    <w:p>
      <w:pPr>
        <w:spacing w:beforeLines="0" w:afterLines="0"/>
        <w:jc w:val="left"/>
        <w:rPr>
          <w:rFonts w:hint="default" w:eastAsia="仿宋_GB2312"/>
          <w:sz w:val="22"/>
          <w:szCs w:val="24"/>
        </w:rPr>
      </w:pPr>
    </w:p>
    <w:p>
      <w:pPr>
        <w:spacing w:beforeLines="0" w:afterLines="0"/>
        <w:jc w:val="lef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12</w:t>
      </w:r>
    </w:p>
    <w:p>
      <w:pPr>
        <w:spacing w:beforeLines="0" w:afterLines="0" w:line="600" w:lineRule="exact"/>
        <w:jc w:val="left"/>
        <w:rPr>
          <w:rFonts w:hint="eastAsia" w:ascii="黑体" w:hAnsi="黑体" w:eastAsia="黑体" w:cs="黑体"/>
          <w:sz w:val="32"/>
          <w:szCs w:val="32"/>
        </w:rPr>
      </w:pPr>
    </w:p>
    <w:p>
      <w:pPr>
        <w:spacing w:beforeLines="0" w:after="240" w:afterLines="100" w:line="600" w:lineRule="exact"/>
        <w:jc w:val="center"/>
        <w:outlineLvl w:val="0"/>
        <w:rPr>
          <w:rFonts w:hint="eastAsia" w:ascii="宋体" w:hAnsi="宋体" w:eastAsia="宋体" w:cs="宋体"/>
          <w:b/>
          <w:bCs/>
          <w:sz w:val="40"/>
          <w:szCs w:val="40"/>
        </w:rPr>
      </w:pPr>
      <w:r>
        <w:rPr>
          <w:rFonts w:hint="eastAsia" w:ascii="宋体" w:hAnsi="宋体" w:eastAsia="宋体" w:cs="宋体"/>
          <w:b/>
          <w:bCs/>
          <w:sz w:val="40"/>
          <w:szCs w:val="40"/>
          <w:lang w:val="en-US" w:eastAsia="zh-CN"/>
        </w:rPr>
        <w:t>双牌县泷泊国有林场</w:t>
      </w:r>
      <w:r>
        <w:rPr>
          <w:rFonts w:hint="eastAsia" w:ascii="宋体" w:hAnsi="宋体" w:eastAsia="宋体" w:cs="宋体"/>
          <w:b/>
          <w:bCs/>
          <w:sz w:val="40"/>
          <w:szCs w:val="40"/>
        </w:rPr>
        <w:t>预算绩效管理工作负责人名册</w:t>
      </w:r>
    </w:p>
    <w:tbl>
      <w:tblPr>
        <w:tblStyle w:val="7"/>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212"/>
        <w:gridCol w:w="1482"/>
        <w:gridCol w:w="1307"/>
        <w:gridCol w:w="1733"/>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姓名</w:t>
            </w: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职务</w:t>
            </w: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办公电话</w:t>
            </w: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移动通讯号码</w:t>
            </w: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分管领导</w:t>
            </w: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杨竺兰</w:t>
            </w: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副</w:t>
            </w:r>
            <w:r>
              <w:rPr>
                <w:rFonts w:hint="eastAsia" w:asciiTheme="minorEastAsia" w:hAnsiTheme="minorEastAsia" w:eastAsiaTheme="minorEastAsia" w:cstheme="minorEastAsia"/>
                <w:color w:val="000000"/>
                <w:sz w:val="24"/>
                <w:szCs w:val="24"/>
                <w:lang w:val="en-US" w:eastAsia="zh-CN"/>
              </w:rPr>
              <w:t>场</w:t>
            </w:r>
            <w:r>
              <w:rPr>
                <w:rFonts w:hint="eastAsia" w:asciiTheme="minorEastAsia" w:hAnsiTheme="minorEastAsia" w:eastAsiaTheme="minorEastAsia" w:cstheme="minorEastAsia"/>
                <w:color w:val="000000"/>
                <w:sz w:val="24"/>
                <w:szCs w:val="24"/>
                <w:lang w:eastAsia="zh-CN"/>
              </w:rPr>
              <w:t>长</w:t>
            </w: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1387</w:t>
            </w:r>
            <w:r>
              <w:rPr>
                <w:rFonts w:hint="default" w:asciiTheme="minorEastAsia" w:hAnsiTheme="minorEastAsia" w:eastAsiaTheme="minorEastAsia" w:cstheme="minorEastAsia"/>
                <w:color w:val="000000"/>
                <w:sz w:val="24"/>
                <w:szCs w:val="24"/>
                <w:lang w:val="en" w:eastAsia="zh-CN"/>
              </w:rPr>
              <w:t>**</w:t>
            </w:r>
            <w:r>
              <w:rPr>
                <w:rFonts w:hint="eastAsia" w:asciiTheme="minorEastAsia" w:hAnsiTheme="minorEastAsia" w:eastAsiaTheme="minorEastAsia" w:cstheme="minorEastAsia"/>
                <w:color w:val="000000"/>
                <w:sz w:val="24"/>
                <w:szCs w:val="24"/>
                <w:lang w:val="en-US" w:eastAsia="zh-CN"/>
              </w:rPr>
              <w:t>717</w:t>
            </w: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联络员</w:t>
            </w: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张娅媛</w:t>
            </w: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财务科长</w:t>
            </w: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1567</w:t>
            </w:r>
            <w:r>
              <w:rPr>
                <w:rFonts w:hint="default" w:asciiTheme="minorEastAsia" w:hAnsiTheme="minorEastAsia" w:eastAsiaTheme="minorEastAsia" w:cstheme="minorEastAsia"/>
                <w:color w:val="000000"/>
                <w:sz w:val="24"/>
                <w:szCs w:val="24"/>
                <w:lang w:val="en" w:eastAsia="zh-CN"/>
              </w:rPr>
              <w:t>**</w:t>
            </w:r>
            <w:bookmarkStart w:id="0" w:name="_GoBack"/>
            <w:bookmarkEnd w:id="0"/>
            <w:r>
              <w:rPr>
                <w:rFonts w:hint="eastAsia" w:asciiTheme="minorEastAsia" w:hAnsiTheme="minorEastAsia" w:eastAsiaTheme="minorEastAsia" w:cstheme="minorEastAsia"/>
                <w:color w:val="000000"/>
                <w:sz w:val="24"/>
                <w:szCs w:val="24"/>
                <w:lang w:val="en-US" w:eastAsia="zh-CN"/>
              </w:rPr>
              <w:t>74303</w:t>
            </w: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48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0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3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8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bl>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false" upright="true">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KYVM8MkBAAB6AwAADgAAAAAA&#10;AAABACAAAAA0AQAAZHJzL2Uyb0RvYy54bWxQSwUGAAAAAAYABgBZAQAAbwUAAAAA&#10;">
              <v:fill on="f" focussize="0,0"/>
              <v:stroke on="f"/>
              <v:imagedata o:title=""/>
              <o:lock v:ext="edit" aspectratio="f"/>
              <v:textbox inset="0mm,0mm,0mm,0mm" style="mso-fit-shape-to-text:t;">
                <w:txbxContent>
                  <w:p>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false" upright="true">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FXIai8kBAAB6AwAADgAAAAAA&#10;AAABACAAAAA0AQAAZHJzL2Uyb0RvYy54bWxQSwUGAAAAAAYABgBZAQAAbwUAAAAA&#10;">
              <v:fill on="f" focussize="0,0"/>
              <v:stroke on="f"/>
              <v:imagedata o:title=""/>
              <o:lock v:ext="edit" aspectratio="f"/>
              <v:textbox inset="0mm,0mm,0mm,0mm" style="mso-fit-shape-to-text:t;">
                <w:txbxContent>
                  <w:p>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FDEF97"/>
    <w:multiLevelType w:val="singleLevel"/>
    <w:tmpl w:val="DDFDEF97"/>
    <w:lvl w:ilvl="0" w:tentative="0">
      <w:start w:val="4"/>
      <w:numFmt w:val="chineseCounting"/>
      <w:suff w:val="nothing"/>
      <w:lvlText w:val="%1、"/>
      <w:lvlJc w:val="left"/>
      <w:rPr>
        <w:rFonts w:hint="eastAsia"/>
      </w:rPr>
    </w:lvl>
  </w:abstractNum>
  <w:abstractNum w:abstractNumId="1">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743AB6EF"/>
    <w:multiLevelType w:val="singleLevel"/>
    <w:tmpl w:val="743AB6EF"/>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evenAndOddHeaders w:val="true"/>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4MmE3YTQyNWYzNDI5MjJjYzFlM2JlMDFhZjljMmMifQ=="/>
  </w:docVars>
  <w:rsids>
    <w:rsidRoot w:val="00172A27"/>
    <w:rsid w:val="02DC6358"/>
    <w:rsid w:val="05CC3742"/>
    <w:rsid w:val="0BD72974"/>
    <w:rsid w:val="0CCE5073"/>
    <w:rsid w:val="0E322C7C"/>
    <w:rsid w:val="101F3C57"/>
    <w:rsid w:val="105E064F"/>
    <w:rsid w:val="11457F4B"/>
    <w:rsid w:val="154B3473"/>
    <w:rsid w:val="15B02F86"/>
    <w:rsid w:val="19BF2519"/>
    <w:rsid w:val="1BCE59A7"/>
    <w:rsid w:val="1D5E5630"/>
    <w:rsid w:val="1DC615E1"/>
    <w:rsid w:val="1ED072F2"/>
    <w:rsid w:val="1F9C1D8C"/>
    <w:rsid w:val="1FBF15E1"/>
    <w:rsid w:val="1FDA000A"/>
    <w:rsid w:val="1FEA88DE"/>
    <w:rsid w:val="20BA3D5C"/>
    <w:rsid w:val="20FE29CD"/>
    <w:rsid w:val="213827F6"/>
    <w:rsid w:val="24756501"/>
    <w:rsid w:val="27DF968C"/>
    <w:rsid w:val="29625E27"/>
    <w:rsid w:val="2A453CE8"/>
    <w:rsid w:val="2AF82401"/>
    <w:rsid w:val="2F2FB174"/>
    <w:rsid w:val="2FC37E33"/>
    <w:rsid w:val="31EF3498"/>
    <w:rsid w:val="3274D3E8"/>
    <w:rsid w:val="33457B5A"/>
    <w:rsid w:val="33EA0D37"/>
    <w:rsid w:val="35763219"/>
    <w:rsid w:val="38EA5012"/>
    <w:rsid w:val="3C203D9D"/>
    <w:rsid w:val="3CC12FA1"/>
    <w:rsid w:val="3DF7879B"/>
    <w:rsid w:val="3DFB432B"/>
    <w:rsid w:val="3DFFE8B6"/>
    <w:rsid w:val="3F4514E2"/>
    <w:rsid w:val="3FCF7C56"/>
    <w:rsid w:val="41600860"/>
    <w:rsid w:val="41A60F90"/>
    <w:rsid w:val="437042B4"/>
    <w:rsid w:val="4399041E"/>
    <w:rsid w:val="43D25C86"/>
    <w:rsid w:val="47FF7E2A"/>
    <w:rsid w:val="49865F45"/>
    <w:rsid w:val="4A7E5437"/>
    <w:rsid w:val="4B490F32"/>
    <w:rsid w:val="4B564457"/>
    <w:rsid w:val="4C575977"/>
    <w:rsid w:val="4D7DEE67"/>
    <w:rsid w:val="4DF30F3A"/>
    <w:rsid w:val="4E8B7C40"/>
    <w:rsid w:val="4F1637A4"/>
    <w:rsid w:val="500F1BD2"/>
    <w:rsid w:val="50D852D8"/>
    <w:rsid w:val="51C40746"/>
    <w:rsid w:val="53866C8F"/>
    <w:rsid w:val="543E6CC0"/>
    <w:rsid w:val="54FF00F4"/>
    <w:rsid w:val="55412274"/>
    <w:rsid w:val="55C03679"/>
    <w:rsid w:val="565D5214"/>
    <w:rsid w:val="57C446E9"/>
    <w:rsid w:val="58820FB8"/>
    <w:rsid w:val="5ABA52A9"/>
    <w:rsid w:val="5C8E01AF"/>
    <w:rsid w:val="5D7FAFF4"/>
    <w:rsid w:val="62BE6D8B"/>
    <w:rsid w:val="64E742EF"/>
    <w:rsid w:val="651C44D3"/>
    <w:rsid w:val="67F702E5"/>
    <w:rsid w:val="67FB9E1D"/>
    <w:rsid w:val="684B0AD7"/>
    <w:rsid w:val="6BF7C95D"/>
    <w:rsid w:val="6DD5DAAA"/>
    <w:rsid w:val="6E351362"/>
    <w:rsid w:val="6EBFC895"/>
    <w:rsid w:val="6F767942"/>
    <w:rsid w:val="6FEFF3D9"/>
    <w:rsid w:val="6FF30764"/>
    <w:rsid w:val="6FF52C40"/>
    <w:rsid w:val="74DFB366"/>
    <w:rsid w:val="75073918"/>
    <w:rsid w:val="771A18F7"/>
    <w:rsid w:val="782B2369"/>
    <w:rsid w:val="78601697"/>
    <w:rsid w:val="7AFF1FAB"/>
    <w:rsid w:val="7CFF0574"/>
    <w:rsid w:val="7D7F81F3"/>
    <w:rsid w:val="7DFF1263"/>
    <w:rsid w:val="7E991F23"/>
    <w:rsid w:val="7EB5519D"/>
    <w:rsid w:val="7F2F248D"/>
    <w:rsid w:val="7FBBFD99"/>
    <w:rsid w:val="7FD6A0B5"/>
    <w:rsid w:val="7FDF191E"/>
    <w:rsid w:val="7FFAB375"/>
    <w:rsid w:val="7FFF641E"/>
    <w:rsid w:val="87FD4BAF"/>
    <w:rsid w:val="8F7F01A7"/>
    <w:rsid w:val="9BFB89E5"/>
    <w:rsid w:val="9E65C9D4"/>
    <w:rsid w:val="AFFFA158"/>
    <w:rsid w:val="B67D79D7"/>
    <w:rsid w:val="BBFB528F"/>
    <w:rsid w:val="BDCD1EF2"/>
    <w:rsid w:val="BDFFBCD9"/>
    <w:rsid w:val="BEAF04FD"/>
    <w:rsid w:val="BEF966DE"/>
    <w:rsid w:val="CC7EDBE1"/>
    <w:rsid w:val="D27F312F"/>
    <w:rsid w:val="DBE44F01"/>
    <w:rsid w:val="DC3EF14E"/>
    <w:rsid w:val="DE6FCD5A"/>
    <w:rsid w:val="DFF3986A"/>
    <w:rsid w:val="E5FF0543"/>
    <w:rsid w:val="E66FADEA"/>
    <w:rsid w:val="EEF3304A"/>
    <w:rsid w:val="EF7B6C08"/>
    <w:rsid w:val="EFFDE42E"/>
    <w:rsid w:val="F7F7E446"/>
    <w:rsid w:val="FB9F33C9"/>
    <w:rsid w:val="FBFF98CE"/>
    <w:rsid w:val="FC7D18E3"/>
    <w:rsid w:val="FEFF9E18"/>
    <w:rsid w:val="FFD3C7F5"/>
    <w:rsid w:val="FFD5E35F"/>
    <w:rsid w:val="FFDD8CC5"/>
    <w:rsid w:val="FFDDE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Text1I"/>
    <w:basedOn w:val="1"/>
    <w:qFormat/>
    <w:uiPriority w:val="99"/>
    <w:pPr>
      <w:snapToGrid w:val="0"/>
      <w:spacing w:line="360" w:lineRule="auto"/>
      <w:ind w:firstLine="420" w:firstLineChars="100"/>
    </w:pPr>
    <w:rPr>
      <w:sz w:val="28"/>
      <w:szCs w:val="20"/>
    </w:r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5">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styleId="6">
    <w:name w:val="Body Text First Indent 2"/>
    <w:basedOn w:val="3"/>
    <w:qFormat/>
    <w:uiPriority w:val="0"/>
    <w:pPr>
      <w:spacing w:before="100" w:beforeAutospacing="1"/>
      <w:ind w:left="0" w:firstLine="420" w:firstLineChars="200"/>
    </w:pPr>
  </w:style>
  <w:style w:type="paragraph" w:customStyle="1" w:styleId="9">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10">
    <w:name w:val="List Paragraph"/>
    <w:basedOn w:val="1"/>
    <w:unhideWhenUsed/>
    <w:qFormat/>
    <w:uiPriority w:val="99"/>
    <w:pPr>
      <w:spacing w:beforeLines="0" w:afterLines="0"/>
      <w:ind w:firstLine="420" w:firstLineChars="200"/>
    </w:pPr>
    <w:rPr>
      <w:rFonts w:hint="default" w:ascii="Calibri" w:hAnsi="Calibri"/>
      <w:kern w:val="0"/>
      <w:sz w:val="28"/>
      <w:szCs w:val="24"/>
    </w:rPr>
  </w:style>
  <w:style w:type="paragraph" w:customStyle="1" w:styleId="11">
    <w:name w:val="正文-公1"/>
    <w:basedOn w:val="12"/>
    <w:next w:val="1"/>
    <w:qFormat/>
    <w:uiPriority w:val="0"/>
    <w:pPr>
      <w:ind w:firstLine="200" w:firstLineChars="200"/>
    </w:p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1"/>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8042</Words>
  <Characters>9499</Characters>
  <Lines>0</Lines>
  <Paragraphs>0</Paragraphs>
  <TotalTime>4</TotalTime>
  <ScaleCrop>false</ScaleCrop>
  <LinksUpToDate>false</LinksUpToDate>
  <CharactersWithSpaces>9876</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2023-04-23T23:33:00Z</dcterms:created>
  <dc:creator>海之韵</dc:creator>
  <cp:lastModifiedBy>kylin</cp:lastModifiedBy>
  <cp:lastPrinted>2026-04-21T11:08:00Z</cp:lastPrinted>
  <dcterms:modified xsi:type="dcterms:W3CDTF">2026-05-09T10:38:58Z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F6884F1CCBE94F62A64B8C01CA362DC8_13</vt:lpwstr>
  </property>
  <property fmtid="{D5CDD505-2E9C-101B-9397-08002B2CF9AE}" pid="4" name="KSOTemplateDocerSaveRecord">
    <vt:lpwstr>eyJoZGlkIjoiMzJlYThhNDk0MTI4NWMwNTAxODM5ZmRiNTM1MGE3MDIiLCJ1c2VySWQiOiI0MjQ4NzQxNjMifQ==</vt:lpwstr>
  </property>
</Properties>
</file>