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年度双牌县打鼓坪乡人民政府整体支出绩效自评报告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>双牌县打鼓坪乡人民政府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</w:rPr>
        <w:t>年  月 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default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（一）部门职能职责、机构编制、人员构成</w:t>
      </w:r>
    </w:p>
    <w:p>
      <w:pPr>
        <w:shd w:val="clear" w:color="auto" w:fill="FFFFFF"/>
        <w:spacing w:beforeLines="0" w:afterLines="0" w:line="570" w:lineRule="exact"/>
        <w:ind w:firstLine="960" w:firstLineChars="300"/>
        <w:outlineLvl w:val="1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24"/>
        </w:rPr>
        <w:t>主要职能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职责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24"/>
        </w:rPr>
        <w:t>）贯彻执行党的路线、方针、政策和国家的法律、法规，落实上级党委、政府的各项决议和决定，贯彻执行本乡党代会和人民代表大会的决议和决定。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4"/>
        </w:rPr>
        <w:t>）对本辖区重大问题进行决策，制定本乡行政区域内的经济和社会发展规划，并组织实施。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4"/>
        </w:rPr>
        <w:t>）负责全乡党的组织、思想和作风建设，提高党组织的战斗力和凝聚力，充分发挥党员的先锋模范作用。负责做好管理权限范围内干部的日常管理工作。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>）负责强化本乡平安建设、法治建设，加强信访工作，建立社会矛盾纠纷多元预防调处化解机制，及时化解各类矛盾纠纷，建立和健全群防群治网络，维护农村社会稳定。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24"/>
        </w:rPr>
        <w:t>）负责本乡农业农村、林业、水利、自然资源、乡村振兴、动植物防疫、规划建设、生态环境保护、交通运输、科技和工业信息、商务、应急管理、市场监督管理及财政、民政、教育、体育、旅游、文化广电、民族宗教、统计、劳动和社会保障等方面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24"/>
        </w:rPr>
        <w:t>）贯彻执行卫生健康和计划生育法律法规、政策，组织开展本乡卫生健康和人口与计划生育工作。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24"/>
        </w:rPr>
        <w:t>）负责本乡退役军人事务、国防动员教育、人民武装、民兵预备役等管理工作。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24"/>
        </w:rPr>
        <w:t>）充分发挥乡党委的领导核心作用，保证和支持基层自治组织行使职权，实行依法自治，充分发挥基层群众自治组织的自我教育、自我管理、自我建设、自我服务作用。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24"/>
        </w:rPr>
        <w:t>）负责本乡纪检监察、组织、人事、宣传、统战、工会、共青团、妇联、残联、科协等工作。承担人大和政协联络等相关工作。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24"/>
        </w:rPr>
        <w:t>）负责集中行使集镇管理和法律法规赋予、上级部门下放或者委托下放的行政执法权。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24"/>
        </w:rPr>
        <w:t>）完成县委、县政府交办的其他工作。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24"/>
        </w:rPr>
        <w:t>机构情况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打鼓坪乡人民政府内设机构包括：党政综合办公室、基层党建办公室、经济发展办公室、社会事务办公室、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平安法治和应急管理</w:t>
      </w:r>
      <w:r>
        <w:rPr>
          <w:rFonts w:hint="eastAsia" w:ascii="仿宋_GB2312" w:eastAsia="仿宋_GB2312"/>
          <w:sz w:val="32"/>
          <w:szCs w:val="24"/>
        </w:rPr>
        <w:t>办公室。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打鼓坪乡乡直属事业单位规范设置为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4"/>
        </w:rPr>
        <w:t>个：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生态事务中心，</w:t>
      </w:r>
      <w:r>
        <w:rPr>
          <w:rFonts w:hint="eastAsia" w:ascii="仿宋_GB2312" w:eastAsia="仿宋_GB2312"/>
          <w:sz w:val="32"/>
          <w:szCs w:val="24"/>
        </w:rPr>
        <w:t>政务（便民）服务中心</w:t>
      </w:r>
      <w:r>
        <w:rPr>
          <w:rFonts w:hint="eastAsia" w:ascii="仿宋_GB2312" w:eastAsia="仿宋_GB2312"/>
          <w:sz w:val="32"/>
          <w:szCs w:val="24"/>
          <w:lang w:eastAsia="zh-CN"/>
        </w:rPr>
        <w:t>，</w:t>
      </w:r>
      <w:r>
        <w:rPr>
          <w:rFonts w:hint="eastAsia" w:ascii="仿宋_GB2312" w:eastAsia="仿宋_GB2312"/>
          <w:sz w:val="32"/>
          <w:szCs w:val="24"/>
        </w:rPr>
        <w:t>退役军人服务站。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打鼓坪乡设置综合行政执法机构1个：综合行政执法大队。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  <w:lang w:eastAsia="zh-CN"/>
        </w:rPr>
      </w:pPr>
      <w:r>
        <w:rPr>
          <w:rFonts w:hint="eastAsia" w:ascii="仿宋_GB2312" w:eastAsia="仿宋_GB2312"/>
          <w:sz w:val="32"/>
          <w:szCs w:val="24"/>
        </w:rPr>
        <w:t>3</w:t>
      </w:r>
      <w:r>
        <w:rPr>
          <w:rFonts w:hint="eastAsia" w:ascii="仿宋_GB2312" w:eastAsia="仿宋_GB2312"/>
          <w:sz w:val="32"/>
          <w:szCs w:val="24"/>
          <w:lang w:eastAsia="zh-CN"/>
        </w:rPr>
        <w:t>、</w:t>
      </w:r>
      <w:r>
        <w:rPr>
          <w:rFonts w:hint="eastAsia" w:ascii="仿宋_GB2312" w:eastAsia="仿宋_GB2312"/>
          <w:sz w:val="32"/>
          <w:szCs w:val="24"/>
        </w:rPr>
        <w:t>人员情况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>年本单位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编制人数35人，</w:t>
      </w:r>
      <w:r>
        <w:rPr>
          <w:rFonts w:hint="eastAsia" w:ascii="仿宋_GB2312" w:eastAsia="仿宋_GB2312"/>
          <w:sz w:val="32"/>
          <w:szCs w:val="24"/>
        </w:rPr>
        <w:t>年末实有人数为2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24"/>
        </w:rPr>
        <w:t>人</w:t>
      </w:r>
      <w:r>
        <w:rPr>
          <w:rFonts w:hint="eastAsia" w:ascii="仿宋_GB2312" w:eastAsia="仿宋_GB2312"/>
          <w:sz w:val="32"/>
          <w:szCs w:val="24"/>
          <w:lang w:eastAsia="zh-CN"/>
        </w:rPr>
        <w:t>，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在编人员28人，三支一扶人员1人</w:t>
      </w:r>
      <w:r>
        <w:rPr>
          <w:rFonts w:hint="eastAsia" w:ascii="仿宋_GB2312" w:eastAsia="仿宋_GB2312"/>
          <w:sz w:val="32"/>
          <w:szCs w:val="24"/>
          <w:lang w:eastAsia="zh-CN"/>
        </w:rPr>
        <w:t>。</w:t>
      </w:r>
    </w:p>
    <w:p>
      <w:pPr>
        <w:numPr>
          <w:ilvl w:val="0"/>
          <w:numId w:val="2"/>
        </w:numPr>
        <w:spacing w:beforeLines="0" w:afterLines="0" w:line="570" w:lineRule="exact"/>
        <w:ind w:left="200" w:leftChars="0" w:firstLine="640" w:firstLineChars="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打鼓坪</w:t>
      </w:r>
      <w:r>
        <w:rPr>
          <w:rFonts w:hint="eastAsia" w:ascii="仿宋_GB2312" w:eastAsia="仿宋_GB2312"/>
          <w:sz w:val="32"/>
          <w:szCs w:val="24"/>
        </w:rPr>
        <w:t>乡人民政府2024年度整体支出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规模</w:t>
      </w:r>
      <w:r>
        <w:rPr>
          <w:rFonts w:hint="eastAsia" w:ascii="仿宋_GB2312" w:eastAsia="仿宋_GB2312"/>
          <w:sz w:val="32"/>
          <w:szCs w:val="24"/>
        </w:rPr>
        <w:t>：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 xml:space="preserve">   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default" w:ascii="仿宋_GB2312" w:eastAsia="仿宋_GB2312"/>
          <w:sz w:val="32"/>
          <w:szCs w:val="24"/>
          <w:lang w:val="en-US"/>
        </w:rPr>
      </w:pPr>
      <w:r>
        <w:rPr>
          <w:rFonts w:hint="eastAsia" w:eastAsia="仿宋_GB2312"/>
          <w:sz w:val="32"/>
          <w:szCs w:val="32"/>
        </w:rPr>
        <w:t>2024年</w:t>
      </w:r>
      <w:r>
        <w:rPr>
          <w:rFonts w:hint="eastAsia" w:eastAsia="仿宋_GB2312"/>
          <w:sz w:val="32"/>
          <w:szCs w:val="32"/>
          <w:lang w:val="en-US" w:eastAsia="zh-CN"/>
        </w:rPr>
        <w:t>打鼓坪乡一般公共预算收入共计</w:t>
      </w:r>
      <w:r>
        <w:rPr>
          <w:rFonts w:hint="eastAsia" w:eastAsia="仿宋_GB2312"/>
          <w:sz w:val="32"/>
          <w:szCs w:val="24"/>
          <w:lang w:val="en-US" w:eastAsia="zh-CN"/>
        </w:rPr>
        <w:t>1033.27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万元</w:t>
      </w:r>
      <w:r>
        <w:rPr>
          <w:rFonts w:hint="eastAsia" w:eastAsia="仿宋_GB2312"/>
          <w:sz w:val="32"/>
          <w:szCs w:val="24"/>
          <w:lang w:val="en-US" w:eastAsia="zh-CN"/>
        </w:rPr>
        <w:t>，其中一般公共预算财政拨款收入468.67万元，政府性基金预算财政拨款收入208.99万元，其他收入355.61万元。在资金管理使用上，严格按照各项专项资金使用用途安排该专项资金的支出使用，严格遵守“专款专用”原则，严格落实专项资金的申拨、使用审批手续，充分发挥资金使用效益。主要用于保障人员支出和单位正常运转，完成政府职能职责相关专项工作。</w:t>
      </w:r>
    </w:p>
    <w:p>
      <w:pPr>
        <w:pStyle w:val="11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1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11"/>
        <w:spacing w:beforeLines="0" w:afterLines="0" w:line="570" w:lineRule="exact"/>
        <w:ind w:firstLine="960" w:firstLineChars="300"/>
        <w:outlineLvl w:val="1"/>
        <w:rPr>
          <w:rFonts w:hint="eastAsia" w:ascii="Times New Roman" w:hAnsi="Times New Roman" w:eastAsia="仿宋_GB231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一般公共预算基本支出总计</w:t>
      </w:r>
      <w:r>
        <w:rPr>
          <w:rFonts w:hint="default" w:ascii="Times New Roman" w:hAnsi="Times New Roman" w:eastAsia="仿宋_GB2312"/>
          <w:sz w:val="32"/>
          <w:szCs w:val="24"/>
        </w:rPr>
        <w:t>3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53.03万元。其中工资福利支出299.69万元，商品和服务支出51.02万元，对个人和家庭的补助2.32万元。</w:t>
      </w:r>
    </w:p>
    <w:p>
      <w:pPr>
        <w:pStyle w:val="11"/>
        <w:spacing w:beforeLines="0" w:afterLines="0" w:line="570" w:lineRule="exact"/>
        <w:ind w:firstLine="960" w:firstLineChars="3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（二）</w:t>
      </w: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left="210" w:leftChars="0" w:firstLine="640" w:firstLineChars="200"/>
        <w:outlineLvl w:val="1"/>
        <w:rPr>
          <w:rFonts w:hint="default" w:ascii="Times New Roman" w:hAnsi="Times New Roman" w:eastAsia="仿宋_GB2312"/>
          <w:sz w:val="32"/>
          <w:szCs w:val="24"/>
          <w:lang w:val="en-US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一般公共预算项目支出总计649.17万元。其中专项业务工作经费304.24万元，其他文化和旅游支出1.6万元，临时救助支出1.06万元，其他退役军人事务管理支出1.7万元，其他社会保障和就业支出16.1万元，其他国有土地使用权出让收入安排的支出200.99万元，其他巩固脱贫攻坚成果衔接乡村振兴支出88.88万元，对村民委员会和村党支部的补助25.6万元，自然灾害救灾补助1万元，环境卫生整治支出8万元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政府性基金预算支出为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8.99万元，主要支出内容为建设工程合同环节缴纳印花税拨付款200.99万元及环境整治资金8万元。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根据预算绩效管理要求，我单位组织对202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24"/>
        </w:rPr>
        <w:t>年度部门整体支出和专项资金实施了全覆盖性的绩效评价，撰写了整体支出绩效评价报告和项目支出绩效评价报告。绩效自评结果显示，上述项目支出绩效情况较为理想，均达到了项目申请时设定的各项绩效目标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从经济性情况分析看，预算资金覆盖各个需求方面，“三公”经费预算没有超过上年预算安排。预算资金能保障单位正常运转需要，分配办法科学，考虑的因素必要合理，分配的结果合理，能基本保证人员经费支出和机构全年工作运转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预算编制通过根据下一年度内单位可预见的工作任务，确定了单位年度预算目标，细化了预算指标，但是在实际支付过程中，由于实际情况有变动无法准确预估，导致个别情况未能严格按照预算指标执行。人员严重缺编与工作任务繁重矛盾日益突出。</w:t>
      </w:r>
    </w:p>
    <w:p>
      <w:pPr>
        <w:numPr>
          <w:ilvl w:val="0"/>
          <w:numId w:val="3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  <w:szCs w:val="24"/>
        </w:rPr>
      </w:pPr>
      <w:r>
        <w:rPr>
          <w:rFonts w:hint="default" w:eastAsia="仿宋_GB2312"/>
          <w:color w:val="000000"/>
          <w:sz w:val="32"/>
          <w:szCs w:val="24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  <w:szCs w:val="24"/>
        </w:rPr>
      </w:pPr>
      <w:r>
        <w:rPr>
          <w:rFonts w:hint="default" w:eastAsia="仿宋_GB2312"/>
          <w:color w:val="000000"/>
          <w:sz w:val="32"/>
          <w:szCs w:val="24"/>
        </w:rPr>
        <w:t>2、加强财务管理，严格财务审核。加强单位财务管理，健全单位财务管理制度体系，规范单位财务行为。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  <w:szCs w:val="24"/>
        </w:rPr>
      </w:pPr>
      <w:r>
        <w:rPr>
          <w:rFonts w:hint="default" w:eastAsia="仿宋_GB2312"/>
          <w:color w:val="000000"/>
          <w:sz w:val="32"/>
          <w:szCs w:val="24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  <w:szCs w:val="24"/>
        </w:rPr>
      </w:pPr>
      <w:r>
        <w:rPr>
          <w:rFonts w:hint="default" w:eastAsia="仿宋_GB2312"/>
          <w:color w:val="000000"/>
          <w:sz w:val="32"/>
          <w:szCs w:val="24"/>
        </w:rPr>
        <w:t>4、对相关人员加强培训，特别是针对《预算法》、《行政事业单位会计制度》等学习培训，规范部门预算收支核算，切实提高部门预算收支管理水平。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  <w:szCs w:val="24"/>
        </w:rPr>
      </w:pPr>
      <w:r>
        <w:rPr>
          <w:rFonts w:hint="default" w:eastAsia="仿宋_GB2312"/>
          <w:color w:val="000000"/>
          <w:sz w:val="32"/>
          <w:szCs w:val="24"/>
        </w:rPr>
        <w:t>严格按照政府信息公开的有关要求，强化评价结果应用，逐步公开财政支出项目预算及绩效评价结果，接受社会公众对财政资金使用效益的监督。</w:t>
      </w:r>
    </w:p>
    <w:p>
      <w:pPr>
        <w:spacing w:beforeLines="0" w:afterLines="0" w:line="570" w:lineRule="exact"/>
        <w:ind w:firstLine="645"/>
        <w:jc w:val="left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pStyle w:val="2"/>
        <w:rPr>
          <w:rFonts w:hint="eastAsia" w:eastAsia="黑体"/>
          <w:sz w:val="32"/>
          <w:szCs w:val="24"/>
        </w:rPr>
      </w:pPr>
    </w:p>
    <w:p>
      <w:pPr>
        <w:pStyle w:val="3"/>
        <w:rPr>
          <w:rFonts w:hint="eastAsia" w:eastAsia="黑体"/>
          <w:sz w:val="32"/>
          <w:szCs w:val="24"/>
        </w:rPr>
      </w:pPr>
    </w:p>
    <w:p>
      <w:pPr>
        <w:pStyle w:val="3"/>
        <w:rPr>
          <w:rFonts w:hint="eastAsia" w:eastAsia="黑体"/>
          <w:sz w:val="32"/>
          <w:szCs w:val="24"/>
        </w:rPr>
      </w:pPr>
    </w:p>
    <w:p>
      <w:pPr>
        <w:pStyle w:val="3"/>
        <w:rPr>
          <w:rFonts w:hint="eastAsia" w:eastAsia="黑体"/>
          <w:sz w:val="32"/>
          <w:szCs w:val="24"/>
        </w:rPr>
      </w:pPr>
    </w:p>
    <w:p>
      <w:pPr>
        <w:pStyle w:val="3"/>
        <w:rPr>
          <w:rFonts w:hint="eastAsia" w:eastAsia="黑体"/>
          <w:sz w:val="32"/>
          <w:szCs w:val="24"/>
        </w:rPr>
      </w:pPr>
    </w:p>
    <w:p>
      <w:pPr>
        <w:pStyle w:val="3"/>
        <w:rPr>
          <w:rFonts w:hint="eastAsia" w:eastAsia="黑体"/>
          <w:sz w:val="32"/>
          <w:szCs w:val="24"/>
        </w:rPr>
      </w:pPr>
    </w:p>
    <w:p>
      <w:pPr>
        <w:pStyle w:val="3"/>
        <w:rPr>
          <w:rFonts w:hint="eastAsia" w:eastAsia="黑体"/>
          <w:sz w:val="32"/>
          <w:szCs w:val="24"/>
        </w:rPr>
      </w:pPr>
    </w:p>
    <w:p>
      <w:pPr>
        <w:pStyle w:val="3"/>
        <w:rPr>
          <w:rFonts w:hint="eastAsia" w:eastAsia="黑体"/>
          <w:sz w:val="32"/>
          <w:szCs w:val="24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 w:eastAsia="宋体"/>
          <w:lang w:eastAsia="zh-CN"/>
        </w:rPr>
      </w:pPr>
    </w:p>
    <w:p>
      <w:pPr>
        <w:pStyle w:val="3"/>
        <w:rPr>
          <w:rFonts w:hint="eastAsia" w:eastAsia="宋体"/>
          <w:lang w:eastAsia="zh-CN"/>
        </w:rPr>
      </w:pPr>
    </w:p>
    <w:p>
      <w:pPr>
        <w:pStyle w:val="3"/>
        <w:rPr>
          <w:rFonts w:hint="eastAsia" w:eastAsia="宋体"/>
          <w:lang w:eastAsia="zh-CN"/>
        </w:rPr>
      </w:pPr>
    </w:p>
    <w:p>
      <w:pPr>
        <w:pStyle w:val="3"/>
        <w:rPr>
          <w:rFonts w:hint="eastAsia" w:eastAsia="宋体"/>
          <w:lang w:eastAsia="zh-CN"/>
        </w:rPr>
      </w:pPr>
    </w:p>
    <w:p>
      <w:pPr>
        <w:pStyle w:val="3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8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367.8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368.8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353.03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51.02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51.02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36.32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292.71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664.47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649.17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1.政府专项业务工作经费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292.71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319.46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304.24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2.三馆一站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3.临时救助支出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4.退役军人事务站资金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5.社会保障和就业资金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6.建设工程合同环节缴纳印花税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200.99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乡村振兴项目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88.88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88.88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8.村级运转经费及服务群众专项经费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9.自然灾害救灾补助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10.环境整治支出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 填报日期：          联系电话：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8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双牌县打鼓坪乡人民政府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664.8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1033.27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1002.2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6.99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437.6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353.03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208.99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649.17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355.61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目标1：保障人员支出和单位正常运转：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目标2：认真贯彻执行党的基本路线、方针政策和上级组织的决议、指示、命令：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目标3：对本乡的重大问题进行决策，研究制定全乡经济、社会和文化发展规划。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人员支出和单位正常运转：认真贯彻执行党的基本路线、方针政策和上级组织的决议、指示、命令：对本乡的重大问题进行决策，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带动了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全乡经济、社会和文化发展。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完成支出总额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1033.27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1002.2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资金使用合格率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资金支出及时率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社会平安幸福程度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保障单位工作正常运转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正常运转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正常运转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充分发挥专项资金使用效益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人居收入是否增长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发挥作用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发挥作用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生态效益情况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可持续性发展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效果明显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效果明显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99.38</w:t>
            </w:r>
            <w:bookmarkStart w:id="0" w:name="_GoBack"/>
            <w:bookmarkEnd w:id="0"/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eastAsia="仿宋_GB2312"/>
          <w:sz w:val="22"/>
          <w:szCs w:val="24"/>
        </w:rPr>
        <w:t xml:space="preserve">填表人：      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 xml:space="preserve">填报日期：       </w:t>
      </w:r>
      <w:r>
        <w:rPr>
          <w:rFonts w:hint="default" w:eastAsia="仿宋_GB2312"/>
          <w:sz w:val="22"/>
          <w:szCs w:val="24"/>
        </w:rPr>
        <w:t xml:space="preserve">   </w:t>
      </w:r>
      <w:r>
        <w:rPr>
          <w:rFonts w:hint="eastAsia" w:eastAsia="仿宋_GB2312"/>
          <w:sz w:val="22"/>
          <w:szCs w:val="24"/>
        </w:rPr>
        <w:t>联系电话：        单位负责人签字：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宋体"/>
          <w:lang w:val="en-US" w:eastAsia="zh-CN"/>
        </w:rPr>
        <w:t>-</w:t>
      </w: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打鼓坪乡人民政府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8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7"/>
        <w:gridCol w:w="1347"/>
        <w:gridCol w:w="1349"/>
        <w:gridCol w:w="1536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黄艳梅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组织委员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07467860001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19974637610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罗灵芝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财政所所长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07467860001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18874666610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6" w:type="default"/>
      <w:footerReference r:id="rId7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46A11"/>
    <w:multiLevelType w:val="singleLevel"/>
    <w:tmpl w:val="D4146A11"/>
    <w:lvl w:ilvl="0" w:tentative="0">
      <w:start w:val="2"/>
      <w:numFmt w:val="chineseCounting"/>
      <w:suff w:val="nothing"/>
      <w:lvlText w:val="（%1）"/>
      <w:lvlJc w:val="left"/>
      <w:pPr>
        <w:ind w:left="200"/>
      </w:pPr>
      <w:rPr>
        <w:rFonts w:hint="eastAsia"/>
      </w:rPr>
    </w:lvl>
  </w:abstractNum>
  <w:abstractNum w:abstractNumId="1">
    <w:nsid w:val="DA5FE785"/>
    <w:multiLevelType w:val="singleLevel"/>
    <w:tmpl w:val="DA5FE785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7A960AAD"/>
    <w:multiLevelType w:val="singleLevel"/>
    <w:tmpl w:val="7A960AA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MTQ1NmRhNzdiZDEyYTM5YmNhM2JmZTU2YzU5MzQifQ=="/>
  </w:docVars>
  <w:rsids>
    <w:rsidRoot w:val="00172A27"/>
    <w:rsid w:val="08150DCD"/>
    <w:rsid w:val="0B771647"/>
    <w:rsid w:val="0CCE5073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8EA5012"/>
    <w:rsid w:val="3DFB432B"/>
    <w:rsid w:val="3E2121BD"/>
    <w:rsid w:val="40637ADB"/>
    <w:rsid w:val="41A60F90"/>
    <w:rsid w:val="437042B4"/>
    <w:rsid w:val="43D25C86"/>
    <w:rsid w:val="440C6E3E"/>
    <w:rsid w:val="47FF7E2A"/>
    <w:rsid w:val="49681CF8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62BE6D8B"/>
    <w:rsid w:val="64E742EF"/>
    <w:rsid w:val="684B0AD7"/>
    <w:rsid w:val="6AE87BE0"/>
    <w:rsid w:val="6D8F21D9"/>
    <w:rsid w:val="6E351362"/>
    <w:rsid w:val="729F77DE"/>
    <w:rsid w:val="75073918"/>
    <w:rsid w:val="75A77BE9"/>
    <w:rsid w:val="771A18F7"/>
    <w:rsid w:val="7A706FBC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6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7">
    <w:name w:val="Body Text First Indent 2"/>
    <w:basedOn w:val="4"/>
    <w:qFormat/>
    <w:uiPriority w:val="0"/>
    <w:pPr>
      <w:spacing w:before="100" w:beforeAutospacing="1"/>
      <w:ind w:left="0" w:firstLine="420" w:firstLineChars="200"/>
    </w:pPr>
  </w:style>
  <w:style w:type="paragraph" w:customStyle="1" w:styleId="10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1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3500</Words>
  <Characters>3918</Characters>
  <Lines>0</Lines>
  <Paragraphs>0</Paragraphs>
  <TotalTime>17</TotalTime>
  <ScaleCrop>false</ScaleCrop>
  <LinksUpToDate>false</LinksUpToDate>
  <CharactersWithSpaces>4079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cp:lastPrinted>2025-06-05T09:06:43Z</cp:lastPrinted>
  <dcterms:modified xsi:type="dcterms:W3CDTF">2025-06-05T09:06:47Z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AF9544E1546941BA8CBE89131EC4EEB2</vt:lpwstr>
  </property>
  <property fmtid="{D5CDD505-2E9C-101B-9397-08002B2CF9AE}" pid="4" name="KSOTemplateDocerSaveRecord">
    <vt:lpwstr>eyJoZGlkIjoiZDE3OTI2N2FmOWY2MTMyZTNmMTQ4Y2I3YjMxZmZlOTQiLCJ1c2VySWQiOiI0NDY1NDkzNDQifQ==</vt:lpwstr>
  </property>
</Properties>
</file>