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9B41F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7655908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麻江镇学校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6F9808A8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37A7459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7962AD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BF6FA5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BB00407">
      <w:pPr>
        <w:spacing w:beforeLines="0" w:afterLines="0"/>
        <w:rPr>
          <w:rFonts w:hint="default" w:eastAsia="黑体"/>
          <w:sz w:val="32"/>
          <w:szCs w:val="24"/>
        </w:rPr>
      </w:pPr>
    </w:p>
    <w:p w14:paraId="4450897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B2265F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ABE2C0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6509A5F">
      <w:pPr>
        <w:ind w:firstLine="64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>双牌县麻江镇学校</w:t>
      </w:r>
    </w:p>
    <w:p w14:paraId="087EA680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</w:p>
    <w:p w14:paraId="6880D8A1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31C67FA2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日</w:t>
      </w:r>
    </w:p>
    <w:p w14:paraId="40001D3F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仿宋_GB2312"/>
          <w:sz w:val="32"/>
          <w:szCs w:val="24"/>
          <w:lang w:eastAsia="zh-CN"/>
        </w:rPr>
        <w:t>（</w:t>
      </w:r>
      <w:r>
        <w:rPr>
          <w:rFonts w:hint="eastAsia" w:eastAsia="仿宋_GB2312"/>
          <w:sz w:val="32"/>
          <w:szCs w:val="24"/>
          <w:lang w:val="en-US" w:eastAsia="zh-CN"/>
        </w:rPr>
        <w:t>一）</w:t>
      </w:r>
      <w:r>
        <w:rPr>
          <w:rFonts w:hint="eastAsia" w:eastAsia="黑体"/>
          <w:sz w:val="32"/>
          <w:szCs w:val="24"/>
        </w:rPr>
        <w:t>部门（单位）基本情况</w:t>
      </w:r>
    </w:p>
    <w:p w14:paraId="4ACBA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1．主要职能：</w:t>
      </w:r>
      <w:r>
        <w:rPr>
          <w:rFonts w:hint="eastAsia" w:ascii="宋体" w:hAnsi="宋体" w:eastAsia="宋体" w:cs="宋体"/>
          <w:sz w:val="28"/>
          <w:szCs w:val="28"/>
        </w:rPr>
        <w:t>全面贯彻党的教育方针，推行素质教育，加强师德师风建设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实施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九年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义务教育，促进基础教育发展，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中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学教育，相关社会服务。</w:t>
      </w:r>
    </w:p>
    <w:p w14:paraId="13AD1A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机构、人员构成</w:t>
      </w:r>
    </w:p>
    <w:p w14:paraId="59586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双牌县</w:t>
      </w:r>
      <w:r>
        <w:rPr>
          <w:rFonts w:hint="eastAsia"/>
          <w:sz w:val="30"/>
          <w:szCs w:val="30"/>
          <w:lang w:val="en-US" w:eastAsia="zh-CN"/>
        </w:rPr>
        <w:t>双牌县麻江镇学校</w:t>
      </w:r>
      <w:r>
        <w:rPr>
          <w:rFonts w:hint="eastAsia"/>
          <w:sz w:val="30"/>
          <w:szCs w:val="30"/>
        </w:rPr>
        <w:t>属财政全额拨款的</w:t>
      </w: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级单位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>根据上述职责，学校设的内设机构有：校长室、总</w:t>
      </w:r>
      <w:r>
        <w:rPr>
          <w:rFonts w:hint="eastAsia" w:ascii="宋体" w:hAnsi="宋体" w:eastAsia="宋体" w:cs="宋体"/>
          <w:sz w:val="30"/>
          <w:szCs w:val="30"/>
        </w:rPr>
        <w:t>务处、教务处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、政工处</w:t>
      </w:r>
      <w:r>
        <w:rPr>
          <w:rFonts w:hint="eastAsia" w:ascii="宋体" w:hAnsi="宋体" w:eastAsia="宋体" w:cs="宋体"/>
          <w:sz w:val="30"/>
          <w:szCs w:val="30"/>
        </w:rPr>
        <w:t>等。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核定人员编制数：42人，实际在职人数：42人</w:t>
      </w:r>
    </w:p>
    <w:p w14:paraId="40300D83">
      <w:p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3.当年取得的主要事业成效。</w:t>
      </w:r>
    </w:p>
    <w:p w14:paraId="7530BC2B">
      <w:p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2024</w:t>
      </w:r>
      <w:r>
        <w:rPr>
          <w:rFonts w:hint="eastAsia" w:ascii="宋体" w:hAnsi="宋体" w:cs="宋体"/>
          <w:sz w:val="28"/>
          <w:szCs w:val="28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 w14:paraId="40EA575D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开展学生德育活动。通过多种有效途径加强学生爱国主义教育和公民道德教育，强化法制、安全、心理健康教育，收到较好效果。 </w:t>
      </w:r>
    </w:p>
    <w:p w14:paraId="6696C153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开展教学和教研活动。加强教学常规管理，贯彻落实减负措施。培养幼儿综合素质，切实开展“阳光体育”。</w:t>
      </w:r>
    </w:p>
    <w:p w14:paraId="4425D9AE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 w14:paraId="64BE7D3A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开展教师培训活动。规范教师培训制度，组织教职工开展师德培训，加强教育工作，根据校本培训方案认真实施校本培训工作，努力提升教师整体素质。</w:t>
      </w:r>
    </w:p>
    <w:p w14:paraId="61D9C5BB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 w14:paraId="7420D283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 w14:paraId="5369EB3F">
      <w:pPr>
        <w:numPr>
          <w:ilvl w:val="0"/>
          <w:numId w:val="2"/>
        </w:numPr>
        <w:snapToGrid w:val="0"/>
        <w:spacing w:line="24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积极参与政府组织的扶贫攻坚任务，切实做好贫困学生的助学活动。 </w:t>
      </w:r>
    </w:p>
    <w:p w14:paraId="6DDB2EAD">
      <w:pPr>
        <w:numPr>
          <w:ilvl w:val="0"/>
          <w:numId w:val="0"/>
        </w:numPr>
        <w:spacing w:beforeLines="-2147483648" w:afterLines="-2147483648" w:line="6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 w14:paraId="5D8DDB09">
      <w:pPr>
        <w:numPr>
          <w:ilvl w:val="0"/>
          <w:numId w:val="0"/>
        </w:numPr>
        <w:spacing w:beforeLines="-2147483648" w:afterLines="-2147483648" w:line="600" w:lineRule="exact"/>
        <w:ind w:firstLine="560" w:firstLineChars="200"/>
        <w:rPr>
          <w:rFonts w:hint="default" w:ascii="楷体_GB2312" w:hAnsi="楷体_GB2312" w:eastAsia="楷体_GB2312" w:cs="Times New Roman"/>
          <w:sz w:val="32"/>
          <w:szCs w:val="32"/>
        </w:rPr>
      </w:pPr>
      <w:r>
        <w:rPr>
          <w:rFonts w:hint="eastAsia" w:ascii="宋体" w:hAnsi="宋体" w:eastAsia="楷体_GB2312" w:cs="宋体"/>
          <w:sz w:val="28"/>
          <w:szCs w:val="28"/>
          <w:lang w:val="en-US" w:eastAsia="zh-CN"/>
        </w:rPr>
        <w:t>（二）</w:t>
      </w:r>
      <w:r>
        <w:rPr>
          <w:rFonts w:hint="default" w:ascii="楷体_GB2312" w:hAnsi="楷体_GB2312" w:eastAsia="楷体_GB2312" w:cs="Times New Roman"/>
          <w:sz w:val="32"/>
          <w:szCs w:val="32"/>
        </w:rPr>
        <w:t>部门（单位）年度整体支出绩效目标，项目支出绩效目标</w:t>
      </w:r>
    </w:p>
    <w:p w14:paraId="5D645539">
      <w:pPr>
        <w:numPr>
          <w:ilvl w:val="0"/>
          <w:numId w:val="0"/>
        </w:numPr>
        <w:spacing w:beforeLines="-2147483648" w:afterLines="-2147483648" w:line="600" w:lineRule="exact"/>
        <w:ind w:firstLine="60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654.44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万元，其中涉及项目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79.83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万元，自评覆盖率达到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%。绩效自评结果显示，上述项目支出绩效情况较为理想，均达到了项目申请时设定的各项绩效目标</w:t>
      </w:r>
    </w:p>
    <w:p w14:paraId="16906ABD"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74A20DDE">
      <w:pPr>
        <w:pStyle w:val="8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3847BB8C">
      <w:pPr>
        <w:widowControl/>
        <w:numPr>
          <w:ilvl w:val="0"/>
          <w:numId w:val="0"/>
        </w:numPr>
        <w:spacing w:line="600" w:lineRule="atLeast"/>
        <w:ind w:firstLine="600" w:firstLineChars="20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基本支出：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647.4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89.02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%。一般公共预算财政拨款基本支出中人员经费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598.42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费48.98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</w:t>
      </w:r>
    </w:p>
    <w:p w14:paraId="7C0741DD">
      <w:pPr>
        <w:pStyle w:val="8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4F4D98E5">
      <w:pPr>
        <w:pStyle w:val="8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  <w:lang w:val="en-US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项目支出：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79.83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万元，占总支出的比重为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10.98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%，是指单位为完成特定行政工作任务或事业发展目标而发生的支出，其中：1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营养午餐31.153万，2、校舍维修改造1.1万元，3、课后服务4.3414万4、义务教育薄弱环节改善与能力提升补助资金43.033万元。</w:t>
      </w:r>
    </w:p>
    <w:p w14:paraId="0E0B23D4">
      <w:pPr>
        <w:pStyle w:val="8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0BB6EEEF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7441BAD9"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74470DE4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48A5C8B4">
      <w:pPr>
        <w:pStyle w:val="8"/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768A1340">
      <w:pPr>
        <w:pStyle w:val="8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7BBA63F4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3B8F4B7A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年度部门整体支出状况的概述和分析，部门整体支出绩效情况如下：</w:t>
      </w:r>
    </w:p>
    <w:p w14:paraId="61F218BD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（一）经济效益评价</w:t>
      </w:r>
    </w:p>
    <w:p w14:paraId="6B5389D9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1. 本年预算配置控制较好。财政供养人员控制在预算编制以内，编制内在职人员控制率为100%；“三公”经费预算总额较上年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，主要原因是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根据上一年度决算进行预算</w:t>
      </w:r>
    </w:p>
    <w:p w14:paraId="42BF653A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2. 预算执行方面。支出总额控制在预算总额以内；“三公”经费总体控制较好，未超本年预算。</w:t>
      </w:r>
    </w:p>
    <w:p w14:paraId="2F16FE38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3.预算管理方面，制度执行总体较为有效，仍需进一步强化；资金使用管理需进一步加强。</w:t>
      </w:r>
    </w:p>
    <w:p w14:paraId="25A6377C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（二）效率性评价和有效性评价</w:t>
      </w:r>
    </w:p>
    <w:p w14:paraId="0EF0F6A4">
      <w:pPr>
        <w:pStyle w:val="8"/>
        <w:spacing w:line="600" w:lineRule="exact"/>
        <w:ind w:firstLine="640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 w14:paraId="785EDC10"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78E21674">
      <w:pPr>
        <w:pStyle w:val="4"/>
        <w:widowControl/>
        <w:shd w:val="clear" w:color="auto" w:fill="FFFFFF"/>
        <w:spacing w:before="0" w:beforeAutospacing="0" w:after="0" w:afterAutospacing="0" w:line="240" w:lineRule="auto"/>
        <w:ind w:firstLine="645"/>
        <w:jc w:val="both"/>
        <w:rPr>
          <w:rFonts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1941C7E8">
      <w:pPr>
        <w:numPr>
          <w:ilvl w:val="0"/>
          <w:numId w:val="5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3635CE9F">
      <w:pPr>
        <w:spacing w:line="600" w:lineRule="exact"/>
        <w:ind w:firstLine="640" w:firstLineChars="200"/>
        <w:rPr>
          <w:rFonts w:hint="default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 w14:paraId="1766A283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526CE75A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647B79C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C77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BB0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37A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6D01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A9F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8A6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22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88C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62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0FD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AD2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79C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88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0781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947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456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42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75E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B6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837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11FD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9AC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609D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11A28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94F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CCD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C2C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A0B6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632F9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49E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AE7B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D1E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90E4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D08C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60B7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AD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736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166B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58B5B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72ED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060B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621.24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684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AD3E9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27034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E7671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94D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2110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31.33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329B2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48.98</w:t>
            </w:r>
          </w:p>
        </w:tc>
      </w:tr>
      <w:tr w14:paraId="06BA1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7F479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AA5EF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FF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2.92</w:t>
            </w: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1AE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2110C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12.45</w:t>
            </w:r>
          </w:p>
        </w:tc>
      </w:tr>
      <w:tr w14:paraId="25777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CF08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816E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6.3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968D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A223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F057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4AC36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5774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1.03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07E1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E22D0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61A7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822C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12E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2A9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0D6F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8B03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9E38A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158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44E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27B7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1DF2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ADE1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339A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7B0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3187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DA7E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88D2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801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713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DBCC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37A5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AD84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5A65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9AD39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99CF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B7D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D0A4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ABA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507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60651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1.74</w:t>
            </w:r>
          </w:p>
        </w:tc>
      </w:tr>
      <w:tr w14:paraId="116D6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8E7F2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2698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75.1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13F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A55F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66.2</w:t>
            </w:r>
          </w:p>
        </w:tc>
      </w:tr>
      <w:tr w14:paraId="3A09A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917F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C40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8B7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709F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E46A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C5D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8A9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2E5D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B8D7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88B4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A77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225244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C95F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237415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91BB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381F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FFA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25B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EB50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7AE5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B7EC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971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20B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A5A8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C931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A59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4E8B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04CD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7C88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 w14:paraId="16DEFDB7">
            <w:pPr>
              <w:widowControl/>
              <w:jc w:val="both"/>
              <w:rPr>
                <w:rFonts w:hint="eastAsia" w:ascii="Times New Roman" w:hAnsi="Times New Roman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ascii="仿宋_GB2312" w:hAnsi="仿宋_GB2312" w:eastAsia="仿宋_GB2312"/>
                <w:kern w:val="0"/>
              </w:rPr>
              <w:t>　</w:t>
            </w:r>
            <w:r>
              <w:rPr>
                <w:rFonts w:eastAsia="仿宋_GB2312"/>
                <w:kern w:val="0"/>
              </w:rPr>
              <w:t>　</w:t>
            </w:r>
          </w:p>
        </w:tc>
      </w:tr>
    </w:tbl>
    <w:p w14:paraId="0AC7C7E4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356D2B">
      <w:pPr>
        <w:spacing w:beforeLines="0" w:afterLines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25C17292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C6E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廖时强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2025年6月11日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176****7050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</w:p>
    <w:p w14:paraId="5CDB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盘永业</w:t>
      </w:r>
      <w:r>
        <w:rPr>
          <w:rFonts w:hint="default" w:eastAsia="仿宋_GB2312"/>
          <w:sz w:val="22"/>
          <w:szCs w:val="24"/>
        </w:rPr>
        <w:br w:type="page"/>
      </w:r>
    </w:p>
    <w:p w14:paraId="2403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 w14:paraId="11D98B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object>
          <v:shape id="_x0000_i1027" o:spt="75" type="#_x0000_t75" style="height:632.35pt;width:414.9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Office12.Excel.Template" ShapeID="_x0000_i1027" DrawAspect="Content" ObjectID="_1468075725" r:id="rId7">
            <o:LockedField>false</o:LockedField>
          </o:OLEObject>
        </w:object>
      </w:r>
    </w:p>
    <w:p w14:paraId="0E18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default" w:eastAsia="仿宋_GB2312"/>
          <w:sz w:val="22"/>
          <w:szCs w:val="24"/>
        </w:rPr>
        <w:br w:type="page"/>
      </w:r>
    </w:p>
    <w:p w14:paraId="6DC63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0C6E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251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050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D5EF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学生营养改善计划支出</w:t>
            </w:r>
          </w:p>
        </w:tc>
      </w:tr>
      <w:tr w14:paraId="5DD36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82FB3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452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0943C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30万</w:t>
            </w:r>
          </w:p>
        </w:tc>
      </w:tr>
      <w:tr w14:paraId="755E0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198A5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E63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D6AF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1DCC7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65370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814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94E5F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提高学生营养，改善学生体质</w:t>
            </w:r>
          </w:p>
        </w:tc>
      </w:tr>
      <w:tr w14:paraId="0344E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FE8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6D1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327FAA">
            <w:pPr>
              <w:spacing w:beforeLines="0" w:afterLine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根据上级部门制定的专项资金管理办法，专款专用。2024年营养餐资金全部用于学生营养午餐</w:t>
            </w:r>
          </w:p>
        </w:tc>
      </w:tr>
      <w:tr w14:paraId="16426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9F29B1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5F8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2751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50422E">
            <w:pPr>
              <w:spacing w:beforeLines="0" w:afterLines="0"/>
              <w:ind w:firstLine="1200" w:firstLineChars="5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项目绩效目标100%完成</w:t>
            </w:r>
          </w:p>
          <w:p w14:paraId="58D149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2AFD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EDE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80B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BFBD4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未能及时申请项目资金</w:t>
            </w:r>
          </w:p>
          <w:p w14:paraId="44AE265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7AA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FB17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BD2E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5E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EB7A3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积极上级申请资金</w:t>
            </w:r>
          </w:p>
        </w:tc>
      </w:tr>
      <w:tr w14:paraId="781E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A7072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F63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97DEC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721BEB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882C0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2683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6BFC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7095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274E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 w14:paraId="6C3C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A1F5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D5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6A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BB0F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义务教育薄弱环节改善与能力提升补助资金</w:t>
            </w:r>
          </w:p>
        </w:tc>
      </w:tr>
      <w:tr w14:paraId="1B254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0610C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994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9A276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10万元</w:t>
            </w:r>
          </w:p>
        </w:tc>
      </w:tr>
      <w:tr w14:paraId="3D032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B330F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595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F61FB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双牌县教育局</w:t>
            </w:r>
          </w:p>
        </w:tc>
      </w:tr>
      <w:tr w14:paraId="3C67C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E27A2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893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348B5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改善校园环境</w:t>
            </w:r>
          </w:p>
        </w:tc>
      </w:tr>
      <w:tr w14:paraId="3258C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A6C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FD1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55634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根据上级部门制定的专项资金管理办法，专款专用。</w:t>
            </w:r>
          </w:p>
          <w:p w14:paraId="71E0CC77">
            <w:pPr>
              <w:pStyle w:val="5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资金用于教师宿舍楼尾款及天翼云项目，已完成投入使用</w:t>
            </w:r>
          </w:p>
        </w:tc>
      </w:tr>
      <w:tr w14:paraId="24FD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70241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283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0D33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5F9642">
            <w:pPr>
              <w:spacing w:beforeLines="0" w:afterLines="0"/>
              <w:ind w:firstLine="1200" w:firstLineChars="5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项目绩效目标100%完成</w:t>
            </w:r>
          </w:p>
          <w:p w14:paraId="074C4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6311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03DF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E91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FEE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DFBB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850579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教师宿舍楼尾款，支付时间较长。本年度未预算该项目。教师宿舍楼尾款专款专用上几年度结转资金。</w:t>
            </w:r>
          </w:p>
          <w:p w14:paraId="72FE99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75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6E8B7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8CD7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128B85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积极报账解决积累问题</w:t>
            </w:r>
          </w:p>
        </w:tc>
      </w:tr>
      <w:tr w14:paraId="18A18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51549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6A04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242E0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DB29E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2A4B008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206F4D3">
      <w:pPr>
        <w:spacing w:beforeLines="0" w:after="120" w:afterLines="50" w:line="600" w:lineRule="exact"/>
        <w:ind w:firstLine="1320" w:firstLineChars="300"/>
        <w:jc w:val="both"/>
        <w:outlineLvl w:val="1"/>
        <w:rPr>
          <w:rFonts w:hint="eastAsia" w:ascii="方正小标宋简体" w:eastAsia="方正小标宋简体"/>
          <w:sz w:val="44"/>
          <w:szCs w:val="24"/>
          <w:lang w:eastAsia="zh-CN"/>
        </w:rPr>
      </w:pPr>
    </w:p>
    <w:p w14:paraId="2E1CF335">
      <w:pPr>
        <w:spacing w:beforeLines="0" w:after="120" w:afterLines="50" w:line="600" w:lineRule="exact"/>
        <w:ind w:firstLine="1320" w:firstLineChars="300"/>
        <w:jc w:val="both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1"/>
        <w:gridCol w:w="1015"/>
        <w:gridCol w:w="1025"/>
        <w:gridCol w:w="1290"/>
        <w:gridCol w:w="1140"/>
        <w:gridCol w:w="1140"/>
        <w:gridCol w:w="832"/>
        <w:gridCol w:w="877"/>
        <w:gridCol w:w="1146"/>
      </w:tblGrid>
      <w:tr w14:paraId="1AB87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27C7D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0E15B658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46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20C2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学生营养餐、校舍维修改造、班主任津贴、奖励、义务教育薄弱环节与能力提升补助资金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77F2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7" w:hRule="atLeast"/>
          <w:jc w:val="center"/>
        </w:trPr>
        <w:tc>
          <w:tcPr>
            <w:tcW w:w="9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2981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主管部门</w:t>
            </w: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E530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DF1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7D2F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双牌县麻江镇学校</w:t>
            </w:r>
          </w:p>
        </w:tc>
      </w:tr>
      <w:tr w14:paraId="2B3C3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077F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4AC8A1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18C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998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5023CF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656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03799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20A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743240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5B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8797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0054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C047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91F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BD2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236D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F275A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79.83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905B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79.83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DAA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BD82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D0B03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0BF9C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F49B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DEA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其中：当年财政拨款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B5BD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858C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CBCA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A70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0D15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EA91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0D58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00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9E176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4DE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9D3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24A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B28A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B8B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3AFB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971B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2DA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0CFE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37D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CA1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BDE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2DDB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4EE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430A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BAB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B3BC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B25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5582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5794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309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71D1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学生营养改善计划支出和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学校宿舍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改造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学生卫生间维修改造完成投入使用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58696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实际付款79.83万元</w:t>
            </w:r>
          </w:p>
        </w:tc>
      </w:tr>
      <w:tr w14:paraId="10B12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2AB1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6B368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267E3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1A92A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7E91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22D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8E7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978E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62E5A9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58E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4F0083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A93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3A5C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0929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3CE646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3BB731D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47254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A613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0BE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65FBC6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96FD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33BBAB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A117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AAAA77"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57万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C646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79.83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462CC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0C63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1377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C83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33D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A66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539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6D4D4">
            <w:pPr>
              <w:tabs>
                <w:tab w:val="center" w:pos="587"/>
              </w:tabs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9D81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90BA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16E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8E0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1F41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04E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87A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59BB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C53F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0DDEF1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A460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520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0FB9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9B4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D6AB3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7ECF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F6E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AA6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6DC4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257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7C5D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30B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A1DE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659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3A2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D1309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24B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389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13A6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35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1C691D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0547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A01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C0AE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66B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5B2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7E04B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1B3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6018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9B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EFD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D4BD8C"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0AC139"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94F5E7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CE64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294F8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90FF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E74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354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E6C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85558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F93D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31540D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15"/>
                <w:szCs w:val="15"/>
                <w:lang w:eastAsia="zh-CN"/>
              </w:rPr>
              <w:t>学生营养餐、校舍维修改造、班主任津贴、奖励、义务教育薄弱环节与能力提升补助资金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37F7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1EE15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79.83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2CBDB4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DCF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6953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27F2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7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08F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27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C45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0B5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347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E49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5721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FF3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831C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4D6A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3EC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96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04A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046B1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已完工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F0B15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DC1FA3">
            <w:pPr>
              <w:widowControl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96B7B">
            <w:pPr>
              <w:widowControl/>
              <w:spacing w:line="300" w:lineRule="exact"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30B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5DD5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20A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7A0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FC1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BC9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1C80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B5C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312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0B02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4C7F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866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D99B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A3C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C762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A78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187A9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完成时段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E5FEE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0834B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D49BF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F5F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9AA4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5E7D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4D9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346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22C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C08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46F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072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A98E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D8C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7C11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A8A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D1F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846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1C61C5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062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665106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FAD24A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A51FD7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  <w:p w14:paraId="06410D3A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3A790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99%</w:t>
            </w:r>
          </w:p>
          <w:p w14:paraId="4D9890B8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BE268"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20</w:t>
            </w:r>
          </w:p>
          <w:p w14:paraId="235EFF3F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D398D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18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0D5DF3F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  <w:p w14:paraId="7F7954E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DA6C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07D2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C56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986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573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5E2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708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DBF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9532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FC6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EBC5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3CF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C16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4BD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32F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342AE0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05C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05D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8EA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ED12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2836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9BCA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0B49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E70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EC9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0E8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D5F0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01C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44D4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F01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969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8E2E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BC4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1F7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6776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ECD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70E5E5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18D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9AC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58F6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8492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A2E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CF3B8D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9A59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9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F7C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FA3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2E2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FC1C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1983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7BD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D0C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CB347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5FC9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2314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771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E82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0FB3A0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5A673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538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7FB30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A5AA70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  <w:p w14:paraId="71122DDD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5EE23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  <w:p w14:paraId="27CBEB24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44B1B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  <w:p w14:paraId="75E24DF2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E84CA"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  <w:p w14:paraId="4C7A1223"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6FBF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66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9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836C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60D5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B72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B92BB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325B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3EB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F7E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90F0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F0DB6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D6C9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39A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48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DB3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268BA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B87EA0D"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廖时强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2025年6月11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176****7050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字：盘永业</w:t>
      </w:r>
    </w:p>
    <w:p w14:paraId="6D6C9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6912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4CA28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E4CA28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FD139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51D5C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351D5C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E07AF"/>
    <w:multiLevelType w:val="singleLevel"/>
    <w:tmpl w:val="0BCE07A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D49D10"/>
    <w:multiLevelType w:val="singleLevel"/>
    <w:tmpl w:val="12D49D1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E47317"/>
    <w:multiLevelType w:val="singleLevel"/>
    <w:tmpl w:val="1FE473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E0DDE35"/>
    <w:multiLevelType w:val="singleLevel"/>
    <w:tmpl w:val="3E0DDE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DE74934"/>
    <w:multiLevelType w:val="singleLevel"/>
    <w:tmpl w:val="5DE74934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NDMwZGZhYjQ0OWQzYjJhZDgyOWNhOTkyYjlhYTYifQ=="/>
  </w:docVars>
  <w:rsids>
    <w:rsidRoot w:val="00172A27"/>
    <w:rsid w:val="1A0D73C1"/>
    <w:rsid w:val="1AD734D7"/>
    <w:rsid w:val="2488330E"/>
    <w:rsid w:val="48A46740"/>
    <w:rsid w:val="59FE65C0"/>
    <w:rsid w:val="5B980AD0"/>
    <w:rsid w:val="613574AE"/>
    <w:rsid w:val="709C05D9"/>
    <w:rsid w:val="7233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4143</Words>
  <Characters>4596</Characters>
  <Lines>1</Lines>
  <Paragraphs>1</Paragraphs>
  <TotalTime>2</TotalTime>
  <ScaleCrop>false</ScaleCrop>
  <LinksUpToDate>false</LinksUpToDate>
  <CharactersWithSpaces>4872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2023-09-14T11:53:00Z</dcterms:created>
  <dc:creator>煊宝</dc:creator>
  <cp:lastModifiedBy>Administrator</cp:lastModifiedBy>
  <dcterms:modified xsi:type="dcterms:W3CDTF">2025-08-02T08:14:34Z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E28F8397BEE446C1BF7862AC8E935F12_13</vt:lpwstr>
  </property>
</Properties>
</file>