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D23E9">
      <w:pPr>
        <w:jc w:val="center"/>
        <w:rPr>
          <w:rFonts w:eastAsia="方正小标宋_GBK"/>
          <w:sz w:val="48"/>
          <w:szCs w:val="48"/>
        </w:rPr>
      </w:pPr>
      <w:r>
        <w:rPr>
          <w:rFonts w:hint="eastAsia"/>
          <w:sz w:val="48"/>
          <w:szCs w:val="48"/>
        </w:rPr>
        <w:t>202</w:t>
      </w:r>
      <w:r>
        <w:rPr>
          <w:rFonts w:hint="eastAsia"/>
          <w:sz w:val="48"/>
          <w:szCs w:val="48"/>
          <w:lang w:val="en-US" w:eastAsia="zh-CN"/>
        </w:rPr>
        <w:t>4</w:t>
      </w:r>
      <w:r>
        <w:rPr>
          <w:rFonts w:ascii="方正小标宋_GBK" w:hAnsi="方正小标宋_GBK" w:eastAsia="方正小标宋_GBK"/>
          <w:sz w:val="48"/>
          <w:szCs w:val="48"/>
        </w:rPr>
        <w:t>年度</w:t>
      </w:r>
      <w:r>
        <w:rPr>
          <w:rFonts w:hint="eastAsia"/>
          <w:sz w:val="48"/>
          <w:szCs w:val="48"/>
        </w:rPr>
        <w:t>双牌县图书馆</w:t>
      </w:r>
      <w:r>
        <w:rPr>
          <w:rFonts w:ascii="方正小标宋_GBK" w:hAnsi="方正小标宋_GBK" w:eastAsia="方正小标宋_GBK"/>
          <w:sz w:val="48"/>
          <w:szCs w:val="48"/>
        </w:rPr>
        <w:t>整体支出绩效自评报告</w:t>
      </w:r>
    </w:p>
    <w:p w14:paraId="3CEE0476">
      <w:pPr>
        <w:jc w:val="center"/>
        <w:rPr>
          <w:rFonts w:eastAsia="黑体"/>
          <w:sz w:val="32"/>
          <w:szCs w:val="32"/>
        </w:rPr>
      </w:pPr>
      <w:r>
        <w:rPr>
          <w:rFonts w:eastAsia="黑体"/>
          <w:sz w:val="32"/>
          <w:szCs w:val="32"/>
        </w:rPr>
        <w:t xml:space="preserve"> </w:t>
      </w:r>
    </w:p>
    <w:p w14:paraId="11BADEA8">
      <w:pPr>
        <w:jc w:val="center"/>
        <w:rPr>
          <w:rFonts w:eastAsia="黑体"/>
          <w:sz w:val="32"/>
          <w:szCs w:val="32"/>
        </w:rPr>
      </w:pPr>
      <w:r>
        <w:rPr>
          <w:rFonts w:eastAsia="黑体"/>
          <w:sz w:val="32"/>
          <w:szCs w:val="32"/>
        </w:rPr>
        <w:t xml:space="preserve"> </w:t>
      </w:r>
    </w:p>
    <w:p w14:paraId="0399250A">
      <w:pPr>
        <w:jc w:val="center"/>
        <w:rPr>
          <w:rFonts w:eastAsia="黑体"/>
          <w:sz w:val="32"/>
          <w:szCs w:val="32"/>
        </w:rPr>
      </w:pPr>
      <w:r>
        <w:rPr>
          <w:rFonts w:eastAsia="黑体"/>
          <w:sz w:val="32"/>
          <w:szCs w:val="32"/>
        </w:rPr>
        <w:t xml:space="preserve"> </w:t>
      </w:r>
    </w:p>
    <w:p w14:paraId="0D719FDC">
      <w:pPr>
        <w:jc w:val="center"/>
        <w:rPr>
          <w:rFonts w:eastAsia="黑体"/>
          <w:sz w:val="32"/>
          <w:szCs w:val="32"/>
        </w:rPr>
      </w:pPr>
      <w:r>
        <w:rPr>
          <w:rFonts w:eastAsia="黑体"/>
          <w:sz w:val="32"/>
          <w:szCs w:val="32"/>
        </w:rPr>
        <w:t xml:space="preserve"> </w:t>
      </w:r>
    </w:p>
    <w:p w14:paraId="3E9CF799">
      <w:pPr>
        <w:jc w:val="center"/>
        <w:rPr>
          <w:rFonts w:eastAsia="黑体"/>
          <w:sz w:val="32"/>
          <w:szCs w:val="32"/>
        </w:rPr>
      </w:pPr>
      <w:r>
        <w:rPr>
          <w:rFonts w:eastAsia="黑体"/>
          <w:sz w:val="32"/>
          <w:szCs w:val="32"/>
        </w:rPr>
        <w:t xml:space="preserve"> </w:t>
      </w:r>
    </w:p>
    <w:p w14:paraId="57CF98D7">
      <w:pPr>
        <w:jc w:val="center"/>
        <w:rPr>
          <w:rFonts w:eastAsia="黑体"/>
          <w:sz w:val="32"/>
          <w:szCs w:val="32"/>
        </w:rPr>
      </w:pPr>
      <w:r>
        <w:rPr>
          <w:rFonts w:eastAsia="黑体"/>
          <w:sz w:val="32"/>
          <w:szCs w:val="32"/>
        </w:rPr>
        <w:t xml:space="preserve"> </w:t>
      </w:r>
    </w:p>
    <w:p w14:paraId="1DF72091">
      <w:pPr>
        <w:ind w:firstLine="880" w:firstLineChars="200"/>
        <w:jc w:val="center"/>
        <w:rPr>
          <w:rFonts w:eastAsia="黑体"/>
          <w:sz w:val="44"/>
          <w:szCs w:val="44"/>
        </w:rPr>
      </w:pPr>
      <w:r>
        <w:rPr>
          <w:rFonts w:eastAsia="黑体"/>
          <w:sz w:val="44"/>
          <w:szCs w:val="44"/>
        </w:rPr>
        <w:t xml:space="preserve"> </w:t>
      </w:r>
    </w:p>
    <w:p w14:paraId="4E3CE73A">
      <w:pPr>
        <w:ind w:firstLine="880" w:firstLineChars="200"/>
        <w:jc w:val="center"/>
        <w:rPr>
          <w:rFonts w:eastAsia="黑体"/>
          <w:sz w:val="44"/>
          <w:szCs w:val="44"/>
        </w:rPr>
      </w:pPr>
      <w:r>
        <w:rPr>
          <w:rFonts w:eastAsia="黑体"/>
          <w:sz w:val="44"/>
          <w:szCs w:val="44"/>
        </w:rPr>
        <w:t xml:space="preserve"> </w:t>
      </w:r>
    </w:p>
    <w:p w14:paraId="4EB7C60F">
      <w:pPr>
        <w:ind w:firstLine="880" w:firstLineChars="200"/>
        <w:jc w:val="center"/>
        <w:rPr>
          <w:rFonts w:eastAsia="黑体"/>
          <w:sz w:val="44"/>
          <w:szCs w:val="44"/>
        </w:rPr>
      </w:pPr>
      <w:r>
        <w:rPr>
          <w:rFonts w:eastAsia="黑体"/>
          <w:sz w:val="44"/>
          <w:szCs w:val="44"/>
        </w:rPr>
        <w:t xml:space="preserve"> </w:t>
      </w:r>
    </w:p>
    <w:p w14:paraId="006B1ED2">
      <w:pPr>
        <w:ind w:firstLine="720" w:firstLineChars="200"/>
        <w:rPr>
          <w:rFonts w:hint="default" w:ascii="黑体" w:hAnsi="黑体" w:eastAsia="黑体"/>
          <w:sz w:val="36"/>
          <w:szCs w:val="36"/>
          <w:u w:val="single"/>
          <w:lang w:val="en-US" w:eastAsia="zh-CN"/>
        </w:rPr>
      </w:pPr>
      <w:r>
        <w:rPr>
          <w:rFonts w:hint="eastAsia" w:ascii="黑体" w:hAnsi="黑体" w:eastAsia="黑体"/>
          <w:sz w:val="36"/>
          <w:szCs w:val="36"/>
        </w:rPr>
        <w:t xml:space="preserve"> </w:t>
      </w:r>
      <w:r>
        <w:rPr>
          <w:rFonts w:ascii="黑体" w:hAnsi="黑体" w:eastAsia="黑体"/>
          <w:sz w:val="36"/>
          <w:szCs w:val="36"/>
        </w:rPr>
        <w:t>单位名称（盖章）：</w:t>
      </w:r>
      <w:r>
        <w:rPr>
          <w:rFonts w:hint="eastAsia" w:ascii="黑体" w:hAnsi="黑体" w:eastAsia="黑体"/>
          <w:sz w:val="36"/>
          <w:szCs w:val="36"/>
          <w:lang w:val="en-US" w:eastAsia="zh-CN"/>
        </w:rPr>
        <w:t xml:space="preserve"> </w:t>
      </w:r>
      <w:r>
        <w:rPr>
          <w:rFonts w:hint="eastAsia" w:ascii="黑体" w:hAnsi="黑体" w:eastAsia="黑体"/>
          <w:sz w:val="36"/>
          <w:szCs w:val="36"/>
          <w:u w:val="single"/>
        </w:rPr>
        <w:t>双</w:t>
      </w:r>
      <w:r>
        <w:rPr>
          <w:rFonts w:hint="eastAsia" w:ascii="黑体" w:hAnsi="黑体" w:eastAsia="黑体"/>
          <w:sz w:val="36"/>
          <w:szCs w:val="36"/>
          <w:u w:val="single"/>
          <w:lang w:val="en-US" w:eastAsia="zh-CN"/>
        </w:rPr>
        <w:t xml:space="preserve"> </w:t>
      </w:r>
      <w:r>
        <w:rPr>
          <w:rFonts w:hint="eastAsia" w:ascii="黑体" w:hAnsi="黑体" w:eastAsia="黑体"/>
          <w:sz w:val="36"/>
          <w:szCs w:val="36"/>
          <w:u w:val="single"/>
        </w:rPr>
        <w:t>牌</w:t>
      </w:r>
      <w:r>
        <w:rPr>
          <w:rFonts w:hint="eastAsia" w:ascii="黑体" w:hAnsi="黑体" w:eastAsia="黑体"/>
          <w:sz w:val="36"/>
          <w:szCs w:val="36"/>
          <w:u w:val="single"/>
          <w:lang w:val="en-US" w:eastAsia="zh-CN"/>
        </w:rPr>
        <w:t xml:space="preserve"> </w:t>
      </w:r>
      <w:r>
        <w:rPr>
          <w:rFonts w:hint="eastAsia" w:ascii="黑体" w:hAnsi="黑体" w:eastAsia="黑体"/>
          <w:sz w:val="36"/>
          <w:szCs w:val="36"/>
          <w:u w:val="single"/>
        </w:rPr>
        <w:t>县</w:t>
      </w:r>
      <w:r>
        <w:rPr>
          <w:rFonts w:hint="eastAsia" w:ascii="黑体" w:hAnsi="黑体" w:eastAsia="黑体"/>
          <w:sz w:val="36"/>
          <w:szCs w:val="36"/>
          <w:u w:val="single"/>
          <w:lang w:val="en-US" w:eastAsia="zh-CN"/>
        </w:rPr>
        <w:t xml:space="preserve"> </w:t>
      </w:r>
      <w:r>
        <w:rPr>
          <w:rFonts w:hint="eastAsia" w:ascii="黑体" w:hAnsi="黑体" w:eastAsia="黑体"/>
          <w:sz w:val="36"/>
          <w:szCs w:val="36"/>
          <w:u w:val="single"/>
        </w:rPr>
        <w:t>图</w:t>
      </w:r>
      <w:r>
        <w:rPr>
          <w:rFonts w:hint="eastAsia" w:ascii="黑体" w:hAnsi="黑体" w:eastAsia="黑体"/>
          <w:sz w:val="36"/>
          <w:szCs w:val="36"/>
          <w:u w:val="single"/>
          <w:lang w:val="en-US" w:eastAsia="zh-CN"/>
        </w:rPr>
        <w:t xml:space="preserve"> </w:t>
      </w:r>
      <w:r>
        <w:rPr>
          <w:rFonts w:hint="eastAsia" w:ascii="黑体" w:hAnsi="黑体" w:eastAsia="黑体"/>
          <w:sz w:val="36"/>
          <w:szCs w:val="36"/>
          <w:u w:val="single"/>
        </w:rPr>
        <w:t>书</w:t>
      </w:r>
      <w:r>
        <w:rPr>
          <w:rFonts w:hint="eastAsia" w:ascii="黑体" w:hAnsi="黑体" w:eastAsia="黑体"/>
          <w:sz w:val="36"/>
          <w:szCs w:val="36"/>
          <w:u w:val="single"/>
          <w:lang w:val="en-US" w:eastAsia="zh-CN"/>
        </w:rPr>
        <w:t xml:space="preserve"> </w:t>
      </w:r>
      <w:r>
        <w:rPr>
          <w:rFonts w:hint="eastAsia" w:ascii="黑体" w:hAnsi="黑体" w:eastAsia="黑体"/>
          <w:sz w:val="36"/>
          <w:szCs w:val="36"/>
          <w:u w:val="single"/>
        </w:rPr>
        <w:t>馆</w:t>
      </w:r>
      <w:r>
        <w:rPr>
          <w:rFonts w:hint="eastAsia" w:ascii="黑体" w:hAnsi="黑体" w:eastAsia="黑体"/>
          <w:sz w:val="36"/>
          <w:szCs w:val="36"/>
          <w:u w:val="single"/>
          <w:lang w:val="en-US" w:eastAsia="zh-CN"/>
        </w:rPr>
        <w:t xml:space="preserve">  </w:t>
      </w:r>
    </w:p>
    <w:p w14:paraId="59FF3985">
      <w:pPr>
        <w:pStyle w:val="6"/>
        <w:ind w:left="0" w:leftChars="0" w:firstLine="3240" w:firstLineChars="900"/>
        <w:rPr>
          <w:rFonts w:hint="default" w:ascii="黑体" w:hAnsi="黑体" w:eastAsia="黑体"/>
          <w:b w:val="0"/>
          <w:bCs w:val="0"/>
          <w:sz w:val="36"/>
          <w:szCs w:val="36"/>
          <w:u w:val="none"/>
          <w:lang w:val="en-US" w:eastAsia="zh-CN"/>
        </w:rPr>
      </w:pPr>
      <w:r>
        <w:rPr>
          <w:rFonts w:hint="eastAsia" w:ascii="黑体" w:hAnsi="黑体" w:eastAsia="黑体"/>
          <w:b w:val="0"/>
          <w:bCs w:val="0"/>
          <w:sz w:val="36"/>
          <w:szCs w:val="36"/>
          <w:u w:val="none"/>
          <w:lang w:val="en-US" w:eastAsia="zh-CN"/>
        </w:rPr>
        <w:t>2025年6月13日</w:t>
      </w:r>
    </w:p>
    <w:p w14:paraId="0F811CB8">
      <w:pPr>
        <w:jc w:val="center"/>
        <w:rPr>
          <w:rFonts w:eastAsia="黑体"/>
          <w:sz w:val="36"/>
          <w:szCs w:val="36"/>
        </w:rPr>
      </w:pPr>
    </w:p>
    <w:p w14:paraId="56FECA6B">
      <w:pPr>
        <w:jc w:val="center"/>
        <w:rPr>
          <w:rFonts w:eastAsia="黑体"/>
          <w:sz w:val="32"/>
          <w:szCs w:val="32"/>
        </w:rPr>
      </w:pPr>
      <w:r>
        <w:rPr>
          <w:rFonts w:eastAsia="黑体"/>
          <w:sz w:val="32"/>
          <w:szCs w:val="32"/>
        </w:rPr>
        <w:t xml:space="preserve"> </w:t>
      </w:r>
    </w:p>
    <w:p w14:paraId="2748BCD3">
      <w:pPr>
        <w:jc w:val="center"/>
        <w:rPr>
          <w:rFonts w:eastAsia="黑体"/>
          <w:sz w:val="32"/>
          <w:szCs w:val="32"/>
        </w:rPr>
      </w:pPr>
      <w:r>
        <w:rPr>
          <w:rFonts w:eastAsia="黑体"/>
          <w:sz w:val="32"/>
          <w:szCs w:val="32"/>
        </w:rPr>
        <w:t xml:space="preserve"> </w:t>
      </w:r>
    </w:p>
    <w:p w14:paraId="6310F69B">
      <w:pPr>
        <w:jc w:val="center"/>
        <w:rPr>
          <w:rFonts w:eastAsia="黑体"/>
          <w:sz w:val="32"/>
          <w:szCs w:val="32"/>
        </w:rPr>
      </w:pPr>
      <w:r>
        <w:rPr>
          <w:rFonts w:eastAsia="黑体"/>
          <w:sz w:val="32"/>
          <w:szCs w:val="32"/>
        </w:rPr>
        <w:t xml:space="preserve"> </w:t>
      </w:r>
    </w:p>
    <w:p w14:paraId="48E068C1">
      <w:pPr>
        <w:rPr>
          <w:rFonts w:eastAsia="黑体"/>
          <w:sz w:val="32"/>
          <w:szCs w:val="32"/>
        </w:rPr>
      </w:pPr>
      <w:r>
        <w:rPr>
          <w:rFonts w:eastAsia="黑体"/>
          <w:sz w:val="32"/>
          <w:szCs w:val="32"/>
        </w:rPr>
        <w:t xml:space="preserve"> </w:t>
      </w:r>
    </w:p>
    <w:p w14:paraId="1880DADC">
      <w:pPr>
        <w:rPr>
          <w:rFonts w:eastAsia="黑体"/>
          <w:sz w:val="32"/>
          <w:szCs w:val="32"/>
        </w:rPr>
      </w:pPr>
    </w:p>
    <w:p w14:paraId="7DFFEC6C">
      <w:pPr>
        <w:rPr>
          <w:rFonts w:eastAsia="黑体"/>
          <w:sz w:val="32"/>
          <w:szCs w:val="32"/>
        </w:rPr>
      </w:pPr>
    </w:p>
    <w:p w14:paraId="5C8C32C1">
      <w:pPr>
        <w:rPr>
          <w:rFonts w:eastAsia="黑体"/>
          <w:sz w:val="32"/>
          <w:szCs w:val="32"/>
        </w:rPr>
      </w:pPr>
    </w:p>
    <w:p w14:paraId="7217FA9C">
      <w:pPr>
        <w:spacing w:line="6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一、基本情况</w:t>
      </w:r>
    </w:p>
    <w:p w14:paraId="797D1F10">
      <w:pPr>
        <w:spacing w:line="60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（一）部门（单位）基本情况</w:t>
      </w:r>
    </w:p>
    <w:p w14:paraId="6F6DFDC1">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 机构、人员构成</w:t>
      </w:r>
    </w:p>
    <w:p w14:paraId="0FC1D506">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双牌县图书馆系全额拨款事业单位，现有内设机构：图书外借室、报刊阅览室、采编室、办公室、电子阅览室、多媒体报告厅等。</w:t>
      </w:r>
    </w:p>
    <w:p w14:paraId="56B4165C">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我单位纳入了财政预算，202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年年初预算，编制人数为7人；年</w:t>
      </w:r>
      <w:r>
        <w:rPr>
          <w:rFonts w:hint="eastAsia" w:ascii="仿宋" w:hAnsi="仿宋" w:eastAsia="仿宋" w:cs="仿宋"/>
          <w:color w:val="000000"/>
          <w:sz w:val="28"/>
          <w:szCs w:val="28"/>
          <w:lang w:val="en-US" w:eastAsia="zh-CN"/>
        </w:rPr>
        <w:t>末</w:t>
      </w:r>
      <w:r>
        <w:rPr>
          <w:rFonts w:hint="eastAsia" w:ascii="仿宋" w:hAnsi="仿宋" w:eastAsia="仿宋" w:cs="仿宋"/>
          <w:color w:val="000000"/>
          <w:sz w:val="28"/>
          <w:szCs w:val="28"/>
        </w:rPr>
        <w:t>预算实有在职人员</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人。</w:t>
      </w:r>
    </w:p>
    <w:p w14:paraId="774CE8EC">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2、单位主要职责</w:t>
      </w:r>
    </w:p>
    <w:p w14:paraId="1556DB55">
      <w:pPr>
        <w:pStyle w:val="5"/>
        <w:shd w:val="clear" w:color="auto" w:fill="FFFFFF"/>
        <w:spacing w:before="0" w:beforeAutospacing="0" w:after="0" w:afterAutospacing="0" w:line="24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（1）开展科技图书下乡宣传、送书下乡、项目服务辅导，开展文献收集、整理、保护、图书入藏；</w:t>
      </w:r>
    </w:p>
    <w:p w14:paraId="759BAACE">
      <w:pPr>
        <w:pStyle w:val="5"/>
        <w:shd w:val="clear" w:color="auto" w:fill="FFFFFF"/>
        <w:spacing w:before="0" w:beforeAutospacing="0" w:after="0" w:afterAutospacing="0" w:line="24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（2）图书采编、借阅、文献资料检索；</w:t>
      </w:r>
    </w:p>
    <w:p w14:paraId="34F2EF84">
      <w:pPr>
        <w:pStyle w:val="5"/>
        <w:shd w:val="clear" w:color="auto" w:fill="FFFFFF"/>
        <w:spacing w:before="0" w:beforeAutospacing="0" w:after="0" w:afterAutospacing="0" w:line="24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（3）开展图书外借、少儿阅览、科技咨询、报刊阅览、电子阅览等服务窗口免费对外开放；</w:t>
      </w:r>
    </w:p>
    <w:p w14:paraId="7B707E9B">
      <w:pPr>
        <w:pStyle w:val="5"/>
        <w:shd w:val="clear" w:color="auto" w:fill="FFFFFF"/>
        <w:spacing w:before="0" w:beforeAutospacing="0" w:after="0" w:afterAutospacing="0" w:line="24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（4）开展全国文化信息资源共享工程，进行资源整合、网络服务、传输活动；农家书屋、基层网点业务辅导。</w:t>
      </w:r>
    </w:p>
    <w:p w14:paraId="3AE881EC">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3、部门内部控制及厉行节约制度建设情况</w:t>
      </w:r>
    </w:p>
    <w:p w14:paraId="1194B7A1">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（1）高度重视预算支出绩效评价工作，成立了以胡燕萍馆长为组长，办公室负责人为成员的预算支出绩效评价领导小组，明确评价责任，进一步强化对财政预算支出管理意识。</w:t>
      </w:r>
    </w:p>
    <w:p w14:paraId="11C1AF40">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（2）加强对财政预算资金管理方面制度的学习培训，不断提高各职能处室的业务工作能力。及时组织中心人员学习县里出台的培训费、会议费、差旅费、公务接待等管理办法。</w:t>
      </w:r>
    </w:p>
    <w:p w14:paraId="0F5723DA">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（3）建立整体支出管理方面的内控制度，并不断进行完善和修订，对招待费、公务用车等支出进行了有效管控。</w:t>
      </w:r>
    </w:p>
    <w:p w14:paraId="2F503102">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（4）严格制度执行，特别是“三公”经费的预算控制。加强对公务用车的管理，严格招待费用审核审批程序，“三公”经费较好地控制在预算范围之内。</w:t>
      </w:r>
    </w:p>
    <w:p w14:paraId="7D70C455">
      <w:pPr>
        <w:pStyle w:val="6"/>
        <w:widowControl w:val="0"/>
        <w:numPr>
          <w:ilvl w:val="0"/>
          <w:numId w:val="0"/>
        </w:numPr>
        <w:spacing w:before="100" w:beforeLines="0" w:beforeAutospacing="1" w:after="120" w:afterLines="0"/>
        <w:jc w:val="both"/>
        <w:rPr>
          <w:rFonts w:hint="eastAsia" w:ascii="仿宋" w:hAnsi="仿宋" w:eastAsia="仿宋" w:cs="仿宋"/>
          <w:spacing w:val="-20"/>
          <w:kern w:val="0"/>
          <w:position w:val="6"/>
          <w:sz w:val="28"/>
          <w:szCs w:val="28"/>
          <w:lang w:val="en-US" w:eastAsia="zh-CN" w:bidi="ar-SA"/>
        </w:rPr>
      </w:pPr>
      <w:r>
        <w:rPr>
          <w:rFonts w:hint="eastAsia" w:ascii="仿宋_GB2312" w:hAnsi="仿宋_GB2312" w:eastAsia="仿宋_GB2312" w:cs="Times New Roman"/>
          <w:color w:val="000000"/>
          <w:kern w:val="2"/>
          <w:sz w:val="32"/>
          <w:szCs w:val="32"/>
          <w:lang w:val="en-US" w:eastAsia="zh-CN" w:bidi="ar-SA"/>
        </w:rPr>
        <w:t xml:space="preserve">    </w:t>
      </w:r>
      <w:r>
        <w:rPr>
          <w:rFonts w:hint="eastAsia" w:ascii="仿宋" w:hAnsi="仿宋" w:eastAsia="仿宋" w:cs="仿宋"/>
          <w:spacing w:val="-20"/>
          <w:kern w:val="0"/>
          <w:position w:val="6"/>
          <w:sz w:val="28"/>
          <w:szCs w:val="28"/>
          <w:lang w:val="en-US" w:eastAsia="zh-CN" w:bidi="ar-SA"/>
        </w:rPr>
        <w:t>双牌县图书馆属财政全额拨款的公益性事业单位，国家二级馆。现有工作人员5人，其中：馆内编制5人，大专文凭4人、中专1人，中级专业技术人员2人、高级技师1人、技师2人。</w:t>
      </w:r>
    </w:p>
    <w:p w14:paraId="5ABD1FEE">
      <w:pPr>
        <w:spacing w:line="60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（二）部门（单位）整体支出规模</w:t>
      </w:r>
    </w:p>
    <w:p w14:paraId="66396291">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一、年度整体支出绩效目标：</w:t>
      </w:r>
    </w:p>
    <w:p w14:paraId="13F96977">
      <w:pPr>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sz w:val="28"/>
          <w:szCs w:val="28"/>
        </w:rPr>
        <w:t>目标1：</w:t>
      </w:r>
      <w:r>
        <w:rPr>
          <w:rFonts w:hint="eastAsia" w:ascii="仿宋" w:hAnsi="仿宋" w:eastAsia="仿宋" w:cs="仿宋"/>
          <w:kern w:val="0"/>
          <w:sz w:val="28"/>
          <w:szCs w:val="28"/>
        </w:rPr>
        <w:t>积极开展全国文化信息资源共享工程，进行资源整合、网络服务、传输活动；</w:t>
      </w:r>
    </w:p>
    <w:p w14:paraId="609D7853">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目标2：</w:t>
      </w:r>
      <w:r>
        <w:rPr>
          <w:rFonts w:hint="eastAsia" w:ascii="仿宋" w:hAnsi="仿宋" w:eastAsia="仿宋" w:cs="仿宋"/>
          <w:kern w:val="0"/>
          <w:sz w:val="28"/>
          <w:szCs w:val="28"/>
        </w:rPr>
        <w:t>开展科技图书下乡宣传、项目服务辅导，开展文献收集、整理、保护、图书入藏；</w:t>
      </w:r>
    </w:p>
    <w:p w14:paraId="5DF69404">
      <w:pPr>
        <w:spacing w:line="6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目标3：组织全县读者阅读活动，获得群众</w:t>
      </w:r>
      <w:r>
        <w:rPr>
          <w:rFonts w:hint="eastAsia" w:ascii="仿宋" w:hAnsi="仿宋" w:eastAsia="仿宋" w:cs="仿宋"/>
          <w:color w:val="000000"/>
          <w:sz w:val="28"/>
          <w:szCs w:val="28"/>
          <w:lang w:val="en-US" w:eastAsia="zh-CN"/>
        </w:rPr>
        <w:t>97</w:t>
      </w:r>
      <w:bookmarkStart w:id="1" w:name="_GoBack"/>
      <w:bookmarkEnd w:id="1"/>
      <w:r>
        <w:rPr>
          <w:rFonts w:hint="eastAsia" w:ascii="仿宋" w:hAnsi="仿宋" w:eastAsia="仿宋" w:cs="仿宋"/>
          <w:color w:val="000000"/>
          <w:sz w:val="28"/>
          <w:szCs w:val="28"/>
        </w:rPr>
        <w:t>%满意度；</w:t>
      </w:r>
    </w:p>
    <w:p w14:paraId="01A5E6D3">
      <w:pPr>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sz w:val="28"/>
          <w:szCs w:val="28"/>
        </w:rPr>
        <w:t>目标4：</w:t>
      </w:r>
      <w:r>
        <w:rPr>
          <w:rFonts w:hint="eastAsia" w:ascii="仿宋" w:hAnsi="仿宋" w:eastAsia="仿宋" w:cs="仿宋"/>
          <w:kern w:val="0"/>
          <w:sz w:val="28"/>
          <w:szCs w:val="28"/>
        </w:rPr>
        <w:t>开展图书外借、少儿阅览、科技咨询、报刊阅览、电子阅览等服务窗口免费对外开放。</w:t>
      </w:r>
    </w:p>
    <w:p w14:paraId="77602699">
      <w:pPr>
        <w:pStyle w:val="9"/>
        <w:spacing w:beforeLines="0" w:afterLines="0" w:line="570" w:lineRule="exact"/>
        <w:ind w:firstLine="640"/>
        <w:outlineLvl w:val="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部门（单位）整体支出规模，包括但不限于部门整体支出情况、部门预算收支决算情况及“三公经费”支出使用和管理情况。</w:t>
      </w:r>
    </w:p>
    <w:p w14:paraId="2A888DE2">
      <w:pPr>
        <w:pStyle w:val="9"/>
        <w:spacing w:beforeLines="0" w:afterLines="0" w:line="570" w:lineRule="exact"/>
        <w:ind w:firstLine="640"/>
        <w:outlineLvl w:val="0"/>
        <w:rPr>
          <w:rFonts w:hint="default"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二、一般公共预算支出情况</w:t>
      </w:r>
    </w:p>
    <w:p w14:paraId="03536B9D">
      <w:pPr>
        <w:pStyle w:val="5"/>
        <w:shd w:val="clear" w:color="auto" w:fill="FFFFFF"/>
        <w:spacing w:before="0" w:beforeAutospacing="0" w:after="0" w:afterAutospacing="0" w:line="240" w:lineRule="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支出决算情况说明</w:t>
      </w:r>
    </w:p>
    <w:p w14:paraId="16CD8AA6">
      <w:pPr>
        <w:spacing w:line="520" w:lineRule="exact"/>
        <w:ind w:firstLine="560" w:firstLineChars="200"/>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2024年度一般公共预算财政拨款基本支出77.4万元，比上年66.70万元增加10.7万元，增加16.04%,</w:t>
      </w:r>
      <w:r>
        <w:rPr>
          <w:rFonts w:hint="eastAsia" w:ascii="仿宋" w:hAnsi="仿宋" w:eastAsia="仿宋" w:cs="仿宋"/>
          <w:color w:val="000000"/>
          <w:kern w:val="2"/>
          <w:sz w:val="28"/>
          <w:szCs w:val="28"/>
          <w:lang w:val="zh-CN" w:eastAsia="zh-CN" w:bidi="ar-SA"/>
        </w:rPr>
        <w:t>增减变化的主要原因是</w:t>
      </w:r>
      <w:r>
        <w:rPr>
          <w:rFonts w:hint="eastAsia" w:ascii="仿宋" w:hAnsi="仿宋" w:eastAsia="仿宋" w:cs="仿宋"/>
          <w:color w:val="000000"/>
          <w:kern w:val="2"/>
          <w:sz w:val="28"/>
          <w:szCs w:val="28"/>
          <w:lang w:val="en-US" w:eastAsia="zh-CN" w:bidi="ar-SA"/>
        </w:rPr>
        <w:t>：本年收入增加了免费开放经费。其中：一般公共预算财政拨款收入年初75.17万元，比上年增加8.5万元；政府性基金预算财政拨款收入年初预算0万元，比上年增减0万元；上级补助收入年初预算0万元，比上年增减0万元；事业收入年初预算0万元，比上年增减0万元；经营收入年初预算收入0万元，比上年增减0万元；附属单位上缴收入年初预算收入0万元，比上年增减0万元；其他收入年初预算收入0万元，比上年减少0万元。年度执行中因单位人数变动及单位事权调整，预算跟随调整情况，主要变化是：收入调整预算数为77.74万元，一般公共预算财政拨款收入年初预算75.17万元，其他收入2.2万元，年初结转结余0万元，其他未变。</w:t>
      </w:r>
    </w:p>
    <w:p w14:paraId="44314FDA">
      <w:pPr>
        <w:widowControl/>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按支出性质分类，其中：基本支出42.00万元，占财政拨款支出的55.87%；项目支出33.17万元，占财政拨款支出的44.13%。</w:t>
      </w:r>
    </w:p>
    <w:p w14:paraId="2CC034BB">
      <w:pPr>
        <w:widowControl/>
        <w:ind w:firstLine="560" w:firstLineChars="200"/>
        <w:jc w:val="lef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按经济分类，其中：按支出经济分类分析，工资福利支出36.60万元，占财政拨款支出的48.69%；商品和服务支出30.51万元，占财政拨款支出的40.59%；对个人和家庭的补助支出0.00万元，占财政拨款支出的0.00%；资本性支出（基本建设）支出0.00万元，占财政拨款支出的0.00%；资本性支出8.06万元，占财政拨款支出的10.72%；对企业补助0.00万元，占财政拨款支出的0.00%；其他支出0.00万元，占财政拨款支出的0.00%。</w:t>
      </w:r>
    </w:p>
    <w:p w14:paraId="745E88B4">
      <w:pPr>
        <w:pStyle w:val="5"/>
        <w:shd w:val="clear" w:color="auto" w:fill="FFFFFF"/>
        <w:spacing w:before="0" w:beforeAutospacing="0" w:after="0" w:afterAutospacing="0" w:line="240" w:lineRule="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2、2024年度财政拨款基本支出决算情况详细说明</w:t>
      </w:r>
    </w:p>
    <w:p w14:paraId="48AC4617">
      <w:pPr>
        <w:pStyle w:val="5"/>
        <w:shd w:val="clear" w:color="auto" w:fill="FFFFFF"/>
        <w:spacing w:before="0" w:beforeAutospacing="0" w:after="0" w:afterAutospacing="0" w:line="240" w:lineRule="auto"/>
        <w:ind w:firstLine="560" w:firstLineChars="200"/>
        <w:rPr>
          <w:rFonts w:hint="default"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2024年度一般公共预算财政拨款基本支出42万元，其中：工资福利支出36.60万元，主要包括：基本工资、津贴补贴、奖金、社会保险缴费、伙食补助费、绩效工资、职工基本医疗保险费、其他社会保障缴费、住房公积金、其他工资福利支出；其他对个人和家庭的补助支出0万元，主要包括：生活补助、奖励金；商品和服务支出5.4万元，主要包括：办公费、印刷费、咨询费、手续费、水费、电费、邮电费、取暖费、差旅费、维修（护）费、专用燃料费、租赁费、会议费、培训费、公务接待费、劳务费、工会经费、福利费、公务用车运行维护费、办公设备购置、其他交通费、其他商品和服务费；其他资本性支出。</w:t>
      </w:r>
    </w:p>
    <w:p w14:paraId="58A0AE06">
      <w:pPr>
        <w:pStyle w:val="9"/>
        <w:numPr>
          <w:ilvl w:val="0"/>
          <w:numId w:val="0"/>
        </w:numPr>
        <w:spacing w:beforeLines="0" w:afterLines="0" w:line="570" w:lineRule="exact"/>
        <w:ind w:leftChars="200"/>
        <w:outlineLvl w:val="1"/>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（二）项目支出情况</w:t>
      </w:r>
    </w:p>
    <w:p w14:paraId="21D1DD9B">
      <w:pPr>
        <w:pStyle w:val="5"/>
        <w:shd w:val="clear" w:color="auto" w:fill="FFFFFF"/>
        <w:spacing w:before="0" w:beforeAutospacing="0" w:after="0" w:afterAutospacing="0" w:line="240" w:lineRule="auto"/>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2024年度项目支出35.40万元，比上年增加2.23万元，增加6%，主要包括：办公费、印刷费、电费、邮电费、差旅费、劳务费、委托业务费、其他交通费、其他商品和服务费。</w:t>
      </w:r>
    </w:p>
    <w:p w14:paraId="440D5902">
      <w:pPr>
        <w:numPr>
          <w:ilvl w:val="0"/>
          <w:numId w:val="1"/>
        </w:numPr>
        <w:autoSpaceDN w:val="0"/>
        <w:ind w:firstLine="280" w:firstLineChars="1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“三公”经费预算执行情况</w:t>
      </w:r>
    </w:p>
    <w:p w14:paraId="679BE869">
      <w:pPr>
        <w:snapToGrid w:val="0"/>
        <w:spacing w:line="520" w:lineRule="exact"/>
        <w:ind w:firstLine="560" w:firstLineChars="20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“三公”经费支出情况：2024年预算数为0.66万元，未超预算。2023年“三公”经费完成1.1万元，比上年减少0.42万元，下降39.04%，增减变化的主要原因是：厉行节约，严格控制“三公”经费</w:t>
      </w:r>
      <w:r>
        <w:rPr>
          <w:rFonts w:hint="eastAsia" w:ascii="仿宋" w:hAnsi="仿宋" w:eastAsia="仿宋" w:cs="仿宋"/>
          <w:color w:val="000000"/>
          <w:kern w:val="2"/>
          <w:sz w:val="28"/>
          <w:szCs w:val="28"/>
          <w:lang w:val="zh-CN" w:eastAsia="zh-CN" w:bidi="ar-SA"/>
        </w:rPr>
        <w:t>。其中：因公出国（境）费</w:t>
      </w:r>
      <w:r>
        <w:rPr>
          <w:rFonts w:hint="eastAsia" w:ascii="仿宋" w:hAnsi="仿宋" w:eastAsia="仿宋" w:cs="仿宋"/>
          <w:color w:val="000000"/>
          <w:kern w:val="2"/>
          <w:sz w:val="28"/>
          <w:szCs w:val="28"/>
          <w:lang w:val="en-US" w:eastAsia="zh-CN" w:bidi="ar-SA"/>
        </w:rPr>
        <w:t>完成0元，比上年增减0元，增加下降0%，增减变化的主要原因是：无</w:t>
      </w:r>
      <w:r>
        <w:rPr>
          <w:rFonts w:hint="eastAsia" w:ascii="仿宋" w:hAnsi="仿宋" w:eastAsia="仿宋" w:cs="仿宋"/>
          <w:color w:val="000000"/>
          <w:kern w:val="2"/>
          <w:sz w:val="28"/>
          <w:szCs w:val="28"/>
          <w:lang w:val="zh-CN" w:eastAsia="zh-CN" w:bidi="ar-SA"/>
        </w:rPr>
        <w:t>；公务接待费</w:t>
      </w:r>
      <w:r>
        <w:rPr>
          <w:rFonts w:hint="eastAsia" w:ascii="仿宋" w:hAnsi="仿宋" w:eastAsia="仿宋" w:cs="仿宋"/>
          <w:color w:val="000000"/>
          <w:kern w:val="2"/>
          <w:sz w:val="28"/>
          <w:szCs w:val="28"/>
          <w:lang w:val="en-US" w:eastAsia="zh-CN" w:bidi="ar-SA"/>
        </w:rPr>
        <w:t>完成0.66万元，比上年减少0.42万元，下降39.04%，增减变化的主要原因是：厉行节约，严格控制“三公”经费</w:t>
      </w:r>
      <w:r>
        <w:rPr>
          <w:rFonts w:hint="eastAsia" w:ascii="仿宋" w:hAnsi="仿宋" w:eastAsia="仿宋" w:cs="仿宋"/>
          <w:color w:val="000000"/>
          <w:kern w:val="2"/>
          <w:sz w:val="28"/>
          <w:szCs w:val="28"/>
          <w:lang w:val="zh-CN" w:eastAsia="zh-CN" w:bidi="ar-SA"/>
        </w:rPr>
        <w:t>；公务用车购置及运行维护费</w:t>
      </w:r>
      <w:r>
        <w:rPr>
          <w:rFonts w:hint="eastAsia" w:ascii="仿宋" w:hAnsi="仿宋" w:eastAsia="仿宋" w:cs="仿宋"/>
          <w:color w:val="000000"/>
          <w:kern w:val="2"/>
          <w:sz w:val="28"/>
          <w:szCs w:val="28"/>
          <w:lang w:val="en-US" w:eastAsia="zh-CN" w:bidi="ar-SA"/>
        </w:rPr>
        <w:t>完成0元</w:t>
      </w:r>
      <w:r>
        <w:rPr>
          <w:rFonts w:hint="eastAsia" w:ascii="仿宋" w:hAnsi="仿宋" w:eastAsia="仿宋" w:cs="仿宋"/>
          <w:color w:val="000000"/>
          <w:kern w:val="2"/>
          <w:sz w:val="28"/>
          <w:szCs w:val="28"/>
          <w:lang w:val="zh-CN" w:eastAsia="zh-CN" w:bidi="ar-SA"/>
        </w:rPr>
        <w:t>。</w:t>
      </w:r>
    </w:p>
    <w:p w14:paraId="0CC454F1">
      <w:pPr>
        <w:pStyle w:val="10"/>
        <w:numPr>
          <w:ilvl w:val="0"/>
          <w:numId w:val="2"/>
        </w:numPr>
        <w:spacing w:line="600" w:lineRule="exact"/>
        <w:ind w:left="-142" w:leftChars="0" w:firstLine="562" w:firstLineChars="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政府性基金预算支出情况</w:t>
      </w:r>
    </w:p>
    <w:p w14:paraId="0EABA7CA">
      <w:pPr>
        <w:pStyle w:val="10"/>
        <w:spacing w:line="600" w:lineRule="exact"/>
        <w:ind w:firstLine="0" w:firstLineChars="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本单位无政府性基金预算支出。</w:t>
      </w:r>
    </w:p>
    <w:p w14:paraId="1DE5B4FC">
      <w:pPr>
        <w:pStyle w:val="10"/>
        <w:numPr>
          <w:ilvl w:val="0"/>
          <w:numId w:val="2"/>
        </w:numPr>
        <w:spacing w:line="600" w:lineRule="exact"/>
        <w:ind w:left="-142" w:leftChars="0" w:firstLine="562" w:firstLineChars="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国有资本经营预算支出情况</w:t>
      </w:r>
    </w:p>
    <w:p w14:paraId="7A3A6E6C">
      <w:pPr>
        <w:pStyle w:val="10"/>
        <w:spacing w:line="600" w:lineRule="exact"/>
        <w:ind w:firstLine="56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本单位无国有资本经营预算支出。</w:t>
      </w:r>
    </w:p>
    <w:p w14:paraId="58326B37">
      <w:pPr>
        <w:pStyle w:val="10"/>
        <w:numPr>
          <w:ilvl w:val="0"/>
          <w:numId w:val="2"/>
        </w:numPr>
        <w:spacing w:line="600" w:lineRule="exact"/>
        <w:ind w:left="-142" w:leftChars="0" w:firstLine="562" w:firstLineChars="0"/>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社会保险基金预算支出情况</w:t>
      </w:r>
    </w:p>
    <w:p w14:paraId="224962F7">
      <w:pPr>
        <w:pStyle w:val="10"/>
        <w:spacing w:line="600" w:lineRule="exact"/>
        <w:ind w:firstLine="56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本单位无社会保险基金预算支出。</w:t>
      </w:r>
    </w:p>
    <w:p w14:paraId="7C42D34A">
      <w:pPr>
        <w:numPr>
          <w:ilvl w:val="0"/>
          <w:numId w:val="2"/>
        </w:numPr>
        <w:spacing w:line="600" w:lineRule="exact"/>
        <w:ind w:left="-142" w:leftChars="0" w:firstLine="562" w:firstLineChars="0"/>
        <w:rPr>
          <w:rFonts w:hint="eastAsia"/>
          <w:lang w:val="en-US" w:eastAsia="zh-CN"/>
        </w:rPr>
      </w:pPr>
      <w:r>
        <w:rPr>
          <w:rFonts w:hint="eastAsia" w:ascii="仿宋" w:hAnsi="仿宋" w:eastAsia="仿宋" w:cs="仿宋"/>
          <w:b/>
          <w:bCs/>
          <w:color w:val="000000"/>
          <w:kern w:val="2"/>
          <w:sz w:val="28"/>
          <w:szCs w:val="28"/>
          <w:lang w:val="en-US" w:eastAsia="zh-CN" w:bidi="ar-SA"/>
        </w:rPr>
        <w:t>部门整体支出绩效情况</w:t>
      </w:r>
    </w:p>
    <w:p w14:paraId="153A8ED4">
      <w:pPr>
        <w:tabs>
          <w:tab w:val="left" w:pos="312"/>
        </w:tabs>
        <w:spacing w:line="560" w:lineRule="exact"/>
        <w:ind w:left="315" w:leftChars="15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 xml:space="preserve">  </w:t>
      </w:r>
      <w:bookmarkStart w:id="0" w:name="_Hlk134367490"/>
      <w:r>
        <w:rPr>
          <w:rFonts w:hint="eastAsia" w:ascii="仿宋" w:hAnsi="仿宋" w:eastAsia="仿宋" w:cs="仿宋"/>
          <w:color w:val="000000"/>
          <w:kern w:val="2"/>
          <w:sz w:val="28"/>
          <w:szCs w:val="28"/>
          <w:lang w:val="en-US" w:eastAsia="zh-CN" w:bidi="ar-SA"/>
        </w:rPr>
        <w:t xml:space="preserve"> 2024年本单位严格落实绩效考核制度和目标，按时按量完成了</w:t>
      </w:r>
    </w:p>
    <w:p w14:paraId="22C5E733">
      <w:pPr>
        <w:snapToGrid w:val="0"/>
        <w:spacing w:line="520" w:lineRule="exac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2024年绩效目标：积极开展全国文化信息资源共享工程，进行资源整合、网络服务、传输活动，开展科技图书下乡宣传、项目服务辅导，开展文献收集、整理、保护、图书入藏。开展图书外借、少儿阅览、科技咨询、报刊阅览、电子阅览等服务窗口免费对外开放。组织全县读者阅读活动，获得群众97%满意度。2024年，</w:t>
      </w:r>
      <w:bookmarkEnd w:id="0"/>
      <w:r>
        <w:rPr>
          <w:rFonts w:hint="eastAsia" w:ascii="仿宋" w:hAnsi="仿宋" w:eastAsia="仿宋" w:cs="仿宋"/>
          <w:color w:val="000000"/>
          <w:kern w:val="2"/>
          <w:sz w:val="28"/>
          <w:szCs w:val="28"/>
          <w:lang w:val="en-US" w:eastAsia="zh-CN" w:bidi="ar-SA"/>
        </w:rPr>
        <w:t>组织开展读者文化活动，调动群众的热情，让文化走进群众，深入人心，既锻炼了身体，也丰富了生活。免费开放项目等均已完成。</w:t>
      </w:r>
    </w:p>
    <w:p w14:paraId="3AF046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kern w:val="2"/>
          <w:sz w:val="28"/>
          <w:szCs w:val="28"/>
          <w:lang w:val="zh-TW" w:eastAsia="zh-TW" w:bidi="ar-SA"/>
        </w:rPr>
      </w:pPr>
      <w:r>
        <w:rPr>
          <w:rFonts w:hint="eastAsia" w:ascii="仿宋" w:hAnsi="仿宋" w:eastAsia="仿宋" w:cs="仿宋"/>
          <w:color w:val="000000"/>
          <w:kern w:val="2"/>
          <w:sz w:val="28"/>
          <w:szCs w:val="28"/>
          <w:lang w:val="en-US" w:eastAsia="zh-CN" w:bidi="ar-SA"/>
        </w:rPr>
        <w:t>在本级业务工作上。</w:t>
      </w:r>
      <w:r>
        <w:rPr>
          <w:rFonts w:hint="eastAsia" w:ascii="仿宋" w:hAnsi="仿宋" w:eastAsia="仿宋" w:cs="仿宋"/>
          <w:color w:val="000000"/>
          <w:kern w:val="2"/>
          <w:sz w:val="28"/>
          <w:szCs w:val="28"/>
          <w:lang w:val="zh-TW" w:eastAsia="zh-TW" w:bidi="ar-SA"/>
        </w:rPr>
        <w:t>图书馆</w:t>
      </w:r>
      <w:r>
        <w:rPr>
          <w:rFonts w:hint="eastAsia" w:ascii="仿宋" w:hAnsi="仿宋" w:eastAsia="仿宋" w:cs="仿宋"/>
          <w:color w:val="000000"/>
          <w:kern w:val="2"/>
          <w:sz w:val="28"/>
          <w:szCs w:val="28"/>
          <w:lang w:val="zh-CN" w:eastAsia="zh-CN" w:bidi="ar-SA"/>
        </w:rPr>
        <w:t>属公益性服务单位，全年为读者们免费开放服务窗口有7个，免费为读者们开展形式多样的</w:t>
      </w:r>
      <w:r>
        <w:rPr>
          <w:rFonts w:hint="eastAsia" w:ascii="仿宋" w:hAnsi="仿宋" w:eastAsia="仿宋" w:cs="仿宋"/>
          <w:color w:val="000000"/>
          <w:kern w:val="2"/>
          <w:sz w:val="28"/>
          <w:szCs w:val="28"/>
          <w:lang w:val="zh-TW" w:eastAsia="zh-TW" w:bidi="ar-SA"/>
        </w:rPr>
        <w:t>活动，</w:t>
      </w:r>
      <w:r>
        <w:rPr>
          <w:rFonts w:hint="eastAsia" w:ascii="仿宋" w:hAnsi="仿宋" w:eastAsia="仿宋" w:cs="仿宋"/>
          <w:color w:val="000000"/>
          <w:kern w:val="2"/>
          <w:sz w:val="28"/>
          <w:szCs w:val="28"/>
          <w:lang w:val="zh-CN" w:eastAsia="zh-CN" w:bidi="ar-SA"/>
        </w:rPr>
        <w:t>如在</w:t>
      </w:r>
      <w:r>
        <w:rPr>
          <w:rFonts w:hint="eastAsia" w:ascii="仿宋" w:hAnsi="仿宋" w:eastAsia="仿宋" w:cs="仿宋"/>
          <w:color w:val="000000"/>
          <w:kern w:val="2"/>
          <w:sz w:val="28"/>
          <w:szCs w:val="28"/>
          <w:lang w:val="zh-TW" w:eastAsia="zh-TW" w:bidi="ar-SA"/>
        </w:rPr>
        <w:t>节假日和暑假期间为读者们免费</w:t>
      </w:r>
      <w:r>
        <w:rPr>
          <w:rFonts w:hint="eastAsia" w:ascii="仿宋" w:hAnsi="仿宋" w:eastAsia="仿宋" w:cs="仿宋"/>
          <w:color w:val="000000"/>
          <w:kern w:val="2"/>
          <w:sz w:val="28"/>
          <w:szCs w:val="28"/>
          <w:lang w:val="zh-CN" w:eastAsia="zh-CN" w:bidi="ar-SA"/>
        </w:rPr>
        <w:t>举办“少儿演讲与口才”、“经典国学诵读.论语”</w:t>
      </w:r>
      <w:r>
        <w:rPr>
          <w:rFonts w:hint="eastAsia" w:ascii="仿宋" w:hAnsi="仿宋" w:eastAsia="仿宋" w:cs="仿宋"/>
          <w:color w:val="000000"/>
          <w:kern w:val="2"/>
          <w:sz w:val="28"/>
          <w:szCs w:val="28"/>
          <w:lang w:val="zh-TW" w:eastAsia="zh-TW" w:bidi="ar-SA"/>
        </w:rPr>
        <w:t>公益班活动</w:t>
      </w:r>
      <w:r>
        <w:rPr>
          <w:rFonts w:hint="eastAsia" w:ascii="仿宋" w:hAnsi="仿宋" w:eastAsia="仿宋" w:cs="仿宋"/>
          <w:color w:val="000000"/>
          <w:kern w:val="2"/>
          <w:sz w:val="28"/>
          <w:szCs w:val="28"/>
          <w:lang w:val="zh-CN" w:eastAsia="zh-CN" w:bidi="ar-SA"/>
        </w:rPr>
        <w:t>共</w:t>
      </w:r>
      <w:r>
        <w:rPr>
          <w:rFonts w:hint="eastAsia" w:ascii="仿宋" w:hAnsi="仿宋" w:eastAsia="仿宋" w:cs="仿宋"/>
          <w:color w:val="000000"/>
          <w:kern w:val="2"/>
          <w:sz w:val="28"/>
          <w:szCs w:val="28"/>
          <w:lang w:val="en-US" w:eastAsia="zh-CN" w:bidi="ar-SA"/>
        </w:rPr>
        <w:t>48</w:t>
      </w:r>
      <w:r>
        <w:rPr>
          <w:rFonts w:hint="eastAsia" w:ascii="仿宋" w:hAnsi="仿宋" w:eastAsia="仿宋" w:cs="仿宋"/>
          <w:color w:val="000000"/>
          <w:kern w:val="2"/>
          <w:sz w:val="28"/>
          <w:szCs w:val="28"/>
          <w:lang w:val="zh-TW" w:eastAsia="zh-TW" w:bidi="ar-SA"/>
        </w:rPr>
        <w:t>场；</w:t>
      </w:r>
      <w:r>
        <w:rPr>
          <w:rFonts w:hint="eastAsia" w:ascii="仿宋" w:hAnsi="仿宋" w:eastAsia="仿宋" w:cs="仿宋"/>
          <w:color w:val="000000"/>
          <w:kern w:val="2"/>
          <w:sz w:val="28"/>
          <w:szCs w:val="28"/>
          <w:lang w:val="en-US" w:eastAsia="zh-CN" w:bidi="ar-SA"/>
        </w:rPr>
        <w:t>图书馆今年在</w:t>
      </w:r>
      <w:r>
        <w:rPr>
          <w:rFonts w:hint="eastAsia" w:ascii="仿宋" w:hAnsi="仿宋" w:eastAsia="仿宋" w:cs="仿宋"/>
          <w:color w:val="000000"/>
          <w:kern w:val="2"/>
          <w:sz w:val="28"/>
          <w:szCs w:val="28"/>
          <w:lang w:val="zh-TW" w:eastAsia="zh-TW" w:bidi="ar-SA"/>
        </w:rPr>
        <w:t>阅读推广活动精彩纷呈，共</w:t>
      </w:r>
      <w:r>
        <w:rPr>
          <w:rFonts w:hint="eastAsia" w:ascii="仿宋" w:hAnsi="仿宋" w:eastAsia="仿宋" w:cs="仿宋"/>
          <w:color w:val="000000"/>
          <w:kern w:val="2"/>
          <w:sz w:val="28"/>
          <w:szCs w:val="28"/>
          <w:lang w:val="en-US" w:eastAsia="zh-CN" w:bidi="ar-SA"/>
        </w:rPr>
        <w:t>为读者们</w:t>
      </w:r>
      <w:r>
        <w:rPr>
          <w:rFonts w:hint="eastAsia" w:ascii="仿宋" w:hAnsi="仿宋" w:eastAsia="仿宋" w:cs="仿宋"/>
          <w:color w:val="000000"/>
          <w:kern w:val="2"/>
          <w:sz w:val="28"/>
          <w:szCs w:val="28"/>
          <w:lang w:val="zh-TW" w:eastAsia="zh-TW" w:bidi="ar-SA"/>
        </w:rPr>
        <w:t>举办</w:t>
      </w:r>
      <w:r>
        <w:rPr>
          <w:rFonts w:hint="eastAsia" w:ascii="仿宋" w:hAnsi="仿宋" w:eastAsia="仿宋" w:cs="仿宋"/>
          <w:color w:val="000000"/>
          <w:kern w:val="2"/>
          <w:sz w:val="28"/>
          <w:szCs w:val="28"/>
          <w:lang w:val="en-US" w:eastAsia="zh-CN" w:bidi="ar-SA"/>
        </w:rPr>
        <w:t>4</w:t>
      </w:r>
      <w:r>
        <w:rPr>
          <w:rFonts w:hint="eastAsia" w:ascii="仿宋" w:hAnsi="仿宋" w:eastAsia="仿宋" w:cs="仿宋"/>
          <w:color w:val="000000"/>
          <w:kern w:val="2"/>
          <w:sz w:val="28"/>
          <w:szCs w:val="28"/>
          <w:lang w:val="zh-TW" w:eastAsia="zh-TW" w:bidi="ar-SA"/>
        </w:rPr>
        <w:t>0场，吸引读者1</w:t>
      </w:r>
      <w:r>
        <w:rPr>
          <w:rFonts w:hint="eastAsia" w:ascii="仿宋" w:hAnsi="仿宋" w:eastAsia="仿宋" w:cs="仿宋"/>
          <w:color w:val="000000"/>
          <w:kern w:val="2"/>
          <w:sz w:val="28"/>
          <w:szCs w:val="28"/>
          <w:lang w:val="en-US" w:eastAsia="zh-CN" w:bidi="ar-SA"/>
        </w:rPr>
        <w:t>.5</w:t>
      </w:r>
      <w:r>
        <w:rPr>
          <w:rFonts w:hint="eastAsia" w:ascii="仿宋" w:hAnsi="仿宋" w:eastAsia="仿宋" w:cs="仿宋"/>
          <w:color w:val="000000"/>
          <w:kern w:val="2"/>
          <w:sz w:val="28"/>
          <w:szCs w:val="28"/>
          <w:lang w:val="zh-TW" w:eastAsia="zh-TW" w:bidi="ar-SA"/>
        </w:rPr>
        <w:t>万余人次参与。</w:t>
      </w:r>
      <w:r>
        <w:rPr>
          <w:rFonts w:hint="eastAsia" w:ascii="仿宋" w:hAnsi="仿宋" w:eastAsia="仿宋" w:cs="仿宋"/>
          <w:color w:val="000000"/>
          <w:kern w:val="2"/>
          <w:sz w:val="28"/>
          <w:szCs w:val="28"/>
          <w:lang w:val="en-US" w:eastAsia="zh-CN" w:bidi="ar-SA"/>
        </w:rPr>
        <w:t>比如举办</w:t>
      </w:r>
      <w:r>
        <w:rPr>
          <w:rFonts w:hint="eastAsia" w:ascii="仿宋" w:hAnsi="仿宋" w:eastAsia="仿宋" w:cs="仿宋"/>
          <w:color w:val="000000"/>
          <w:kern w:val="2"/>
          <w:sz w:val="28"/>
          <w:szCs w:val="28"/>
          <w:lang w:val="zh-TW" w:eastAsia="zh-TW" w:bidi="ar-SA"/>
        </w:rPr>
        <w:t>“</w:t>
      </w:r>
      <w:r>
        <w:rPr>
          <w:rFonts w:hint="eastAsia" w:ascii="仿宋" w:hAnsi="仿宋" w:eastAsia="仿宋" w:cs="仿宋"/>
          <w:color w:val="000000"/>
          <w:kern w:val="2"/>
          <w:sz w:val="28"/>
          <w:szCs w:val="28"/>
          <w:lang w:val="en-US" w:eastAsia="zh-CN" w:bidi="ar-SA"/>
        </w:rPr>
        <w:t>4.23</w:t>
      </w:r>
      <w:r>
        <w:rPr>
          <w:rFonts w:hint="eastAsia" w:ascii="仿宋" w:hAnsi="仿宋" w:eastAsia="仿宋" w:cs="仿宋"/>
          <w:color w:val="000000"/>
          <w:kern w:val="2"/>
          <w:sz w:val="28"/>
          <w:szCs w:val="28"/>
          <w:lang w:val="zh-TW" w:eastAsia="zh-TW" w:bidi="ar-SA"/>
        </w:rPr>
        <w:t>世界读书日”系列、</w:t>
      </w:r>
      <w:r>
        <w:rPr>
          <w:rFonts w:hint="eastAsia" w:ascii="仿宋" w:hAnsi="仿宋" w:eastAsia="仿宋" w:cs="仿宋"/>
          <w:color w:val="000000"/>
          <w:kern w:val="2"/>
          <w:sz w:val="28"/>
          <w:szCs w:val="28"/>
          <w:lang w:val="zh-TW" w:eastAsia="zh-CN" w:bidi="ar-SA"/>
        </w:rPr>
        <w:t>“</w:t>
      </w:r>
      <w:r>
        <w:rPr>
          <w:rFonts w:hint="eastAsia" w:ascii="仿宋" w:hAnsi="仿宋" w:eastAsia="仿宋" w:cs="仿宋"/>
          <w:color w:val="000000"/>
          <w:kern w:val="2"/>
          <w:sz w:val="28"/>
          <w:szCs w:val="28"/>
          <w:lang w:val="en-US" w:eastAsia="zh-CN" w:bidi="ar-SA"/>
        </w:rPr>
        <w:t>全市共读十本书</w:t>
      </w:r>
      <w:r>
        <w:rPr>
          <w:rFonts w:hint="eastAsia" w:ascii="仿宋" w:hAnsi="仿宋" w:eastAsia="仿宋" w:cs="仿宋"/>
          <w:color w:val="000000"/>
          <w:kern w:val="2"/>
          <w:sz w:val="28"/>
          <w:szCs w:val="28"/>
          <w:lang w:val="zh-TW" w:eastAsia="zh-CN" w:bidi="ar-SA"/>
        </w:rPr>
        <w:t>”</w:t>
      </w:r>
      <w:r>
        <w:rPr>
          <w:rFonts w:hint="eastAsia" w:ascii="仿宋" w:hAnsi="仿宋" w:eastAsia="仿宋" w:cs="仿宋"/>
          <w:color w:val="000000"/>
          <w:kern w:val="2"/>
          <w:sz w:val="28"/>
          <w:szCs w:val="28"/>
          <w:lang w:val="en-US" w:eastAsia="zh-CN" w:bidi="ar-SA"/>
        </w:rPr>
        <w:t>之《毛泽东文谭》</w:t>
      </w:r>
      <w:r>
        <w:rPr>
          <w:rFonts w:hint="eastAsia" w:ascii="仿宋" w:hAnsi="仿宋" w:eastAsia="仿宋" w:cs="仿宋"/>
          <w:color w:val="000000"/>
          <w:kern w:val="2"/>
          <w:sz w:val="28"/>
          <w:szCs w:val="28"/>
          <w:lang w:val="zh-TW" w:eastAsia="zh-TW" w:bidi="ar-SA"/>
        </w:rPr>
        <w:t>读书分享会</w:t>
      </w:r>
      <w:r>
        <w:rPr>
          <w:rFonts w:hint="eastAsia" w:ascii="仿宋" w:hAnsi="仿宋" w:eastAsia="仿宋" w:cs="仿宋"/>
          <w:color w:val="000000"/>
          <w:kern w:val="2"/>
          <w:sz w:val="28"/>
          <w:szCs w:val="28"/>
          <w:lang w:val="zh-TW" w:eastAsia="zh-CN" w:bidi="ar-SA"/>
        </w:rPr>
        <w:t>、“山栖佳胜，此为第一”跟着霞客游青龙岩景区读诗会</w:t>
      </w:r>
      <w:r>
        <w:rPr>
          <w:rFonts w:hint="eastAsia" w:ascii="仿宋" w:hAnsi="仿宋" w:eastAsia="仿宋" w:cs="仿宋"/>
          <w:color w:val="000000"/>
          <w:kern w:val="2"/>
          <w:sz w:val="28"/>
          <w:szCs w:val="28"/>
          <w:lang w:val="zh-TW" w:eastAsia="zh-TW" w:bidi="ar-SA"/>
        </w:rPr>
        <w:t>等活动形式多样，氛围浓厚</w:t>
      </w:r>
      <w:r>
        <w:rPr>
          <w:rFonts w:hint="eastAsia" w:ascii="仿宋" w:hAnsi="仿宋" w:eastAsia="仿宋" w:cs="仿宋"/>
          <w:color w:val="000000"/>
          <w:kern w:val="2"/>
          <w:sz w:val="28"/>
          <w:szCs w:val="28"/>
          <w:lang w:val="zh-TW" w:eastAsia="zh-CN" w:bidi="ar-SA"/>
        </w:rPr>
        <w:t>，</w:t>
      </w:r>
      <w:r>
        <w:rPr>
          <w:rFonts w:hint="eastAsia" w:ascii="仿宋" w:hAnsi="仿宋" w:eastAsia="仿宋" w:cs="仿宋"/>
          <w:color w:val="000000"/>
          <w:kern w:val="2"/>
          <w:sz w:val="28"/>
          <w:szCs w:val="28"/>
          <w:lang w:val="zh-TW" w:eastAsia="zh-TW" w:bidi="ar-SA"/>
        </w:rPr>
        <w:t>图书分享会</w:t>
      </w:r>
      <w:r>
        <w:rPr>
          <w:rFonts w:hint="eastAsia" w:ascii="仿宋" w:hAnsi="仿宋" w:eastAsia="仿宋" w:cs="仿宋"/>
          <w:color w:val="000000"/>
          <w:kern w:val="2"/>
          <w:sz w:val="28"/>
          <w:szCs w:val="28"/>
          <w:lang w:val="zh-TW" w:eastAsia="zh-CN" w:bidi="ar-SA"/>
        </w:rPr>
        <w:t>的</w:t>
      </w:r>
      <w:r>
        <w:rPr>
          <w:rFonts w:hint="eastAsia" w:ascii="仿宋" w:hAnsi="仿宋" w:eastAsia="仿宋" w:cs="仿宋"/>
          <w:color w:val="000000"/>
          <w:kern w:val="2"/>
          <w:sz w:val="28"/>
          <w:szCs w:val="28"/>
          <w:lang w:val="zh-TW" w:eastAsia="zh-TW" w:bidi="ar-SA"/>
        </w:rPr>
        <w:t>蓬勃发展，</w:t>
      </w:r>
      <w:r>
        <w:rPr>
          <w:rFonts w:hint="eastAsia" w:ascii="仿宋" w:hAnsi="仿宋" w:eastAsia="仿宋" w:cs="仿宋"/>
          <w:color w:val="000000"/>
          <w:kern w:val="2"/>
          <w:sz w:val="28"/>
          <w:szCs w:val="28"/>
          <w:lang w:val="en-US" w:eastAsia="zh-CN" w:bidi="ar-SA"/>
        </w:rPr>
        <w:t>推动各级人员前来</w:t>
      </w:r>
      <w:r>
        <w:rPr>
          <w:rFonts w:hint="eastAsia" w:ascii="仿宋" w:hAnsi="仿宋" w:eastAsia="仿宋" w:cs="仿宋"/>
          <w:color w:val="000000"/>
          <w:kern w:val="2"/>
          <w:sz w:val="28"/>
          <w:szCs w:val="28"/>
          <w:lang w:val="zh-TW" w:eastAsia="zh-TW" w:bidi="ar-SA"/>
        </w:rPr>
        <w:t>参与读书交流与文化考察，增强了读者与图书馆互动。</w:t>
      </w:r>
    </w:p>
    <w:p w14:paraId="12F5018E">
      <w:pPr>
        <w:numPr>
          <w:ilvl w:val="0"/>
          <w:numId w:val="0"/>
        </w:numPr>
        <w:spacing w:line="600" w:lineRule="exact"/>
        <w:ind w:left="420" w:leftChars="0"/>
        <w:rPr>
          <w:rFonts w:hint="default" w:ascii="仿宋" w:hAnsi="仿宋" w:eastAsia="仿宋" w:cs="仿宋"/>
          <w:b/>
          <w:bCs/>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存在的问题及原因分析</w:t>
      </w:r>
    </w:p>
    <w:p w14:paraId="16A0DE86">
      <w:pPr>
        <w:spacing w:line="580" w:lineRule="exact"/>
        <w:ind w:firstLine="560" w:firstLineChars="200"/>
        <w:rPr>
          <w:rFonts w:hint="eastAsia" w:ascii="仿宋" w:hAnsi="仿宋" w:eastAsia="仿宋" w:cs="仿宋"/>
          <w:color w:val="222222"/>
          <w:sz w:val="28"/>
          <w:szCs w:val="28"/>
        </w:rPr>
      </w:pPr>
      <w:r>
        <w:rPr>
          <w:rFonts w:hint="eastAsia" w:ascii="仿宋" w:hAnsi="仿宋" w:eastAsia="仿宋" w:cs="仿宋"/>
          <w:color w:val="222222"/>
          <w:sz w:val="28"/>
          <w:szCs w:val="28"/>
        </w:rPr>
        <w:t>202</w:t>
      </w:r>
      <w:r>
        <w:rPr>
          <w:rFonts w:hint="eastAsia" w:ascii="仿宋" w:hAnsi="仿宋" w:eastAsia="仿宋" w:cs="仿宋"/>
          <w:color w:val="222222"/>
          <w:sz w:val="28"/>
          <w:szCs w:val="28"/>
          <w:lang w:val="en-US" w:eastAsia="zh-CN"/>
        </w:rPr>
        <w:t>4</w:t>
      </w:r>
      <w:r>
        <w:rPr>
          <w:rFonts w:hint="eastAsia" w:ascii="仿宋" w:hAnsi="仿宋" w:eastAsia="仿宋" w:cs="仿宋"/>
          <w:color w:val="222222"/>
          <w:sz w:val="28"/>
          <w:szCs w:val="28"/>
        </w:rPr>
        <w:t>年，图书馆各项工作都取得了进步，但对照其它县区兄弟单位，也还存在着一定的差距和问题：</w:t>
      </w:r>
      <w:r>
        <w:rPr>
          <w:rFonts w:hint="eastAsia" w:ascii="仿宋" w:hAnsi="仿宋" w:eastAsia="仿宋" w:cs="仿宋"/>
          <w:color w:val="333333"/>
          <w:kern w:val="0"/>
          <w:sz w:val="28"/>
          <w:szCs w:val="28"/>
          <w:shd w:val="clear" w:color="auto" w:fill="FFFFFF"/>
        </w:rPr>
        <w:t>1、信息行业的快速发展，数字资源库的收集需要经费来运作，如今图书馆内数字资源库存TB量不大，满足读者们阅读所需求量少，导致我馆在宣传推广活动开展上带来一定的影响。2、专技人员不足导致业务活动的开展存在着一定的困难，图书馆如今在职工作人员只有</w:t>
      </w:r>
      <w:r>
        <w:rPr>
          <w:rFonts w:hint="eastAsia" w:ascii="仿宋" w:hAnsi="仿宋" w:eastAsia="仿宋" w:cs="仿宋"/>
          <w:color w:val="333333"/>
          <w:kern w:val="0"/>
          <w:sz w:val="28"/>
          <w:szCs w:val="28"/>
          <w:shd w:val="clear" w:color="auto" w:fill="FFFFFF"/>
          <w:lang w:val="en-US" w:eastAsia="zh-CN"/>
        </w:rPr>
        <w:t>5</w:t>
      </w:r>
      <w:r>
        <w:rPr>
          <w:rFonts w:hint="eastAsia" w:ascii="仿宋" w:hAnsi="仿宋" w:eastAsia="仿宋" w:cs="仿宋"/>
          <w:color w:val="333333"/>
          <w:kern w:val="0"/>
          <w:sz w:val="28"/>
          <w:szCs w:val="28"/>
          <w:shd w:val="clear" w:color="auto" w:fill="FFFFFF"/>
        </w:rPr>
        <w:t>人，其中馆长一人，其他人员</w:t>
      </w:r>
      <w:r>
        <w:rPr>
          <w:rFonts w:hint="eastAsia" w:ascii="仿宋" w:hAnsi="仿宋" w:eastAsia="仿宋" w:cs="仿宋"/>
          <w:color w:val="333333"/>
          <w:kern w:val="0"/>
          <w:sz w:val="28"/>
          <w:szCs w:val="28"/>
          <w:shd w:val="clear" w:color="auto" w:fill="FFFFFF"/>
          <w:lang w:val="en-US" w:eastAsia="zh-CN"/>
        </w:rPr>
        <w:t>4</w:t>
      </w:r>
      <w:r>
        <w:rPr>
          <w:rFonts w:hint="eastAsia" w:ascii="仿宋" w:hAnsi="仿宋" w:eastAsia="仿宋" w:cs="仿宋"/>
          <w:color w:val="333333"/>
          <w:kern w:val="0"/>
          <w:sz w:val="28"/>
          <w:szCs w:val="28"/>
          <w:shd w:val="clear" w:color="auto" w:fill="FFFFFF"/>
        </w:rPr>
        <w:t>人除在窗口轮流值班外，还要兼顾财务、办公室、人事等其他工作地开展，导致图书馆业务开展工作没有具体人员来抓落实。</w:t>
      </w:r>
    </w:p>
    <w:p w14:paraId="12EE8A48">
      <w:pPr>
        <w:numPr>
          <w:ilvl w:val="0"/>
          <w:numId w:val="0"/>
        </w:numPr>
        <w:spacing w:line="600" w:lineRule="exact"/>
        <w:ind w:left="420" w:leftChars="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八、下一步改进措施</w:t>
      </w:r>
    </w:p>
    <w:p w14:paraId="0581EAA5">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着力构建绩效评价体系，以能更好地发挥出行政事业单位在社会和经济发展中的重要作用，综合考虑社会发展需要与经济发展需求，做好定量和变量的动态配合，进而强化调控与监管能力；各职能部门在做好管理层监督的基础上，对普通工作人员进行具体的任务布置，避免责任无法落实的问题，另外对人员进行绩效考核，提高工作的积极性。针对绩效评价结果，加强宣传和培训指导工作，加强管理，提升服务质量，</w:t>
      </w:r>
      <w:r>
        <w:rPr>
          <w:rFonts w:hint="eastAsia" w:ascii="仿宋" w:hAnsi="仿宋" w:eastAsia="仿宋" w:cs="仿宋"/>
          <w:sz w:val="28"/>
          <w:szCs w:val="28"/>
          <w:lang w:eastAsia="zh-CN"/>
        </w:rPr>
        <w:t>进一步加强</w:t>
      </w:r>
      <w:r>
        <w:rPr>
          <w:rFonts w:hint="eastAsia" w:ascii="仿宋" w:hAnsi="仿宋" w:eastAsia="仿宋" w:cs="仿宋"/>
          <w:sz w:val="28"/>
          <w:szCs w:val="28"/>
          <w:lang w:val="en-US" w:eastAsia="zh-CN"/>
        </w:rPr>
        <w:t>图书</w:t>
      </w:r>
      <w:r>
        <w:rPr>
          <w:rFonts w:hint="eastAsia" w:ascii="仿宋" w:hAnsi="仿宋" w:eastAsia="仿宋" w:cs="仿宋"/>
          <w:sz w:val="28"/>
          <w:szCs w:val="28"/>
          <w:lang w:eastAsia="zh-CN"/>
        </w:rPr>
        <w:t>馆</w:t>
      </w:r>
      <w:r>
        <w:rPr>
          <w:rFonts w:hint="eastAsia" w:ascii="仿宋" w:hAnsi="仿宋" w:eastAsia="仿宋" w:cs="仿宋"/>
          <w:sz w:val="28"/>
          <w:szCs w:val="28"/>
          <w:lang w:val="en-US" w:eastAsia="zh-CN"/>
        </w:rPr>
        <w:t>文化</w:t>
      </w:r>
      <w:r>
        <w:rPr>
          <w:rFonts w:hint="eastAsia" w:ascii="仿宋" w:hAnsi="仿宋" w:eastAsia="仿宋" w:cs="仿宋"/>
          <w:sz w:val="28"/>
          <w:szCs w:val="28"/>
          <w:lang w:eastAsia="zh-CN"/>
        </w:rPr>
        <w:t>设施，更好的为人民群众服务，</w:t>
      </w:r>
      <w:r>
        <w:rPr>
          <w:rFonts w:hint="eastAsia" w:ascii="仿宋" w:hAnsi="仿宋" w:eastAsia="仿宋" w:cs="仿宋"/>
          <w:sz w:val="28"/>
          <w:szCs w:val="28"/>
        </w:rPr>
        <w:t>达到服务对象100%满意。</w:t>
      </w:r>
    </w:p>
    <w:p w14:paraId="67302ACA">
      <w:pPr>
        <w:numPr>
          <w:ilvl w:val="0"/>
          <w:numId w:val="0"/>
        </w:numPr>
        <w:spacing w:line="600" w:lineRule="exact"/>
        <w:ind w:left="630" w:leftChars="0"/>
        <w:rPr>
          <w:rFonts w:hint="eastAsia" w:ascii="仿宋" w:hAnsi="仿宋" w:eastAsia="仿宋" w:cs="仿宋"/>
          <w:b/>
          <w:bCs/>
          <w:sz w:val="28"/>
          <w:szCs w:val="28"/>
        </w:rPr>
      </w:pPr>
      <w:r>
        <w:rPr>
          <w:rFonts w:hint="eastAsia" w:ascii="仿宋" w:hAnsi="仿宋" w:eastAsia="仿宋" w:cs="仿宋"/>
          <w:b/>
          <w:bCs/>
          <w:sz w:val="28"/>
          <w:szCs w:val="28"/>
          <w:lang w:eastAsia="zh-CN"/>
        </w:rPr>
        <w:t>九、</w:t>
      </w:r>
      <w:r>
        <w:rPr>
          <w:rFonts w:hint="eastAsia" w:ascii="仿宋" w:hAnsi="仿宋" w:eastAsia="仿宋" w:cs="仿宋"/>
          <w:b/>
          <w:bCs/>
          <w:sz w:val="28"/>
          <w:szCs w:val="28"/>
        </w:rPr>
        <w:t>绩效自评结果拟应用和公开情况</w:t>
      </w:r>
    </w:p>
    <w:p w14:paraId="414D237E">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以绩效自评结果作为制定决策的工具，在绩效信息与预算决策之间建立起联系，实现绩效评价结果的有效运用，将评价结果作为考核部门和单位领导绩效的重要依据。</w:t>
      </w:r>
    </w:p>
    <w:p w14:paraId="58481E01">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们按照县财政局绩效评价规程要求，第一阶段为前期准备：由财务人员牵头，确定评价指标细则；第二阶段为自评：根据上一阶段任务布置，展开自评工作；第三阶段为定性终评，并出具评价报告：财务人员在自评的基础上，查阅相关文件资料和财务凭证，对收集资料进行定量定性分析，综合评议后形成评价结论，出具绩效评价报告，并依照相关规定进行公开。</w:t>
      </w:r>
    </w:p>
    <w:p w14:paraId="26752B13">
      <w:pPr>
        <w:numPr>
          <w:ilvl w:val="0"/>
          <w:numId w:val="0"/>
        </w:numPr>
        <w:spacing w:line="600" w:lineRule="exact"/>
        <w:ind w:firstLine="562" w:firstLineChars="200"/>
        <w:rPr>
          <w:rFonts w:hint="eastAsia"/>
          <w:lang w:val="en-US" w:eastAsia="zh-CN"/>
        </w:rPr>
      </w:pPr>
      <w:r>
        <w:rPr>
          <w:rFonts w:hint="eastAsia" w:ascii="仿宋" w:hAnsi="仿宋" w:eastAsia="仿宋" w:cs="仿宋"/>
          <w:b/>
          <w:bCs/>
          <w:sz w:val="28"/>
          <w:szCs w:val="28"/>
          <w:lang w:eastAsia="zh-CN"/>
        </w:rPr>
        <w:t>十、其他需要说明的情况</w:t>
      </w:r>
    </w:p>
    <w:p w14:paraId="528A7510">
      <w:pPr>
        <w:spacing w:line="6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无其他需要说明的情况。</w:t>
      </w:r>
    </w:p>
    <w:p w14:paraId="5108F9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51F68"/>
    <w:multiLevelType w:val="singleLevel"/>
    <w:tmpl w:val="F9751F68"/>
    <w:lvl w:ilvl="0" w:tentative="0">
      <w:start w:val="3"/>
      <w:numFmt w:val="chineseCounting"/>
      <w:suff w:val="nothing"/>
      <w:lvlText w:val="（%1）"/>
      <w:lvlJc w:val="left"/>
      <w:rPr>
        <w:rFonts w:hint="eastAsia"/>
      </w:rPr>
    </w:lvl>
  </w:abstractNum>
  <w:abstractNum w:abstractNumId="1">
    <w:nsid w:val="48BF95A4"/>
    <w:multiLevelType w:val="singleLevel"/>
    <w:tmpl w:val="48BF95A4"/>
    <w:lvl w:ilvl="0" w:tentative="0">
      <w:start w:val="3"/>
      <w:numFmt w:val="chineseCounting"/>
      <w:suff w:val="nothing"/>
      <w:lvlText w:val="%1、"/>
      <w:lvlJc w:val="left"/>
      <w:pPr>
        <w:ind w:left="-14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A5C80"/>
    <w:rsid w:val="390A5C80"/>
    <w:rsid w:val="3F4C044A"/>
    <w:rsid w:val="498C3FA6"/>
    <w:rsid w:val="4C780BAE"/>
    <w:rsid w:val="65D13E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sz w:val="32"/>
    </w:r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spacing w:after="120"/>
      <w:ind w:left="420" w:leftChars="200"/>
    </w:pPr>
  </w:style>
  <w:style w:type="paragraph" w:styleId="5">
    <w:name w:val="Normal (Web)"/>
    <w:basedOn w:val="1"/>
    <w:qFormat/>
    <w:uiPriority w:val="0"/>
    <w:pPr>
      <w:widowControl/>
      <w:jc w:val="left"/>
    </w:pPr>
    <w:rPr>
      <w:rFonts w:ascii="宋体" w:hAnsi="宋体" w:cs="宋体"/>
      <w:kern w:val="0"/>
      <w:sz w:val="24"/>
    </w:rPr>
  </w:style>
  <w:style w:type="paragraph" w:styleId="6">
    <w:name w:val="Body Text First Indent 2"/>
    <w:basedOn w:val="4"/>
    <w:qFormat/>
    <w:uiPriority w:val="0"/>
    <w:pPr>
      <w:spacing w:before="100" w:beforeAutospacing="1"/>
      <w:ind w:left="0" w:firstLine="420" w:firstLineChars="200"/>
    </w:pPr>
  </w:style>
  <w:style w:type="paragraph" w:customStyle="1" w:styleId="9">
    <w:name w:val="_Style 4"/>
    <w:basedOn w:val="1"/>
    <w:qFormat/>
    <w:uiPriority w:val="99"/>
    <w:pPr>
      <w:ind w:firstLine="420" w:firstLineChars="200"/>
    </w:pPr>
  </w:style>
  <w:style w:type="paragraph" w:customStyle="1" w:styleId="10">
    <w:name w:val="List Paragraph"/>
    <w:basedOn w:val="1"/>
    <w:qFormat/>
    <w:uiPriority w:val="0"/>
    <w:pPr>
      <w:ind w:firstLine="420" w:firstLineChars="200"/>
    </w:pPr>
    <w:rPr>
      <w:rFonts w:ascii="Calibri" w:hAnsi="Calibri"/>
    </w:rPr>
  </w:style>
  <w:style w:type="paragraph" w:customStyle="1" w:styleId="11">
    <w:name w:val="BodyText1I"/>
    <w:basedOn w:val="1"/>
    <w:qFormat/>
    <w:uiPriority w:val="99"/>
    <w:pPr>
      <w:snapToGrid w:val="0"/>
      <w:spacing w:line="360" w:lineRule="auto"/>
      <w:ind w:firstLine="420" w:firstLineChars="100"/>
    </w:pPr>
    <w:rPr>
      <w:sz w:val="28"/>
      <w:szCs w:val="20"/>
    </w:rPr>
  </w:style>
  <w:style w:type="paragraph" w:customStyle="1" w:styleId="12">
    <w:name w:val="正文-公1"/>
    <w:basedOn w:val="13"/>
    <w:next w:val="1"/>
    <w:qFormat/>
    <w:uiPriority w:val="0"/>
    <w:pPr>
      <w:ind w:firstLine="200" w:firstLineChars="200"/>
      <w:jc w:val="both"/>
    </w:pPr>
    <w:rPr>
      <w:lang w:val="en-US" w:eastAsia="zh-CN"/>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3378</Words>
  <Characters>3578</Characters>
  <Lines>0</Lines>
  <Paragraphs>0</Paragraphs>
  <TotalTime>0</TotalTime>
  <ScaleCrop>false</ScaleCrop>
  <LinksUpToDate>false</LinksUpToDate>
  <CharactersWithSpaces>3612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2024-05-11T01:09:00Z</dcterms:created>
  <dc:creator>Administrator</dc:creator>
  <cp:lastModifiedBy>༄ེིྙྀ࿒搁浅࿐</cp:lastModifiedBy>
  <dcterms:modified xsi:type="dcterms:W3CDTF">2025-06-13T06:32:10Z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eyJoZGlkIjoiMTcwNjdjOGFmNmFkZDE4ZjIxMWVmOTIwYzUzYjlhMjMiLCJ1c2VySWQiOiI3Nzk3Nzc0ODEifQ==</vt:lpwstr>
  </property>
  <property fmtid="{D5CDD505-2E9C-101B-9397-08002B2CF9AE}" pid="4" name="ICV">
    <vt:lpwstr>042FF4AE0BE94EB7A7281D8EAF25A1D1_13</vt:lpwstr>
  </property>
</Properties>
</file>