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2024</w:t>
      </w:r>
      <w:r>
        <w:rPr>
          <w:rFonts w:ascii="黑体" w:eastAsia="黑体" w:hAnsi="黑体" w:cs="宋体"/>
          <w:b/>
          <w:color w:val="000000"/>
          <w:sz w:val="48"/>
        </w:rPr>
        <w:t xml:space="preserve">年度</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双牌县塘底乡中心幼儿园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部门决算</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33"/>
        </w:rPr>
        <w:t xml:space="preserve">目录</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第一部分 双牌县塘底乡中心幼儿园部门概况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一、部门职责</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二、机构设置及决算单位构成</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第二部分 部门决算表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一、收入支出决算总表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二、收入决算表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三、支出决算表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四、财政拨款收入支出决算总表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五、一般公共预算财政拨款支出决算表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六、一般公共预算财政拨款基本支出决算明细表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七、政府性基金预算财政拨款收入支出决算表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八、国有资本经营预算财政拨款支出决算表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九、财政拨款“三公”经费支出决算表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第三部分 部门决算情况说明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一、收入支出决算总体情况说明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二、收入决算情况说明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三、支出决算情况说明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四、财政拨款收入支出决算总体情况说明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五、一般公共预算财政拨款支出决算情况说明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六、一般公共预算财政拨款基本支出决算情况说明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七、财政拨款“三公”经费支出决算情况说明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八、政府性基金预算收入支出决算情况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九、关于机关运行经费支出说明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十、一般性支出情况说明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十一、关于政府采购支出说明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十二、关于国有资产占用情况说明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宋体" w:eastAsia="宋体" w:hAnsi="宋体" w:cs="宋体"/>
          <w:sz w:val="28"/>
        </w:rPr>
        <w:t xml:space="preserve">十三、关于2024年度预算绩效管理情况的说明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第四部分 名词解释</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rFonts w:ascii="宋体" w:eastAsia="宋体" w:hAnsi="宋体" w:cs="宋体"/>
          <w:vanish w:val="0"/>
          <w:sz w:val="24"/>
        </w:rPr>
      </w:pPr>
      <w:r>
        <w:rPr>
          <w:rFonts w:ascii="黑体" w:eastAsia="黑体" w:hAnsi="黑体" w:cs="宋体"/>
          <w:b/>
          <w:sz w:val="28"/>
        </w:rPr>
        <w:t xml:space="preserve">第五部分 附件</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第一部分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双牌县塘底乡中心幼儿园部门概况</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left"/>
        <w:rPr>
          <w:vanish w:val="0"/>
        </w:rPr>
      </w:pPr>
      <w:r>
        <w:rPr>
          <w:rFonts w:ascii="黑体" w:eastAsia="黑体" w:hAnsi="黑体" w:cs="宋体"/>
          <w:b/>
          <w:sz w:val="28"/>
        </w:rPr>
        <w:t xml:space="preserve">一、部门职责</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1、1、全面贯彻党的教育方针，推行素质教育，加强师德师风建设，搞好教书育人工作，全面开展学龄前幼儿的保教保育工作，努力提高全体师生的综合素质。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2、2、实行保育和教育相结合的原则，对幼儿实施体、智、德、美诸方面全面发展的教育，促进其身心和谐发展，为家长解除后顾之忧，热忱为家长服务。</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3、3、尊重儿童的人格尊严和基本权利，尊重儿童身心发展的特点和规律，为儿童提供健康、丰富的生活和活动环境，合理组织幼儿一日生活活动和其它活动，促进幼儿体智德美等和谐发展，全面实施素质教育。</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4、4、严格执行幼儿园安全、卫生保健制度，保证幼儿身心健康和生命安全。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5、5、充分利用幼儿和社区的资源优势，面向家长开展多种形式的早期教育宣传、指导等服务，促进家庭教育质量的不断提高。</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6、6、贯彻幼儿教育法规、传播科学教育理念、开展教育科学研究、培训师资，发挥区示范性幼儿园的示范、辐射作用。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二、机构设置及决算单位构成</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（一）内设机构设置。双牌县塘底乡中心幼儿园单位内设机构包括：</w:t>
      </w:r>
      <w:r>
        <w:rPr>
          <w:rFonts w:ascii="宋体" w:eastAsia="宋体" w:hAnsi="宋体" w:cs="宋体"/>
          <w:color w:val="000000"/>
          <w:sz w:val="28"/>
        </w:rPr>
        <w:t xml:space="preserve">根据编委核定，双牌县塘底乡中心幼儿园内设机构共2个，包括：总务处，教务处。年末在职实有人数1人，其中行政人员0人，参照公务员法管理事业人员0人，非参公事业人员1人；离退休人员0人。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（二）决算单位构成。双牌县塘底乡中心幼儿园单位2024年部门决算汇总公开单位构成包括：双牌县塘底乡中心幼儿园本级</w:t>
      </w:r>
      <w:r>
        <w:rPr>
          <w:rFonts w:ascii="宋体" w:eastAsia="宋体" w:hAnsi="宋体" w:cs="宋体"/>
          <w:color w:val="000000"/>
          <w:sz w:val="28"/>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第二部分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部门决算表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sectPr>
          <w:pgSz w:w="11907" w:h="16839" w:orient="portrait"/>
          <w:pgMar w:top="1440" w:right="1440" w:bottom="1440" w:left="1440" w:header="720" w:footer="720" w:gutter="0"/>
        </w:sect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4836"/>
        <w:gridCol w:w="806"/>
        <w:gridCol w:w="2418"/>
        <w:gridCol w:w="2418"/>
        <w:gridCol w:w="806"/>
        <w:gridCol w:w="1612"/>
        <w:gridCol w:w="806"/>
        <w:gridCol w:w="2418"/>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f9658af4-ae66-49bc-8adf-0d434b7548d7"/>
              <w:jc w:val="center"/>
              <w:rPr>
                <w:vanish w:val="0"/>
              </w:rPr>
            </w:pPr>
            <w:r>
              <w:rPr>
                <w:rFonts w:ascii="Courier New" w:eastAsia="Courier New" w:hAnsi="Courier New" w:cs="Courier New"/>
                <w:sz w:val="20"/>
              </w:rPr>
              <w:t xml:space="preserve">收入支出决算总表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3500" w:type="pct"/>
            <w:hMerge w:val="restart"/>
            <w:tcBorders>
              <w:left w:val="outset" w:sz="6" w:space="0" w:color="C0C0C0"/>
            </w:tcBorders>
            <w:shd w:val="clear" w:color="auto" w:fill="auto"/>
            <w:vAlign w:val="center"/>
          </w:tcPr>
          <w:p>
            <w:pPr/>
          </w:p>
        </w:tc>
        <w:tc>
          <w:tcPr>
            <w:tcW w:w="3500" w:type="pct"/>
            <w:hMerge/>
            <w:tcBorders/>
            <w:shd w:val="clear" w:color="auto" w:fill="auto"/>
            <w:vAlign w:val="center"/>
          </w:tcPr>
          <w:p>
            <w:pPr/>
          </w:p>
        </w:tc>
        <w:tc>
          <w:tcPr>
            <w:tcW w:w="3500" w:type="pct"/>
            <w:hMerge/>
            <w:tcBorders/>
            <w:shd w:val="clear" w:color="auto" w:fill="auto"/>
            <w:vAlign w:val="center"/>
          </w:tcPr>
          <w:p>
            <w:pPr/>
          </w:p>
        </w:tc>
        <w:tc>
          <w:tcPr>
            <w:tcW w:w="3500" w:type="pct"/>
            <w:hMerge/>
            <w:tcBorders/>
            <w:shd w:val="clear" w:color="auto" w:fill="auto"/>
            <w:vAlign w:val="center"/>
          </w:tcPr>
          <w:p>
            <w:pPr/>
          </w:p>
        </w:tc>
        <w:tc>
          <w:tcPr>
            <w:tcW w:w="1500" w:type="pct"/>
            <w:hMerge w:val="restart"/>
            <w:shd w:val="clear" w:color="auto" w:fill="auto"/>
            <w:vAlign w:val="center"/>
          </w:tcPr>
          <w:p>
            <w:pPr>
              <w:pStyle w:val="SpireTableThStylec8f336a8-cd3c-479f-a8ab-be80d56ebcc5"/>
              <w:jc w:val="right"/>
              <w:rPr>
                <w:vanish w:val="0"/>
              </w:rPr>
            </w:pPr>
            <w:r>
              <w:rPr>
                <w:rFonts w:ascii="Courier New" w:eastAsia="Courier New" w:hAnsi="Courier New" w:cs="Courier New"/>
                <w:sz w:val="20"/>
              </w:rPr>
              <w:t xml:space="preserve">公开01表</w:t>
            </w:r>
          </w:p>
        </w:tc>
        <w:tc>
          <w:tcPr>
            <w:tcW w:w="1500" w:type="pct"/>
            <w:hMerge/>
            <w:tcBorders>
              <w:right w:val="outset" w:sz="6" w:space="0" w:color="C0C0C0"/>
            </w:tcBorders>
            <w:shd w:val="clear" w:color="auto" w:fill="auto"/>
            <w:vAlign w:val="center"/>
          </w:tcPr>
          <w:p>
            <w:pPr/>
          </w:p>
        </w:tc>
      </w:tr>
      <w:tr>
        <w:trPr>
          <w:jc w:val="center"/>
          <w:divId w:val="1"/>
        </w:trPr>
        <w:tc>
          <w:tcPr>
            <w:tcW w:w="35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15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1500" w:type="pct"/>
            <w:hMerge/>
            <w:tcBorders>
              <w:bottom w:val="single" w:sz="6" w:space="0" w:color="auto"/>
              <w:right w:val="outset" w:sz="6" w:space="0" w:color="C0C0C0"/>
            </w:tcBorders>
            <w:shd w:val="clear" w:color="auto" w:fill="auto"/>
            <w:vAlign w:val="center"/>
          </w:tcPr>
          <w:p>
            <w:pPr/>
          </w:p>
        </w:tc>
      </w:tr>
      <w:tr>
        <w:trPr>
          <w:jc w:val="center"/>
          <w:divId w:val="1"/>
        </w:trPr>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收入</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支出</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金额</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金额</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一、一般公共预算财政拨款收入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一、一般公共服务支出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二、政府性基金预算财政拨款收入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二、外交支出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三、国有资本经营预算财政拨款收入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三、国防支出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四、上级补助收入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四、公共安全支出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五、事业收入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五、教育支出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六、经营收入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六、科学技术支出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七、附属单位上缴收入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七、文化旅游体育与传媒支出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八、其他收入</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八、社会保障和就业支出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九、卫生健康支出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十、节能环保支出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十一、城乡社区支出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十二、农林水支出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十三、交通运输支出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十四、资源勘探工业信息等支出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十五、商业服务业等支出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十六、金融支出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十七、援助其他地区支出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十八、自然资源海洋气象等支出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十九、住房保障支出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二十、粮油物资储备支出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二十一、国有资本经营预算支出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51</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二十二、灾害防治及应急管理支出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52</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二十三、其他支出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53</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二十四、债务还本支出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54</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二十五、债务付息支出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55</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二十六、抗疫特别国债安排的支出</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56</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本年收入合计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本年支出合计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57</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使用非财政拨款结余（含专用结余）</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结余分配</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58</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年初结转和结余</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年末结转和结余</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59</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60</w:t>
            </w:r>
          </w:p>
        </w:tc>
        <w:tc>
          <w:tcPr>
            <w:tcW w:w="7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r>
      <w:tr>
        <w:trPr>
          <w:jc w:val="center"/>
          <w:divId w:val="1"/>
        </w:trPr>
        <w:tc>
          <w:tcPr>
            <w:tcW w:w="5000" w:type="pct"/>
            <w:hMerge w:val="restart"/>
            <w:tcBorders>
              <w:top w:val="single" w:sz="6" w:space="0" w:color="auto"/>
              <w:left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注：1.本表反映部门本年度的总收支和年末结转结余情况。</w:t>
            </w: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right w:val="outset" w:sz="6" w:space="0" w:color="C0C0C0"/>
            </w:tcBorders>
            <w:shd w:val="clear" w:color="auto" w:fill="auto"/>
            <w:vAlign w:val="center"/>
          </w:tcPr>
          <w:p>
            <w:pPr/>
          </w:p>
        </w:tc>
      </w:tr>
      <w:tr>
        <w:trPr>
          <w:jc w:val="center"/>
          <w:divId w:val="1"/>
        </w:trPr>
        <w:tc>
          <w:tcPr>
            <w:tcW w:w="5000" w:type="pct"/>
            <w:hMerge w:val="restart"/>
            <w:tcBorders>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2.本套报表金额单位转换时可能存在尾数误差。</w:t>
            </w: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0" w:type="auto"/>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030"/>
        <w:gridCol w:w="1773"/>
        <w:gridCol w:w="1451"/>
        <w:gridCol w:w="161"/>
        <w:gridCol w:w="161"/>
        <w:gridCol w:w="968"/>
        <w:gridCol w:w="161"/>
        <w:gridCol w:w="483"/>
        <w:gridCol w:w="1290"/>
        <w:gridCol w:w="161"/>
        <w:gridCol w:w="1290"/>
        <w:gridCol w:w="1290"/>
        <w:gridCol w:w="1773"/>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025567f7-75ed-4da3-a212-7c858f1558df"/>
              <w:jc w:val="center"/>
              <w:rPr>
                <w:vanish w:val="0"/>
              </w:rPr>
            </w:pPr>
            <w:r>
              <w:rPr>
                <w:rFonts w:ascii="Courier New" w:eastAsia="Courier New" w:hAnsi="Courier New" w:cs="Courier New"/>
                <w:sz w:val="20"/>
              </w:rPr>
              <w:t xml:space="preserve">收入决算表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250" w:type="pct"/>
            <w:hMerge w:val="restart"/>
            <w:tcBorders>
              <w:left w:val="outset" w:sz="6" w:space="0" w:color="C0C0C0"/>
            </w:tcBorders>
            <w:shd w:val="clear" w:color="auto" w:fill="auto"/>
            <w:vAlign w:val="center"/>
          </w:tcPr>
          <w:p>
            <w:pPr/>
          </w:p>
        </w:tc>
        <w:tc>
          <w:tcPr>
            <w:tcW w:w="2250" w:type="pct"/>
            <w:hMerge/>
            <w:tcBorders/>
            <w:shd w:val="clear" w:color="auto" w:fill="auto"/>
            <w:vAlign w:val="center"/>
          </w:tcPr>
          <w:p>
            <w:pPr/>
          </w:p>
        </w:tc>
        <w:tc>
          <w:tcPr>
            <w:tcW w:w="2250" w:type="pct"/>
            <w:hMerge/>
            <w:tcBorders/>
            <w:shd w:val="clear" w:color="auto" w:fill="auto"/>
            <w:vAlign w:val="center"/>
          </w:tcPr>
          <w:p>
            <w:pPr/>
          </w:p>
        </w:tc>
        <w:tc>
          <w:tcPr>
            <w:tcW w:w="2750" w:type="pct"/>
            <w:hMerge w:val="restart"/>
            <w:shd w:val="clear" w:color="auto" w:fill="auto"/>
            <w:vAlign w:val="center"/>
          </w:tcPr>
          <w:p>
            <w:pPr>
              <w:pStyle w:val="SpireTableThStyle096b49ce-34a6-4231-a646-3bd2011bb8a9"/>
              <w:jc w:val="right"/>
              <w:rPr>
                <w:vanish w:val="0"/>
              </w:rPr>
            </w:pPr>
            <w:r>
              <w:rPr>
                <w:rFonts w:ascii="Courier New" w:eastAsia="Courier New" w:hAnsi="Courier New" w:cs="Courier New"/>
                <w:sz w:val="20"/>
              </w:rPr>
              <w:t xml:space="preserve">公开02表</w:t>
            </w:r>
          </w:p>
        </w:tc>
        <w:tc>
          <w:tcPr>
            <w:tcW w:w="2750" w:type="pct"/>
            <w:hMerge/>
            <w:tcBorders/>
            <w:shd w:val="clear" w:color="auto" w:fill="auto"/>
            <w:vAlign w:val="center"/>
          </w:tcPr>
          <w:p>
            <w:pPr/>
          </w:p>
        </w:tc>
        <w:tc>
          <w:tcPr>
            <w:tcW w:w="2750" w:type="pct"/>
            <w:hMerge/>
            <w:tcBorders/>
            <w:shd w:val="clear" w:color="auto" w:fill="auto"/>
            <w:vAlign w:val="center"/>
          </w:tcPr>
          <w:p>
            <w:pPr/>
          </w:p>
        </w:tc>
        <w:tc>
          <w:tcPr>
            <w:tcW w:w="2750" w:type="pct"/>
            <w:hMerge/>
            <w:tcBorders/>
            <w:shd w:val="clear" w:color="auto" w:fill="auto"/>
            <w:vAlign w:val="center"/>
          </w:tcPr>
          <w:p>
            <w:pPr/>
          </w:p>
        </w:tc>
        <w:tc>
          <w:tcPr>
            <w:tcW w:w="2750" w:type="pct"/>
            <w:hMerge/>
            <w:tcBorders/>
            <w:shd w:val="clear" w:color="auto" w:fill="auto"/>
            <w:vAlign w:val="center"/>
          </w:tcPr>
          <w:p>
            <w:pPr/>
          </w:p>
        </w:tc>
        <w:tc>
          <w:tcPr>
            <w:tcW w:w="2750" w:type="pct"/>
            <w:hMerge/>
            <w:tcBorders>
              <w:right w:val="outset" w:sz="6" w:space="0" w:color="C0C0C0"/>
            </w:tcBorders>
            <w:shd w:val="clear" w:color="auto" w:fill="auto"/>
            <w:vAlign w:val="center"/>
          </w:tcPr>
          <w:p>
            <w:pPr/>
          </w:p>
        </w:tc>
      </w:tr>
      <w:tr>
        <w:trPr>
          <w:jc w:val="center"/>
          <w:divId w:val="1"/>
        </w:trPr>
        <w:tc>
          <w:tcPr>
            <w:tcW w:w="225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2250" w:type="pct"/>
            <w:hMerge/>
            <w:tcBorders>
              <w:bottom w:val="single" w:sz="6" w:space="0" w:color="auto"/>
            </w:tcBorders>
            <w:shd w:val="clear" w:color="auto" w:fill="auto"/>
            <w:vAlign w:val="center"/>
          </w:tcPr>
          <w:p>
            <w:pPr/>
          </w:p>
        </w:tc>
        <w:tc>
          <w:tcPr>
            <w:tcW w:w="2250" w:type="pct"/>
            <w:hMerge/>
            <w:tcBorders>
              <w:bottom w:val="single" w:sz="6" w:space="0" w:color="auto"/>
            </w:tcBorders>
            <w:shd w:val="clear" w:color="auto" w:fill="auto"/>
            <w:vAlign w:val="center"/>
          </w:tcPr>
          <w:p>
            <w:pPr/>
          </w:p>
        </w:tc>
        <w:tc>
          <w:tcPr>
            <w:tcW w:w="275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tcBorders>
            <w:shd w:val="clear" w:color="auto" w:fill="auto"/>
            <w:vAlign w:val="center"/>
          </w:tcPr>
          <w:p>
            <w:pPr/>
          </w:p>
        </w:tc>
        <w:tc>
          <w:tcPr>
            <w:tcW w:w="2750" w:type="pct"/>
            <w:hMerge/>
            <w:tcBorders>
              <w:bottom w:val="single" w:sz="6" w:space="0" w:color="auto"/>
              <w:right w:val="outset" w:sz="6" w:space="0" w:color="C0C0C0"/>
            </w:tcBorders>
            <w:shd w:val="clear" w:color="auto" w:fill="auto"/>
            <w:vAlign w:val="center"/>
          </w:tcPr>
          <w:p>
            <w:pPr/>
          </w:p>
        </w:tc>
      </w:tr>
      <w:tr>
        <w:trPr>
          <w:jc w:val="center"/>
          <w:divId w:val="1"/>
        </w:trPr>
        <w:tc>
          <w:tcPr>
            <w:tcW w:w="18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18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本年收入合计</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财政拨款收入</w:t>
            </w:r>
          </w:p>
        </w:tc>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上级补助收入</w:t>
            </w:r>
          </w:p>
        </w:tc>
        <w:tc>
          <w:tcPr>
            <w:tcW w:w="4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事业收入</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经营收入</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附属单位上缴收入</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其他收入</w:t>
            </w: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功能分类科目编码</w:t>
            </w:r>
          </w:p>
        </w:tc>
        <w:tc>
          <w:tcPr>
            <w:tcW w:w="12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2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教育支出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普通教育</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2050201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学前教育</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社会保障和就业支出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行政事业单位养老支出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2080505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机关事业单位基本养老保险缴费支出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卫生健康支出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21011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行政事业单位医疗</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2101102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事业单位医疗</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住房保障支出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住房改革支出</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注：本表反映部门本年度取得的各项收入情况。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030"/>
        <w:gridCol w:w="1773"/>
        <w:gridCol w:w="161"/>
        <w:gridCol w:w="1451"/>
        <w:gridCol w:w="322"/>
        <w:gridCol w:w="1451"/>
        <w:gridCol w:w="322"/>
        <w:gridCol w:w="162"/>
        <w:gridCol w:w="1289"/>
        <w:gridCol w:w="484"/>
        <w:gridCol w:w="967"/>
        <w:gridCol w:w="2257"/>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504a6784-1f20-4197-b173-8d4b8ba269dd"/>
              <w:jc w:val="center"/>
              <w:rPr>
                <w:vanish w:val="0"/>
              </w:rPr>
            </w:pPr>
            <w:r>
              <w:rPr>
                <w:rFonts w:ascii="Courier New" w:eastAsia="Courier New" w:hAnsi="Courier New" w:cs="Courier New"/>
                <w:sz w:val="20"/>
              </w:rPr>
              <w:t xml:space="preserve">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1750" w:type="pct"/>
            <w:hMerge w:val="restart"/>
            <w:tcBorders>
              <w:left w:val="outset" w:sz="6" w:space="0" w:color="C0C0C0"/>
            </w:tcBorders>
            <w:shd w:val="clear" w:color="auto" w:fill="auto"/>
            <w:vAlign w:val="center"/>
          </w:tcPr>
          <w:p>
            <w:pPr/>
          </w:p>
        </w:tc>
        <w:tc>
          <w:tcPr>
            <w:tcW w:w="1750" w:type="pct"/>
            <w:hMerge/>
            <w:tcBorders/>
            <w:shd w:val="clear" w:color="auto" w:fill="auto"/>
            <w:vAlign w:val="center"/>
          </w:tcPr>
          <w:p>
            <w:pPr/>
          </w:p>
        </w:tc>
        <w:tc>
          <w:tcPr>
            <w:tcW w:w="3250" w:type="pct"/>
            <w:hMerge w:val="restart"/>
            <w:shd w:val="clear" w:color="auto" w:fill="auto"/>
            <w:vAlign w:val="center"/>
          </w:tcPr>
          <w:p>
            <w:pPr>
              <w:pStyle w:val="SpireTableThStyleb8d1bfc4-b471-40ce-8c01-f32d43e7de3b"/>
              <w:jc w:val="right"/>
              <w:rPr>
                <w:vanish w:val="0"/>
              </w:rPr>
            </w:pPr>
            <w:r>
              <w:rPr>
                <w:rFonts w:ascii="Courier New" w:eastAsia="Courier New" w:hAnsi="Courier New" w:cs="Courier New"/>
                <w:sz w:val="20"/>
              </w:rPr>
              <w:t xml:space="preserve">公开03表</w:t>
            </w:r>
          </w:p>
        </w:tc>
        <w:tc>
          <w:tcPr>
            <w:tcW w:w="3250" w:type="pct"/>
            <w:hMerge/>
            <w:tcBorders/>
            <w:shd w:val="clear" w:color="auto" w:fill="auto"/>
            <w:vAlign w:val="center"/>
          </w:tcPr>
          <w:p>
            <w:pPr/>
          </w:p>
        </w:tc>
        <w:tc>
          <w:tcPr>
            <w:tcW w:w="3250" w:type="pct"/>
            <w:hMerge/>
            <w:tcBorders/>
            <w:shd w:val="clear" w:color="auto" w:fill="auto"/>
            <w:vAlign w:val="center"/>
          </w:tcPr>
          <w:p>
            <w:pPr/>
          </w:p>
        </w:tc>
        <w:tc>
          <w:tcPr>
            <w:tcW w:w="3250" w:type="pct"/>
            <w:hMerge/>
            <w:tcBorders/>
            <w:shd w:val="clear" w:color="auto" w:fill="auto"/>
            <w:vAlign w:val="center"/>
          </w:tcPr>
          <w:p>
            <w:pPr/>
          </w:p>
        </w:tc>
        <w:tc>
          <w:tcPr>
            <w:tcW w:w="3250" w:type="pct"/>
            <w:hMerge/>
            <w:tcBorders/>
            <w:shd w:val="clear" w:color="auto" w:fill="auto"/>
            <w:vAlign w:val="center"/>
          </w:tcPr>
          <w:p>
            <w:pPr/>
          </w:p>
        </w:tc>
        <w:tc>
          <w:tcPr>
            <w:tcW w:w="3250" w:type="pct"/>
            <w:hMerge/>
            <w:tcBorders>
              <w:right w:val="outset" w:sz="6" w:space="0" w:color="C0C0C0"/>
            </w:tcBorders>
            <w:shd w:val="clear" w:color="auto" w:fill="auto"/>
            <w:vAlign w:val="center"/>
          </w:tcPr>
          <w:p>
            <w:pPr/>
          </w:p>
        </w:tc>
      </w:tr>
      <w:tr>
        <w:trPr>
          <w:jc w:val="center"/>
          <w:divId w:val="1"/>
        </w:trPr>
        <w:tc>
          <w:tcPr>
            <w:tcW w:w="175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1750" w:type="pct"/>
            <w:hMerge/>
            <w:tcBorders>
              <w:bottom w:val="single" w:sz="6" w:space="0" w:color="auto"/>
            </w:tcBorders>
            <w:shd w:val="clear" w:color="auto" w:fill="auto"/>
            <w:vAlign w:val="center"/>
          </w:tcPr>
          <w:p>
            <w:pPr/>
          </w:p>
        </w:tc>
        <w:tc>
          <w:tcPr>
            <w:tcW w:w="325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tcBorders>
            <w:shd w:val="clear" w:color="auto" w:fill="auto"/>
            <w:vAlign w:val="center"/>
          </w:tcPr>
          <w:p>
            <w:pPr/>
          </w:p>
        </w:tc>
        <w:tc>
          <w:tcPr>
            <w:tcW w:w="3250" w:type="pct"/>
            <w:hMerge/>
            <w:tcBorders>
              <w:bottom w:val="single" w:sz="6" w:space="0" w:color="auto"/>
              <w:right w:val="outset" w:sz="6" w:space="0" w:color="C0C0C0"/>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本年支出合计</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c>
          <w:tcPr>
            <w:tcW w:w="4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上缴上级支出</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经营支出</w:t>
            </w:r>
          </w:p>
        </w:tc>
        <w:tc>
          <w:tcPr>
            <w:tcW w:w="7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对附属单位补助支出</w:t>
            </w: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功能分类科目编码</w:t>
            </w:r>
          </w:p>
        </w:tc>
        <w:tc>
          <w:tcPr>
            <w:tcW w:w="12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2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7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4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22.06</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教育支出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17.21</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普通教育</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17.21</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2050201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学前教育</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17.21</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社会保障和就业支出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行政事业单位养老支出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2080505</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机关事业单位基本养老保险缴费支出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卫生健康支出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21011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行政事业单位医疗</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2101102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事业单位医疗</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住房保障支出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住房改革支出</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2210201</w:t>
            </w:r>
          </w:p>
        </w:tc>
        <w:tc>
          <w:tcPr>
            <w:tcW w:w="12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6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6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注：本表反映部门本年度各项支出情况。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0" w:type="auto"/>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3546"/>
        <w:gridCol w:w="60"/>
        <w:gridCol w:w="1612"/>
        <w:gridCol w:w="1934"/>
        <w:gridCol w:w="806"/>
        <w:gridCol w:w="806"/>
        <w:gridCol w:w="806"/>
        <w:gridCol w:w="806"/>
        <w:gridCol w:w="806"/>
        <w:gridCol w:w="161"/>
        <w:gridCol w:w="1451"/>
        <w:gridCol w:w="1612"/>
        <w:gridCol w:w="1773"/>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d68cc0a0-1536-46e4-80fc-57a1323fbfb1"/>
              <w:jc w:val="center"/>
              <w:rPr>
                <w:vanish w:val="0"/>
              </w:rPr>
            </w:pPr>
            <w:r>
              <w:rPr>
                <w:rFonts w:ascii="Courier New" w:eastAsia="Courier New" w:hAnsi="Courier New" w:cs="Courier New"/>
                <w:sz w:val="20"/>
              </w:rPr>
              <w:t xml:space="preserve">财政拨款收入支出决算总表</w:t>
            </w:r>
          </w:p>
        </w:tc>
        <w:tc>
          <w:tcPr>
            <w:tcW w:type="auto" w:w="5000"/>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1500" w:type="pct"/>
            <w:hMerge w:val="restart"/>
            <w:tcBorders>
              <w:left w:val="outset" w:sz="6" w:space="0" w:color="C0C0C0"/>
            </w:tcBorders>
            <w:shd w:val="clear" w:color="auto" w:fill="auto"/>
            <w:vAlign w:val="center"/>
          </w:tcPr>
          <w:p>
            <w:pPr/>
          </w:p>
        </w:tc>
        <w:tc>
          <w:tcPr>
            <w:tcW w:type="auto" w:w="1500"/>
            <w:hMerge/>
            <w:tcBorders/>
            <w:shd w:val="clear" w:color="auto" w:fill="auto"/>
            <w:vAlign w:val="center"/>
          </w:tcPr>
          <w:p>
            <w:pPr/>
          </w:p>
        </w:tc>
        <w:tc>
          <w:tcPr>
            <w:tcW w:w="1500" w:type="pct"/>
            <w:hMerge/>
            <w:tcBorders/>
            <w:shd w:val="clear" w:color="auto" w:fill="auto"/>
            <w:vAlign w:val="center"/>
          </w:tcPr>
          <w:p>
            <w:pPr/>
          </w:p>
        </w:tc>
        <w:tc>
          <w:tcPr>
            <w:tcW w:w="1500" w:type="pct"/>
            <w:hMerge/>
            <w:tcBorders/>
            <w:shd w:val="clear" w:color="auto" w:fill="auto"/>
            <w:vAlign w:val="center"/>
          </w:tcPr>
          <w:p>
            <w:pPr/>
          </w:p>
        </w:tc>
        <w:tc>
          <w:tcPr>
            <w:tcW w:w="3500" w:type="pct"/>
            <w:hMerge w:val="restart"/>
            <w:shd w:val="clear" w:color="auto" w:fill="auto"/>
            <w:vAlign w:val="center"/>
          </w:tcPr>
          <w:p>
            <w:pPr>
              <w:pStyle w:val="SpireTableThStyle0981567f-809e-4590-9de0-e9c750592524"/>
              <w:jc w:val="right"/>
              <w:rPr>
                <w:vanish w:val="0"/>
              </w:rPr>
            </w:pPr>
            <w:r>
              <w:rPr>
                <w:rFonts w:ascii="Courier New" w:eastAsia="Courier New" w:hAnsi="Courier New" w:cs="Courier New"/>
                <w:sz w:val="20"/>
              </w:rPr>
              <w:t xml:space="preserve">公开04表</w:t>
            </w:r>
          </w:p>
        </w:tc>
        <w:tc>
          <w:tcPr>
            <w:tcW w:w="3500" w:type="pct"/>
            <w:hMerge/>
            <w:tcBorders/>
            <w:shd w:val="clear" w:color="auto" w:fill="auto"/>
            <w:vAlign w:val="center"/>
          </w:tcPr>
          <w:p>
            <w:pPr/>
          </w:p>
        </w:tc>
        <w:tc>
          <w:tcPr>
            <w:tcW w:w="3500" w:type="pct"/>
            <w:hMerge/>
            <w:tcBorders/>
            <w:shd w:val="clear" w:color="auto" w:fill="auto"/>
            <w:vAlign w:val="center"/>
          </w:tcPr>
          <w:p>
            <w:pPr/>
          </w:p>
        </w:tc>
        <w:tc>
          <w:tcPr>
            <w:tcW w:w="3500" w:type="pct"/>
            <w:hMerge/>
            <w:tcBorders/>
            <w:shd w:val="clear" w:color="auto" w:fill="auto"/>
            <w:vAlign w:val="center"/>
          </w:tcPr>
          <w:p>
            <w:pPr/>
          </w:p>
        </w:tc>
        <w:tc>
          <w:tcPr>
            <w:tcW w:w="3500" w:type="pct"/>
            <w:hMerge/>
            <w:tcBorders>
              <w:right w:val="outset" w:sz="6" w:space="0" w:color="C0C0C0"/>
            </w:tcBorders>
            <w:shd w:val="clear" w:color="auto" w:fill="auto"/>
            <w:vAlign w:val="center"/>
          </w:tcPr>
          <w:p>
            <w:pPr/>
          </w:p>
        </w:tc>
      </w:tr>
      <w:tr>
        <w:trPr>
          <w:jc w:val="center"/>
          <w:divId w:val="1"/>
        </w:trPr>
        <w:tc>
          <w:tcPr>
            <w:tcW w:w="15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type="auto" w:w="1500"/>
            <w:hMerge/>
            <w:tcBorders>
              <w:bottom w:val="single" w:sz="6" w:space="0" w:color="auto"/>
            </w:tcBorders>
            <w:shd w:val="clear" w:color="auto" w:fill="auto"/>
            <w:vAlign w:val="center"/>
          </w:tcPr>
          <w:p>
            <w:pPr/>
          </w:p>
        </w:tc>
        <w:tc>
          <w:tcPr>
            <w:tcW w:w="1500" w:type="pct"/>
            <w:hMerge/>
            <w:tcBorders>
              <w:bottom w:val="single" w:sz="6" w:space="0" w:color="auto"/>
            </w:tcBorders>
            <w:shd w:val="clear" w:color="auto" w:fill="auto"/>
            <w:vAlign w:val="center"/>
          </w:tcPr>
          <w:p>
            <w:pPr/>
          </w:p>
        </w:tc>
        <w:tc>
          <w:tcPr>
            <w:tcW w:w="1500" w:type="pct"/>
            <w:hMerge/>
            <w:tcBorders>
              <w:bottom w:val="single" w:sz="6" w:space="0" w:color="auto"/>
            </w:tcBorders>
            <w:shd w:val="clear" w:color="auto" w:fill="auto"/>
            <w:vAlign w:val="center"/>
          </w:tcPr>
          <w:p>
            <w:pPr/>
          </w:p>
        </w:tc>
        <w:tc>
          <w:tcPr>
            <w:tcW w:w="35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tcBorders>
            <w:shd w:val="clear" w:color="auto" w:fill="auto"/>
            <w:vAlign w:val="center"/>
          </w:tcPr>
          <w:p>
            <w:pPr/>
          </w:p>
        </w:tc>
        <w:tc>
          <w:tcPr>
            <w:tcW w:w="3500" w:type="pct"/>
            <w:hMerge/>
            <w:tcBorders>
              <w:bottom w:val="single" w:sz="6" w:space="0" w:color="auto"/>
              <w:right w:val="outset" w:sz="6" w:space="0" w:color="C0C0C0"/>
            </w:tcBorders>
            <w:shd w:val="clear" w:color="auto" w:fill="auto"/>
            <w:vAlign w:val="center"/>
          </w:tcPr>
          <w:p>
            <w:pPr/>
          </w:p>
        </w:tc>
      </w:tr>
      <w:tr>
        <w:trPr>
          <w:jc w:val="center"/>
          <w:divId w:val="1"/>
        </w:trPr>
        <w:tc>
          <w:tcPr>
            <w:tcW w:w="17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收入</w:t>
            </w:r>
          </w:p>
        </w:tc>
        <w:tc>
          <w:tcPr>
            <w:tcW w:type="auto" w:w="1750"/>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7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支出</w:t>
            </w: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25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type="auto" w:w="150"/>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金额</w:t>
            </w:r>
          </w:p>
        </w:tc>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行次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一般公共预算财政拨款</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政府性基金预算财政拨款</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国有资本经营预算财政拨款</w:t>
            </w:r>
          </w:p>
        </w:tc>
      </w:tr>
      <w:tr>
        <w:trPr>
          <w:jc w:val="center"/>
          <w:divId w:val="1"/>
        </w:trPr>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type="auto" w:w="150"/>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2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type="auto" w:w="150"/>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11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5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r>
      <w:tr>
        <w:trPr>
          <w:jc w:val="center"/>
          <w:divId w:val="1"/>
        </w:trPr>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type="auto" w:w="150"/>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1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2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一、一般公共服务支出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二、政府性基金预算财政拨款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二、外交支出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三、国有资本经营预算财政拨款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三、国防支出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四、公共安全支出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五、教育支出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六、科学技术支出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七、文化旅游体育与传媒支出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八、社会保障和就业支出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九、卫生健康支出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十、节能环保支出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十一、城乡社区支出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十二、农林水支出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十三、交通运输支出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十四、资源勘探工业信息等支出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十五、商业服务业等支出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十六、金融支出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十七、援助其他地区支出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十八、自然资源海洋气象等支出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十九、住房保障支出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二十、粮油物资储备支出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二十一、国有资本经营预算支出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二十二、灾害防治及应急管理支出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二十三、其他支出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二十四、债务还本支出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二十五、债务付息支出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二十六、抗疫特别国债安排的支出</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本年收入合计</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本年支出合计</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年初财政拨款结转和结余</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年末财政拨款结转和结余</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一般公共预算财政拨款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29</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政府性基金预算财政拨款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国有资本经营预算财政拨款</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type="auto" w:w="150"/>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1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总计</w:t>
            </w:r>
          </w:p>
        </w:tc>
        <w:tc>
          <w:tcPr>
            <w:tcW w:w="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注：本表反映部门本年度一般公共预算财政拨款、政府性基金预算财政拨款和国有资本经营预算财政拨款的总收支和年末结转结余情况。</w:t>
            </w:r>
          </w:p>
        </w:tc>
        <w:tc>
          <w:tcPr>
            <w:tcW w:type="auto" w:w="5000"/>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836"/>
        <w:gridCol w:w="3224"/>
        <w:gridCol w:w="3224"/>
        <w:gridCol w:w="3224"/>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95a9a722-78d4-45d2-b9f9-09bfd7f785b1"/>
              <w:jc w:val="center"/>
              <w:rPr>
                <w:vanish w:val="0"/>
              </w:rPr>
            </w:pPr>
            <w:r>
              <w:rPr>
                <w:rFonts w:ascii="Courier New" w:eastAsia="Courier New" w:hAnsi="Courier New" w:cs="Courier New"/>
                <w:sz w:val="20"/>
              </w:rPr>
              <w:t xml:space="preserve">一般公共预算财政拨款支出决算表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tcBorders>
            <w:shd w:val="clear" w:color="auto" w:fill="auto"/>
            <w:vAlign w:val="center"/>
          </w:tcPr>
          <w:p>
            <w:pPr/>
          </w:p>
        </w:tc>
        <w:tc>
          <w:tcPr>
            <w:tcW w:w="2000" w:type="pct"/>
            <w:hMerge/>
            <w:tcBorders/>
            <w:shd w:val="clear" w:color="auto" w:fill="auto"/>
            <w:vAlign w:val="center"/>
          </w:tcPr>
          <w:p>
            <w:pPr/>
          </w:p>
        </w:tc>
        <w:tc>
          <w:tcPr>
            <w:tcW w:w="3000" w:type="pct"/>
            <w:hMerge w:val="restart"/>
            <w:shd w:val="clear" w:color="auto" w:fill="auto"/>
            <w:vAlign w:val="center"/>
          </w:tcPr>
          <w:p>
            <w:pPr>
              <w:pStyle w:val="SpireTableThStyle7de83b9f-3e0c-475c-aaf2-f0e5e7e09ec2"/>
              <w:jc w:val="right"/>
              <w:rPr>
                <w:vanish w:val="0"/>
              </w:rPr>
            </w:pPr>
            <w:r>
              <w:rPr>
                <w:rFonts w:ascii="Courier New" w:eastAsia="Courier New" w:hAnsi="Courier New" w:cs="Courier New"/>
                <w:sz w:val="20"/>
              </w:rPr>
              <w:t xml:space="preserve">公开05表</w:t>
            </w:r>
          </w:p>
        </w:tc>
        <w:tc>
          <w:tcPr>
            <w:tcW w:w="3000" w:type="pct"/>
            <w:hMerge/>
            <w:tcBorders/>
            <w:shd w:val="clear" w:color="auto" w:fill="auto"/>
            <w:vAlign w:val="center"/>
          </w:tcPr>
          <w:p>
            <w:pPr/>
          </w:p>
        </w:tc>
        <w:tc>
          <w:tcPr>
            <w:tcW w:w="3000" w:type="pct"/>
            <w:hMerge/>
            <w:tcBorders>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2000" w:type="pct"/>
            <w:hMerge/>
            <w:tcBorders>
              <w:bottom w:val="single" w:sz="6" w:space="0" w:color="auto"/>
            </w:tcBorders>
            <w:shd w:val="clear" w:color="auto" w:fill="auto"/>
            <w:vAlign w:val="center"/>
          </w:tcPr>
          <w:p>
            <w:pPr/>
          </w:p>
        </w:tc>
        <w:tc>
          <w:tcPr>
            <w:tcW w:w="30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right w:val="outset" w:sz="6" w:space="0" w:color="C0C0C0"/>
            </w:tcBorders>
            <w:shd w:val="clear" w:color="auto" w:fill="auto"/>
            <w:vAlign w:val="center"/>
          </w:tcPr>
          <w:p>
            <w:pP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本年支出合计</w:t>
            </w: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功能分类科目编码</w:t>
            </w:r>
          </w:p>
        </w:tc>
        <w:tc>
          <w:tcPr>
            <w:tcW w:w="1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26.58</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22.06</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教育支出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17.21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20502</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普通教育</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17.21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2050201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学前教育</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21.72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17.21</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4.51</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社会保障和就业支出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20805</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行政事业单位养老支出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2080505</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机关事业单位基本养老保险缴费支出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卫生健康支出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21011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行政事业单位医疗</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2101102</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事业单位医疗</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住房保障支出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住房改革支出</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2210201</w:t>
            </w:r>
          </w:p>
        </w:tc>
        <w:tc>
          <w:tcPr>
            <w:tcW w:w="1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注：本表反映部门本年度一般公共预算财政拨款支出情况。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0" w:type="auto"/>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128"/>
        <w:gridCol w:w="3063"/>
        <w:gridCol w:w="1128"/>
        <w:gridCol w:w="162"/>
        <w:gridCol w:w="1128"/>
        <w:gridCol w:w="967"/>
        <w:gridCol w:w="1128"/>
        <w:gridCol w:w="162"/>
        <w:gridCol w:w="1128"/>
        <w:gridCol w:w="162"/>
        <w:gridCol w:w="322"/>
        <w:gridCol w:w="806"/>
        <w:gridCol w:w="3869"/>
        <w:gridCol w:w="1290"/>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0d18897a-0705-4a4a-8014-6d2a48464e2b"/>
              <w:jc w:val="center"/>
              <w:rPr>
                <w:vanish w:val="0"/>
              </w:rPr>
            </w:pPr>
            <w:r>
              <w:rPr>
                <w:rFonts w:ascii="Courier New" w:eastAsia="Courier New" w:hAnsi="Courier New" w:cs="Courier New"/>
                <w:sz w:val="20"/>
              </w:rPr>
              <w:t xml:space="preserve">一般公共预算财政拨款基本支出决算明细表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1700" w:type="pct"/>
            <w:hMerge w:val="restart"/>
            <w:tcBorders>
              <w:left w:val="outset" w:sz="6" w:space="0" w:color="C0C0C0"/>
            </w:tcBorders>
            <w:shd w:val="clear" w:color="auto" w:fill="auto"/>
            <w:vAlign w:val="center"/>
          </w:tcPr>
          <w:p>
            <w:pPr/>
          </w:p>
        </w:tc>
        <w:tc>
          <w:tcPr>
            <w:tcW w:w="1700" w:type="pct"/>
            <w:hMerge/>
            <w:tcBorders/>
            <w:shd w:val="clear" w:color="auto" w:fill="auto"/>
            <w:vAlign w:val="center"/>
          </w:tcPr>
          <w:p>
            <w:pPr/>
          </w:p>
        </w:tc>
        <w:tc>
          <w:tcPr>
            <w:tcW w:w="1700" w:type="pct"/>
            <w:hMerge/>
            <w:tcBorders/>
            <w:shd w:val="clear" w:color="auto" w:fill="auto"/>
            <w:vAlign w:val="center"/>
          </w:tcPr>
          <w:p>
            <w:pPr/>
          </w:p>
        </w:tc>
        <w:tc>
          <w:tcPr>
            <w:tcW w:w="3300" w:type="pct"/>
            <w:hMerge w:val="restart"/>
            <w:shd w:val="clear" w:color="auto" w:fill="auto"/>
            <w:vAlign w:val="center"/>
          </w:tcPr>
          <w:p>
            <w:pPr>
              <w:pStyle w:val="SpireTableThStyled3367fdd-165e-484d-bf22-376a5df440fd"/>
              <w:jc w:val="right"/>
              <w:rPr>
                <w:vanish w:val="0"/>
              </w:rPr>
            </w:pPr>
            <w:r>
              <w:rPr>
                <w:rFonts w:ascii="Courier New" w:eastAsia="Courier New" w:hAnsi="Courier New" w:cs="Courier New"/>
                <w:sz w:val="20"/>
              </w:rPr>
              <w:t xml:space="preserve">公开06表</w:t>
            </w:r>
          </w:p>
        </w:tc>
        <w:tc>
          <w:tcPr>
            <w:tcW w:w="3300" w:type="pct"/>
            <w:hMerge/>
            <w:tcBorders/>
            <w:shd w:val="clear" w:color="auto" w:fill="auto"/>
            <w:vAlign w:val="center"/>
          </w:tcPr>
          <w:p>
            <w:pPr/>
          </w:p>
        </w:tc>
        <w:tc>
          <w:tcPr>
            <w:tcW w:w="3300" w:type="pct"/>
            <w:hMerge/>
            <w:tcBorders/>
            <w:shd w:val="clear" w:color="auto" w:fill="auto"/>
            <w:vAlign w:val="center"/>
          </w:tcPr>
          <w:p>
            <w:pPr/>
          </w:p>
        </w:tc>
        <w:tc>
          <w:tcPr>
            <w:tcW w:w="3300" w:type="pct"/>
            <w:hMerge/>
            <w:tcBorders/>
            <w:shd w:val="clear" w:color="auto" w:fill="auto"/>
            <w:vAlign w:val="center"/>
          </w:tcPr>
          <w:p>
            <w:pPr/>
          </w:p>
        </w:tc>
        <w:tc>
          <w:tcPr>
            <w:tcW w:w="3300" w:type="pct"/>
            <w:hMerge/>
            <w:tcBorders/>
            <w:shd w:val="clear" w:color="auto" w:fill="auto"/>
            <w:vAlign w:val="center"/>
          </w:tcPr>
          <w:p>
            <w:pPr/>
          </w:p>
        </w:tc>
        <w:tc>
          <w:tcPr>
            <w:tcW w:w="3300" w:type="pct"/>
            <w:hMerge/>
            <w:tcBorders>
              <w:right w:val="outset" w:sz="6" w:space="0" w:color="C0C0C0"/>
            </w:tcBorders>
            <w:shd w:val="clear" w:color="auto" w:fill="auto"/>
            <w:vAlign w:val="center"/>
          </w:tcPr>
          <w:p>
            <w:pPr/>
          </w:p>
        </w:tc>
      </w:tr>
      <w:tr>
        <w:trPr>
          <w:jc w:val="center"/>
          <w:divId w:val="1"/>
        </w:trPr>
        <w:tc>
          <w:tcPr>
            <w:tcW w:w="17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1700" w:type="pct"/>
            <w:hMerge/>
            <w:tcBorders>
              <w:bottom w:val="single" w:sz="6" w:space="0" w:color="auto"/>
            </w:tcBorders>
            <w:shd w:val="clear" w:color="auto" w:fill="auto"/>
            <w:vAlign w:val="center"/>
          </w:tcPr>
          <w:p>
            <w:pPr/>
          </w:p>
        </w:tc>
        <w:tc>
          <w:tcPr>
            <w:tcW w:w="1700" w:type="pct"/>
            <w:hMerge/>
            <w:tcBorders>
              <w:bottom w:val="single" w:sz="6" w:space="0" w:color="auto"/>
            </w:tcBorders>
            <w:shd w:val="clear" w:color="auto" w:fill="auto"/>
            <w:vAlign w:val="center"/>
          </w:tcPr>
          <w:p>
            <w:pPr/>
          </w:p>
        </w:tc>
        <w:tc>
          <w:tcPr>
            <w:tcW w:w="33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tcBorders>
            <w:shd w:val="clear" w:color="auto" w:fill="auto"/>
            <w:vAlign w:val="center"/>
          </w:tcPr>
          <w:p>
            <w:pPr/>
          </w:p>
        </w:tc>
        <w:tc>
          <w:tcPr>
            <w:tcW w:w="3300" w:type="pct"/>
            <w:hMerge/>
            <w:tcBorders>
              <w:bottom w:val="single" w:sz="6" w:space="0" w:color="auto"/>
              <w:right w:val="outset" w:sz="6" w:space="0" w:color="C0C0C0"/>
            </w:tcBorders>
            <w:shd w:val="clear" w:color="auto" w:fill="auto"/>
            <w:vAlign w:val="center"/>
          </w:tcPr>
          <w:p>
            <w:pPr/>
          </w:p>
        </w:tc>
      </w:tr>
      <w:tr>
        <w:trPr>
          <w:jc w:val="center"/>
          <w:divId w:val="1"/>
        </w:trPr>
        <w:tc>
          <w:tcPr>
            <w:tcW w:w="17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人员经费</w:t>
            </w:r>
          </w:p>
        </w:tc>
        <w:tc>
          <w:tcPr>
            <w:tcW w:w="17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7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公用经费</w:t>
            </w: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经济分类科目编码</w:t>
            </w:r>
          </w:p>
        </w:tc>
        <w:tc>
          <w:tcPr>
            <w:tcW w:w="9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经济分类科目编码</w:t>
            </w:r>
          </w:p>
        </w:tc>
        <w:tc>
          <w:tcPr>
            <w:tcW w:w="7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c>
          <w:tcPr>
            <w:tcW w:w="3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经济分类科目编码</w:t>
            </w:r>
          </w:p>
        </w:tc>
        <w:tc>
          <w:tcPr>
            <w:tcW w:w="12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4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r>
      <w:tr>
        <w:trPr>
          <w:jc w:val="center"/>
          <w:divId w:val="1"/>
        </w:trPr>
        <w:tc>
          <w:tcPr>
            <w:tcW w:w="3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9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7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3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2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4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工资福利支出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21.13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商品和服务支出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0.93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307</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债务利息及费用支出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基本工资</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6.05</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30201</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办公费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0.31</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30701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国内债务付息</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30102</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津贴补贴</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1.35</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30202</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印刷费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30702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国外债务付息</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奖金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3.90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30203</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咨询费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资本性支出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30106</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伙食补助费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30204</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手续费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房屋建筑物购建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30107</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绩效工资</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4.97</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30205</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办公设备购置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30108</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机关事业单位基本养老保险缴费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2.12</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30206</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电费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0.01</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31003</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专用设备购置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30109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职业年金缴费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30207</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邮电费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31005</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基础设施建设</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30110</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职工基本医疗保险缴费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1.15</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30208</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取暖费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31006</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大型修缮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公务员医疗补助缴费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30209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物业管理费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31007</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信息网络及软件购置更新</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30112</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其他社会保障缴费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30211</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差旅费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0.20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31008</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物资储备</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住房公积金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1.59</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30212</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因公出国（境）费用</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31009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土地补偿</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30114</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医疗费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30213</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维修（护）费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31010</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安置补助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30199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其他工资福利支出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30214</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租赁费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地上附着物和青苗补偿</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对个人和家庭的补助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30215</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会议费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拆迁补偿</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离休费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30216</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培训费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31013</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公务用车购置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30302</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退休费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30217</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公务接待费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31019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其他交通工具购置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30303</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退职（役）费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30218</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专用材料费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0.06</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31021</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文物和陈列品购置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30304</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抚恤金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30224</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被装购置费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31022</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无形资产购置</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30305</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生活补助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30225</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专用燃料费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31099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其他资本性支出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30306</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救济费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30226</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劳务费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30307</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医疗费补助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30227</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委托业务费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39907</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国家赔偿费用支出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30308</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助学金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30228</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工会经费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0.18</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39908</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对民间非营利组织和群众性自治组织补贴</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30309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奖励金</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30229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福利费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39909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经常性赠与</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30310</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个人农业生产补贴</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30231</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公务用车运行维护费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39910</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资本性赠与</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30311</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代缴社会保险费</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30239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其他交通费用</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39999</w:t>
            </w: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30399</w:t>
            </w: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其他对个人和家庭的补助</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30240</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税金及附加费用</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9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30299</w:t>
            </w:r>
          </w:p>
        </w:tc>
        <w:tc>
          <w:tcPr>
            <w:tcW w:w="7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其他商品和服务支出</w:t>
            </w: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0.18</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2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13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人员经费</w:t>
            </w:r>
          </w:p>
        </w:tc>
        <w:tc>
          <w:tcPr>
            <w:tcW w:w="13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21.13</w:t>
            </w:r>
          </w:p>
        </w:tc>
        <w:tc>
          <w:tcPr>
            <w:tcW w:w="29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公用经费</w:t>
            </w: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9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4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0.93</w:t>
            </w:r>
          </w:p>
        </w:tc>
      </w:tr>
      <w:tr>
        <w:trPr>
          <w:jc w:val="center"/>
          <w:divId w:val="1"/>
        </w:trPr>
        <w:tc>
          <w:tcPr>
            <w:tcW w:w="5000" w:type="pct"/>
            <w:hMerge w:val="restart"/>
            <w:tcBorders>
              <w:top w:val="single" w:sz="6" w:space="0" w:color="auto"/>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注：本表反映部门本年度一般公共预算财政拨款基本支出明细情况。</w:t>
            </w: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tcBorders>
            <w:shd w:val="clear" w:color="auto" w:fill="auto"/>
            <w:vAlign w:val="center"/>
          </w:tcPr>
          <w:p>
            <w:pPr/>
          </w:p>
        </w:tc>
        <w:tc>
          <w:tcPr>
            <w:tcW w:w="5000" w:type="pct"/>
            <w:hMerge/>
            <w:tcBorders>
              <w:top w:val="single" w:sz="6" w:space="0" w:color="auto"/>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3224"/>
        <w:gridCol w:w="1612"/>
        <w:gridCol w:w="1612"/>
        <w:gridCol w:w="483"/>
        <w:gridCol w:w="1612"/>
        <w:gridCol w:w="483"/>
        <w:gridCol w:w="1612"/>
        <w:gridCol w:w="1612"/>
        <w:gridCol w:w="483"/>
        <w:gridCol w:w="1612"/>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4d91c873-59d5-4448-b77e-d48a23d8e06f"/>
              <w:jc w:val="center"/>
              <w:rPr>
                <w:vanish w:val="0"/>
              </w:rPr>
            </w:pPr>
            <w:r>
              <w:rPr>
                <w:rFonts w:ascii="Courier New" w:eastAsia="Courier New" w:hAnsi="Courier New" w:cs="Courier New"/>
                <w:sz w:val="20"/>
              </w:rPr>
              <w:t xml:space="preserve">政府性基金预算财政拨款收入支出决算表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tcBorders>
            <w:shd w:val="clear" w:color="auto" w:fill="auto"/>
            <w:vAlign w:val="center"/>
          </w:tcPr>
          <w:p>
            <w:pPr/>
          </w:p>
        </w:tc>
        <w:tc>
          <w:tcPr>
            <w:tcW w:w="2000" w:type="pct"/>
            <w:hMerge/>
            <w:tcBorders/>
            <w:shd w:val="clear" w:color="auto" w:fill="auto"/>
            <w:vAlign w:val="center"/>
          </w:tcPr>
          <w:p>
            <w:pPr/>
          </w:p>
        </w:tc>
        <w:tc>
          <w:tcPr>
            <w:tcW w:w="2000" w:type="pct"/>
            <w:hMerge/>
            <w:tcBorders/>
            <w:shd w:val="clear" w:color="auto" w:fill="auto"/>
            <w:vAlign w:val="center"/>
          </w:tcPr>
          <w:p>
            <w:pPr/>
          </w:p>
        </w:tc>
        <w:tc>
          <w:tcPr>
            <w:tcW w:w="3000" w:type="pct"/>
            <w:hMerge w:val="restart"/>
            <w:shd w:val="clear" w:color="auto" w:fill="auto"/>
            <w:vAlign w:val="center"/>
          </w:tcPr>
          <w:p>
            <w:pPr>
              <w:pStyle w:val="SpireTableThStyle8d9b7d82-8bf8-4204-81bc-e7385f9763b7"/>
              <w:jc w:val="right"/>
              <w:rPr>
                <w:vanish w:val="0"/>
              </w:rPr>
            </w:pPr>
            <w:r>
              <w:rPr>
                <w:rFonts w:ascii="Courier New" w:eastAsia="Courier New" w:hAnsi="Courier New" w:cs="Courier New"/>
                <w:sz w:val="20"/>
              </w:rPr>
              <w:t xml:space="preserve">公开07表</w:t>
            </w:r>
          </w:p>
        </w:tc>
        <w:tc>
          <w:tcPr>
            <w:tcW w:w="3000" w:type="pct"/>
            <w:hMerge/>
            <w:tcBorders/>
            <w:shd w:val="clear" w:color="auto" w:fill="auto"/>
            <w:vAlign w:val="center"/>
          </w:tcPr>
          <w:p>
            <w:pPr/>
          </w:p>
        </w:tc>
        <w:tc>
          <w:tcPr>
            <w:tcW w:w="3000" w:type="pct"/>
            <w:hMerge/>
            <w:tcBorders/>
            <w:shd w:val="clear" w:color="auto" w:fill="auto"/>
            <w:vAlign w:val="center"/>
          </w:tcPr>
          <w:p>
            <w:pPr/>
          </w:p>
        </w:tc>
        <w:tc>
          <w:tcPr>
            <w:tcW w:w="3000" w:type="pct"/>
            <w:hMerge/>
            <w:tcBorders/>
            <w:shd w:val="clear" w:color="auto" w:fill="auto"/>
            <w:vAlign w:val="center"/>
          </w:tcPr>
          <w:p>
            <w:pPr/>
          </w:p>
        </w:tc>
        <w:tc>
          <w:tcPr>
            <w:tcW w:w="3000" w:type="pct"/>
            <w:hMerge/>
            <w:tcBorders>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2000" w:type="pct"/>
            <w:hMerge/>
            <w:tcBorders>
              <w:bottom w:val="single" w:sz="6" w:space="0" w:color="auto"/>
            </w:tcBorders>
            <w:shd w:val="clear" w:color="auto" w:fill="auto"/>
            <w:vAlign w:val="center"/>
          </w:tcPr>
          <w:p>
            <w:pPr/>
          </w:p>
        </w:tc>
        <w:tc>
          <w:tcPr>
            <w:tcW w:w="2000" w:type="pct"/>
            <w:hMerge/>
            <w:tcBorders>
              <w:bottom w:val="single" w:sz="6" w:space="0" w:color="auto"/>
            </w:tcBorders>
            <w:shd w:val="clear" w:color="auto" w:fill="auto"/>
            <w:vAlign w:val="center"/>
          </w:tcPr>
          <w:p>
            <w:pPr/>
          </w:p>
        </w:tc>
        <w:tc>
          <w:tcPr>
            <w:tcW w:w="30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right w:val="outset" w:sz="6" w:space="0" w:color="C0C0C0"/>
            </w:tcBorders>
            <w:shd w:val="clear" w:color="auto" w:fill="auto"/>
            <w:vAlign w:val="center"/>
          </w:tcPr>
          <w:p>
            <w:pP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年初结转和结余</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本年收入</w:t>
            </w:r>
          </w:p>
        </w:tc>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年末结转和结余</w:t>
            </w: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科目代码</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6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6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65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65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6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65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注：本表反映部门本年度政府性基金预算财政拨款收入、支出及结转和结余情况。</w:t>
            </w: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right w:val="outset" w:sz="6" w:space="0" w:color="C0C0C0"/>
            </w:tcBorders>
            <w:shd w:val="clear" w:color="auto" w:fill="auto"/>
            <w:vAlign w:val="center"/>
          </w:tcPr>
          <w:p>
            <w:pPr/>
          </w:p>
        </w:tc>
      </w:tr>
      <w:tr>
        <w:trPr>
          <w:jc w:val="center"/>
          <w:divId w:val="1"/>
        </w:trPr>
        <w:tc>
          <w:tcPr>
            <w:tcW w:w="5000" w:type="pct"/>
            <w:hMerge w:val="restart"/>
            <w:tcBorders>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说明：我单位没有政府性基金收入，也没有使用政府性基金安排的支出，故本表无数据。</w:t>
            </w: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1612"/>
        <w:gridCol w:w="4836"/>
        <w:gridCol w:w="3224"/>
        <w:gridCol w:w="3224"/>
        <w:gridCol w:w="3224"/>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2710bc22-b5e6-4a9d-9e59-9d53bc23bb0c"/>
              <w:jc w:val="center"/>
              <w:rPr>
                <w:vanish w:val="0"/>
              </w:rPr>
            </w:pPr>
            <w:r>
              <w:rPr>
                <w:rFonts w:ascii="Courier New" w:eastAsia="Courier New" w:hAnsi="Courier New" w:cs="Courier New"/>
                <w:sz w:val="20"/>
              </w:rPr>
              <w:t xml:space="preserve">国有资本经营预算财政拨款支出决算表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tcBorders>
            <w:shd w:val="clear" w:color="auto" w:fill="auto"/>
            <w:vAlign w:val="center"/>
          </w:tcPr>
          <w:p>
            <w:pPr/>
          </w:p>
        </w:tc>
        <w:tc>
          <w:tcPr>
            <w:tcW w:w="2000" w:type="pct"/>
            <w:hMerge/>
            <w:tcBorders/>
            <w:shd w:val="clear" w:color="auto" w:fill="auto"/>
            <w:vAlign w:val="center"/>
          </w:tcPr>
          <w:p>
            <w:pPr/>
          </w:p>
        </w:tc>
        <w:tc>
          <w:tcPr>
            <w:tcW w:w="3000" w:type="pct"/>
            <w:hMerge w:val="restart"/>
            <w:shd w:val="clear" w:color="auto" w:fill="auto"/>
            <w:vAlign w:val="center"/>
          </w:tcPr>
          <w:p>
            <w:pPr>
              <w:pStyle w:val="SpireTableThStyle1a3a2cb4-c459-4c8a-9ef1-3ae3049e4494"/>
              <w:jc w:val="right"/>
              <w:rPr>
                <w:vanish w:val="0"/>
              </w:rPr>
            </w:pPr>
            <w:r>
              <w:rPr>
                <w:rFonts w:ascii="Courier New" w:eastAsia="Courier New" w:hAnsi="Courier New" w:cs="Courier New"/>
                <w:sz w:val="20"/>
              </w:rPr>
              <w:t xml:space="preserve">公开08表</w:t>
            </w:r>
          </w:p>
        </w:tc>
        <w:tc>
          <w:tcPr>
            <w:tcW w:w="3000" w:type="pct"/>
            <w:hMerge/>
            <w:tcBorders/>
            <w:shd w:val="clear" w:color="auto" w:fill="auto"/>
            <w:vAlign w:val="center"/>
          </w:tcPr>
          <w:p>
            <w:pPr/>
          </w:p>
        </w:tc>
        <w:tc>
          <w:tcPr>
            <w:tcW w:w="3000" w:type="pct"/>
            <w:hMerge/>
            <w:tcBorders>
              <w:right w:val="outset" w:sz="6" w:space="0" w:color="C0C0C0"/>
            </w:tcBorders>
            <w:shd w:val="clear" w:color="auto" w:fill="auto"/>
            <w:vAlign w:val="center"/>
          </w:tcPr>
          <w:p>
            <w:pPr/>
          </w:p>
        </w:tc>
      </w:tr>
      <w:tr>
        <w:trPr>
          <w:jc w:val="center"/>
          <w:divId w:val="1"/>
        </w:trPr>
        <w:tc>
          <w:tcPr>
            <w:tcW w:w="20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2000" w:type="pct"/>
            <w:hMerge/>
            <w:tcBorders>
              <w:bottom w:val="single" w:sz="6" w:space="0" w:color="auto"/>
            </w:tcBorders>
            <w:shd w:val="clear" w:color="auto" w:fill="auto"/>
            <w:vAlign w:val="center"/>
          </w:tcPr>
          <w:p>
            <w:pPr/>
          </w:p>
        </w:tc>
        <w:tc>
          <w:tcPr>
            <w:tcW w:w="30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3000" w:type="pct"/>
            <w:hMerge/>
            <w:tcBorders>
              <w:bottom w:val="single" w:sz="6" w:space="0" w:color="auto"/>
            </w:tcBorders>
            <w:shd w:val="clear" w:color="auto" w:fill="auto"/>
            <w:vAlign w:val="center"/>
          </w:tcPr>
          <w:p>
            <w:pPr/>
          </w:p>
        </w:tc>
        <w:tc>
          <w:tcPr>
            <w:tcW w:w="3000" w:type="pct"/>
            <w:hMerge/>
            <w:tcBorders>
              <w:bottom w:val="single" w:sz="6" w:space="0" w:color="auto"/>
              <w:right w:val="outset" w:sz="6" w:space="0" w:color="C0C0C0"/>
            </w:tcBorders>
            <w:shd w:val="clear" w:color="auto" w:fill="auto"/>
            <w:vAlign w:val="center"/>
          </w:tcPr>
          <w:p>
            <w:pPr/>
          </w:p>
        </w:tc>
      </w:tr>
      <w:tr>
        <w:trPr>
          <w:jc w:val="center"/>
          <w:divId w:val="1"/>
        </w:trPr>
        <w:tc>
          <w:tcPr>
            <w:tcW w:w="2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w:t>
            </w:r>
          </w:p>
        </w:tc>
        <w:tc>
          <w:tcPr>
            <w:tcW w:w="2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本年支出</w:t>
            </w: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科目代码</w:t>
            </w:r>
          </w:p>
        </w:tc>
        <w:tc>
          <w:tcPr>
            <w:tcW w:w="1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科目名称</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基本支出</w:t>
            </w:r>
          </w:p>
        </w:tc>
        <w:tc>
          <w:tcPr>
            <w:tcW w:w="10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项目支出</w:t>
            </w:r>
          </w:p>
        </w:tc>
      </w:tr>
      <w:tr>
        <w:trPr>
          <w:jc w:val="center"/>
          <w:divId w:val="1"/>
        </w:trPr>
        <w:tc>
          <w:tcPr>
            <w:tcW w:w="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5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c>
          <w:tcPr>
            <w:tcW w:w="1000" w:type="pct"/>
            <w:vMerge/>
            <w:tcBorders>
              <w:top w:val="single" w:sz="3" w:space="0" w:color="auto"/>
              <w:left w:val="single" w:sz="3" w:space="0" w:color="auto"/>
              <w:bottom w:val="single" w:sz="3" w:space="0" w:color="auto"/>
              <w:right w:val="single" w:sz="3" w:space="0" w:color="auto"/>
              <w:insideH w:val="none" w:sz="0" w:space="0" w:color="auto"/>
              <w:insideV w:val="none" w:sz="0" w:space="0" w:color="auto"/>
            </w:tcBorders>
            <w:shd w:val="clear" w:color="auto" w:fill="auto"/>
            <w:vAlign w:val="center"/>
          </w:tcPr>
          <w:p>
            <w:pP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栏次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r>
      <w:tr>
        <w:trPr>
          <w:jc w:val="center"/>
          <w:divId w:val="1"/>
        </w:trPr>
        <w:tc>
          <w:tcPr>
            <w:tcW w:w="1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25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注：本表反映部门本年度国有资本经营预算财政拨款支出情况。</w:t>
            </w: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right w:val="outset" w:sz="6" w:space="0" w:color="C0C0C0"/>
            </w:tcBorders>
            <w:shd w:val="clear" w:color="auto" w:fill="auto"/>
            <w:vAlign w:val="center"/>
          </w:tcPr>
          <w:p>
            <w:pPr/>
          </w:p>
        </w:tc>
      </w:tr>
      <w:tr>
        <w:trPr>
          <w:jc w:val="center"/>
          <w:divId w:val="1"/>
        </w:trPr>
        <w:tc>
          <w:tcPr>
            <w:tcW w:w="5000" w:type="pct"/>
            <w:hMerge w:val="restart"/>
            <w:tcBorders>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说明：我单位没有使用国有资本经营预算安排的支出，故本表无数据。 </w:t>
            </w: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right w:val="outset" w:sz="6" w:space="0" w:color="C0C0C0"/>
            </w:tcBorders>
            <w:shd w:val="clear" w:color="auto" w:fill="auto"/>
            <w:vAlign w:val="center"/>
          </w:tcPr>
          <w:p>
            <w:pPr/>
          </w:p>
        </w:tc>
      </w:tr>
    </w:tbl>
    <w:p>
      <w:pPr>
        <w:pStyle w:val="Normal(Web)"/>
        <w:divId w:val="1"/>
        <w:rPr>
          <w:vanish w:val="0"/>
        </w:rPr>
      </w:pPr>
      <w:r>
        <w:br w:type="page"/>
      </w:r>
    </w:p>
    <w:tbl>
      <w:tblPr>
        <w:tblW w:w="5000" w:type="pct"/>
        <w:jc w:val="center"/>
        <w:tblInd w:w="0" w:type="dxa"/>
        <w:tblBorders>
          <w:top w:val="outset" w:sz="6" w:space="0" w:color="C0C0C0"/>
          <w:left w:val="outset" w:sz="6" w:space="0" w:color="C0C0C0"/>
          <w:bottom w:val="outset" w:sz="6" w:space="0" w:color="C0C0C0"/>
          <w:right w:val="outset" w:sz="6" w:space="0" w:color="C0C0C0"/>
          <w:insideH w:val="outset" w:sz="6" w:space="0" w:color="C0C0C0"/>
          <w:insideV w:val="outset" w:sz="6" w:space="0" w:color="C0C0C0"/>
        </w:tblBorders>
        <w:shd w:val="clear" w:color="auto" w:fill="auto"/>
        <w:tblLook w:firstRow="0" w:lastRow="0" w:firstColumn="0" w:lastColumn="0" w:noHBand="1" w:noVBand="1"/>
      </w:tblPr>
      <w:tblGrid>
        <w:gridCol w:w="200"/>
        <w:gridCol w:w="1412"/>
        <w:gridCol w:w="200"/>
        <w:gridCol w:w="967"/>
        <w:gridCol w:w="445"/>
        <w:gridCol w:w="683"/>
        <w:gridCol w:w="284"/>
        <w:gridCol w:w="161"/>
        <w:gridCol w:w="683"/>
        <w:gridCol w:w="284"/>
        <w:gridCol w:w="200"/>
        <w:gridCol w:w="445"/>
        <w:gridCol w:w="483"/>
        <w:gridCol w:w="684"/>
        <w:gridCol w:w="200"/>
        <w:gridCol w:w="245"/>
        <w:gridCol w:w="483"/>
        <w:gridCol w:w="239"/>
        <w:gridCol w:w="406"/>
        <w:gridCol w:w="484"/>
        <w:gridCol w:w="238"/>
        <w:gridCol w:w="245"/>
        <w:gridCol w:w="645"/>
        <w:gridCol w:w="238"/>
        <w:gridCol w:w="484"/>
        <w:gridCol w:w="245"/>
        <w:gridCol w:w="399"/>
        <w:gridCol w:w="246"/>
        <w:gridCol w:w="322"/>
        <w:gridCol w:w="1128"/>
        <w:gridCol w:w="1128"/>
        <w:gridCol w:w="1612"/>
      </w:tblGrid>
      <w:tr>
        <w:trPr>
          <w:jc w:val="center"/>
          <w:divId w:val="1"/>
        </w:trPr>
        <w:tc>
          <w:tcPr>
            <w:tcW w:w="5000" w:type="pct"/>
            <w:hMerge w:val="restart"/>
            <w:tcBorders>
              <w:top w:val="outset" w:sz="6" w:space="0" w:color="C0C0C0"/>
              <w:left w:val="outset" w:sz="6" w:space="0" w:color="C0C0C0"/>
            </w:tcBorders>
            <w:shd w:val="clear" w:color="auto" w:fill="auto"/>
            <w:vAlign w:val="center"/>
          </w:tcPr>
          <w:p>
            <w:pPr>
              <w:pStyle w:val="SpireTableThStyleaf642de1-9cce-45e8-9b63-3f77f03ace86"/>
              <w:jc w:val="center"/>
              <w:rPr>
                <w:vanish w:val="0"/>
              </w:rPr>
            </w:pPr>
            <w:r>
              <w:rPr>
                <w:rFonts w:ascii="Courier New" w:eastAsia="Courier New" w:hAnsi="Courier New" w:cs="Courier New"/>
                <w:sz w:val="20"/>
              </w:rPr>
              <w:t xml:space="preserve">财政拨款“三公”经费支出决算表</w:t>
            </w: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tcBorders>
            <w:shd w:val="clear" w:color="auto" w:fill="auto"/>
            <w:vAlign w:val="center"/>
          </w:tcPr>
          <w:p>
            <w:pPr/>
          </w:p>
        </w:tc>
        <w:tc>
          <w:tcPr>
            <w:tcW w:w="5000" w:type="pct"/>
            <w:hMerge/>
            <w:tcBorders>
              <w:top w:val="outset" w:sz="6" w:space="0" w:color="C0C0C0"/>
              <w:right w:val="outset" w:sz="6" w:space="0" w:color="C0C0C0"/>
            </w:tcBorders>
            <w:shd w:val="clear" w:color="auto" w:fill="auto"/>
            <w:vAlign w:val="center"/>
          </w:tcPr>
          <w:p>
            <w:pPr/>
          </w:p>
        </w:tc>
      </w:tr>
      <w:tr>
        <w:trPr>
          <w:jc w:val="center"/>
          <w:divId w:val="1"/>
        </w:trPr>
        <w:tc>
          <w:tcPr>
            <w:tcW w:w="2500" w:type="pct"/>
            <w:hMerge w:val="restart"/>
            <w:tcBorders>
              <w:left w:val="outset" w:sz="6" w:space="0" w:color="C0C0C0"/>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val="restart"/>
            <w:shd w:val="clear" w:color="auto" w:fill="auto"/>
            <w:vAlign w:val="center"/>
          </w:tcPr>
          <w:p>
            <w:pPr>
              <w:pStyle w:val="SpireTableThStyle8fc74f2d-cf5b-4751-aa84-18571aec3201"/>
              <w:jc w:val="right"/>
              <w:rPr>
                <w:vanish w:val="0"/>
              </w:rPr>
            </w:pPr>
            <w:r>
              <w:rPr>
                <w:rFonts w:ascii="Courier New" w:eastAsia="Courier New" w:hAnsi="Courier New" w:cs="Courier New"/>
                <w:sz w:val="20"/>
              </w:rPr>
              <w:t xml:space="preserve">公开09表</w:t>
            </w: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shd w:val="clear" w:color="auto" w:fill="auto"/>
            <w:vAlign w:val="center"/>
          </w:tcPr>
          <w:p>
            <w:pPr/>
          </w:p>
        </w:tc>
        <w:tc>
          <w:tcPr>
            <w:tcW w:w="2500" w:type="pct"/>
            <w:hMerge/>
            <w:tcBorders>
              <w:right w:val="outset" w:sz="6" w:space="0" w:color="C0C0C0"/>
            </w:tcBorders>
            <w:shd w:val="clear" w:color="auto" w:fill="auto"/>
            <w:vAlign w:val="center"/>
          </w:tcPr>
          <w:p>
            <w:pPr/>
          </w:p>
        </w:tc>
      </w:tr>
      <w:tr>
        <w:trPr>
          <w:jc w:val="center"/>
          <w:divId w:val="1"/>
        </w:trPr>
        <w:tc>
          <w:tcPr>
            <w:tcW w:w="2500" w:type="pct"/>
            <w:hMerge w:val="restart"/>
            <w:tcBorders>
              <w:left w:val="outset" w:sz="6" w:space="0" w:color="C0C0C0"/>
              <w:bottom w:val="single" w:sz="6" w:space="0" w:color="auto"/>
            </w:tcBorders>
            <w:shd w:val="clear" w:color="auto" w:fill="auto"/>
            <w:vAlign w:val="center"/>
          </w:tcPr>
          <w:p>
            <w:pPr>
              <w:pStyle w:val="Normal(Web)"/>
              <w:jc w:val="left"/>
              <w:rPr>
                <w:vanish w:val="0"/>
              </w:rPr>
            </w:pPr>
            <w:r>
              <w:rPr>
                <w:rFonts w:ascii="Courier New" w:eastAsia="Courier New" w:hAnsi="Courier New" w:cs="Courier New"/>
                <w:sz w:val="20"/>
              </w:rPr>
              <w:t xml:space="preserve">部门：双牌县塘底乡中心幼儿园</w:t>
            </w: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val="restart"/>
            <w:tcBorders>
              <w:bottom w:val="single" w:sz="6"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金额单位：万元</w:t>
            </w: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tcBorders>
            <w:shd w:val="clear" w:color="auto" w:fill="auto"/>
            <w:vAlign w:val="center"/>
          </w:tcPr>
          <w:p>
            <w:pPr/>
          </w:p>
        </w:tc>
        <w:tc>
          <w:tcPr>
            <w:tcW w:w="2500" w:type="pct"/>
            <w:hMerge/>
            <w:tcBorders>
              <w:bottom w:val="single" w:sz="6" w:space="0" w:color="auto"/>
              <w:right w:val="outset" w:sz="6" w:space="0" w:color="C0C0C0"/>
            </w:tcBorders>
            <w:shd w:val="clear" w:color="auto" w:fill="auto"/>
            <w:vAlign w:val="center"/>
          </w:tcPr>
          <w:p>
            <w:pPr/>
          </w:p>
        </w:tc>
      </w:tr>
      <w:tr>
        <w:trPr>
          <w:jc w:val="center"/>
          <w:divId w:val="1"/>
        </w:trPr>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预算数</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决算数</w:t>
            </w: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25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150" w:type="dxa"/>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因公出国（境）费</w:t>
            </w:r>
          </w:p>
        </w:tc>
        <w:tc>
          <w:tcPr>
            <w:tcW w:w="1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公务用车购置及运行维护费</w:t>
            </w: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公务接待费</w:t>
            </w: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合计</w:t>
            </w:r>
          </w:p>
        </w:tc>
        <w:tc>
          <w:tcPr>
            <w:tcW w:w="150" w:type="dxa"/>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因公出国（境）费</w:t>
            </w:r>
          </w:p>
        </w:tc>
        <w:tc>
          <w:tcPr>
            <w:tcW w:w="1000" w:type="pct"/>
            <w:h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公务用车购置及运行维护费</w:t>
            </w: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000" w:type="pct"/>
            <w:h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val="restar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公务接待费</w:t>
            </w:r>
          </w:p>
        </w:tc>
      </w:tr>
      <w:tr>
        <w:trPr>
          <w:jc w:val="center"/>
          <w:divId w:val="1"/>
        </w:trPr>
        <w:tc>
          <w:tcPr>
            <w:tcW w:w="150" w:type="dxa"/>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公务用车购置费</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公务用车运行维护费</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150" w:type="dxa"/>
            <w:vMerge/>
            <w:tcBorders>
              <w:top w:val="single" w:sz="3" w:space="0" w:color="auto"/>
              <w:left w:val="single" w:sz="3" w:space="0" w:color="auto"/>
              <w:bottom w:val="single" w:sz="3" w:space="0" w:color="auto"/>
              <w:right w:val="single" w:sz="3" w:space="0" w:color="auto"/>
            </w:tcBorders>
            <w:shd w:val="clear" w:color="auto" w:fill="auto"/>
            <w:vAlign w:val="center"/>
          </w:tcPr>
          <w:p>
            <w:pP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小计</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公务用车购置费</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公务用车运行维护费</w:t>
            </w:r>
          </w:p>
        </w:tc>
        <w:tc>
          <w:tcPr>
            <w:tcW w:w="500" w:type="pct"/>
            <w:vMerge/>
            <w:tcBorders>
              <w:top w:val="single" w:sz="3" w:space="0" w:color="auto"/>
              <w:left w:val="single" w:sz="3" w:space="0" w:color="auto"/>
              <w:bottom w:val="single" w:sz="3" w:space="0" w:color="auto"/>
              <w:right w:val="single" w:sz="3" w:space="0" w:color="auto"/>
            </w:tcBorders>
            <w:shd w:val="clear" w:color="auto" w:fill="auto"/>
            <w:vAlign w:val="center"/>
          </w:tcPr>
          <w:p>
            <w:pP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2</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3</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4</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5</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6</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7</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8</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9</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11</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center"/>
              <w:rPr>
                <w:vanish w:val="0"/>
              </w:rPr>
            </w:pPr>
            <w:r>
              <w:rPr>
                <w:rFonts w:ascii="Courier New" w:eastAsia="Courier New" w:hAnsi="Courier New" w:cs="Courier New"/>
                <w:sz w:val="20"/>
              </w:rPr>
              <w:t xml:space="preserve">12</w:t>
            </w:r>
          </w:p>
        </w:tc>
      </w:tr>
      <w:tr>
        <w:trPr>
          <w:jc w:val="center"/>
          <w:divId w:val="1"/>
        </w:trPr>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35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c>
          <w:tcPr>
            <w:tcW w:w="500" w:type="pct"/>
            <w:tcBorders>
              <w:top w:val="single" w:sz="3" w:space="0" w:color="auto"/>
              <w:left w:val="single" w:sz="3" w:space="0" w:color="auto"/>
              <w:bottom w:val="single" w:sz="3" w:space="0" w:color="auto"/>
              <w:right w:val="single" w:sz="3" w:space="0" w:color="auto"/>
            </w:tcBorders>
            <w:shd w:val="clear" w:color="auto" w:fill="auto"/>
            <w:vAlign w:val="center"/>
          </w:tcPr>
          <w:p>
            <w:pPr>
              <w:pStyle w:val="Normal(Web)"/>
              <w:jc w:val="right"/>
              <w:rPr>
                <w:vanish w:val="0"/>
              </w:rPr>
            </w:pPr>
            <w:r>
              <w:rPr>
                <w:rFonts w:ascii="Courier New" w:eastAsia="Courier New" w:hAnsi="Courier New" w:cs="Courier New"/>
                <w:sz w:val="20"/>
              </w:rPr>
              <w:t xml:space="preserve">0.00</w:t>
            </w:r>
          </w:p>
        </w:tc>
      </w:tr>
      <w:tr>
        <w:trPr>
          <w:jc w:val="center"/>
          <w:divId w:val="1"/>
        </w:trPr>
        <w:tc>
          <w:tcPr>
            <w:tcW w:w="5000" w:type="pct"/>
            <w:hMerge w:val="restart"/>
            <w:tcBorders>
              <w:top w:val="single" w:sz="6" w:space="0" w:color="auto"/>
              <w:left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注：本表反映部门本年度财政拨款“三公”经费支出预决算情况。其中，预算数为“三公”经费全年预算数，反映按规定程序调整后的预算数；决算数是包括当年财政拨款和以前年度结转资金安排的实际支出。</w:t>
            </w: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tcBorders>
            <w:shd w:val="clear" w:color="auto" w:fill="auto"/>
            <w:vAlign w:val="center"/>
          </w:tcPr>
          <w:p>
            <w:pPr/>
          </w:p>
        </w:tc>
        <w:tc>
          <w:tcPr>
            <w:tcW w:w="5000" w:type="pct"/>
            <w:hMerge/>
            <w:tcBorders>
              <w:top w:val="single" w:sz="6" w:space="0" w:color="auto"/>
              <w:right w:val="outset" w:sz="6" w:space="0" w:color="C0C0C0"/>
            </w:tcBorders>
            <w:shd w:val="clear" w:color="auto" w:fill="auto"/>
            <w:vAlign w:val="center"/>
          </w:tcPr>
          <w:p>
            <w:pPr/>
          </w:p>
        </w:tc>
      </w:tr>
      <w:tr>
        <w:trPr>
          <w:jc w:val="center"/>
          <w:divId w:val="1"/>
        </w:trPr>
        <w:tc>
          <w:tcPr>
            <w:tcW w:w="5000" w:type="pct"/>
            <w:hMerge w:val="restart"/>
            <w:tcBorders>
              <w:left w:val="outset" w:sz="6" w:space="0" w:color="C0C0C0"/>
              <w:bottom w:val="outset" w:sz="6" w:space="0" w:color="C0C0C0"/>
            </w:tcBorders>
            <w:shd w:val="clear" w:color="auto" w:fill="auto"/>
            <w:vAlign w:val="center"/>
          </w:tcPr>
          <w:p>
            <w:pPr>
              <w:pStyle w:val="Normal(Web)"/>
              <w:jc w:val="left"/>
              <w:rPr>
                <w:vanish w:val="0"/>
              </w:rPr>
            </w:pPr>
            <w:r>
              <w:rPr>
                <w:rFonts w:ascii="Courier New" w:eastAsia="Courier New" w:hAnsi="Courier New" w:cs="Courier New"/>
                <w:sz w:val="20"/>
              </w:rPr>
              <w:t xml:space="preserve">说明：本单位没有财政拨款安排的“三公”经费预算，也没有使用财政拨款安排的“三公”经费支出，故本表无数据。</w:t>
            </w: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tcBorders>
            <w:shd w:val="clear" w:color="auto" w:fill="auto"/>
            <w:vAlign w:val="center"/>
          </w:tcPr>
          <w:p>
            <w:pPr/>
          </w:p>
        </w:tc>
        <w:tc>
          <w:tcPr>
            <w:tcW w:w="5000" w:type="pct"/>
            <w:hMerge/>
            <w:tcBorders>
              <w:bottom w:val="outset" w:sz="6" w:space="0" w:color="C0C0C0"/>
              <w:right w:val="outset" w:sz="6" w:space="0" w:color="C0C0C0"/>
            </w:tcBorders>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sectPr>
          <w:pgSz w:w="16839" w:h="11907" w:orient="landscape"/>
          <w:pgMar w:top="1440" w:right="360" w:bottom="1440" w:left="360" w:header="720" w:footer="720" w:gutter="0"/>
        </w:sect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第三部分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sz w:val="48"/>
        </w:rPr>
        <w:t xml:space="preserve">2024</w:t>
      </w:r>
      <w:r>
        <w:rPr>
          <w:rFonts w:ascii="黑体" w:eastAsia="黑体" w:hAnsi="黑体" w:cs="宋体"/>
          <w:b/>
          <w:color w:val="000000"/>
          <w:sz w:val="48"/>
        </w:rPr>
        <w:t xml:space="preserve">年度部门决算情况说明</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一、收入支出决算总体情况说明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w:t>
      </w:r>
      <w:r>
        <w:rPr>
          <w:rFonts w:ascii="宋体" w:eastAsia="宋体" w:hAnsi="宋体" w:cs="宋体"/>
          <w:color w:val="000000"/>
          <w:sz w:val="28"/>
        </w:rPr>
        <w:t xml:space="preserve">年度收、支总计</w:t>
      </w:r>
      <w:r>
        <w:rPr>
          <w:rFonts w:ascii="宋体" w:eastAsia="宋体" w:hAnsi="宋体" w:cs="宋体"/>
          <w:sz w:val="28"/>
        </w:rPr>
        <w:t xml:space="preserve">26.58</w:t>
      </w:r>
      <w:r>
        <w:rPr>
          <w:rFonts w:ascii="宋体" w:eastAsia="宋体" w:hAnsi="宋体" w:cs="宋体"/>
          <w:color w:val="000000"/>
          <w:sz w:val="28"/>
        </w:rPr>
        <w:t xml:space="preserve">万元。与上年相比，</w:t>
      </w:r>
      <w:r>
        <w:rPr>
          <w:rFonts w:ascii="宋体" w:eastAsia="宋体" w:hAnsi="宋体" w:cs="宋体"/>
          <w:sz w:val="28"/>
        </w:rPr>
        <w:t xml:space="preserve">减少11.53万元</w:t>
      </w:r>
      <w:r>
        <w:rPr>
          <w:rFonts w:ascii="宋体" w:eastAsia="宋体" w:hAnsi="宋体" w:cs="宋体"/>
          <w:color w:val="000000"/>
          <w:sz w:val="28"/>
        </w:rPr>
        <w:t xml:space="preserve">，</w:t>
      </w:r>
      <w:r>
        <w:rPr>
          <w:rFonts w:ascii="宋体" w:eastAsia="宋体" w:hAnsi="宋体" w:cs="宋体"/>
          <w:sz w:val="28"/>
        </w:rPr>
        <w:t xml:space="preserve">降低30.25%</w:t>
      </w:r>
      <w:r>
        <w:rPr>
          <w:rFonts w:ascii="宋体" w:eastAsia="宋体" w:hAnsi="宋体" w:cs="宋体"/>
          <w:color w:val="000000"/>
          <w:sz w:val="28"/>
        </w:rPr>
        <w:t xml:space="preserve">，主要是因为本年度公用经费较上年有所减少。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二、收入决算情况说明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2024年度本年收入合计26.58万元，其中：财政拨款收入26.58万元，占100.00%；上级补助收入0万元，占0%；事业收入0万元，占0%；经营收入0万元，占0%；附属单位上缴收入0万元，占0%；其他收入0万元，占0%。</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三、支出决算情况说明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2024年度本年支出合计26.58万元，其中：基本支出22.06万元，占82.99%；项目支出4.51万元，占16.97%；上缴上级支出0万元，占0%；经营支出0万元，占0%；对附属单位补助支出0万元，占0%。</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四、财政拨款收入支出决算总体情况说明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2024年度财政拨款收、支总计26.58万元，与上年相比，减少11.53万元，降低30.25%，主要是因为本年度公用经费较上年有所减少。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五、一般公共预算财政拨款支出决算情况说明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（一）一般公共预算财政拨款支出决算总体情况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2024年度财政拨款支出26.58万元，占本年支出合计的100.00%，与上年相比，财政拨款支出减少11.53万元，降低30.25%，主要是因为本年度公用经费较上年有所减少。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（二）一般公共预算财政拨款支出决算结构情况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2024年度财政拨款支出26.58万元，主要用于以下方面：教育支出（类）21.72万元，占81.72%；社会保障和就业支出（类）2.12万元，占7.98%；卫生健康支出（类）1.15万元，占4.33%；住房保障支出（类）1.59万元，占5.98%。</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（三）一般公共预算财政拨款支出决算具体情况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2024年度财政拨款支出年初预算数为70.32万元，支出决算数为26.58万元，完成年初预算的37.80%，其中：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1、教育支出（类）普通教育（款）学前教育（项）。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年初预算为65.23万元，支出决算为21.72万元，完成预算的33.30%。决算数小于年初预算数的主要原因是：各项开支有所减少。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2、社会保障和就业支出（类）行政事业单位养老支出（款）机关事业单位基本养老保险缴费支出（项）。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年初预算为2.22万元，支出决算为2.12万元，完成预算的95.50%。决算数小于年初预算数的主要原因是：各项开支有所减少。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3、卫生健康支出（类）行政事业单位医疗（款）事业单位医疗（项）。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年初预算为1.21万元，支出决算为1.15万元，完成预算的95.04%。决算数小于年初预算数的主要原因是：各项开支有所减少。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4、住房保障支出（类）住房改革支出（款）住房公积金（项）。</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年初预算为1.67万元，支出决算为1.59万元，完成预算的95.21%。决算数小于年初预算数的主要原因是：各项开支有所减少。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六、一般公共预算财政拨款基本支出决算情况说明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2024</w:t>
      </w:r>
      <w:r>
        <w:rPr>
          <w:rFonts w:ascii="宋体" w:eastAsia="宋体" w:hAnsi="宋体" w:cs="宋体"/>
          <w:color w:val="000000"/>
          <w:sz w:val="28"/>
        </w:rPr>
        <w:t xml:space="preserve">年度一般公共预算财政拨款基本支出</w:t>
      </w:r>
      <w:r>
        <w:rPr>
          <w:rFonts w:ascii="宋体" w:eastAsia="宋体" w:hAnsi="宋体" w:cs="宋体"/>
          <w:sz w:val="28"/>
        </w:rPr>
        <w:t xml:space="preserve">22.06</w:t>
      </w:r>
      <w:r>
        <w:rPr>
          <w:rFonts w:ascii="宋体" w:eastAsia="宋体" w:hAnsi="宋体" w:cs="宋体"/>
          <w:color w:val="000000"/>
          <w:sz w:val="28"/>
        </w:rPr>
        <w:t xml:space="preserve">万元，其中：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人员经费21.13万元，占基本支出的95.78%，主要包括：基本工资、津贴补贴、奖金、绩效工资、机关事业单位基本养老保险缴费、职工基本医疗保险缴费、住房公积金。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公用经费0.93万元，占基本支出的4.22%，主要包括：办公费、电费、差旅费、专用材料费、工会经费、其他商品和服务支出,。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七、财政拨款"三公"经费支出决算情况说明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（一）“三公”经费财政拨款支出决算总体情况说明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三公”经费财政拨款支出预算为0万元，支出决算为0万元，因年初预算金额为0万元，无法计算百分比；决算数持平预算数的主要原因是本单位没有财政拨款安排的“三公”经费预算，也没有使用财政拨款安排的“三公”经费支出。决算数与上年数持平的主要原因是本单位没有财政拨款安排的“三公”经费预算，也没有使用财政拨款安排的“三公”经费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color w:val="000000"/>
          <w:sz w:val="28"/>
        </w:rPr>
        <w:t xml:space="preserve">（二）“三公”经费财政拨款支出决算具体情况说明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因公出国（境）费支出预算为0万元，支出决算为0万元，因年初预算金额为0万元，无法完成预算百分比测算；由于上年数和本年数都为0万元，故无法计算对比上年百分比。2024年安排因公出国（境）团组0个，累计0人次，我单位2024年度无因公出国（境）费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2、公务用车购置费及运行维护费支出预算为0万元，支出决算为0万元，因年初预算金额为0万元，无法计算百分比；与上年相比持平，其中：</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公务用车购置费支出预算为0万元，支出决算为0万元，因年初预算金额为0万元，无法完成预算百分比测算；与上年相比持平，因上年数为0万元无法计算百分比，决算数持平预算数的主要原因是无公务用车购置费。决算数持平上年数的主要原因是无公务用车购置费。双牌县塘底乡中心幼儿园更新公务用车0辆。</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公务用车运行维护费支出预算为0万元，支出决算为0万元，主要原因是无公务用车维护费，因年初预算金额为0万元，无法完成预算百分比测算；与上年相比持平，因上年数为0万元无法计算百分比，决算数持平于预算数的主要原因是无公务用车维护费。决算数持平于上年数的主要原因是无公务用车维护费。截止2024年12月31日，我单位开支财政拨款的公务用车保有量为0辆。</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3、公务接待费支出预算为0万元，支出决算为0万元，因年初预算金额为0万元，无法完成预算百分比测算；与上年相比持平，因上年数为0万元无法计算百分比，决算数持平预算数的主要原因是无公务接待费支出。。决算数持平上年数的主要原因是无公务接待费支出。。2024年共接待来访团组0个、来宾0人次，主要是无公务接待发生的接待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八、政府性基金预算收入支出决算情况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8"/>
        </w:rPr>
        <w:t xml:space="preserve">双牌县塘底乡中心幼儿园2024年度没有政府性基金收入，也没有使用政府性基金安排的支出，并已公开空表。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color w:val="000000"/>
          <w:sz w:val="28"/>
        </w:rPr>
        <w:t xml:space="preserve">九、</w:t>
      </w:r>
      <w:r>
        <w:rPr>
          <w:rFonts w:ascii="黑体" w:eastAsia="黑体" w:hAnsi="黑体" w:cs="宋体"/>
          <w:b/>
          <w:sz w:val="28"/>
        </w:rPr>
        <w:t xml:space="preserve">关于机关运行经费支出说明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本部门</w:t>
      </w:r>
      <w:r>
        <w:rPr>
          <w:rFonts w:ascii="宋体" w:eastAsia="宋体" w:hAnsi="宋体" w:cs="宋体"/>
          <w:sz w:val="28"/>
        </w:rPr>
        <w:t xml:space="preserve">2024</w:t>
      </w:r>
      <w:r>
        <w:rPr>
          <w:rFonts w:ascii="宋体" w:eastAsia="宋体" w:hAnsi="宋体" w:cs="宋体"/>
          <w:color w:val="000000"/>
          <w:sz w:val="28"/>
        </w:rPr>
        <w:t xml:space="preserve">年度机关运行经费支出0万元，比上年决算数</w:t>
      </w:r>
      <w:r>
        <w:rPr>
          <w:rFonts w:ascii="宋体" w:eastAsia="宋体" w:hAnsi="宋体" w:cs="宋体"/>
          <w:sz w:val="28"/>
        </w:rPr>
        <w:t xml:space="preserve">持平，</w:t>
      </w:r>
      <w:r>
        <w:rPr>
          <w:rFonts w:ascii="宋体" w:eastAsia="宋体" w:hAnsi="宋体" w:cs="宋体"/>
          <w:color w:val="000000"/>
          <w:sz w:val="28"/>
        </w:rPr>
        <w:t xml:space="preserve">主要原因是：机关运行经费支出减少。</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十、一般性支出情况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本部门开支会议费0万元，用于召开0场会议，人数0人，内容为无；开支培训费0.08万元，用于开展教师外出培训、观摩、学习培训，人数16人，内容为市内县内培训、室内县内观摩、室内县内学习；未举办节庆、晚会、论坛、赛事等，开支0万元。</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十一、关于政府采购支出说明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本部门2024年度政府采购支出总额1.60万元，其中：政府采购货物支出1.60万元、政府采购工程支出0万元、政府采购服务支出0万元。授予中小企业合同金额1.60万元，占政府采购支出总额的100.00%，其中：授予小微企业合同金额1.60万元，占政府采购支出总额的100.00%。货物采购授予中小企业合同金额占货物支出金额的100%，工程采购授予中小企业合同金额占工程支出金额的百分比无法计算，原因是政府采购工程支出金额为0万元，服务采购授予中小企业合同金额占服务支出金额的百分比无法计算，原因是政府采购工程支出金额为0万元。</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十二、关于国有资产占用情况说明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截至</w:t>
      </w:r>
      <w:r>
        <w:rPr>
          <w:rFonts w:ascii="宋体" w:eastAsia="宋体" w:hAnsi="宋体" w:cs="宋体"/>
          <w:sz w:val="28"/>
        </w:rPr>
        <w:t xml:space="preserve">2024</w:t>
      </w:r>
      <w:r>
        <w:rPr>
          <w:rFonts w:ascii="宋体" w:eastAsia="宋体" w:hAnsi="宋体" w:cs="宋体"/>
          <w:color w:val="000000"/>
          <w:sz w:val="28"/>
        </w:rPr>
        <w:t xml:space="preserve">年12月31日，本单位共有车辆0辆，其中，副部（省）级及以上领导用车0辆,主要负责人用车0辆，机要通信用车0辆、应急保障用车0辆、执法执勤用车0辆、特种专业技术用车0辆、离退休干部服务用车0辆、其他用车0辆，其他用车主要是无；单位价值100万元以上设备（不含车辆）0台（套）。</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b/>
          <w:sz w:val="28"/>
        </w:rPr>
        <w:t xml:space="preserve">十三、关于2024年度预算绩效情况的说明</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sz w:val="28"/>
        </w:rPr>
        <w:t xml:space="preserve">（一）绩效管理工作开展情况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2024年，根据教育局年初工作规划和重点性工作具体要求，较好的完成了年度工作目标。通过加强预算收支管理，不断建立健全内部管理制度，梳理内部管理流程，部门整体支出管理情况得到提升。</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sz w:val="28"/>
        </w:rPr>
        <w:t xml:space="preserve">（二）绩效评价结果</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2024年，根据教育局年初工作规划和重点性工作具体要求，较好的完成了年度工作目标。通过加强预算收支管理，不断建立健全内部管理制度，梳理内部管理流程，部门整体支出管理情况得到提升。</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黑体" w:eastAsia="黑体" w:hAnsi="黑体" w:cs="宋体"/>
          <w:sz w:val="28"/>
        </w:rPr>
        <w:t xml:space="preserve">（三）评价结果应用情况</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2024年，根据教育局年初工作规划和重点性工作具体要求，较好的完成了年度工作目标。通过加强预算收支管理，不断建立健全内部管理制度，梳理内部管理流程，部门整体支出管理情况得到提升。</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第四部分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名词解释</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1、“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color w:val="000000"/>
          <w:sz w:val="28"/>
        </w:rPr>
        <w:t xml:space="preserve">2、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p>
      <w:pPr>
        <w:pStyle w:val="Normal(Web)"/>
        <w:divId w:val="1"/>
        <w:rPr>
          <w:vanish w:val="0"/>
        </w:rPr>
      </w:pPr>
      <w:r>
        <w:br w:type="page"/>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1254"/>
        <w:jc w:val="center"/>
        <w:rPr>
          <w:rFonts w:ascii="宋体" w:eastAsia="宋体" w:hAnsi="宋体" w:cs="宋体"/>
          <w:vanish w:val="0"/>
          <w:sz w:val="24"/>
        </w:rPr>
      </w:pPr>
      <w:r>
        <w:rPr>
          <w:rFonts w:ascii="宋体" w:eastAsia="宋体" w:hAnsi="宋体" w:cs="宋体"/>
          <w:b/>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第五部分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宋体" w:eastAsia="宋体" w:hAnsi="宋体" w:cs="宋体"/>
          <w:sz w:val="24"/>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center"/>
        <w:rPr>
          <w:rFonts w:ascii="宋体" w:eastAsia="宋体" w:hAnsi="宋体" w:cs="宋体"/>
          <w:vanish w:val="0"/>
          <w:sz w:val="24"/>
        </w:rPr>
      </w:pPr>
      <w:r>
        <w:rPr>
          <w:rFonts w:ascii="黑体" w:eastAsia="黑体" w:hAnsi="黑体" w:cs="宋体"/>
          <w:b/>
          <w:color w:val="000000"/>
          <w:sz w:val="48"/>
        </w:rPr>
        <w:t xml:space="preserve">附件</w:t>
      </w:r>
    </w:p>
    <w:p>
      <w:pPr>
        <w:pStyle w:val="Normal(Web)"/>
        <w:divId w:val="1"/>
        <w:pBdr>
          <w:top w:val="none" w:sz="0" w:space="0" w:color="auto"/>
          <w:left w:val="none" w:sz="0" w:space="0" w:color="auto"/>
          <w:bottom w:val="none" w:sz="0" w:space="0" w:color="auto"/>
          <w:right w:val="none" w:sz="0" w:space="0" w:color="auto"/>
        </w:pBdr>
        <w:shd w:val="clear" w:color="auto" w:fill="auto"/>
        <w:spacing w:before="0" w:after="0" w:line="520" w:lineRule="atLeast"/>
        <w:ind w:firstLine="627"/>
        <w:jc w:val="both"/>
        <w:rPr>
          <w:rFonts w:ascii="宋体" w:eastAsia="宋体" w:hAnsi="宋体" w:cs="宋体"/>
          <w:vanish w:val="0"/>
          <w:sz w:val="24"/>
        </w:rPr>
      </w:pPr>
      <w:r>
        <w:rPr>
          <w:rFonts w:ascii="宋体" w:eastAsia="宋体" w:hAnsi="宋体" w:cs="宋体"/>
          <w:sz w:val="24"/>
        </w:rPr>
        <w:t xml:space="preserve"> </w:t>
      </w:r>
    </w:p>
    <w:sectPr>
      <w:pgSz w:w="11907" w:h="16839" w:orient="portrait"/>
      <w:pgMar w:top="1440" w:right="1440" w:bottom="1440" w:left="1440" w:header="720" w:footer="720" w:gutter="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SpireTableThStylef9658af4-ae66-49bc-8adf-0d434b7548d7">
    <w:name w:val="SpireTableThStylef9658af4-ae66-49bc-8adf-0d434b7548d7"/>
    <w:basedOn w:val="Normal"/>
    <w:qFormat/>
    <w:pPr>
      <w:jc w:val="center"/>
    </w:pPr>
    <w:rPr>
      <w:b/>
      <w:sz w:val="24"/>
    </w:rPr>
  </w:style>
  <w:style w:type="paragraph" w:styleId="SpireTableThStylec8f336a8-cd3c-479f-a8ab-be80d56ebcc5">
    <w:name w:val="SpireTableThStylec8f336a8-cd3c-479f-a8ab-be80d56ebcc5"/>
    <w:basedOn w:val="Normal"/>
    <w:qFormat/>
    <w:pPr>
      <w:jc w:val="center"/>
    </w:pPr>
    <w:rPr>
      <w:b/>
      <w:sz w:val="24"/>
    </w:rPr>
  </w:style>
  <w:style w:type="paragraph" w:styleId="SpireTableThStyle025567f7-75ed-4da3-a212-7c858f1558df">
    <w:name w:val="SpireTableThStyle025567f7-75ed-4da3-a212-7c858f1558df"/>
    <w:basedOn w:val="Normal"/>
    <w:qFormat/>
    <w:pPr>
      <w:jc w:val="center"/>
    </w:pPr>
    <w:rPr>
      <w:b/>
      <w:sz w:val="24"/>
    </w:rPr>
  </w:style>
  <w:style w:type="paragraph" w:styleId="SpireTableThStyle096b49ce-34a6-4231-a646-3bd2011bb8a9">
    <w:name w:val="SpireTableThStyle096b49ce-34a6-4231-a646-3bd2011bb8a9"/>
    <w:basedOn w:val="Normal"/>
    <w:qFormat/>
    <w:pPr>
      <w:jc w:val="center"/>
    </w:pPr>
    <w:rPr>
      <w:b/>
      <w:sz w:val="24"/>
    </w:rPr>
  </w:style>
  <w:style w:type="paragraph" w:styleId="SpireTableThStyle504a6784-1f20-4197-b173-8d4b8ba269dd">
    <w:name w:val="SpireTableThStyle504a6784-1f20-4197-b173-8d4b8ba269dd"/>
    <w:basedOn w:val="Normal"/>
    <w:qFormat/>
    <w:pPr>
      <w:jc w:val="center"/>
    </w:pPr>
    <w:rPr>
      <w:b/>
      <w:sz w:val="24"/>
    </w:rPr>
  </w:style>
  <w:style w:type="paragraph" w:styleId="SpireTableThStyleb8d1bfc4-b471-40ce-8c01-f32d43e7de3b">
    <w:name w:val="SpireTableThStyleb8d1bfc4-b471-40ce-8c01-f32d43e7de3b"/>
    <w:basedOn w:val="Normal"/>
    <w:qFormat/>
    <w:pPr>
      <w:jc w:val="center"/>
    </w:pPr>
    <w:rPr>
      <w:b/>
      <w:sz w:val="24"/>
    </w:rPr>
  </w:style>
  <w:style w:type="paragraph" w:styleId="SpireTableThStyled68cc0a0-1536-46e4-80fc-57a1323fbfb1">
    <w:name w:val="SpireTableThStyled68cc0a0-1536-46e4-80fc-57a1323fbfb1"/>
    <w:basedOn w:val="Normal"/>
    <w:qFormat/>
    <w:pPr>
      <w:jc w:val="center"/>
    </w:pPr>
    <w:rPr>
      <w:b/>
      <w:sz w:val="24"/>
    </w:rPr>
  </w:style>
  <w:style w:type="paragraph" w:styleId="SpireTableThStyle0981567f-809e-4590-9de0-e9c750592524">
    <w:name w:val="SpireTableThStyle0981567f-809e-4590-9de0-e9c750592524"/>
    <w:basedOn w:val="Normal"/>
    <w:qFormat/>
    <w:pPr>
      <w:jc w:val="center"/>
    </w:pPr>
    <w:rPr>
      <w:b/>
      <w:sz w:val="24"/>
    </w:rPr>
  </w:style>
  <w:style w:type="paragraph" w:styleId="SpireTableThStyle95a9a722-78d4-45d2-b9f9-09bfd7f785b1">
    <w:name w:val="SpireTableThStyle95a9a722-78d4-45d2-b9f9-09bfd7f785b1"/>
    <w:basedOn w:val="Normal"/>
    <w:qFormat/>
    <w:pPr>
      <w:jc w:val="center"/>
    </w:pPr>
    <w:rPr>
      <w:b/>
      <w:sz w:val="24"/>
    </w:rPr>
  </w:style>
  <w:style w:type="paragraph" w:styleId="SpireTableThStyle7de83b9f-3e0c-475c-aaf2-f0e5e7e09ec2">
    <w:name w:val="SpireTableThStyle7de83b9f-3e0c-475c-aaf2-f0e5e7e09ec2"/>
    <w:basedOn w:val="Normal"/>
    <w:qFormat/>
    <w:pPr>
      <w:jc w:val="center"/>
    </w:pPr>
    <w:rPr>
      <w:b/>
      <w:sz w:val="24"/>
    </w:rPr>
  </w:style>
  <w:style w:type="paragraph" w:styleId="SpireTableThStyle0d18897a-0705-4a4a-8014-6d2a48464e2b">
    <w:name w:val="SpireTableThStyle0d18897a-0705-4a4a-8014-6d2a48464e2b"/>
    <w:basedOn w:val="Normal"/>
    <w:qFormat/>
    <w:pPr>
      <w:jc w:val="center"/>
    </w:pPr>
    <w:rPr>
      <w:b/>
      <w:sz w:val="24"/>
    </w:rPr>
  </w:style>
  <w:style w:type="paragraph" w:styleId="SpireTableThStyled3367fdd-165e-484d-bf22-376a5df440fd">
    <w:name w:val="SpireTableThStyled3367fdd-165e-484d-bf22-376a5df440fd"/>
    <w:basedOn w:val="Normal"/>
    <w:qFormat/>
    <w:pPr>
      <w:jc w:val="center"/>
    </w:pPr>
    <w:rPr>
      <w:b/>
      <w:sz w:val="24"/>
    </w:rPr>
  </w:style>
  <w:style w:type="paragraph" w:styleId="SpireTableThStyle4d91c873-59d5-4448-b77e-d48a23d8e06f">
    <w:name w:val="SpireTableThStyle4d91c873-59d5-4448-b77e-d48a23d8e06f"/>
    <w:basedOn w:val="Normal"/>
    <w:qFormat/>
    <w:pPr>
      <w:jc w:val="center"/>
    </w:pPr>
    <w:rPr>
      <w:b/>
      <w:sz w:val="24"/>
    </w:rPr>
  </w:style>
  <w:style w:type="paragraph" w:styleId="SpireTableThStyle8d9b7d82-8bf8-4204-81bc-e7385f9763b7">
    <w:name w:val="SpireTableThStyle8d9b7d82-8bf8-4204-81bc-e7385f9763b7"/>
    <w:basedOn w:val="Normal"/>
    <w:qFormat/>
    <w:pPr>
      <w:jc w:val="center"/>
    </w:pPr>
    <w:rPr>
      <w:b/>
      <w:sz w:val="24"/>
    </w:rPr>
  </w:style>
  <w:style w:type="paragraph" w:styleId="SpireTableThStyle2710bc22-b5e6-4a9d-9e59-9d53bc23bb0c">
    <w:name w:val="SpireTableThStyle2710bc22-b5e6-4a9d-9e59-9d53bc23bb0c"/>
    <w:basedOn w:val="Normal"/>
    <w:qFormat/>
    <w:pPr>
      <w:jc w:val="center"/>
    </w:pPr>
    <w:rPr>
      <w:b/>
      <w:sz w:val="24"/>
    </w:rPr>
  </w:style>
  <w:style w:type="paragraph" w:styleId="SpireTableThStyle1a3a2cb4-c459-4c8a-9ef1-3ae3049e4494">
    <w:name w:val="SpireTableThStyle1a3a2cb4-c459-4c8a-9ef1-3ae3049e4494"/>
    <w:basedOn w:val="Normal"/>
    <w:qFormat/>
    <w:pPr>
      <w:jc w:val="center"/>
    </w:pPr>
    <w:rPr>
      <w:b/>
      <w:sz w:val="24"/>
    </w:rPr>
  </w:style>
  <w:style w:type="paragraph" w:styleId="SpireTableThStyleaf642de1-9cce-45e8-9b63-3f77f03ace86">
    <w:name w:val="SpireTableThStyleaf642de1-9cce-45e8-9b63-3f77f03ace86"/>
    <w:basedOn w:val="Normal"/>
    <w:qFormat/>
    <w:pPr>
      <w:jc w:val="center"/>
    </w:pPr>
    <w:rPr>
      <w:b/>
      <w:sz w:val="24"/>
    </w:rPr>
  </w:style>
  <w:style w:type="paragraph" w:styleId="SpireTableThStyle8fc74f2d-cf5b-4751-aa84-18571aec3201">
    <w:name w:val="SpireTableThStyle8fc74f2d-cf5b-4751-aa84-18571aec3201"/>
    <w:basedOn w:val="Normal"/>
    <w:qFormat/>
    <w:pPr>
      <w:jc w:val="center"/>
    </w:pPr>
    <w:rPr>
      <w:b/>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numbering" Target="numbering.xml" /><Relationship Id="rId4"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2025-09-18T20:21:42Z</dcterms:created>
  <dcterms:modified xsi:type="dcterms:W3CDTF">2025-09-18T20:21:42Z</dcterms:modified>
</cp:coreProperties>
</file>