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404A3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545344D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EA11A47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</w:p>
    <w:p w14:paraId="5D491065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  <w:lang w:eastAsia="zh-CN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双牌职业技术学校</w:t>
      </w:r>
    </w:p>
    <w:p w14:paraId="675C1A83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 w14:paraId="19C61D30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7D5F91A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DC923EB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41B1818">
      <w:pPr>
        <w:spacing w:beforeLines="0" w:afterLines="0"/>
        <w:rPr>
          <w:rFonts w:hint="default" w:eastAsia="黑体"/>
          <w:sz w:val="32"/>
          <w:szCs w:val="24"/>
        </w:rPr>
      </w:pPr>
    </w:p>
    <w:p w14:paraId="5C215957">
      <w:pPr>
        <w:spacing w:beforeLines="0" w:afterLines="0"/>
        <w:jc w:val="both"/>
        <w:rPr>
          <w:rFonts w:hint="default" w:eastAsia="黑体"/>
          <w:sz w:val="32"/>
          <w:szCs w:val="24"/>
        </w:rPr>
      </w:pPr>
    </w:p>
    <w:p w14:paraId="6E8E457D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DA3994D">
      <w:pPr>
        <w:spacing w:beforeLines="0" w:afterLines="0" w:line="600" w:lineRule="exact"/>
        <w:jc w:val="left"/>
        <w:rPr>
          <w:rFonts w:hint="eastAsia" w:eastAsia="仿宋_GB2312"/>
          <w:sz w:val="32"/>
          <w:szCs w:val="24"/>
        </w:rPr>
      </w:pPr>
    </w:p>
    <w:p w14:paraId="25316631">
      <w:pPr>
        <w:spacing w:beforeLines="0" w:afterLines="0" w:line="600" w:lineRule="exact"/>
        <w:ind w:firstLine="1920" w:firstLineChars="600"/>
        <w:jc w:val="left"/>
        <w:rPr>
          <w:rFonts w:hint="eastAsia" w:eastAsia="仿宋_GB2312"/>
          <w:sz w:val="32"/>
          <w:szCs w:val="24"/>
        </w:rPr>
      </w:pPr>
    </w:p>
    <w:p w14:paraId="7229453E">
      <w:pPr>
        <w:spacing w:beforeLines="0" w:afterLines="0" w:line="600" w:lineRule="exact"/>
        <w:ind w:firstLine="1920" w:firstLineChars="600"/>
        <w:jc w:val="left"/>
        <w:rPr>
          <w:rFonts w:hint="eastAsia" w:eastAsia="仿宋_GB2312"/>
          <w:sz w:val="32"/>
          <w:szCs w:val="24"/>
        </w:rPr>
      </w:pPr>
    </w:p>
    <w:p w14:paraId="4098217F">
      <w:pPr>
        <w:spacing w:beforeLines="0" w:afterLines="0" w:line="600" w:lineRule="exact"/>
        <w:ind w:firstLine="1920" w:firstLineChars="600"/>
        <w:jc w:val="left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lang w:val="en-US" w:eastAsia="zh-CN"/>
        </w:rPr>
        <w:t xml:space="preserve"> 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双牌职业技术学校</w:t>
      </w:r>
    </w:p>
    <w:p w14:paraId="6B1641CA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4EC12B69">
      <w:pPr>
        <w:spacing w:beforeLines="0" w:afterLines="0" w:line="600" w:lineRule="exact"/>
        <w:jc w:val="center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 xml:space="preserve">2025  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 xml:space="preserve"> 6  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 xml:space="preserve"> 17 </w:t>
      </w:r>
      <w:r>
        <w:rPr>
          <w:rFonts w:hint="eastAsia" w:eastAsia="楷体_GB2312"/>
          <w:sz w:val="32"/>
          <w:szCs w:val="24"/>
        </w:rPr>
        <w:t xml:space="preserve"> 日</w:t>
      </w:r>
    </w:p>
    <w:p w14:paraId="4B0E95E8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C49AD4A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0C6113F0"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双牌县职业技术始创于 1983 年，原名双牌县林业职业中专，属全额拨款正科级事业单位，双牌唯一一所公办中职学校，目前承担全县中等职业教育、全县社会劳动力培训办学功能，校园总面积 73848.48 平方米，校舍总面积 33188.6平方米，固定资产总值 3,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289.29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 万元。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社会统一信用代码：124311237656056186，行政级别：正科级，内部机构代码：02教科文股，国民经经济行业分类：P8391职业技能培训，单位负责人：盘先瑞，单位地址：双牌县泷泊镇长青路1号，单位经费保障方式：全额，部门标志：360教育部。</w:t>
      </w:r>
    </w:p>
    <w:p w14:paraId="25A572E9"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职能职责</w:t>
      </w:r>
    </w:p>
    <w:p w14:paraId="5F037EFB">
      <w:pPr>
        <w:pStyle w:val="2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实施普高和职高学历教育；实施社会职业培训；实施中小学教师学历和业务培训；实施高三复读培训。</w:t>
      </w:r>
    </w:p>
    <w:p w14:paraId="065C9F3E">
      <w:pPr>
        <w:pStyle w:val="2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机构编制</w:t>
      </w:r>
    </w:p>
    <w:p w14:paraId="1EF42212">
      <w:pPr>
        <w:spacing w:before="30"/>
        <w:ind w:left="5" w:firstLine="644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双牌县职业技术学校2024年末由110位在职在岗全额事业编缉人员构成，单位内设如下股室：学校办公室，教务处，政工处，招生就业处，总务室，财务室，团委办公室，工会办公室等处室。</w:t>
      </w:r>
    </w:p>
    <w:p w14:paraId="5322A6FF">
      <w:pPr>
        <w:pStyle w:val="2"/>
        <w:rPr>
          <w:rFonts w:hint="eastAsia" w:ascii="仿宋_GB2312" w:hAnsi="Times New Roman" w:eastAsia="仿宋_GB2312"/>
          <w:sz w:val="32"/>
          <w:szCs w:val="24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24"/>
        </w:rPr>
        <w:t>人员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构成</w:t>
      </w:r>
    </w:p>
    <w:p w14:paraId="0F06EBBF"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hAnsi="Times New Roman" w:eastAsia="仿宋_GB2312"/>
          <w:sz w:val="32"/>
          <w:szCs w:val="24"/>
          <w:lang w:val="en-US" w:eastAsia="en-US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学生情况: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年招收中职一年级新生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592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 人，较上年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增加10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人，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增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幅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1.72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%，生源主要来自本县各乡镇场和周边县区；在校学生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1625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 人，较上年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减少2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%；毕业生规模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541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人，净增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43人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，较上年增幅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8.6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%，就业率 98.45%，较上年增 0.10%；全年学生巩固率 9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6.7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6%，增幅 1.0%。</w:t>
      </w:r>
    </w:p>
    <w:p w14:paraId="1365A403"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教师队伍：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现有教师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118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人，师生比为 1: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13.77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，中职专任教师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107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人，其中专业课教师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58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 人，占专任教师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54.21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%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，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“双师型”教师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28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 人，占专业课教师比例达到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48.28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%；专任教师中研究生学历 7 人，本科学历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100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 人，学历达标率 100%；外聘企业技师教师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8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 人，均具有技师以上职业资格或中级技术职称。202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年调入教师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人，师资力量得到进一步充实，师资结构不断优化、师资水平较有提高。</w:t>
      </w:r>
    </w:p>
    <w:p w14:paraId="0E173500">
      <w:pPr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部门整体支出规模</w:t>
      </w:r>
    </w:p>
    <w:p w14:paraId="61CD7F12">
      <w:pPr>
        <w:pStyle w:val="2"/>
        <w:ind w:left="0" w:leftChars="0" w:firstLine="320" w:firstLineChars="100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1.</w:t>
      </w:r>
      <w:r>
        <w:rPr>
          <w:rFonts w:hint="eastAsia" w:ascii="仿宋_GB2312" w:hAnsi="Times New Roman" w:eastAsia="仿宋_GB2312"/>
          <w:sz w:val="32"/>
          <w:szCs w:val="24"/>
        </w:rPr>
        <w:t>部门整体支出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情况</w:t>
      </w:r>
    </w:p>
    <w:p w14:paraId="004C6C48"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年度支出合计7357.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68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万元，其中：基本支出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1523.77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万元，占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20.71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%；项目支出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5833.91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万元，占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79.29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%；上缴上级支出0万元，占0%；经营支出0万元，占0%；对附属单位补助支出0万元，占0%。</w:t>
      </w:r>
    </w:p>
    <w:p w14:paraId="4D099F6F">
      <w:pPr>
        <w:pStyle w:val="2"/>
        <w:ind w:left="0" w:leftChars="0" w:firstLine="320" w:firstLineChars="100"/>
        <w:rPr>
          <w:rFonts w:hint="eastAsia" w:ascii="仿宋_GB2312" w:hAnsi="Times New Roman" w:eastAsia="仿宋_GB2312"/>
          <w:sz w:val="32"/>
          <w:szCs w:val="24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2.部门预算收支决算情况</w:t>
      </w:r>
    </w:p>
    <w:p w14:paraId="79919C14"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hAnsi="Times New Roman" w:eastAsia="仿宋_GB2312"/>
          <w:sz w:val="32"/>
          <w:szCs w:val="24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本单位收入、支出年预算安排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7969.02万元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，其中：基本支出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1556.41万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元，项目支出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6412.61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元。</w:t>
      </w:r>
    </w:p>
    <w:p w14:paraId="28064E94"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hAnsi="Times New Roman" w:eastAsia="仿宋_GB2312"/>
          <w:sz w:val="32"/>
          <w:szCs w:val="24"/>
          <w:lang w:val="en-US" w:eastAsia="en-US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年度收入合计7357.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68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万元，其中：财政拨款收入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7127.81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 xml:space="preserve"> 万元，占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96.87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%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；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上级补助收入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0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万元，占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0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%；事业收入99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.80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万元 ，占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1.36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%；经营收入0万元，占0%；附属单位上缴收入0万元，占0%；其他收入130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31万元，占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1.77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%。</w:t>
      </w:r>
    </w:p>
    <w:p w14:paraId="322FC01A">
      <w:pPr>
        <w:pStyle w:val="2"/>
        <w:numPr>
          <w:ilvl w:val="0"/>
          <w:numId w:val="3"/>
        </w:numPr>
        <w:ind w:left="0" w:leftChars="0" w:firstLine="320" w:firstLineChars="100"/>
        <w:rPr>
          <w:rFonts w:hint="eastAsia" w:ascii="仿宋_GB2312" w:hAnsi="Times New Roman" w:eastAsia="仿宋_GB2312"/>
          <w:sz w:val="32"/>
          <w:szCs w:val="24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“三公经费”支出使用和管理情况。</w:t>
      </w:r>
    </w:p>
    <w:p w14:paraId="46E3161C"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hAnsi="Times New Roman" w:eastAsia="仿宋_GB2312"/>
          <w:sz w:val="32"/>
          <w:szCs w:val="24"/>
          <w:lang w:val="en-US" w:eastAsia="en-US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年度“三公”经费财政拨款支出决算中，公务接待费支出决算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5.31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万元，占100.00%，因公出国（境）费支出决算0万元，占0%，公务用车购置费及运行维护费支出决算0万元，占0%。其中：</w:t>
      </w:r>
    </w:p>
    <w:p w14:paraId="010E4941"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hAnsi="Times New Roman" w:eastAsia="仿宋_GB2312"/>
          <w:sz w:val="32"/>
          <w:szCs w:val="24"/>
          <w:lang w:val="en-US" w:eastAsia="en-US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1.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因公出国(境)费支出决算为0万元，全年安排因公出国(境 )团组0个，累计0人次，我单位202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年度无因公出国(境)费支出。</w:t>
      </w:r>
    </w:p>
    <w:p w14:paraId="18948E32"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hAnsi="Times New Roman" w:eastAsia="仿宋_GB2312"/>
          <w:sz w:val="32"/>
          <w:szCs w:val="24"/>
          <w:lang w:val="en-US" w:eastAsia="en-US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2.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公务接待费支出决算为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5.31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万元，全年共接待来访团组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46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个 、来宾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430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人次，主要是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上级领导来我校检查发生的接待支出。</w:t>
      </w:r>
    </w:p>
    <w:p w14:paraId="06E7FA1A"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hAnsi="Times New Roman" w:eastAsia="仿宋_GB2312"/>
          <w:sz w:val="32"/>
          <w:szCs w:val="24"/>
          <w:lang w:val="en-US" w:eastAsia="en-US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3.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公务用车购置费及运行维护费支出决算为0万元，其中：公务 用车购置费0万元。公务用车运行维护费0万元，截至202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年12月31日 ，我单位开支财政拨款的公务用车保有量为0辆。我单位202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年度无公务用车购置费及运行维护费支出。</w:t>
      </w:r>
    </w:p>
    <w:p w14:paraId="23CA298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BA26DC1">
      <w:pPr>
        <w:pStyle w:val="12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一般公共预算支出情况</w:t>
      </w:r>
    </w:p>
    <w:p w14:paraId="0355EB1B">
      <w:pPr>
        <w:pStyle w:val="11"/>
        <w:spacing w:line="600" w:lineRule="exact"/>
        <w:ind w:firstLine="640"/>
        <w:rPr>
          <w:rFonts w:hint="default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202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4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年度我校全年收入总计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7357.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68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万元，其中：本年收入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7357.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68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万元，年初结转和结余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0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万元。全年完成实际支出</w:t>
      </w:r>
      <w:r>
        <w:rPr>
          <w:rFonts w:hint="eastAsia" w:ascii="仿宋_GB2312" w:hAnsi="Times New Roman" w:eastAsia="仿宋_GB2312"/>
          <w:sz w:val="32"/>
          <w:szCs w:val="24"/>
          <w:lang w:val="en-US" w:eastAsia="en-US"/>
        </w:rPr>
        <w:t>7357.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68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万元，其中，基本支出1523.77万元，项目支出</w:t>
      </w:r>
      <w:bookmarkStart w:id="0" w:name="_GoBack"/>
      <w:r>
        <w:rPr>
          <w:rFonts w:hint="eastAsia" w:ascii="仿宋_GB2312" w:eastAsia="仿宋_GB2312"/>
          <w:sz w:val="32"/>
          <w:szCs w:val="24"/>
          <w:lang w:val="en-US" w:eastAsia="zh-CN"/>
        </w:rPr>
        <w:t>5833.91</w:t>
      </w:r>
      <w:bookmarkEnd w:id="0"/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万元。</w:t>
      </w:r>
    </w:p>
    <w:p w14:paraId="5E14F9E9">
      <w:pPr>
        <w:pStyle w:val="12"/>
        <w:numPr>
          <w:ilvl w:val="0"/>
          <w:numId w:val="4"/>
        </w:numPr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基本支出情况</w:t>
      </w:r>
    </w:p>
    <w:p w14:paraId="7EF56F41">
      <w:pPr>
        <w:pStyle w:val="11"/>
        <w:spacing w:line="600" w:lineRule="exact"/>
        <w:ind w:firstLine="640"/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基本支出1523.77万元，占总支出的比重为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20.71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%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。其中社会保障和就业支出154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.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75万元，卫生健康支出84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.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14万元，住房保障支出116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.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06万元。</w:t>
      </w:r>
    </w:p>
    <w:p w14:paraId="51538464">
      <w:pPr>
        <w:pStyle w:val="11"/>
        <w:spacing w:line="600" w:lineRule="exact"/>
        <w:ind w:firstLine="640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202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4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年部门“三公”经费决算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5.31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万元，其中：公务接待费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5.31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万元。</w:t>
      </w:r>
    </w:p>
    <w:p w14:paraId="03302643">
      <w:pPr>
        <w:pStyle w:val="12"/>
        <w:numPr>
          <w:ilvl w:val="0"/>
          <w:numId w:val="4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 w14:paraId="219D8EDB">
      <w:pPr>
        <w:ind w:firstLine="640" w:firstLineChars="200"/>
        <w:rPr>
          <w:rFonts w:hint="default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项目支出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5833.91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万元，占总支出的比重为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79.29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en-US" w:bidi="ar-SA"/>
        </w:rPr>
        <w:t>%。</w:t>
      </w:r>
    </w:p>
    <w:p w14:paraId="28ABD458">
      <w:pPr>
        <w:pStyle w:val="12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 w14:paraId="43C869BE">
      <w:pPr>
        <w:numPr>
          <w:ilvl w:val="0"/>
          <w:numId w:val="0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hAnsi="Times New Roman" w:eastAsia="仿宋_GB2312"/>
          <w:sz w:val="32"/>
          <w:szCs w:val="24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本单位收入、支出年预算安排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4412.24万元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。</w:t>
      </w:r>
    </w:p>
    <w:p w14:paraId="7DDBCEF2">
      <w:pPr>
        <w:pStyle w:val="12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 w14:paraId="0EECAAA3">
      <w:pPr>
        <w:pStyle w:val="12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“我单位无国有资本经营预算支出情况”</w:t>
      </w:r>
    </w:p>
    <w:p w14:paraId="385E70EE">
      <w:pPr>
        <w:pStyle w:val="12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3881FB5B">
      <w:pPr>
        <w:pStyle w:val="12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“我单位无社会保险基金预算支出情况”</w:t>
      </w:r>
    </w:p>
    <w:p w14:paraId="62B098E1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797B2429">
      <w:pPr>
        <w:ind w:firstLine="640" w:firstLineChars="200"/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根据《部门整体支出绩效评价指标》评分，得分9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6.32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分（详见附件3：部门整体支出绩效自评表）。主要绩效如下：</w:t>
      </w:r>
    </w:p>
    <w:p w14:paraId="41F1D09B">
      <w:pPr>
        <w:ind w:firstLine="640" w:firstLineChars="200"/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从经济性情况分析看，预算资金覆盖各个需求方面，“三公”经费预算没有超过上年预算安排。202</w:t>
      </w:r>
      <w:r>
        <w:rPr>
          <w:rFonts w:hint="eastAsia" w:ascii="仿宋_GB2312" w:eastAsia="仿宋_GB2312" w:cstheme="minorBidi"/>
          <w:kern w:val="2"/>
          <w:sz w:val="32"/>
          <w:szCs w:val="24"/>
          <w:lang w:val="en-US" w:eastAsia="zh-CN" w:bidi="ar-SA"/>
        </w:rPr>
        <w:t>4</w:t>
      </w: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年预算资金能保障单位正常运转需要，分配办法科学，考虑的因素必要合理，分配的结果合理，能保证学校正常运转和项目建设有序推进。</w:t>
      </w:r>
    </w:p>
    <w:p w14:paraId="112FC22B">
      <w:pPr>
        <w:ind w:firstLine="640" w:firstLineChars="200"/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从效率性情况分析看，在各项工作费用支出中，尤其是干部职工的医疗保险、工伤保险、福利费、工会经费等人员经费支出能及时按进度保质保量完成。预算公用经费基本拨付到位，预算完成率和预算控制率较好。</w:t>
      </w:r>
    </w:p>
    <w:p w14:paraId="7517AF3D">
      <w:pPr>
        <w:ind w:firstLine="640" w:firstLineChars="200"/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从有效性情况分析看，为了给学生营造良好的教学环境，需保证教学活动、项目建设和后勤服务的支出，使学校的各项目工作正常运转，全面整合职能和资积较大，工作综合性强，需加大人力、资金投入。</w:t>
      </w:r>
    </w:p>
    <w:p w14:paraId="6BF95D94">
      <w:pPr>
        <w:pStyle w:val="12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466561A9">
      <w:pPr>
        <w:spacing w:line="600" w:lineRule="exact"/>
        <w:ind w:firstLine="640" w:firstLineChars="200"/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1、时效性不够，预算执行率有待提高。由于预算项目未实施或未及时报账导致年末预算资金未形成支出。</w:t>
      </w:r>
    </w:p>
    <w:p w14:paraId="7D925B4D">
      <w:pPr>
        <w:spacing w:line="600" w:lineRule="exact"/>
        <w:ind w:firstLine="640" w:firstLineChars="200"/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2、预算编制不够明确和细化，存在随意性。预算执行力度还要进一步加强，资金使用效益有待进一步提高。</w:t>
      </w:r>
    </w:p>
    <w:p w14:paraId="7A5758F7"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3、财务人员自身专业知识水平需要加强。多高校政府采购预算编制人员为兼职，一人多岗现象较为普遍，且很多未经过专业的学习培训，缺乏相关的政府采购</w:t>
      </w: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instrText xml:space="preserve"> HYPERLINK "http://lilun.caigou2003.com/" \t "_blank" </w:instrText>
      </w: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理论</w:t>
      </w: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基础。</w:t>
      </w:r>
    </w:p>
    <w:p w14:paraId="1B4DB4CC"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 w14:paraId="0267A2F5">
      <w:pPr>
        <w:spacing w:line="600" w:lineRule="exact"/>
        <w:ind w:firstLine="640" w:firstLineChars="200"/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1、加强财务管理，规范单位财务行为。在费用报账支付时，按照预算规定的费用项目和用途进行资金使用审核、财务严格核算，杜绝超支现象的发生。</w:t>
      </w:r>
    </w:p>
    <w:p w14:paraId="08260307">
      <w:pPr>
        <w:spacing w:line="600" w:lineRule="exact"/>
        <w:ind w:firstLine="640" w:firstLineChars="200"/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2、细化预算编制工作，提高预算编制的准确性、合理性。进一步加强内设机构的预算管理意识，严格按照预算编制的相关制度和要求进行预算编制。</w:t>
      </w:r>
    </w:p>
    <w:p w14:paraId="72E2DD7C">
      <w:pPr>
        <w:spacing w:line="600" w:lineRule="exact"/>
        <w:ind w:firstLine="640" w:firstLineChars="200"/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 xml:space="preserve"> 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 w14:paraId="13500F6A">
      <w:pPr>
        <w:spacing w:line="600" w:lineRule="exact"/>
        <w:ind w:firstLine="640" w:firstLineChars="200"/>
        <w:rPr>
          <w:rFonts w:hint="default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4、强化财务专业知识学习，提升专业素养。对相关人员加强培训，特别是针对《预算法》、《行政事业单位会计制度》等学习培训，规范部门预算收支核算，切实提高部门预算收支管理水平。</w:t>
      </w:r>
    </w:p>
    <w:p w14:paraId="4BEADB73">
      <w:pPr>
        <w:pStyle w:val="2"/>
        <w:rPr>
          <w:rFonts w:hint="default"/>
        </w:rPr>
      </w:pPr>
    </w:p>
    <w:p w14:paraId="0D79776D">
      <w:pPr>
        <w:numPr>
          <w:ilvl w:val="0"/>
          <w:numId w:val="5"/>
        </w:num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部门整体支出绩效自评结果拟应用和公开情况</w:t>
      </w:r>
    </w:p>
    <w:p w14:paraId="470919BB">
      <w:pPr>
        <w:spacing w:line="600" w:lineRule="exact"/>
        <w:ind w:firstLine="640" w:firstLineChars="200"/>
        <w:rPr>
          <w:rFonts w:hint="default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根据部门整体支出绩效评价指标体系，我单位202</w:t>
      </w:r>
      <w:r>
        <w:rPr>
          <w:rFonts w:hint="eastAsia" w:eastAsia="仿宋_GB2312" w:cstheme="minorBidi"/>
          <w:color w:val="000000"/>
          <w:kern w:val="0"/>
          <w:sz w:val="32"/>
          <w:szCs w:val="24"/>
          <w:lang w:val="en-US" w:eastAsia="zh-CN" w:bidi="ar-SA"/>
        </w:rPr>
        <w:t>4</w:t>
      </w: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年度评价得分为9</w:t>
      </w:r>
      <w:r>
        <w:rPr>
          <w:rFonts w:hint="eastAsia" w:eastAsia="仿宋_GB2312" w:cstheme="minorBidi"/>
          <w:color w:val="000000"/>
          <w:kern w:val="0"/>
          <w:sz w:val="32"/>
          <w:szCs w:val="24"/>
          <w:lang w:val="en-US" w:eastAsia="zh-CN" w:bidi="ar-SA"/>
        </w:rPr>
        <w:t>6.32</w:t>
      </w: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24"/>
          <w:lang w:val="en-US" w:eastAsia="zh-CN" w:bidi="ar-SA"/>
        </w:rPr>
        <w:t>分。</w:t>
      </w:r>
    </w:p>
    <w:p w14:paraId="1FA3EB48">
      <w:pPr>
        <w:spacing w:beforeLines="0" w:afterLines="0" w:line="570" w:lineRule="exact"/>
        <w:ind w:firstLine="645"/>
        <w:jc w:val="left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0730823C">
      <w:pPr>
        <w:pStyle w:val="2"/>
        <w:rPr>
          <w:rFonts w:hint="eastAsia" w:eastAsia="黑体"/>
          <w:lang w:eastAsia="zh-CN"/>
        </w:rPr>
      </w:pPr>
      <w:r>
        <w:rPr>
          <w:rFonts w:hint="eastAsia" w:eastAsia="黑体"/>
          <w:sz w:val="32"/>
          <w:szCs w:val="24"/>
          <w:lang w:eastAsia="zh-CN"/>
        </w:rPr>
        <w:t>无</w:t>
      </w:r>
    </w:p>
    <w:p w14:paraId="60C57543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18CB266E">
      <w:pPr>
        <w:pStyle w:val="2"/>
        <w:ind w:left="0" w:leftChars="0" w:firstLine="0" w:firstLineChars="0"/>
        <w:rPr>
          <w:rFonts w:hint="eastAsia"/>
        </w:rPr>
      </w:pPr>
    </w:p>
    <w:p w14:paraId="51AF4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ABAF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321C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5BCC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CB05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9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2AAA9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B25E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7610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E82C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E364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5F9A1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498A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42C3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74743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4CE56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</w:tr>
      <w:tr w14:paraId="7CBE7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140D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025A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5137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1BE6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77380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8D13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79AC2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6.7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EEB19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902FD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5.31</w:t>
            </w:r>
          </w:p>
        </w:tc>
      </w:tr>
      <w:tr w14:paraId="7946C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B02BB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691C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0FA2F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4B31A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 w14:paraId="57F32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3ADEF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19CF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ECEB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370AF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7759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C860BF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86F5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A5AA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2DC0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C65D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66AD52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0205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8318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6C21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1005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B8F063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63C18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1F3B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F7A6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5.31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9D21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8E743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项目支出：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7E90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1176.77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06AD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6412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DD83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5864.5</w:t>
            </w:r>
          </w:p>
        </w:tc>
      </w:tr>
      <w:tr w14:paraId="212B6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ED418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1、业务工作经费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5D39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5B00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F5E4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7B59C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CBE4B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2、运行维护经费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C1967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FE08A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75119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2C412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947B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3、本级专项资金（一个专项一行）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52C59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1176.77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5431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6412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B74EF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5864.5</w:t>
            </w:r>
          </w:p>
        </w:tc>
      </w:tr>
      <w:tr w14:paraId="28F46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C16E3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公用经费：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55B1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5E70E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9CABD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1E92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88BC6C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2A64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DCDD0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E3F3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2B5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AA4D6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5B55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89AD7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43.5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140E1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43.4</w:t>
            </w:r>
          </w:p>
        </w:tc>
      </w:tr>
      <w:tr w14:paraId="53EA3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0DD2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1116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55525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8F3FC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DD9D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EB4A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241E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3C97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90C9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D288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A63BC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844B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1A39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9453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20B1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816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3A32DD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D43B9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018AB74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F657A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27B7C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DC0E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C5705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C9B1D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0163B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30359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B6E6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2C94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45B21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6F5BF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6D6BE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B5F45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4B06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F61C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0B8F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压缩一般性支出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296BB6C4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7E69CCC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7152EE5B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98FE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唐秋艳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17774664906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</w:t>
      </w:r>
    </w:p>
    <w:p w14:paraId="13E45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sz w:val="32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蒋宏文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F92A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9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1045"/>
        <w:gridCol w:w="1031"/>
        <w:gridCol w:w="283"/>
        <w:gridCol w:w="957"/>
        <w:gridCol w:w="1512"/>
        <w:gridCol w:w="646"/>
        <w:gridCol w:w="681"/>
        <w:gridCol w:w="1246"/>
      </w:tblGrid>
      <w:tr w14:paraId="1CBF5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6B360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0CEE2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双牌县职业技术学校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2D38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99647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77DCFDB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12FA701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D8474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C4949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3B416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FCFD4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DD162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58FA5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99069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4DF01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630AB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84D98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6C7378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2028.52</w:t>
            </w: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9D519C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7969.02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509F84">
            <w:pPr>
              <w:spacing w:beforeLines="0" w:afterLines="0" w:line="240" w:lineRule="exact"/>
              <w:jc w:val="center"/>
              <w:rPr>
                <w:rFonts w:hint="default" w:eastAsia="宋体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7357.</w:t>
            </w:r>
            <w:r>
              <w:rPr>
                <w:rFonts w:hint="eastAsia" w:eastAsia="宋体"/>
                <w:lang w:val="en-US" w:eastAsia="zh-CN"/>
              </w:rPr>
              <w:t>68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2F7F7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41B0BD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92.33%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4E74FB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9.23</w:t>
            </w:r>
          </w:p>
        </w:tc>
      </w:tr>
      <w:tr w14:paraId="268D0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66573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D48BB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5EED5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0C607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3A2D8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62B3B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3915.70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4553B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1545.12</w:t>
            </w:r>
          </w:p>
        </w:tc>
      </w:tr>
      <w:tr w14:paraId="5A1F1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6E68B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A1B0D3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4412.24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6A7738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5834.15</w:t>
            </w:r>
          </w:p>
        </w:tc>
      </w:tr>
      <w:tr w14:paraId="50489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C020A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BFF6F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265.82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DA523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D7FD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ED266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97C673"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275.18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D5E8A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A8D2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BACDD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13100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1DE9D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4197B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0088C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B962DE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加快学校品牌内涵建设，紧紧抓住我国加快发展现代化职业教育的有利时机，按照既定的发展规划，坚持改革创新，突出内涵发展，全面提升办学层次和教学质量，打造有特色、有内涵、有实力的中等职业学校。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9CE7AF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完成预期目标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</w:tr>
      <w:tr w14:paraId="405BF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F16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200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17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年度招生计划完成率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FC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A2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87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实际招生人数占计划招生人数的比例，反映学校招生执行能力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A4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95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D66D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7939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41F11A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8C93DC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09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课程达标率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34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29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FE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该指标主要考察学校的授课质量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4C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B0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5CC3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7EE8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919FA5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BD7ECC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DA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教师培训及时率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E3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8D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5A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实际及时率达到100%</w:t>
            </w:r>
          </w:p>
        </w:tc>
        <w:tc>
          <w:tcPr>
            <w:tcW w:w="64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74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A7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8D099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17F9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4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176D5A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87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57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教师业务能力获奖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F4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A9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62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实际完成率达到100%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97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86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8315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C5AF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6FC9FB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7A7C76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A6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社会认可度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62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7E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15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通过调查问卷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D2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63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8B696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52BC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F7064F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2581A9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14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创建和谐的师生环境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63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6B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76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根据实际情况酌情评估</w:t>
            </w:r>
          </w:p>
        </w:tc>
        <w:tc>
          <w:tcPr>
            <w:tcW w:w="64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B5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49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CF07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D573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EB5E62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6D309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D5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提升教师教学质量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DC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65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EE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根据实际情况酌情评估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37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54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CC42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C9AC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57708A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E81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07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师生满意度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CD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22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2C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通过调查问卷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F7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11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DFB31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14DF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AB9417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DB2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4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FA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项目成本预估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9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8842.57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B6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7357.92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B2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根据实际情况酌情评估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36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8F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7C841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3BBA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431D01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553E00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FD95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5905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FD07B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5B7D0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EFF9C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8A605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7E73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AB9D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2E5D5F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EBE00B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DF8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B2DA3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EB682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185F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D8B1B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99204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A8246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611A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82A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BD6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CB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年度招生计划完成率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59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9A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5F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实际招生人数占计划招生人数的比例，反映学校招生执行能力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3F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F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96994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8EA6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DF89EC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65E95F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CB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课程达标率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1C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85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97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该指标主要考察学校的授课质量</w:t>
            </w:r>
          </w:p>
        </w:tc>
        <w:tc>
          <w:tcPr>
            <w:tcW w:w="64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F3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01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BDE4D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DBFB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AE4F35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00809E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D4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教师培训及时率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C5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00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59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实际及时率达到100%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85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3F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FC310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0F50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6738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D334D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C1F8B0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E5B4A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96.32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1C1BF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4828F106">
      <w:pPr>
        <w:spacing w:beforeLines="0" w:afterLines="0"/>
        <w:jc w:val="left"/>
        <w:rPr>
          <w:rFonts w:hint="eastAsia" w:eastAsiaTheme="minorEastAsia"/>
          <w:sz w:val="22"/>
          <w:szCs w:val="24"/>
          <w:lang w:eastAsia="zh-CN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唐秋艳</w:t>
      </w:r>
      <w:r>
        <w:rPr>
          <w:rFonts w:hint="eastAsia" w:eastAsia="仿宋_GB2312"/>
          <w:sz w:val="22"/>
          <w:szCs w:val="24"/>
        </w:rPr>
        <w:t xml:space="preserve">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2025.6.17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17774664906</w:t>
      </w:r>
      <w:r>
        <w:rPr>
          <w:rFonts w:hint="eastAsia" w:eastAsia="仿宋_GB2312"/>
          <w:sz w:val="22"/>
          <w:szCs w:val="24"/>
        </w:rPr>
        <w:t xml:space="preserve"> 单位负责人签字：</w:t>
      </w:r>
      <w:r>
        <w:rPr>
          <w:rFonts w:hint="eastAsia" w:eastAsia="仿宋_GB2312"/>
          <w:sz w:val="22"/>
          <w:szCs w:val="24"/>
          <w:lang w:val="en-US" w:eastAsia="zh-CN"/>
        </w:rPr>
        <w:t>蒋宏文</w:t>
      </w:r>
      <w:r>
        <w:rPr>
          <w:rFonts w:hint="default" w:eastAsia="仿宋_GB2312"/>
          <w:sz w:val="22"/>
          <w:szCs w:val="24"/>
        </w:rPr>
        <w:br w:type="page"/>
      </w:r>
    </w:p>
    <w:p w14:paraId="4BDB31A0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3CF2836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B9A0852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双牌职业技术学校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9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1311"/>
        <w:gridCol w:w="1313"/>
        <w:gridCol w:w="1537"/>
        <w:gridCol w:w="1578"/>
      </w:tblGrid>
      <w:tr w14:paraId="5201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4657B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4D2A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E45D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0A29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E949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97596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2E1C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AE7B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B6B3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陈舰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ED35C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财务主管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6C7A6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7996BC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13135271977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4C267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48D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F197E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596BC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唐秋艳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2A947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会计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C52F2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AD8AB0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17774664906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CA743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D96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F1193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57120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860B6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A251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CE5D9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0C0D5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988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28627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DB04E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5FA71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F4C6D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67F56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ED607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C4A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9C4FB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4EB81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99878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FC5A1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B87C2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ABC31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FCE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C3C5C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B5595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233D0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A008D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D9128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7F8F7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7A0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C8CFD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11916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25840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5074E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FDFAF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CB18C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8ED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11863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C9B4A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BC121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1AAA1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590FF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C6CE3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329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6730A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33ED4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A9BD0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C8D76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65FA5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D06A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8A2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A9CCC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E9A06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CB0C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FE8B4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0844C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1CF85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460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34A76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DCCE4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1E369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BD797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EAB90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E267E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0F92AAC8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49B2C">
    <w:pPr>
      <w:widowControl w:val="0"/>
      <w:snapToGrid w:val="0"/>
      <w:spacing w:beforeLines="0" w:afterLines="0"/>
      <w:ind w:right="360" w:firstLine="360"/>
      <w:jc w:val="left"/>
      <w:rPr>
        <w:rFonts w:hint="default" w:ascii="Times New Roman" w:hAnsi="Times New Roman" w:eastAsia="Times New Roman" w:cstheme="minorBidi"/>
        <w:kern w:val="0"/>
        <w:sz w:val="28"/>
        <w:szCs w:val="24"/>
        <w:lang w:val="en-US" w:eastAsia="zh-CN" w:bidi="ar-SA"/>
      </w:rPr>
    </w:pPr>
    <w:r>
      <w:rPr>
        <w:rFonts w:hint="default" w:ascii="Times New Roman" w:hAnsi="Times New Roman" w:eastAsia="Times New Roman" w:cstheme="minorBidi"/>
        <w:kern w:val="0"/>
        <w:sz w:val="2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C31DF">
                          <w:pPr>
                            <w:widowControl w:val="0"/>
                            <w:snapToGrid w:val="0"/>
                            <w:spacing w:beforeLines="0" w:afterLines="0"/>
                            <w:jc w:val="left"/>
                            <w:rPr>
                              <w:rFonts w:hint="default" w:ascii="Times New Roman" w:hAnsi="Times New Roman" w:eastAsia="Times New Roman" w:cstheme="minorBidi"/>
                              <w:kern w:val="0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6C31DF">
                    <w:pPr>
                      <w:widowControl w:val="0"/>
                      <w:snapToGrid w:val="0"/>
                      <w:spacing w:beforeLines="0" w:afterLines="0"/>
                      <w:jc w:val="left"/>
                      <w:rPr>
                        <w:rFonts w:hint="default" w:ascii="Times New Roman" w:hAnsi="Times New Roman" w:eastAsia="Times New Roman" w:cstheme="minorBidi"/>
                        <w:kern w:val="0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2BDF3">
    <w:pPr>
      <w:widowControl w:val="0"/>
      <w:snapToGrid w:val="0"/>
      <w:spacing w:beforeLines="0" w:afterLines="0"/>
      <w:ind w:right="360" w:firstLine="360"/>
      <w:jc w:val="left"/>
      <w:rPr>
        <w:rFonts w:hint="default" w:ascii="Times New Roman" w:hAnsi="Times New Roman" w:eastAsia="Times New Roman" w:cstheme="minorBidi"/>
        <w:kern w:val="0"/>
        <w:sz w:val="28"/>
        <w:szCs w:val="24"/>
        <w:lang w:val="en-US" w:eastAsia="zh-CN" w:bidi="ar-SA"/>
      </w:rPr>
    </w:pPr>
    <w:r>
      <w:rPr>
        <w:rFonts w:hint="default" w:ascii="Times New Roman" w:hAnsi="Times New Roman" w:eastAsia="Times New Roman" w:cstheme="minorBidi"/>
        <w:kern w:val="0"/>
        <w:sz w:val="2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86932">
                          <w:pPr>
                            <w:widowControl w:val="0"/>
                            <w:snapToGrid w:val="0"/>
                            <w:spacing w:beforeLines="0" w:afterLines="0"/>
                            <w:jc w:val="left"/>
                            <w:rPr>
                              <w:rFonts w:hint="default" w:ascii="Times New Roman" w:hAnsi="Times New Roman" w:eastAsia="Times New Roman" w:cstheme="minorBidi"/>
                              <w:kern w:val="0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Times New Roman" w:cs="宋体"/>
                              <w:kern w:val="0"/>
                              <w:sz w:val="2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mBGt94BAAC+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YEa3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486932">
                    <w:pPr>
                      <w:widowControl w:val="0"/>
                      <w:snapToGrid w:val="0"/>
                      <w:spacing w:beforeLines="0" w:afterLines="0"/>
                      <w:jc w:val="left"/>
                      <w:rPr>
                        <w:rFonts w:hint="default" w:ascii="Times New Roman" w:hAnsi="Times New Roman" w:eastAsia="Times New Roman" w:cstheme="minorBidi"/>
                        <w:kern w:val="0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t>- 2 -</w:t>
                    </w:r>
                    <w:r>
                      <w:rPr>
                        <w:rFonts w:hint="eastAsia" w:ascii="宋体" w:hAnsi="宋体" w:eastAsia="Times New Roman" w:cs="宋体"/>
                        <w:kern w:val="0"/>
                        <w:sz w:val="2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E936E"/>
    <w:multiLevelType w:val="singleLevel"/>
    <w:tmpl w:val="826E936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1C595A"/>
    <w:multiLevelType w:val="singleLevel"/>
    <w:tmpl w:val="921C595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6E5A06A"/>
    <w:multiLevelType w:val="singleLevel"/>
    <w:tmpl w:val="D6E5A06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4">
    <w:nsid w:val="6E1BF6BD"/>
    <w:multiLevelType w:val="singleLevel"/>
    <w:tmpl w:val="6E1BF6B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ZmFiOTBlNWIwNDJhNmVkNGJhMWFhOGUzZGZhY2IifQ=="/>
  </w:docVars>
  <w:rsids>
    <w:rsidRoot w:val="00172A27"/>
    <w:rsid w:val="09ED6AE9"/>
    <w:rsid w:val="0CCE5073"/>
    <w:rsid w:val="101F3C57"/>
    <w:rsid w:val="105E064F"/>
    <w:rsid w:val="150C463E"/>
    <w:rsid w:val="154B3473"/>
    <w:rsid w:val="15B02F86"/>
    <w:rsid w:val="1BCE59A7"/>
    <w:rsid w:val="1D5E5630"/>
    <w:rsid w:val="1F9C1D8C"/>
    <w:rsid w:val="20BA3D5C"/>
    <w:rsid w:val="20FE29CD"/>
    <w:rsid w:val="213827F6"/>
    <w:rsid w:val="216C4E14"/>
    <w:rsid w:val="234C4F93"/>
    <w:rsid w:val="24756501"/>
    <w:rsid w:val="25BD4373"/>
    <w:rsid w:val="2AF82401"/>
    <w:rsid w:val="2E767338"/>
    <w:rsid w:val="308F4029"/>
    <w:rsid w:val="31EF3498"/>
    <w:rsid w:val="33457B5A"/>
    <w:rsid w:val="33EA0D37"/>
    <w:rsid w:val="3C2D2F22"/>
    <w:rsid w:val="3DFB432B"/>
    <w:rsid w:val="3FCA62E4"/>
    <w:rsid w:val="41A60F90"/>
    <w:rsid w:val="437042B4"/>
    <w:rsid w:val="43D25C86"/>
    <w:rsid w:val="478D27B3"/>
    <w:rsid w:val="47FF7E2A"/>
    <w:rsid w:val="4A7E5437"/>
    <w:rsid w:val="4B490F32"/>
    <w:rsid w:val="4B564457"/>
    <w:rsid w:val="4C575977"/>
    <w:rsid w:val="4DF30F3A"/>
    <w:rsid w:val="4E8B7C40"/>
    <w:rsid w:val="4F1637A4"/>
    <w:rsid w:val="4FC02155"/>
    <w:rsid w:val="500F1BD2"/>
    <w:rsid w:val="51C40746"/>
    <w:rsid w:val="52130A3D"/>
    <w:rsid w:val="543E6CC0"/>
    <w:rsid w:val="55412274"/>
    <w:rsid w:val="55C03679"/>
    <w:rsid w:val="576B726F"/>
    <w:rsid w:val="57C446E9"/>
    <w:rsid w:val="58820FB8"/>
    <w:rsid w:val="5ABA52A9"/>
    <w:rsid w:val="5C8E01AF"/>
    <w:rsid w:val="62BE6D8B"/>
    <w:rsid w:val="645C1597"/>
    <w:rsid w:val="64E742EF"/>
    <w:rsid w:val="684B0AD7"/>
    <w:rsid w:val="75073918"/>
    <w:rsid w:val="771A18F7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3"/>
    <w:basedOn w:val="1"/>
    <w:next w:val="5"/>
    <w:qFormat/>
    <w:uiPriority w:val="0"/>
    <w:pPr>
      <w:widowControl/>
      <w:autoSpaceDE w:val="0"/>
      <w:autoSpaceDN w:val="0"/>
      <w:spacing w:line="360" w:lineRule="auto"/>
      <w:ind w:firstLine="540"/>
    </w:pPr>
    <w:rPr>
      <w:rFonts w:ascii="宋体" w:hAnsi="宋体"/>
      <w:color w:val="000000"/>
      <w:kern w:val="0"/>
      <w:sz w:val="24"/>
      <w:szCs w:val="20"/>
    </w:rPr>
  </w:style>
  <w:style w:type="paragraph" w:customStyle="1" w:styleId="5">
    <w:name w:val="Style23"/>
    <w:basedOn w:val="1"/>
    <w:next w:val="1"/>
    <w:qFormat/>
    <w:uiPriority w:val="99"/>
    <w:rPr>
      <w:rFonts w:ascii="Calibri" w:hAnsi="宋体" w:cs="宋体"/>
      <w:kern w:val="0"/>
      <w:szCs w:val="20"/>
    </w:rPr>
  </w:style>
  <w:style w:type="paragraph" w:styleId="6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11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2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262</Words>
  <Characters>316</Characters>
  <Lines>0</Lines>
  <Paragraphs>0</Paragraphs>
  <TotalTime>37</TotalTime>
  <ScaleCrop>false</ScaleCrop>
  <LinksUpToDate>false</LinksUpToDate>
  <CharactersWithSpaces>336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dcterms:modified xsi:type="dcterms:W3CDTF">2025-09-24T02:36:03Z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FF6CA324893447ECB7EF37907CC5FA30_13</vt:lpwstr>
  </property>
  <property fmtid="{D5CDD505-2E9C-101B-9397-08002B2CF9AE}" pid="4" name="KSOTemplateDocerSaveRecord">
    <vt:lpwstr>eyJoZGlkIjoiNzhhZmFiOTBlNWIwNDJhNmVkNGJhMWFhOGUzZGZhY2IifQ==</vt:lpwstr>
  </property>
</Properties>
</file>