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DC2A9">
      <w:pPr>
        <w:widowControl/>
        <w:spacing w:line="540" w:lineRule="exact"/>
        <w:jc w:val="left"/>
        <w:rPr>
          <w:rFonts w:ascii="黑体" w:hAnsi="黑体" w:eastAsia="黑体" w:cs="黑体"/>
          <w:sz w:val="32"/>
          <w:szCs w:val="32"/>
        </w:rPr>
      </w:pPr>
    </w:p>
    <w:p w14:paraId="4E1DF226">
      <w:pPr>
        <w:widowControl/>
        <w:spacing w:line="540" w:lineRule="exact"/>
        <w:jc w:val="left"/>
        <w:rPr>
          <w:rFonts w:hint="default" w:ascii="黑体" w:hAnsi="黑体" w:eastAsia="黑体" w:cs="黑体"/>
          <w:sz w:val="32"/>
          <w:szCs w:val="32"/>
        </w:rPr>
      </w:pPr>
    </w:p>
    <w:p w14:paraId="64968760">
      <w:pPr>
        <w:widowControl/>
        <w:spacing w:line="540" w:lineRule="exact"/>
        <w:jc w:val="left"/>
        <w:rPr>
          <w:rFonts w:hint="default" w:ascii="黑体" w:hAnsi="黑体" w:eastAsia="黑体" w:cs="黑体"/>
          <w:sz w:val="32"/>
          <w:szCs w:val="32"/>
        </w:rPr>
      </w:pPr>
    </w:p>
    <w:p w14:paraId="13E39F9D">
      <w:pPr>
        <w:widowControl/>
        <w:spacing w:line="540" w:lineRule="exact"/>
        <w:jc w:val="left"/>
        <w:rPr>
          <w:rFonts w:hint="default" w:ascii="黑体" w:hAnsi="黑体" w:eastAsia="黑体" w:cs="黑体"/>
          <w:sz w:val="32"/>
          <w:szCs w:val="32"/>
        </w:rPr>
      </w:pPr>
    </w:p>
    <w:p w14:paraId="7B7D4286">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14:paraId="5FB9F40A">
      <w:pPr>
        <w:jc w:val="center"/>
        <w:outlineLvl w:val="1"/>
        <w:rPr>
          <w:rFonts w:hint="default" w:ascii="方正小标宋简体" w:eastAsia="方正小标宋简体"/>
          <w:sz w:val="52"/>
        </w:rPr>
      </w:pPr>
      <w:r>
        <w:rPr>
          <w:rFonts w:ascii="方正小标宋简体" w:eastAsia="方正小标宋简体"/>
          <w:sz w:val="52"/>
        </w:rPr>
        <w:t>2024年度双牌县上梧江瑶族乡人民政府部门整体支出绩效自评报告</w:t>
      </w:r>
    </w:p>
    <w:p w14:paraId="5EFA5A9F">
      <w:pPr>
        <w:jc w:val="center"/>
        <w:rPr>
          <w:rFonts w:hint="default" w:eastAsia="黑体"/>
          <w:sz w:val="32"/>
        </w:rPr>
      </w:pPr>
    </w:p>
    <w:p w14:paraId="546959A8">
      <w:pPr>
        <w:jc w:val="center"/>
        <w:rPr>
          <w:rFonts w:hint="default" w:eastAsia="黑体"/>
          <w:sz w:val="32"/>
        </w:rPr>
      </w:pPr>
    </w:p>
    <w:p w14:paraId="75C82743">
      <w:pPr>
        <w:jc w:val="center"/>
        <w:rPr>
          <w:rFonts w:hint="default" w:eastAsia="黑体"/>
          <w:sz w:val="32"/>
        </w:rPr>
      </w:pPr>
    </w:p>
    <w:p w14:paraId="30E0A403">
      <w:pPr>
        <w:rPr>
          <w:rFonts w:hint="default" w:eastAsia="黑体"/>
          <w:sz w:val="32"/>
        </w:rPr>
      </w:pPr>
    </w:p>
    <w:p w14:paraId="308CC810">
      <w:pPr>
        <w:jc w:val="center"/>
        <w:rPr>
          <w:rFonts w:hint="default" w:eastAsia="黑体"/>
          <w:sz w:val="32"/>
        </w:rPr>
      </w:pPr>
    </w:p>
    <w:p w14:paraId="0F76D41C">
      <w:pPr>
        <w:jc w:val="center"/>
        <w:rPr>
          <w:rFonts w:hint="default" w:eastAsia="黑体"/>
          <w:sz w:val="32"/>
        </w:rPr>
      </w:pPr>
    </w:p>
    <w:p w14:paraId="251357EE">
      <w:pPr>
        <w:jc w:val="center"/>
        <w:rPr>
          <w:rFonts w:hint="default" w:eastAsia="黑体"/>
          <w:sz w:val="32"/>
        </w:rPr>
      </w:pPr>
    </w:p>
    <w:p w14:paraId="017EFF77">
      <w:pPr>
        <w:spacing w:line="600" w:lineRule="exact"/>
        <w:jc w:val="center"/>
        <w:rPr>
          <w:rFonts w:hint="default" w:eastAsia="仿宋_GB2312"/>
          <w:sz w:val="32"/>
          <w:u w:val="single"/>
        </w:rPr>
      </w:pPr>
      <w:r>
        <w:rPr>
          <w:rFonts w:eastAsia="仿宋_GB2312"/>
          <w:sz w:val="32"/>
        </w:rPr>
        <w:t>单位名称（盖章）：</w:t>
      </w:r>
      <w:r>
        <w:rPr>
          <w:rFonts w:eastAsia="仿宋_GB2312"/>
          <w:sz w:val="32"/>
          <w:u w:val="single"/>
        </w:rPr>
        <w:t>双牌县上梧江瑶族乡人民政府</w:t>
      </w:r>
    </w:p>
    <w:p w14:paraId="23EF80A2">
      <w:pPr>
        <w:spacing w:line="600" w:lineRule="exact"/>
        <w:ind w:firstLine="3200" w:firstLineChars="1000"/>
        <w:jc w:val="center"/>
        <w:rPr>
          <w:rFonts w:hint="default" w:eastAsia="楷体_GB2312"/>
          <w:sz w:val="32"/>
        </w:rPr>
      </w:pPr>
    </w:p>
    <w:p w14:paraId="6BDCCE84">
      <w:pPr>
        <w:spacing w:line="600" w:lineRule="exact"/>
        <w:ind w:firstLine="3200" w:firstLineChars="1000"/>
        <w:rPr>
          <w:rFonts w:hint="default" w:eastAsia="楷体_GB2312"/>
          <w:sz w:val="32"/>
        </w:rPr>
      </w:pPr>
      <w:r>
        <w:rPr>
          <w:rFonts w:eastAsia="楷体_GB2312"/>
          <w:sz w:val="32"/>
        </w:rPr>
        <w:t>2025年 6月 12日</w:t>
      </w:r>
    </w:p>
    <w:p w14:paraId="15A40404">
      <w:pPr>
        <w:jc w:val="center"/>
        <w:rPr>
          <w:rFonts w:hint="default" w:eastAsia="黑体"/>
          <w:sz w:val="32"/>
        </w:rPr>
      </w:pPr>
    </w:p>
    <w:p w14:paraId="7E9D26A5">
      <w:pPr>
        <w:jc w:val="center"/>
        <w:outlineLvl w:val="0"/>
        <w:rPr>
          <w:rFonts w:hint="default" w:eastAsia="仿宋_GB2312"/>
          <w:sz w:val="32"/>
        </w:rPr>
      </w:pPr>
      <w:r>
        <w:rPr>
          <w:rFonts w:eastAsia="仿宋_GB2312"/>
          <w:sz w:val="32"/>
        </w:rPr>
        <w:t xml:space="preserve">     （此页为封面）</w:t>
      </w:r>
    </w:p>
    <w:p w14:paraId="4A674F26">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部门（单位）基本情况</w:t>
      </w:r>
    </w:p>
    <w:p w14:paraId="1E834E7F">
      <w:pPr>
        <w:pStyle w:val="6"/>
        <w:shd w:val="clear" w:color="auto" w:fill="FFFFFF"/>
        <w:spacing w:beforeAutospacing="0" w:afterAutospacing="0" w:line="525" w:lineRule="atLeast"/>
        <w:ind w:firstLine="645"/>
        <w:jc w:val="both"/>
        <w:rPr>
          <w:rFonts w:ascii="仿宋" w:hAnsi="仿宋" w:eastAsia="仿宋" w:cs="仿宋"/>
          <w:color w:val="000000"/>
          <w:sz w:val="30"/>
          <w:szCs w:val="30"/>
        </w:rPr>
      </w:pPr>
      <w:r>
        <w:rPr>
          <w:rFonts w:hint="eastAsia" w:ascii="仿宋" w:hAnsi="仿宋" w:eastAsia="仿宋" w:cs="仿宋"/>
          <w:color w:val="000000"/>
          <w:sz w:val="30"/>
          <w:szCs w:val="30"/>
        </w:rPr>
        <w:t>1、职能职责</w:t>
      </w:r>
    </w:p>
    <w:p w14:paraId="6DEFFBD6">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（一）贯彻执行党的路线、方针、政策和国家的法律、法规，落实上级党委、政府的各项决议和决定，贯彻执行本乡党代会和人民代表大会的决议和决定。</w:t>
      </w:r>
    </w:p>
    <w:p w14:paraId="4D74C2C6">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（二）对本辖区重大问题进行决策，制定本乡行政区域内的经济和社会发展规划，并组织实施。</w:t>
      </w:r>
    </w:p>
    <w:p w14:paraId="6242D26A">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（三）负责全乡党的组织、思想和作风建设，提高党组织的战斗力和凝聚力，充分发挥党员的先锋模范作用。负责做好管理权限范围内干部的日常管理工作。</w:t>
      </w:r>
    </w:p>
    <w:p w14:paraId="6B74BA47">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（四）负责强化本乡平安建设、法治建设，加强信访工作，建立社会矛盾纠纷多元预防调处化解机制，及时化解各类矛盾纠纷，建立和健全群防群治网络，维护农村社会稳定。</w:t>
      </w:r>
    </w:p>
    <w:p w14:paraId="27462ED9">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五）负责本乡农业农村、林业、水利、自然资源、乡村振兴、动植物防疫、规划建设、生态环境保护、交通运输、科技和工业信息、商务、应急管理、市场监督管理及财政、民政、教育、体育、旅游、文化广电、民族宗教、统计、劳动和社会保障等方面工作。</w:t>
      </w:r>
    </w:p>
    <w:p w14:paraId="501BA3BE">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（六）贯彻执行卫生健康和计划生育法律法规、政策，组织开展本乡卫生健康和人口与计划生育工作。</w:t>
      </w:r>
    </w:p>
    <w:p w14:paraId="28E76B9A">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（七）负责本乡退役军人事务、国防动员教育、人民武装、民兵预备役等管理工作。</w:t>
      </w:r>
    </w:p>
    <w:p w14:paraId="18735AF4">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（八）充分发挥乡党委的领导核心作用，保证和支持基层自治组织行使职权，实行依法自治，充分发挥基层群众自治组织的自我教育、自我管理、自我建设、自我服务作用。</w:t>
      </w:r>
    </w:p>
    <w:p w14:paraId="1D967F19">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（九）负责本乡纪检监察、组织、人事、宣传、统战、工会、共青团、妇联、残联、科协等工作。承担人大和政协联络等相关工作。</w:t>
      </w:r>
    </w:p>
    <w:p w14:paraId="303479DD">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（十）负责集中行使集镇管理和法律法规赋予、上级部门下放或者委托下放的行政执法权。</w:t>
      </w:r>
    </w:p>
    <w:p w14:paraId="0ED90AF6">
      <w:pPr>
        <w:pStyle w:val="6"/>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（十一）完成县委、县政府交办的其他工作。</w:t>
      </w:r>
      <w:bookmarkStart w:id="0" w:name="_GoBack"/>
      <w:bookmarkEnd w:id="0"/>
    </w:p>
    <w:p w14:paraId="65947323">
      <w:pPr>
        <w:pStyle w:val="6"/>
        <w:shd w:val="clear" w:color="auto" w:fill="FFFFFF"/>
        <w:spacing w:beforeAutospacing="0" w:afterAutospacing="0" w:line="525" w:lineRule="atLeast"/>
        <w:ind w:firstLine="645"/>
        <w:jc w:val="both"/>
        <w:rPr>
          <w:rFonts w:ascii="仿宋" w:hAnsi="仿宋" w:eastAsia="仿宋" w:cs="仿宋"/>
          <w:color w:val="000000"/>
          <w:sz w:val="30"/>
          <w:szCs w:val="30"/>
        </w:rPr>
      </w:pPr>
      <w:r>
        <w:rPr>
          <w:rFonts w:hint="eastAsia" w:ascii="仿宋" w:hAnsi="仿宋" w:eastAsia="仿宋" w:cs="仿宋"/>
          <w:color w:val="000000"/>
          <w:sz w:val="30"/>
          <w:szCs w:val="30"/>
        </w:rPr>
        <w:t>2、机构设置</w:t>
      </w:r>
    </w:p>
    <w:p w14:paraId="5DE2258E">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一）党政办公室。承担乡党委、政府日常事务，负责综合协调、督查考核、文秘信息、保密档案、重要会务及机关行政后勤管理等工作；负责人大、政协的建议、提案、议案办理和人大代表、政协委员的联络服务工作；负责行政审批制度改革、权责清单、政务公开和管理服务、电子政务、数据管理、网格管理、信息化建设和信用体系建设等工作。     </w:t>
      </w:r>
    </w:p>
    <w:p w14:paraId="6539EB7B">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党建办公室。负责基层党的政治建设、组织建设、干部人事、人才、机构编制、工会、共青团、妇联、老干部和关心下一代等工作；负责意识形态、宣传思想、新闻舆情和精神文明建设工作；负责统一战线、民族宗教事务；负责党风廉政建设和反腐败等工作。</w:t>
      </w:r>
    </w:p>
    <w:p w14:paraId="496700F2">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经济发展办公室。负责拟订经济社会发展规划、村乡规划和产业发展规划并组织实施；负责优化投资营商环境、招商引资、企业服务、民营经济发展、合作经济组织建设；负责推进产业结构调整，促进城乡经济融合发展，增加村集体、村民收入等工作；负责指导农民合作经济组织建设发展等工作；负责民政、社会保障、文化旅游、科技教育、卫生健康和人口与计划生育、残联等社会事务管理工作；负责统计、审计、科技工业、市场监管等工作；负责统筹村乡建设管理，推进基础设施、公共设施建设；负责乡村振兴、农村社会事业、乡村治理；协助做好辖区内自然资源规划、开发利用和保护等工作；协助做好开发建设项目的征地、拆迁、安置工作；负责农村宅基地管理，承担农村建房质量管理职责；负责推动辖区内生态文明建设，贯彻执行国家关于生态环境保护工作的方针政策和决策部署并监督实施，依照权限开展辖区内环境监察和生态环境保护行政执法工作。</w:t>
      </w:r>
    </w:p>
    <w:p w14:paraId="0757E622">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平安法治和应急管理办公室。负责维护辖区内社会秩序稳定，做好社会治安、综合治理、公共安全风险防控工作，协调民事纠纷调解处理和社区矫正工作；负责退役军人、国防动员教育、民兵预备役等工作；负责安全生产监管、防汛抗旱、减灾、抗震救灾、森林防火、交通运输、应急管理、禁毒等工作；负责辖区内消防安全等工作；负责信访稳定工作，接待来访群众，协调处理群众上访事项，办理群众来信，承办、督办、交办重要信访事项等工作。</w:t>
      </w:r>
    </w:p>
    <w:p w14:paraId="720EF080">
      <w:pPr>
        <w:widowControl/>
        <w:ind w:left="0" w:leftChars="0"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人大、纪检监察、人武部和群众团体等组织按有关规定设置。</w:t>
      </w:r>
    </w:p>
    <w:p w14:paraId="676E671B">
      <w:pPr>
        <w:widowControl/>
        <w:ind w:left="0" w:leftChars="0"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本年度年末实有机构人员总数为3</w:t>
      </w:r>
      <w:r>
        <w:rPr>
          <w:rFonts w:hint="eastAsia" w:ascii="仿宋" w:hAnsi="仿宋" w:eastAsia="仿宋" w:cs="仿宋"/>
          <w:color w:val="000000"/>
          <w:kern w:val="0"/>
          <w:sz w:val="30"/>
          <w:szCs w:val="30"/>
          <w:lang w:val="en-US" w:eastAsia="zh-CN"/>
        </w:rPr>
        <w:t>7</w:t>
      </w:r>
      <w:r>
        <w:rPr>
          <w:rFonts w:ascii="仿宋" w:hAnsi="仿宋" w:eastAsia="仿宋" w:cs="仿宋"/>
          <w:color w:val="000000"/>
          <w:kern w:val="0"/>
          <w:sz w:val="30"/>
          <w:szCs w:val="30"/>
        </w:rPr>
        <w:t>人，行政编制1</w:t>
      </w:r>
      <w:r>
        <w:rPr>
          <w:rFonts w:hint="eastAsia" w:ascii="仿宋" w:hAnsi="仿宋" w:eastAsia="仿宋" w:cs="仿宋"/>
          <w:color w:val="000000"/>
          <w:kern w:val="0"/>
          <w:sz w:val="30"/>
          <w:szCs w:val="30"/>
          <w:lang w:val="en-US" w:eastAsia="zh-CN"/>
        </w:rPr>
        <w:t>6</w:t>
      </w:r>
      <w:r>
        <w:rPr>
          <w:rFonts w:ascii="仿宋" w:hAnsi="仿宋" w:eastAsia="仿宋" w:cs="仿宋"/>
          <w:color w:val="000000"/>
          <w:kern w:val="0"/>
          <w:sz w:val="30"/>
          <w:szCs w:val="30"/>
        </w:rPr>
        <w:t>人，事业人员</w:t>
      </w:r>
      <w:r>
        <w:rPr>
          <w:rFonts w:hint="eastAsia" w:ascii="仿宋" w:hAnsi="仿宋" w:eastAsia="仿宋" w:cs="仿宋"/>
          <w:color w:val="000000"/>
          <w:kern w:val="0"/>
          <w:sz w:val="30"/>
          <w:szCs w:val="30"/>
          <w:lang w:val="en-US" w:eastAsia="zh-CN"/>
        </w:rPr>
        <w:t>21</w:t>
      </w:r>
      <w:r>
        <w:rPr>
          <w:rFonts w:ascii="仿宋" w:hAnsi="仿宋" w:eastAsia="仿宋" w:cs="仿宋"/>
          <w:color w:val="000000"/>
          <w:kern w:val="0"/>
          <w:sz w:val="30"/>
          <w:szCs w:val="30"/>
        </w:rPr>
        <w:t>人。</w:t>
      </w:r>
    </w:p>
    <w:p w14:paraId="1CE9E2D0">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3、单位年度整体支出绩效目标，项目支出绩效目标</w:t>
      </w:r>
    </w:p>
    <w:p w14:paraId="01AA7933">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（1）部门年度整体支出绩效目标</w:t>
      </w:r>
    </w:p>
    <w:p w14:paraId="4CDC29A2">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认真贯彻执行党的基本路线、方针政策和上级组织的决议、指示、命令；对本乡的重大问题进行决策，研究制定全镇经济、社会和文化发展规划。</w:t>
      </w:r>
    </w:p>
    <w:p w14:paraId="35DC0E0A">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（2）项目支出绩效目标</w:t>
      </w:r>
    </w:p>
    <w:p w14:paraId="62A8E954">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保障乡政府的基本运转，不断提升上梧江瑶族乡人民政府的服务水平。</w:t>
      </w:r>
    </w:p>
    <w:p w14:paraId="23B29939">
      <w:pPr>
        <w:pStyle w:val="11"/>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14:paraId="751C38DA">
      <w:pPr>
        <w:pStyle w:val="11"/>
        <w:spacing w:line="570" w:lineRule="exact"/>
        <w:ind w:firstLine="600"/>
        <w:outlineLvl w:val="1"/>
        <w:rPr>
          <w:rFonts w:ascii="仿宋" w:hAnsi="仿宋" w:eastAsia="仿宋" w:cs="仿宋"/>
          <w:sz w:val="30"/>
          <w:szCs w:val="30"/>
        </w:rPr>
      </w:pPr>
      <w:r>
        <w:rPr>
          <w:rFonts w:hint="eastAsia" w:ascii="仿宋" w:hAnsi="仿宋" w:eastAsia="仿宋" w:cs="仿宋"/>
          <w:sz w:val="30"/>
          <w:szCs w:val="30"/>
        </w:rPr>
        <w:t>（一）基本支出情况</w:t>
      </w:r>
    </w:p>
    <w:p w14:paraId="70C898BF">
      <w:pPr>
        <w:widowControl/>
        <w:ind w:firstLine="600" w:firstLineChars="200"/>
        <w:jc w:val="left"/>
        <w:rPr>
          <w:rFonts w:hint="default" w:ascii="仿宋" w:hAnsi="仿宋" w:eastAsia="仿宋" w:cs="仿宋"/>
          <w:sz w:val="30"/>
          <w:szCs w:val="30"/>
        </w:rPr>
      </w:pPr>
      <w:r>
        <w:rPr>
          <w:rFonts w:ascii="仿宋" w:hAnsi="仿宋" w:eastAsia="仿宋" w:cs="仿宋"/>
          <w:color w:val="000000"/>
          <w:sz w:val="30"/>
          <w:szCs w:val="30"/>
        </w:rPr>
        <w:t>基本支出：539.67万元，占总支出的比重为35.37%。一般公共预算财政拨款基本支出中人员经费445.02元，主要包括：基本工资117.86万元、津贴补贴79.21万元、奖金65.6万元、绩效工资44.39万元、机关事业单位基本养老保险39.04万元、职工基本医疗保险缴费21.15万元、住房公积金29.14万元；一般公共预算财政拨款基本支出中公用经费37.92万元，主要包括：办公费3.25万元、印刷费1万元、水费0.5万元、电费3.1万元、邮电费1.02万元、差旅费3.1万元、会议费1.88万元、公务接待费12.53万元、福利费4万元、公务用车运行维护费3.8万元、其他交通费用2万元、其他商品和服务支出1.73万元。</w:t>
      </w:r>
    </w:p>
    <w:p w14:paraId="5BA5FD83">
      <w:pPr>
        <w:pStyle w:val="11"/>
        <w:numPr>
          <w:ilvl w:val="0"/>
          <w:numId w:val="2"/>
        </w:numPr>
        <w:spacing w:line="570" w:lineRule="exact"/>
        <w:ind w:firstLine="600"/>
        <w:outlineLvl w:val="1"/>
        <w:rPr>
          <w:rFonts w:ascii="仿宋" w:hAnsi="仿宋" w:eastAsia="仿宋" w:cs="仿宋"/>
          <w:sz w:val="30"/>
          <w:szCs w:val="30"/>
        </w:rPr>
      </w:pPr>
      <w:r>
        <w:rPr>
          <w:rFonts w:hint="eastAsia" w:ascii="仿宋" w:hAnsi="仿宋" w:eastAsia="仿宋" w:cs="仿宋"/>
          <w:sz w:val="30"/>
          <w:szCs w:val="30"/>
        </w:rPr>
        <w:t>项目支出情况</w:t>
      </w:r>
    </w:p>
    <w:p w14:paraId="62C6A890">
      <w:pPr>
        <w:spacing w:line="570" w:lineRule="exact"/>
        <w:ind w:firstLine="600" w:firstLineChars="200"/>
        <w:jc w:val="left"/>
        <w:rPr>
          <w:rFonts w:hint="default" w:ascii="仿宋" w:hAnsi="仿宋" w:eastAsia="仿宋" w:cs="仿宋"/>
          <w:sz w:val="30"/>
          <w:szCs w:val="30"/>
        </w:rPr>
      </w:pPr>
      <w:r>
        <w:rPr>
          <w:rFonts w:ascii="仿宋" w:hAnsi="仿宋" w:eastAsia="仿宋" w:cs="仿宋"/>
          <w:color w:val="000000"/>
          <w:sz w:val="30"/>
          <w:szCs w:val="30"/>
        </w:rPr>
        <w:t>项目支出：986.2万元，占总支出的比重为64.63%，是指单位为完成特定行政工作任务或事业发展目标而发生的支出，主要包括：上梧江瑶族乡各项单位业务经费、耕地抛荒整治及土地复垦项目、上梧江瑶族乡人居环境整治、公益性岗位补贴、上梧江瑶族乡政府办公楼及宿舍维修工程、水利移民项目、乡村振兴改厕项目、乡村振兴衔接项目、村级运转经费及村级组织服务群众专项经费等项目支出。</w:t>
      </w:r>
    </w:p>
    <w:p w14:paraId="727EEF3F">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14:paraId="0A69EF7C">
      <w:pPr>
        <w:pStyle w:val="11"/>
        <w:spacing w:line="570" w:lineRule="exact"/>
        <w:ind w:firstLine="600"/>
        <w:jc w:val="left"/>
        <w:outlineLvl w:val="0"/>
        <w:rPr>
          <w:rFonts w:ascii="仿宋" w:hAnsi="仿宋" w:eastAsia="仿宋" w:cs="仿宋"/>
          <w:color w:val="000000"/>
          <w:kern w:val="2"/>
          <w:sz w:val="30"/>
          <w:szCs w:val="30"/>
        </w:rPr>
      </w:pPr>
      <w:r>
        <w:rPr>
          <w:rFonts w:hint="eastAsia" w:ascii="仿宋" w:hAnsi="仿宋" w:eastAsia="仿宋" w:cs="仿宋"/>
          <w:color w:val="000000"/>
          <w:kern w:val="2"/>
          <w:sz w:val="30"/>
          <w:szCs w:val="30"/>
        </w:rPr>
        <w:t>本年度政府性基金预算支出135.93万元，主要用于</w:t>
      </w:r>
      <w:r>
        <w:rPr>
          <w:rFonts w:ascii="仿宋" w:hAnsi="仿宋" w:eastAsia="仿宋" w:cs="仿宋"/>
          <w:color w:val="000000"/>
          <w:kern w:val="2"/>
          <w:sz w:val="30"/>
          <w:szCs w:val="30"/>
        </w:rPr>
        <w:t>建设工程合同环节缴纳印花税资金</w:t>
      </w:r>
      <w:r>
        <w:rPr>
          <w:rFonts w:hint="eastAsia" w:ascii="仿宋" w:hAnsi="仿宋" w:eastAsia="仿宋" w:cs="仿宋"/>
          <w:color w:val="000000"/>
          <w:kern w:val="2"/>
          <w:sz w:val="30"/>
          <w:szCs w:val="30"/>
        </w:rPr>
        <w:t>、</w:t>
      </w:r>
      <w:r>
        <w:rPr>
          <w:rFonts w:ascii="仿宋" w:hAnsi="仿宋" w:eastAsia="仿宋" w:cs="仿宋"/>
          <w:color w:val="000000"/>
          <w:kern w:val="2"/>
          <w:sz w:val="30"/>
          <w:szCs w:val="30"/>
        </w:rPr>
        <w:t>双牌县上梧江瑶族乡道路水毁修建及河道清理工程</w:t>
      </w:r>
      <w:r>
        <w:rPr>
          <w:rFonts w:hint="eastAsia" w:ascii="仿宋" w:hAnsi="仿宋" w:eastAsia="仿宋" w:cs="仿宋"/>
          <w:color w:val="000000"/>
          <w:kern w:val="2"/>
          <w:sz w:val="30"/>
          <w:szCs w:val="30"/>
        </w:rPr>
        <w:t>、</w:t>
      </w:r>
      <w:r>
        <w:rPr>
          <w:rFonts w:ascii="仿宋" w:hAnsi="仿宋" w:eastAsia="仿宋" w:cs="仿宋"/>
          <w:color w:val="000000"/>
          <w:kern w:val="2"/>
          <w:sz w:val="30"/>
          <w:szCs w:val="30"/>
        </w:rPr>
        <w:t>林江村养老服务设施</w:t>
      </w:r>
      <w:r>
        <w:rPr>
          <w:rFonts w:hint="eastAsia" w:ascii="仿宋" w:hAnsi="仿宋" w:eastAsia="仿宋" w:cs="仿宋"/>
          <w:color w:val="000000"/>
          <w:kern w:val="2"/>
          <w:sz w:val="30"/>
          <w:szCs w:val="30"/>
        </w:rPr>
        <w:t>。</w:t>
      </w:r>
    </w:p>
    <w:p w14:paraId="38DEAF85">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四、国有资本经营预算支出情况。</w:t>
      </w:r>
    </w:p>
    <w:p w14:paraId="63DD3F83">
      <w:pPr>
        <w:pStyle w:val="11"/>
        <w:spacing w:line="570" w:lineRule="exact"/>
        <w:ind w:firstLine="600"/>
        <w:jc w:val="left"/>
        <w:outlineLvl w:val="0"/>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我单位无国有资本经营预算支出情况。</w:t>
      </w:r>
    </w:p>
    <w:p w14:paraId="42C41279">
      <w:pPr>
        <w:pStyle w:val="11"/>
        <w:numPr>
          <w:ilvl w:val="0"/>
          <w:numId w:val="3"/>
        </w:numPr>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14:paraId="650C4FD3">
      <w:pPr>
        <w:pStyle w:val="11"/>
        <w:spacing w:line="570" w:lineRule="exact"/>
        <w:ind w:firstLine="600"/>
        <w:jc w:val="left"/>
        <w:outlineLvl w:val="0"/>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我单位无社会保险基金预算支出情况。</w:t>
      </w:r>
    </w:p>
    <w:p w14:paraId="1B8CBD4B">
      <w:pPr>
        <w:spacing w:line="570" w:lineRule="exact"/>
        <w:ind w:firstLine="645"/>
        <w:jc w:val="left"/>
        <w:outlineLvl w:val="0"/>
        <w:rPr>
          <w:rFonts w:hint="default" w:eastAsia="黑体"/>
          <w:sz w:val="32"/>
        </w:rPr>
      </w:pPr>
      <w:r>
        <w:rPr>
          <w:rFonts w:eastAsia="黑体"/>
          <w:sz w:val="32"/>
        </w:rPr>
        <w:t>六、部门整体支出绩效情况</w:t>
      </w:r>
    </w:p>
    <w:p w14:paraId="638D75EF">
      <w:pPr>
        <w:spacing w:line="570" w:lineRule="exact"/>
        <w:ind w:firstLine="600" w:firstLineChars="200"/>
        <w:jc w:val="left"/>
        <w:rPr>
          <w:rFonts w:hint="default" w:eastAsia="仿宋_GB2312"/>
          <w:color w:val="000000"/>
          <w:sz w:val="30"/>
          <w:szCs w:val="30"/>
        </w:rPr>
      </w:pPr>
      <w:r>
        <w:rPr>
          <w:rFonts w:eastAsia="仿宋_GB2312"/>
          <w:color w:val="000000"/>
          <w:sz w:val="30"/>
          <w:szCs w:val="30"/>
        </w:rPr>
        <w:t>主要绩效如下：</w:t>
      </w:r>
    </w:p>
    <w:p w14:paraId="5536FEDE">
      <w:pPr>
        <w:spacing w:line="570" w:lineRule="exact"/>
        <w:ind w:firstLine="600" w:firstLineChars="200"/>
        <w:jc w:val="left"/>
        <w:rPr>
          <w:rFonts w:hint="default" w:eastAsia="仿宋_GB2312"/>
          <w:color w:val="000000"/>
          <w:sz w:val="30"/>
          <w:szCs w:val="30"/>
        </w:rPr>
      </w:pPr>
      <w:r>
        <w:rPr>
          <w:rFonts w:eastAsia="仿宋_GB2312"/>
          <w:color w:val="000000"/>
          <w:sz w:val="30"/>
          <w:szCs w:val="30"/>
        </w:rPr>
        <w:t>1、从经济性情况分析看，预算资金覆盖各个需求方面，“三公”经费预算没有超过上年预算安排。2024年预算资金能保障单位正常运转需要，分配办法科学，考虑的因素必要合理，分配的结果合理，能基本保证人员经费支出和机构全年工作运转。</w:t>
      </w:r>
    </w:p>
    <w:p w14:paraId="0B6CC516">
      <w:pPr>
        <w:spacing w:line="570" w:lineRule="exact"/>
        <w:ind w:firstLine="600" w:firstLineChars="200"/>
        <w:jc w:val="left"/>
        <w:rPr>
          <w:rFonts w:hint="default" w:eastAsia="仿宋_GB2312"/>
          <w:color w:val="000000"/>
          <w:sz w:val="30"/>
          <w:szCs w:val="30"/>
        </w:rPr>
      </w:pPr>
      <w:r>
        <w:rPr>
          <w:rFonts w:eastAsia="仿宋_GB2312"/>
          <w:color w:val="000000"/>
          <w:sz w:val="30"/>
          <w:szCs w:val="30"/>
        </w:rPr>
        <w:t>2、从效率性情况分析看，在各项工作费用支付中，尤其是干部职工的医疗保险、工伤保险、福利费、工会经费等人员经费支出能及时按进度保质保量完成。预算公用经费及村级办公经费基本拨付到位，预算完成率和预算控制率较好。</w:t>
      </w:r>
    </w:p>
    <w:p w14:paraId="5250781B">
      <w:pPr>
        <w:spacing w:line="570" w:lineRule="exact"/>
        <w:ind w:firstLine="600" w:firstLineChars="200"/>
        <w:jc w:val="left"/>
        <w:rPr>
          <w:rFonts w:hint="default" w:eastAsia="仿宋_GB2312"/>
          <w:color w:val="000000"/>
          <w:sz w:val="30"/>
          <w:szCs w:val="30"/>
        </w:rPr>
      </w:pPr>
      <w:r>
        <w:rPr>
          <w:rFonts w:eastAsia="仿宋_GB2312"/>
          <w:color w:val="000000"/>
          <w:sz w:val="30"/>
          <w:szCs w:val="30"/>
        </w:rPr>
        <w:t>3、从有效性情况分析看，夯实基层力量，提高基层干部工作积极性，全面整合职能和资源，提升干部办事效率，优化服务质量；群众收入增加，幸福感提高。</w:t>
      </w:r>
    </w:p>
    <w:p w14:paraId="6DEB56FC">
      <w:pPr>
        <w:spacing w:line="570" w:lineRule="exact"/>
        <w:ind w:firstLine="600" w:firstLineChars="200"/>
        <w:jc w:val="left"/>
        <w:rPr>
          <w:rFonts w:hint="default" w:eastAsia="仿宋_GB2312"/>
          <w:color w:val="000000"/>
          <w:sz w:val="30"/>
          <w:szCs w:val="30"/>
        </w:rPr>
      </w:pPr>
      <w:r>
        <w:rPr>
          <w:rFonts w:eastAsia="仿宋_GB2312"/>
          <w:color w:val="000000"/>
          <w:sz w:val="30"/>
          <w:szCs w:val="30"/>
        </w:rPr>
        <w:t>4、从可持续性分析看，我乡地域面积较大，乡镇工作综合性弱，需加大人力、资金投入。</w:t>
      </w:r>
    </w:p>
    <w:p w14:paraId="4EEB4654">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14:paraId="7608AA8C">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1、预算执行率率有待提高。由于预算项目未实施或未及时报账导致年末预算资金未形成支出。</w:t>
      </w:r>
    </w:p>
    <w:p w14:paraId="269B55E7">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2、专项资金少，资金压力大。针对我镇农村经济基础薄弱、资金压力大的现状，重点产业项目尚需进一步的加强。</w:t>
      </w:r>
    </w:p>
    <w:p w14:paraId="51754200">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3、预算编制不够明确和细化，预算编制的合理性需要提高，预算执行力度还要进一步加强。资金使用效益有待进一步提高，绩效目标设立不够明确、细化和量化。</w:t>
      </w:r>
    </w:p>
    <w:p w14:paraId="09FBEF27">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4、人员严重缺编与工作任务繁重矛盾日益突出。</w:t>
      </w:r>
    </w:p>
    <w:p w14:paraId="3A433FE3">
      <w:pPr>
        <w:spacing w:line="570" w:lineRule="exact"/>
        <w:ind w:firstLine="600" w:firstLineChars="200"/>
        <w:jc w:val="left"/>
        <w:rPr>
          <w:rFonts w:hint="default" w:ascii="仿宋" w:hAnsi="仿宋" w:eastAsia="仿宋" w:cs="仿宋"/>
          <w:sz w:val="30"/>
          <w:szCs w:val="30"/>
        </w:rPr>
      </w:pPr>
      <w:r>
        <w:rPr>
          <w:rFonts w:ascii="仿宋" w:hAnsi="仿宋" w:eastAsia="仿宋" w:cs="仿宋"/>
          <w:sz w:val="30"/>
          <w:szCs w:val="30"/>
        </w:rPr>
        <w:t>八、下一步改进措施</w:t>
      </w:r>
    </w:p>
    <w:p w14:paraId="304668B3">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1、细化预算编制工作，认真做好预算的编制。进一步加强内设机构的预算管理意识，严格按照预算编制的相关制度和要求进行预算编制。</w:t>
      </w:r>
    </w:p>
    <w:p w14:paraId="716A05FF">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7C84E62A">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614FA6F9">
      <w:pPr>
        <w:spacing w:line="570" w:lineRule="exact"/>
        <w:ind w:firstLine="600" w:firstLineChars="200"/>
        <w:jc w:val="left"/>
        <w:rPr>
          <w:rFonts w:hint="default" w:ascii="仿宋" w:hAnsi="仿宋" w:eastAsia="仿宋" w:cs="仿宋"/>
          <w:sz w:val="30"/>
          <w:szCs w:val="30"/>
        </w:rPr>
      </w:pPr>
      <w:r>
        <w:rPr>
          <w:rFonts w:ascii="仿宋" w:hAnsi="仿宋" w:eastAsia="仿宋" w:cs="仿宋"/>
          <w:color w:val="000000"/>
          <w:sz w:val="30"/>
          <w:szCs w:val="30"/>
        </w:rPr>
        <w:t>4、对相关人员加强培训，特别是针对《预算法》、《行政事业单位会计制度》等学习培训，规范部门预算收支核算，切实提高部门预算收支管理水平。</w:t>
      </w:r>
    </w:p>
    <w:p w14:paraId="65B8CC27">
      <w:pPr>
        <w:spacing w:line="570" w:lineRule="exact"/>
        <w:ind w:firstLine="645"/>
        <w:jc w:val="left"/>
        <w:outlineLvl w:val="0"/>
        <w:rPr>
          <w:rFonts w:hint="default" w:eastAsia="黑体"/>
          <w:sz w:val="32"/>
        </w:rPr>
      </w:pPr>
      <w:r>
        <w:rPr>
          <w:rFonts w:eastAsia="黑体"/>
          <w:sz w:val="32"/>
        </w:rPr>
        <w:t>九、部门整体支出绩效自评结果拟应用和公开情况</w:t>
      </w:r>
    </w:p>
    <w:p w14:paraId="07F5386F">
      <w:pPr>
        <w:spacing w:line="560" w:lineRule="exact"/>
        <w:ind w:firstLine="600" w:firstLineChars="200"/>
        <w:rPr>
          <w:rFonts w:hint="default" w:ascii="仿宋" w:hAnsi="仿宋" w:eastAsia="仿宋" w:cs="仿宋"/>
          <w:sz w:val="30"/>
          <w:szCs w:val="30"/>
        </w:rPr>
      </w:pPr>
      <w:r>
        <w:rPr>
          <w:rFonts w:ascii="仿宋" w:hAnsi="仿宋" w:eastAsia="仿宋" w:cs="仿宋"/>
          <w:color w:val="000000"/>
          <w:kern w:val="0"/>
          <w:sz w:val="30"/>
          <w:szCs w:val="30"/>
        </w:rPr>
        <w:t>按照政府信息公开的有关要求，逐步公开财政支出项目预算及绩效评价结果，加强社会公众对财政资金使用效益的监督。</w:t>
      </w:r>
    </w:p>
    <w:p w14:paraId="065DD6C9">
      <w:pPr>
        <w:spacing w:line="570" w:lineRule="exact"/>
        <w:ind w:firstLine="645"/>
        <w:jc w:val="left"/>
        <w:rPr>
          <w:rFonts w:hint="default" w:eastAsia="黑体"/>
          <w:sz w:val="32"/>
        </w:rPr>
      </w:pPr>
      <w:r>
        <w:rPr>
          <w:rFonts w:eastAsia="黑体"/>
          <w:sz w:val="32"/>
        </w:rPr>
        <w:t>其他需要说明的情况</w:t>
      </w:r>
    </w:p>
    <w:p w14:paraId="48B61069">
      <w:pPr>
        <w:spacing w:line="570" w:lineRule="exact"/>
        <w:ind w:firstLine="645"/>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无。</w:t>
      </w:r>
    </w:p>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B3AD">
    <w:pPr>
      <w:pStyle w:val="4"/>
      <w:framePr w:wrap="auto" w:vAnchor="margin" w:hAnchor="text" w:xAlign="left" w:yAlign="inline"/>
      <w:ind w:right="360" w:firstLine="360"/>
      <w:rPr>
        <w:rFonts w:hint="default"/>
      </w:rPr>
    </w:pPr>
    <w:r>
      <w:rPr>
        <w:rFonts w:hint="default"/>
      </w:rPr>
      <w:pict>
        <v:shape id="文本框 1"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path/>
          <v:fill on="f" focussize="0,0"/>
          <v:stroke on="f" joinstyle="miter"/>
          <v:imagedata o:title=""/>
          <o:lock v:ext="edit"/>
          <v:textbox inset="0mm,0mm,0mm,0mm" style="mso-fit-shape-to-text:t;">
            <w:txbxContent>
              <w:p w14:paraId="40C20418">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- 7 -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85DC">
    <w:pPr>
      <w:pStyle w:val="4"/>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path/>
          <v:fill on="f" focussize="0,0"/>
          <v:stroke on="f" joinstyle="miter"/>
          <v:imagedata o:title=""/>
          <o:lock v:ext="edit"/>
          <v:textbox inset="0mm,0mm,0mm,0mm" style="mso-fit-shape-to-text:t;">
            <w:txbxContent>
              <w:p w14:paraId="32FB95F2">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ascii="宋体" w:hAnsi="宋体" w:cs="宋体"/>
                    <w:szCs w:val="18"/>
                  </w:rPr>
                  <w:t>- 2 -</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33917BD"/>
    <w:multiLevelType w:val="singleLevel"/>
    <w:tmpl w:val="633917BD"/>
    <w:lvl w:ilvl="0" w:tentative="0">
      <w:start w:val="5"/>
      <w:numFmt w:val="chineseCounting"/>
      <w:suff w:val="nothing"/>
      <w:lvlText w:val="%1、"/>
      <w:lvlJc w:val="left"/>
      <w:rPr>
        <w:rFonts w:hint="eastAsia"/>
      </w:rPr>
    </w:lvl>
  </w:abstractNum>
  <w:abstractNum w:abstractNumId="2">
    <w:nsid w:val="68EAEAED"/>
    <w:multiLevelType w:val="singleLevel"/>
    <w:tmpl w:val="68EAEAE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䔠匰⏐਑᜸਑저ž᜸਑২ৰ"/>
  </w:docVars>
  <w:rsids>
    <w:rsidRoot w:val="00172A27"/>
    <w:rsid w:val="00006E1F"/>
    <w:rsid w:val="00064FA0"/>
    <w:rsid w:val="00085410"/>
    <w:rsid w:val="000E5CDC"/>
    <w:rsid w:val="00172A27"/>
    <w:rsid w:val="003258FE"/>
    <w:rsid w:val="003B427D"/>
    <w:rsid w:val="00471672"/>
    <w:rsid w:val="004763B4"/>
    <w:rsid w:val="004C0869"/>
    <w:rsid w:val="004E19E8"/>
    <w:rsid w:val="00553A83"/>
    <w:rsid w:val="00582936"/>
    <w:rsid w:val="007A1D11"/>
    <w:rsid w:val="007B13A8"/>
    <w:rsid w:val="00856B36"/>
    <w:rsid w:val="008B0547"/>
    <w:rsid w:val="008F36DA"/>
    <w:rsid w:val="00964D18"/>
    <w:rsid w:val="00A873C1"/>
    <w:rsid w:val="00C170F5"/>
    <w:rsid w:val="00CC3970"/>
    <w:rsid w:val="00E251DA"/>
    <w:rsid w:val="00E61343"/>
    <w:rsid w:val="00F221AB"/>
    <w:rsid w:val="012D7EA3"/>
    <w:rsid w:val="020704B3"/>
    <w:rsid w:val="0B0F7863"/>
    <w:rsid w:val="0CCE5073"/>
    <w:rsid w:val="101F3C57"/>
    <w:rsid w:val="105E064F"/>
    <w:rsid w:val="1457163D"/>
    <w:rsid w:val="154B3473"/>
    <w:rsid w:val="15B02F86"/>
    <w:rsid w:val="18542007"/>
    <w:rsid w:val="1BCE59A7"/>
    <w:rsid w:val="1D5E5630"/>
    <w:rsid w:val="1F9C1D8C"/>
    <w:rsid w:val="20BA3D5C"/>
    <w:rsid w:val="20FE29CD"/>
    <w:rsid w:val="213827F6"/>
    <w:rsid w:val="23E90662"/>
    <w:rsid w:val="24756501"/>
    <w:rsid w:val="2AF82401"/>
    <w:rsid w:val="2BDF65F0"/>
    <w:rsid w:val="31180DB8"/>
    <w:rsid w:val="31EF3498"/>
    <w:rsid w:val="32134DB6"/>
    <w:rsid w:val="33457B5A"/>
    <w:rsid w:val="33EA0D37"/>
    <w:rsid w:val="3DFB432B"/>
    <w:rsid w:val="41A60F90"/>
    <w:rsid w:val="437042B4"/>
    <w:rsid w:val="43D25C86"/>
    <w:rsid w:val="47FF7E2A"/>
    <w:rsid w:val="4946176D"/>
    <w:rsid w:val="4A7E5437"/>
    <w:rsid w:val="4B490F32"/>
    <w:rsid w:val="4B564457"/>
    <w:rsid w:val="4C575977"/>
    <w:rsid w:val="4DF30F3A"/>
    <w:rsid w:val="4E8B7C40"/>
    <w:rsid w:val="4F1637A4"/>
    <w:rsid w:val="500F1BD2"/>
    <w:rsid w:val="51C40746"/>
    <w:rsid w:val="51E06209"/>
    <w:rsid w:val="543E6CC0"/>
    <w:rsid w:val="55412274"/>
    <w:rsid w:val="55C03679"/>
    <w:rsid w:val="57C446E9"/>
    <w:rsid w:val="57F63CE9"/>
    <w:rsid w:val="58820FB8"/>
    <w:rsid w:val="594F3031"/>
    <w:rsid w:val="5ABA52A9"/>
    <w:rsid w:val="5C8E01AF"/>
    <w:rsid w:val="6229426D"/>
    <w:rsid w:val="629D0130"/>
    <w:rsid w:val="629D4556"/>
    <w:rsid w:val="62BE6D8B"/>
    <w:rsid w:val="64E742EF"/>
    <w:rsid w:val="684B0AD7"/>
    <w:rsid w:val="6E351362"/>
    <w:rsid w:val="6E751F61"/>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7">
    <w:name w:val="Body Text First Indent 2"/>
    <w:basedOn w:val="3"/>
    <w:qFormat/>
    <w:uiPriority w:val="0"/>
    <w:pPr>
      <w:spacing w:before="100" w:beforeAutospacing="1"/>
      <w:ind w:left="0" w:firstLine="420" w:firstLineChars="200"/>
    </w:pPr>
  </w:style>
  <w:style w:type="paragraph" w:customStyle="1" w:styleId="10">
    <w:name w:val="列出段落1"/>
    <w:basedOn w:val="1"/>
    <w:unhideWhenUsed/>
    <w:qFormat/>
    <w:uiPriority w:val="34"/>
    <w:pPr>
      <w:ind w:firstLine="420" w:firstLineChars="200"/>
    </w:pPr>
    <w:rPr>
      <w:rFonts w:ascii="仿宋" w:hAnsi="仿宋" w:eastAsia="仿宋"/>
      <w:kern w:val="0"/>
      <w:sz w:val="28"/>
    </w:rPr>
  </w:style>
  <w:style w:type="paragraph" w:customStyle="1" w:styleId="11">
    <w:name w:val="列出段落2"/>
    <w:basedOn w:val="1"/>
    <w:unhideWhenUsed/>
    <w:qFormat/>
    <w:uiPriority w:val="99"/>
    <w:pPr>
      <w:ind w:firstLine="420" w:firstLineChars="200"/>
    </w:pPr>
    <w:rPr>
      <w:rFonts w:hint="default" w:ascii="Calibri" w:hAnsi="Calibri"/>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3373</Words>
  <Characters>3471</Characters>
  <Lines>18</Lines>
  <Paragraphs>5</Paragraphs>
  <TotalTime>0</TotalTime>
  <ScaleCrop>false</ScaleCrop>
  <LinksUpToDate>false</LinksUpToDate>
  <CharactersWithSpaces>3483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2025-05-30T03:45:00Z</dcterms:created>
  <dc:creator>海之韵</dc:creator>
  <cp:lastModifiedBy>WPS_1695191292</cp:lastModifiedBy>
  <cp:lastPrinted>2025-06-13T05:07:00Z</cp:lastPrinted>
  <dcterms:modified xsi:type="dcterms:W3CDTF">2025-06-26T09:01:37Z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DD7F033811E1461FA027F064140781A2_13</vt:lpwstr>
  </property>
  <property fmtid="{D5CDD505-2E9C-101B-9397-08002B2CF9AE}" pid="4" name="KSOTemplateDocerSaveRecord">
    <vt:lpwstr>eyJoZGlkIjoiMjM4NTkzZDg2N2JhY2QyMGZkYzZlODY0M2E2YzIyYjYiLCJ1c2VySWQiOiIxNTMzNjU4NTg5In0=</vt:lpwstr>
  </property>
</Properties>
</file>