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</w:t>
      </w:r>
      <w:r>
        <w:rPr>
          <w:rFonts w:hint="eastAsia" w:ascii="方正小标宋简体" w:eastAsia="方正小标宋简体"/>
          <w:sz w:val="52"/>
          <w:lang w:val="en-US" w:eastAsia="zh-CN"/>
        </w:rPr>
        <w:t>4</w:t>
      </w:r>
      <w:r>
        <w:rPr>
          <w:rFonts w:ascii="方正小标宋简体" w:eastAsia="方正小标宋简体"/>
          <w:sz w:val="52"/>
        </w:rPr>
        <w:t>年度重点项目服务中心整体支出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2560" w:firstLineChars="8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双牌县重点项目服务中心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</w:t>
      </w:r>
      <w:r>
        <w:rPr>
          <w:rFonts w:hint="default" w:eastAsia="楷体_GB2312"/>
          <w:sz w:val="32"/>
        </w:rPr>
        <w:t>02</w:t>
      </w:r>
      <w:r>
        <w:rPr>
          <w:rFonts w:hint="eastAsia" w:eastAsia="楷体_GB2312"/>
          <w:sz w:val="32"/>
          <w:lang w:val="en-US" w:eastAsia="zh-CN"/>
        </w:rPr>
        <w:t>5</w:t>
      </w:r>
      <w:r>
        <w:rPr>
          <w:rFonts w:eastAsia="楷体_GB2312"/>
          <w:sz w:val="32"/>
        </w:rPr>
        <w:t>年</w:t>
      </w:r>
      <w:r>
        <w:rPr>
          <w:rFonts w:hint="eastAsia" w:eastAsia="楷体_GB2312"/>
          <w:sz w:val="32"/>
          <w:lang w:val="en-US" w:eastAsia="zh-CN"/>
        </w:rPr>
        <w:t>6</w:t>
      </w:r>
      <w:r>
        <w:rPr>
          <w:rFonts w:eastAsia="楷体_GB2312"/>
          <w:sz w:val="32"/>
        </w:rPr>
        <w:t>月</w:t>
      </w:r>
      <w:r>
        <w:rPr>
          <w:rFonts w:hint="eastAsia" w:eastAsia="楷体_GB2312"/>
          <w:sz w:val="32"/>
          <w:lang w:val="en-US" w:eastAsia="zh-CN"/>
        </w:rPr>
        <w:t>25</w:t>
      </w:r>
      <w:r>
        <w:rPr>
          <w:rFonts w:eastAsia="楷体_GB2312"/>
          <w:sz w:val="32"/>
        </w:rPr>
        <w:t>日</w:t>
      </w:r>
    </w:p>
    <w:p>
      <w:pPr>
        <w:jc w:val="center"/>
        <w:rPr>
          <w:rFonts w:hint="default" w:eastAsia="黑体"/>
          <w:sz w:val="32"/>
        </w:rPr>
      </w:pP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部门基本情况</w:t>
      </w:r>
    </w:p>
    <w:p>
      <w:pPr>
        <w:pStyle w:val="9"/>
        <w:numPr>
          <w:ilvl w:val="0"/>
          <w:numId w:val="2"/>
        </w:numPr>
        <w:shd w:val="clear" w:color="auto" w:fill="FFFFFF"/>
        <w:spacing w:line="570" w:lineRule="exact"/>
        <w:ind w:firstLineChars="0"/>
        <w:outlineLvl w:val="1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职责、机构编制、人员构成。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1.参与拟定全县重大投资项目规划和年度计划，研究提出重点项目建设工作的管理办法。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2.负责编制全县重点建设项目名单，分析汇总全县重点项目建设的进展情况，跟踪检查重点建设项目计划执行情况。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3.参与全县重点项目建设工作中的协调、调度等工作；对重点项目检查和督促，协调全县重点项目建设过程中存在的重大问题，提出解决问题的建议意见，及时向县委、县政府汇报重点项目建设情况。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4.参与重点项目策划、包装、推介等工作，对接县投资贸易促进局、县重大项目前期工作办公室，建立重点项目库，做好重点建设项目档案的收集、整理及保存工作。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5.参与省市重点项目争取上报工作，并按规定及时调度；协助做好省市重点项目调研、督查、考核等活动的服务工作。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6.协助做好全县重点项目建设考核考评。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7.承办县发改局交办的其他事项。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（二）机构设置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根据县编委核定，单位内设机构3个、核定全额拨款事业编制6名。设主任1名，内设机构负责人3名。单位共有编制6人，实际在职为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人（全额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人，差额0人，自收自支0人），其中：行政人员0人，事业人员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人，工勤人员0人。单位离退休人员0人，享受独生子女奖励人员0人，全部纳入202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年部门预算编制范围。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综合办公室。负责日常事务管理、对内对外等活动的协调服务工作；组织承办重要文件、综合性文稿的起草和综合性会议；负责文书、档案、机要等工作的管理；负责草拟填报目标管理文件和报表，对目标任务的运行情况进行监控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政工财务室。负责本单位干部职工的人事、劳动和社会保障、机构编制管理、离退休人员管理服务及工会等工作；负责本单位经费开支、会计报表、财务计划、审计、收支、出纳及年度财务预算、决算、重点项目奖励，做好财务档案等工作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3.项目管理室。负责全县重点项目建设的年度计划编制、省市重点项目调研、督查、考核以及流动现场会、集中开工、综合管理、组织协调，重大项目建设检查和督促，省市重点项目申报、管理等工作。</w:t>
      </w:r>
    </w:p>
    <w:p>
      <w:pPr>
        <w:spacing w:line="560" w:lineRule="exact"/>
        <w:ind w:firstLine="640" w:firstLineChars="200"/>
        <w:outlineLvl w:val="1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（二）部门整体支出规模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pStyle w:val="9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9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>
      <w:pPr>
        <w:pStyle w:val="9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</w:rPr>
        <w:t>年本部门基本支出预算数</w:t>
      </w:r>
      <w:r>
        <w:rPr>
          <w:rFonts w:hint="eastAsia" w:ascii="Times New Roman" w:hAnsi="Times New Roman" w:eastAsia="仿宋_GB2312"/>
          <w:sz w:val="32"/>
          <w:lang w:val="en-US" w:eastAsia="zh-CN"/>
        </w:rPr>
        <w:t>96.408797</w:t>
      </w:r>
      <w:r>
        <w:rPr>
          <w:rFonts w:ascii="Times New Roman" w:hAnsi="Times New Roman" w:eastAsia="仿宋_GB2312"/>
          <w:sz w:val="32"/>
        </w:rPr>
        <w:t>万元，主要是为保障部门正常运转、完成日常工作任务而发生的各项支出，包括用于人员经费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56.293248</w:t>
      </w:r>
      <w:r>
        <w:rPr>
          <w:rFonts w:ascii="Times New Roman" w:hAnsi="Times New Roman" w:eastAsia="仿宋_GB2312"/>
          <w:sz w:val="32"/>
        </w:rPr>
        <w:t>万元，其中：职工基本医疗保险缴费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3.087432</w:t>
      </w:r>
      <w:r>
        <w:rPr>
          <w:rFonts w:ascii="Times New Roman" w:hAnsi="Times New Roman" w:eastAsia="仿宋_GB2312"/>
          <w:sz w:val="32"/>
        </w:rPr>
        <w:t>万元，住房公积金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4.2588</w:t>
      </w:r>
      <w:r>
        <w:rPr>
          <w:rFonts w:ascii="Times New Roman" w:hAnsi="Times New Roman" w:eastAsia="仿宋_GB2312"/>
          <w:sz w:val="32"/>
        </w:rPr>
        <w:t>万元，基本工资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38.3034</w:t>
      </w:r>
      <w:r>
        <w:rPr>
          <w:rFonts w:ascii="Times New Roman" w:hAnsi="Times New Roman" w:eastAsia="仿宋_GB2312"/>
          <w:sz w:val="32"/>
        </w:rPr>
        <w:t>万元，机关事业单位基本养老保险缴费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5.678</w:t>
      </w:r>
      <w:r>
        <w:rPr>
          <w:rFonts w:ascii="Times New Roman" w:hAnsi="Times New Roman" w:eastAsia="仿宋_GB2312"/>
          <w:sz w:val="32"/>
        </w:rPr>
        <w:t>万元；公用经费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7.35</w:t>
      </w:r>
      <w:r>
        <w:rPr>
          <w:rFonts w:ascii="Times New Roman" w:hAnsi="Times New Roman" w:eastAsia="仿宋_GB2312"/>
          <w:sz w:val="32"/>
        </w:rPr>
        <w:t>万元，主要包括工会经费2万元，办公费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0.85</w:t>
      </w:r>
      <w:r>
        <w:rPr>
          <w:rFonts w:ascii="Times New Roman" w:hAnsi="Times New Roman" w:eastAsia="仿宋_GB2312"/>
          <w:sz w:val="32"/>
        </w:rPr>
        <w:t>万元，福利费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</w:rPr>
        <w:t>万元，公务接待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0.3</w:t>
      </w:r>
      <w:r>
        <w:rPr>
          <w:rFonts w:ascii="Times New Roman" w:hAnsi="Times New Roman" w:eastAsia="仿宋_GB2312"/>
          <w:sz w:val="32"/>
        </w:rPr>
        <w:t>万元，公务用车运行维护费2万元，电费0.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</w:rPr>
        <w:t>万元，其它商品和服务支出0.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</w:rPr>
        <w:t>万元</w:t>
      </w:r>
      <w:r>
        <w:rPr>
          <w:rFonts w:hint="eastAsia" w:ascii="Times New Roman" w:hAnsi="Times New Roman" w:eastAsia="仿宋_GB2312"/>
          <w:sz w:val="32"/>
        </w:rPr>
        <w:t>。</w:t>
      </w:r>
    </w:p>
    <w:p>
      <w:pPr>
        <w:pStyle w:val="9"/>
        <w:numPr>
          <w:ilvl w:val="0"/>
          <w:numId w:val="2"/>
        </w:numPr>
        <w:spacing w:line="570" w:lineRule="exact"/>
        <w:ind w:firstLineChars="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项目支出情况</w:t>
      </w:r>
    </w:p>
    <w:p>
      <w:pPr>
        <w:spacing w:line="570" w:lineRule="exact"/>
        <w:ind w:firstLine="640" w:firstLineChars="200"/>
        <w:outlineLvl w:val="1"/>
        <w:rPr>
          <w:rFonts w:hint="default" w:eastAsia="仿宋_GB2312"/>
          <w:sz w:val="32"/>
        </w:rPr>
      </w:pPr>
      <w:r>
        <w:rPr>
          <w:rFonts w:hint="default"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eastAsia="仿宋_GB2312"/>
          <w:sz w:val="32"/>
        </w:rPr>
        <w:t>年本部门项目支出预算</w:t>
      </w:r>
      <w:r>
        <w:rPr>
          <w:rFonts w:hint="eastAsia" w:eastAsia="仿宋_GB2312"/>
          <w:sz w:val="32"/>
          <w:lang w:val="en-US" w:eastAsia="zh-CN"/>
        </w:rPr>
        <w:t>91.75</w:t>
      </w:r>
      <w:r>
        <w:rPr>
          <w:rFonts w:eastAsia="仿宋_GB2312"/>
          <w:sz w:val="32"/>
        </w:rPr>
        <w:t>万元，主要是部门为完成特定行政工作任务或事业发展目标而发生的支出，包括有关事业发展专项、专项业务费、基本建设支出等，其中：其中：专项商品和服务支出</w:t>
      </w:r>
      <w:r>
        <w:rPr>
          <w:rFonts w:hint="eastAsia" w:eastAsia="仿宋_GB2312"/>
          <w:sz w:val="32"/>
          <w:lang w:val="en-US" w:eastAsia="zh-CN"/>
        </w:rPr>
        <w:t>91.75</w:t>
      </w:r>
      <w:r>
        <w:rPr>
          <w:rFonts w:eastAsia="仿宋_GB2312"/>
          <w:sz w:val="32"/>
        </w:rPr>
        <w:t>万元，主要用于重点项目调度、督查、督办及市级重点项目流动现场会等方面。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我单位无政府性基金预算支出情况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根据《部门整体支出绩效评价指标》评分，主要绩效如下：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从经济性情况分析看，预算资金覆盖各个需求方面，“三公”经费预算没有超过上年预算安排。202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4</w:t>
      </w:r>
      <w:r>
        <w:rPr>
          <w:rFonts w:ascii="楷体_GB2312" w:hAnsi="楷体_GB2312" w:eastAsia="楷体_GB2312"/>
          <w:sz w:val="32"/>
          <w:szCs w:val="32"/>
        </w:rPr>
        <w:t>年预算资金能保障单位正常运转需要，分配办法科学，考虑的因素必要合理，分配的结果合理，能基本保证人员经费支出和机构全年工作运转。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从效率性情况分析看，在各项工作费用支付中，尤其是干部职工的医疗保险、工伤保险、福利费、工会经费等人员经费支出能及时按进度保质保量完成。预算公用经费全部拨付到位，预算完成率和预算控制率良好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从有效性情况分析看，夯实基层力量，提高干部工作积极性，全面整合资源，提升干部办事效率，优化服务质量。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从可持续性分析看，推动全县项目顺利建设，改善居民环境，提高居民幸福指数，促进我县经济发展。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主要反映各种预算支出执行偏离绩效目标的情况，并分析其原因。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1.专项资金少，资金压力大。针对我中心面对的是对全县重点项目建设的协调服务工作，并要完成市对县考核任务，资金需求量较大，专项资金尚需增加。</w:t>
      </w:r>
    </w:p>
    <w:p>
      <w:pPr>
        <w:spacing w:line="570" w:lineRule="exact"/>
        <w:ind w:firstLine="640" w:firstLineChars="200"/>
        <w:jc w:val="left"/>
        <w:rPr>
          <w:rFonts w:hint="default" w:eastAsia="仿宋_GB2312"/>
          <w:sz w:val="32"/>
        </w:rPr>
      </w:pPr>
      <w:r>
        <w:rPr>
          <w:rFonts w:ascii="楷体_GB2312" w:hAnsi="楷体_GB2312" w:eastAsia="楷体_GB2312"/>
          <w:sz w:val="32"/>
          <w:szCs w:val="32"/>
        </w:rPr>
        <w:t>2.人员严重缺编与工作任务繁重矛盾日益突出</w:t>
      </w:r>
      <w:r>
        <w:rPr>
          <w:rFonts w:eastAsia="仿宋_GB2312"/>
          <w:spacing w:val="-6"/>
          <w:sz w:val="32"/>
        </w:rPr>
        <w:t>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1.细化预算编制工作，认真做好预算的编制。进一步加强内设机构的预算管理意识，严格按照预算编制的相关制度和要求进行预算编制。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2.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pStyle w:val="2"/>
        <w:ind w:left="420" w:firstLine="640"/>
        <w:rPr>
          <w:rFonts w:hint="default" w:eastAsia="黑体"/>
        </w:rPr>
      </w:pPr>
      <w:r>
        <w:rPr>
          <w:rFonts w:ascii="楷体_GB2312" w:hAnsi="楷体_GB2312" w:eastAsia="楷体_GB2312"/>
          <w:sz w:val="32"/>
          <w:szCs w:val="32"/>
        </w:rPr>
        <w:t>3.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根据部门整体支出绩效评价指标体系，我单位202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4</w:t>
      </w:r>
      <w:r>
        <w:rPr>
          <w:rFonts w:ascii="楷体_GB2312" w:hAnsi="楷体_GB2312" w:eastAsia="楷体_GB2312"/>
          <w:sz w:val="32"/>
          <w:szCs w:val="32"/>
        </w:rPr>
        <w:t>年度评价得分为100分。</w:t>
      </w:r>
    </w:p>
    <w:p>
      <w:pPr>
        <w:spacing w:line="57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十、其他需要说明的情况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无</w:t>
      </w:r>
    </w:p>
    <w:p>
      <w:pPr>
        <w:pStyle w:val="4"/>
        <w:ind w:left="420" w:firstLine="420"/>
        <w:rPr>
          <w:rFonts w:hint="default" w:eastAsia="黑体"/>
        </w:rPr>
      </w:pPr>
    </w:p>
    <w:p>
      <w:pPr>
        <w:spacing w:after="318" w:afterLines="50" w:line="600" w:lineRule="exact"/>
        <w:rPr>
          <w:rFonts w:hint="default" w:eastAsia="黑体"/>
          <w:sz w:val="32"/>
        </w:rPr>
      </w:pPr>
    </w:p>
    <w:p>
      <w:pPr>
        <w:pStyle w:val="2"/>
        <w:rPr>
          <w:rFonts w:hint="default"/>
        </w:rPr>
      </w:pPr>
    </w:p>
    <w:p>
      <w:pPr>
        <w:spacing w:after="318"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jc w:val="left"/>
        <w:outlineLvl w:val="1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附件2：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年度部门整体支出绩效评价基础数据表</w:t>
      </w:r>
    </w:p>
    <w:tbl>
      <w:tblPr>
        <w:tblStyle w:val="6"/>
        <w:tblW w:w="9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83.33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45.79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77.93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77.93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8.89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7.35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7.35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0.85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3.098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1.998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1.998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1.998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231.17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重点项目督查督办、全市流动现场会、市对县年终考核迎检工作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84.81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231.17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严格控制“三公”经费的规模和比例，把关“三公”经费支出的审核、审批，进一步细化“三公”经费的管理，合理压缩“三公”经费支出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hint="default" w:asciiTheme="minorEastAsia" w:hAnsiTheme="minorEastAsia" w:eastAsiaTheme="minorEastAsia" w:cstheme="minorEastAsia"/>
          <w:w w:val="96"/>
          <w:sz w:val="24"/>
        </w:rPr>
      </w:pPr>
      <w:r>
        <w:rPr>
          <w:rFonts w:asciiTheme="minorEastAsia" w:hAnsiTheme="minorEastAsia" w:eastAsiaTheme="minorEastAsia" w:cstheme="minorEastAsia"/>
          <w:w w:val="96"/>
          <w:sz w:val="24"/>
        </w:rPr>
        <w:t>填表人：谭小芳填报日期：</w:t>
      </w:r>
      <w:r>
        <w:rPr>
          <w:rFonts w:hint="default" w:asciiTheme="minorEastAsia" w:hAnsiTheme="minorEastAsia" w:eastAsiaTheme="minorEastAsia" w:cstheme="minorEastAsia"/>
          <w:w w:val="96"/>
          <w:sz w:val="24"/>
        </w:rPr>
        <w:t>202</w:t>
      </w:r>
      <w:r>
        <w:rPr>
          <w:rFonts w:hint="eastAsia" w:asciiTheme="minorEastAsia" w:hAnsiTheme="minorEastAsia" w:eastAsiaTheme="minorEastAsia" w:cstheme="minorEastAsia"/>
          <w:w w:val="96"/>
          <w:sz w:val="24"/>
          <w:lang w:val="en-US" w:eastAsia="zh-CN"/>
        </w:rPr>
        <w:t>5.6.25</w:t>
      </w:r>
      <w:r>
        <w:rPr>
          <w:rFonts w:asciiTheme="minorEastAsia" w:hAnsiTheme="minorEastAsia" w:eastAsiaTheme="minorEastAsia" w:cstheme="minorEastAsia"/>
          <w:w w:val="96"/>
          <w:sz w:val="24"/>
        </w:rPr>
        <w:t>联系电话：</w:t>
      </w:r>
      <w:r>
        <w:rPr>
          <w:rFonts w:hint="default" w:asciiTheme="minorEastAsia" w:hAnsiTheme="minorEastAsia" w:eastAsiaTheme="minorEastAsia" w:cstheme="minorEastAsia"/>
          <w:w w:val="96"/>
          <w:sz w:val="24"/>
        </w:rPr>
        <w:t>1378920170</w:t>
      </w:r>
      <w:r>
        <w:rPr>
          <w:rFonts w:asciiTheme="minorEastAsia" w:hAnsiTheme="minorEastAsia" w:eastAsiaTheme="minorEastAsia" w:cstheme="minorEastAsia"/>
          <w:w w:val="96"/>
          <w:sz w:val="24"/>
        </w:rPr>
        <w:t>单位负责人签字：何琪</w:t>
      </w: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年度部门整体支出绩效自评表</w:t>
      </w:r>
    </w:p>
    <w:tbl>
      <w:tblPr>
        <w:tblStyle w:val="6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双牌县重点项目服务中心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91.75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231.17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230.89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99.88%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309.1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77.93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231.16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1.202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</w:rPr>
              <w:t>年全县重点项目计划编制、综合管理、组织协调和重点项目建设日常管理、年终考核；2.市考核重点项目计划编制、督查督办、流动现场会组织协调、年终迎检等工作。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1.202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</w:rPr>
              <w:t>年全县重点项目计划编制、综合管理、组织协调和重点项目建设日常管理、年终考核；2.市考核重点项目计划编制、督查督办、流动现场会组织协调、年终迎检等工作。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szCs w:val="21"/>
              </w:rPr>
              <w:t>完成支出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309.1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309.1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szCs w:val="21"/>
              </w:rPr>
              <w:t>资金使用合格率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≥9</w:t>
            </w:r>
            <w:r>
              <w:rPr>
                <w:rFonts w:hint="default" w:eastAsia="仿宋_GB2312"/>
                <w:color w:val="000000"/>
                <w:kern w:val="0"/>
              </w:rPr>
              <w:t>5</w:t>
            </w:r>
            <w:r>
              <w:rPr>
                <w:rFonts w:eastAsia="仿宋_GB2312"/>
                <w:color w:val="000000"/>
                <w:kern w:val="0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≥9</w:t>
            </w:r>
            <w:r>
              <w:rPr>
                <w:rFonts w:hint="default" w:eastAsia="仿宋_GB2312"/>
                <w:color w:val="000000"/>
                <w:kern w:val="0"/>
              </w:rPr>
              <w:t>5</w:t>
            </w:r>
            <w:r>
              <w:rPr>
                <w:rFonts w:eastAsia="仿宋_GB2312"/>
                <w:color w:val="000000"/>
                <w:kern w:val="0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szCs w:val="21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≥9</w:t>
            </w:r>
            <w:r>
              <w:rPr>
                <w:rFonts w:hint="default" w:eastAsia="仿宋_GB2312"/>
                <w:color w:val="000000"/>
                <w:kern w:val="0"/>
              </w:rPr>
              <w:t>5</w:t>
            </w:r>
            <w:r>
              <w:rPr>
                <w:rFonts w:eastAsia="仿宋_GB2312"/>
                <w:color w:val="000000"/>
                <w:kern w:val="0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≥9</w:t>
            </w:r>
            <w:r>
              <w:rPr>
                <w:rFonts w:hint="default" w:eastAsia="仿宋_GB2312"/>
                <w:color w:val="000000"/>
                <w:kern w:val="0"/>
              </w:rPr>
              <w:t>5</w:t>
            </w:r>
            <w:r>
              <w:rPr>
                <w:rFonts w:eastAsia="仿宋_GB2312"/>
                <w:color w:val="000000"/>
                <w:kern w:val="0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szCs w:val="21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309.1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309.1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lang w:val="en"/>
              </w:rPr>
              <w:t>4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经济发展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社会发展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社会发展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社会发展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生态保护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生态保护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生态保护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1</w:t>
            </w:r>
            <w:r>
              <w:rPr>
                <w:rFonts w:hint="default" w:eastAsia="仿宋_GB2312"/>
                <w:color w:val="000000"/>
                <w:kern w:val="0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促进可持续发展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促进可持续发展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促进可持续发展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szCs w:val="21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440" w:lineRule="exact"/>
        <w:jc w:val="left"/>
        <w:rPr>
          <w:rFonts w:hint="default" w:eastAsia="仿宋_GB2312"/>
          <w:sz w:val="22"/>
        </w:rPr>
      </w:pPr>
      <w:r>
        <w:rPr>
          <w:rFonts w:eastAsia="仿宋_GB2312"/>
          <w:sz w:val="22"/>
        </w:rPr>
        <w:t xml:space="preserve">填表人：谭小芳 </w:t>
      </w:r>
      <w:r>
        <w:rPr>
          <w:rFonts w:hint="default" w:eastAsia="仿宋_GB2312"/>
          <w:sz w:val="22"/>
        </w:rPr>
        <w:t xml:space="preserve"> </w:t>
      </w:r>
      <w:r>
        <w:rPr>
          <w:rFonts w:eastAsia="仿宋_GB2312"/>
          <w:sz w:val="22"/>
        </w:rPr>
        <w:t>填报日期：</w:t>
      </w:r>
      <w:r>
        <w:rPr>
          <w:rFonts w:hint="default" w:eastAsia="仿宋_GB2312"/>
          <w:sz w:val="22"/>
        </w:rPr>
        <w:t>202</w:t>
      </w:r>
      <w:r>
        <w:rPr>
          <w:rFonts w:hint="eastAsia" w:eastAsia="仿宋_GB2312"/>
          <w:sz w:val="22"/>
          <w:lang w:val="en-US" w:eastAsia="zh-CN"/>
        </w:rPr>
        <w:t>5.6.25</w:t>
      </w:r>
      <w:r>
        <w:rPr>
          <w:rFonts w:hint="default" w:eastAsia="仿宋_GB2312"/>
          <w:sz w:val="22"/>
        </w:rPr>
        <w:t xml:space="preserve"> </w:t>
      </w:r>
      <w:r>
        <w:rPr>
          <w:rFonts w:eastAsia="仿宋_GB2312"/>
          <w:sz w:val="22"/>
        </w:rPr>
        <w:t>联系电话：</w:t>
      </w:r>
      <w:r>
        <w:rPr>
          <w:rFonts w:hint="default" w:eastAsia="仿宋_GB2312"/>
          <w:sz w:val="22"/>
        </w:rPr>
        <w:t>13789201720</w:t>
      </w:r>
      <w:r>
        <w:rPr>
          <w:rFonts w:eastAsia="仿宋_GB2312"/>
          <w:sz w:val="22"/>
        </w:rPr>
        <w:t>单位负责人签字：何琪</w:t>
      </w:r>
      <w:r>
        <w:rPr>
          <w:rFonts w:hint="default" w:eastAsia="仿宋_GB2312"/>
          <w:sz w:val="22"/>
        </w:rPr>
        <w:t xml:space="preserve"> 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pStyle w:val="2"/>
        <w:ind w:left="420"/>
        <w:rPr>
          <w:rFonts w:eastAsia="黑体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4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after="312" w:afterLines="100" w:line="600" w:lineRule="exact"/>
        <w:jc w:val="center"/>
        <w:outlineLvl w:val="0"/>
        <w:rPr>
          <w:rFonts w:hint="default"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双牌县重点项目服务中心预算绩效管理工作</w:t>
      </w:r>
    </w:p>
    <w:p>
      <w:pPr>
        <w:spacing w:after="312" w:afterLines="100" w:line="600" w:lineRule="exact"/>
        <w:jc w:val="center"/>
        <w:outlineLvl w:val="0"/>
        <w:rPr>
          <w:rFonts w:hint="default"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负责人名册</w:t>
      </w:r>
    </w:p>
    <w:tbl>
      <w:tblPr>
        <w:tblStyle w:val="6"/>
        <w:tblW w:w="8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唐明辉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729415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3973479168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谭小芳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729415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3789201720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>
      <w:pPr>
        <w:rPr>
          <w:rFonts w:hint="default"/>
        </w:rPr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Vi9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08p8cLhiM5fv5y//Th//0yW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T1Yv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5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vV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ytKvHA4ovPXL+dvP87fP5On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UL1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6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4857"/>
    <w:multiLevelType w:val="multilevel"/>
    <w:tmpl w:val="116D4857"/>
    <w:lvl w:ilvl="0" w:tentative="0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mM2Y2ODNlNzhlM2E3ZWY2OTlhYzMwOTMzN2JkYTAifQ=="/>
  </w:docVars>
  <w:rsids>
    <w:rsidRoot w:val="00172A27"/>
    <w:rsid w:val="0009734B"/>
    <w:rsid w:val="000B1932"/>
    <w:rsid w:val="00167FB2"/>
    <w:rsid w:val="00172A27"/>
    <w:rsid w:val="001E2012"/>
    <w:rsid w:val="00202041"/>
    <w:rsid w:val="0020312F"/>
    <w:rsid w:val="002142EE"/>
    <w:rsid w:val="0027623E"/>
    <w:rsid w:val="002A41AA"/>
    <w:rsid w:val="003A5D3A"/>
    <w:rsid w:val="004557AB"/>
    <w:rsid w:val="004B2FF1"/>
    <w:rsid w:val="006B02DF"/>
    <w:rsid w:val="006F0EC8"/>
    <w:rsid w:val="007B4BA4"/>
    <w:rsid w:val="007E2159"/>
    <w:rsid w:val="00874467"/>
    <w:rsid w:val="008A6744"/>
    <w:rsid w:val="008C755A"/>
    <w:rsid w:val="00922272"/>
    <w:rsid w:val="00B8353F"/>
    <w:rsid w:val="00C17F5E"/>
    <w:rsid w:val="00C408FA"/>
    <w:rsid w:val="00CD53FA"/>
    <w:rsid w:val="00CE6379"/>
    <w:rsid w:val="00DA0603"/>
    <w:rsid w:val="00DB6CA9"/>
    <w:rsid w:val="00F12275"/>
    <w:rsid w:val="0CCE5073"/>
    <w:rsid w:val="0F2C5DCC"/>
    <w:rsid w:val="101F3C57"/>
    <w:rsid w:val="105E064F"/>
    <w:rsid w:val="13701F21"/>
    <w:rsid w:val="154B3473"/>
    <w:rsid w:val="15B02F86"/>
    <w:rsid w:val="1858660D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AD24910"/>
    <w:rsid w:val="3AF237E8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A60F74"/>
    <w:rsid w:val="62BE6D8B"/>
    <w:rsid w:val="64E742EF"/>
    <w:rsid w:val="684B0AD7"/>
    <w:rsid w:val="6B083D28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9</Pages>
  <Words>3215</Words>
  <Characters>3542</Characters>
  <Lines>28</Lines>
  <Paragraphs>8</Paragraphs>
  <TotalTime>85</TotalTime>
  <ScaleCrop>false</ScaleCrop>
  <LinksUpToDate>false</LinksUpToDate>
  <CharactersWithSpaces>3590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2023-05-12T02:24:00Z</dcterms:created>
  <dc:creator>海之韵</dc:creator>
  <cp:lastModifiedBy>Administrator</cp:lastModifiedBy>
  <cp:lastPrinted>2023-05-11T03:35:00Z</cp:lastPrinted>
  <dcterms:modified xsi:type="dcterms:W3CDTF">2025-06-25T06:43:43Z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0E621FC19A074E1C88CDD213FB9322E2_13</vt:lpwstr>
  </property>
</Properties>
</file>