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b/>
          <w:bCs/>
          <w:sz w:val="52"/>
          <w:szCs w:val="24"/>
        </w:rPr>
        <w:t>202</w:t>
      </w:r>
      <w:r>
        <w:rPr>
          <w:rFonts w:hint="eastAsia" w:ascii="方正小标宋简体" w:eastAsia="方正小标宋简体"/>
          <w:b/>
          <w:bCs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52"/>
          <w:szCs w:val="24"/>
        </w:rPr>
        <w:t>年度</w:t>
      </w:r>
      <w:r>
        <w:rPr>
          <w:rFonts w:hint="eastAsia" w:ascii="方正小标宋简体" w:eastAsia="方正小标宋简体"/>
          <w:b/>
          <w:bCs/>
          <w:sz w:val="52"/>
          <w:szCs w:val="24"/>
          <w:lang w:val="en-US" w:eastAsia="zh-CN"/>
        </w:rPr>
        <w:t>阳明山中心幼儿园</w:t>
      </w:r>
      <w:r>
        <w:rPr>
          <w:rFonts w:hint="eastAsia" w:ascii="方正小标宋简体" w:eastAsia="方正小标宋简体"/>
          <w:b/>
          <w:bCs/>
          <w:sz w:val="52"/>
          <w:szCs w:val="24"/>
        </w:rPr>
        <w:t>部门</w:t>
      </w:r>
      <w:r>
        <w:rPr>
          <w:rFonts w:hint="eastAsia" w:ascii="方正小标宋简体" w:eastAsia="方正小标宋简体"/>
          <w:sz w:val="52"/>
          <w:szCs w:val="24"/>
        </w:rPr>
        <w:t>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双牌县阳明山中心幼儿园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1.职能职责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努力完善幼儿园硬软件设施，</w:t>
      </w:r>
      <w:r>
        <w:rPr>
          <w:rFonts w:hint="eastAsia" w:ascii="宋体" w:hAnsi="宋体" w:eastAsia="宋体" w:cs="宋体"/>
          <w:sz w:val="28"/>
          <w:szCs w:val="28"/>
        </w:rPr>
        <w:t>巩固提高“两基”工作成果和整体水平，配合各级人民政府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办好家长和社会认可的市示范性幼儿园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）组织开展本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的教育教学科研和教育教学改革，科研兴教，科研兴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。负责对本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教育教学业务的具体管理，负责教育教学管理及教研教改工作，全力推进素质教育实施。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）按照干部和教师的职数、编制和管理权限，负责本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教师人事管理、继续教育、考核考评等工作。 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财务和基建管理，筹措资金，改善办学条件等工作。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概况</w:t>
      </w:r>
    </w:p>
    <w:p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4人，其中在职在编人员2人，编外教师2人，无退休人员。园内班级2个，在园幼儿34人。校园建筑面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积1296平方米，办公设备有：计算机4台、打印机2台。</w:t>
      </w:r>
    </w:p>
    <w:p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widowControl/>
        <w:spacing w:line="600" w:lineRule="atLeast"/>
        <w:ind w:firstLine="600"/>
        <w:jc w:val="left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52.46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万元，涉及一般公共预算当年财政项目拨款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38.04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万元，自评覆盖率达到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%。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三公经费本年预算数0.7万元，支出0.44万元，未超出本年预算数。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绩效自评结果显示，上述项目支出绩效情况较为理想，均达到了项目申请时设定的各项绩效目标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369400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元,包括工资福利支出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308400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元：基本工资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101900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元、津贴补贴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12600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元、奖金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元、绩效工资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61900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元、基本养老保险缴费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31400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元、职业年金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元、职工基本医疗保险缴费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元、住房公积金支出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23500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元；商品与服务支出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61000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元：办公费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元，主要用于办公日常开销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及园内活动物资采购使用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，电费为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元，差旅费为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00元，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专用材料费5000元，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维护费为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元，用于园舍维修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修建沙水池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等。培训费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公务接待费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劳务费为0元；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工会经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费0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福利费0元，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其他商品和服务支出为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用于幼儿校方险、食品险、教师体检费开支。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元，包括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商品服务支出406000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要有办公费、电费、维修（护）费、差旅费、培训费、劳务费（用于发放临聘人员工资）、工会经费（用于发放工会节日活动福利）、公务接待费10000元、福利费6000元（用于教职工工作餐开支），其他商品服务支出1940000元（用于幼儿伙食费及园内大型修缮改造）；对个人和家庭补助0元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10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在教育局的正确指导下，较好地完成了年度工作目标，同时加强预算收支管理，建立健全内部管理制度，严格内部管理流程，部门整体支出绩效总体较好。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1.在预算管理方面，制定了切实有效的内部财务、公务接待等内部管理制度，执行总体较好。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2.幼儿教育工作取得新成效。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（1）认真贯彻落实《幼儿园教育指导纲要》和《3-6岁儿童学习与发展指南精神》，深化教育教学改革，树立创新意识，用先进的教育理念，依法办园，规范办园。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2）以师为本，优化教师队伍，我园还根据教师的不同层次与需求组织开展内容丰富、形式多样的园本培训，让教师们在不断的学习中探索职业内涵，提高专业水平。科学、合理的安排幼儿一日活动，认真执行幼儿园各项教育常规及幼儿园安全、卫生保健制度。定期进行总结，不断提高工作质量，幼儿园教育教学活动得到孩子和家长以及周边居民的广泛好评；开展丰富多彩的工会活动，增强了教师的凝聚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3）实行教育与保育相结合原则，对幼儿实行体、智、德、美诸方面发展的教育，促进其身心和谐发展，遵循幼儿身心发展规律符合幼儿的年龄特点，注重个人差异，因材施教，引导幼儿个性发展，健康发展。在日常教学中，以多种方式引导幼儿认识、体验并理解基本的社会行为规则，学习自律，树立规则意识；结合日常生活，开展安全教育，提高幼儿自我保护的意识与能力。我园根据幼儿的年龄特点和学习特点选择幼儿感兴趣的，贴近幼儿生活的主题内容，通过自主探索和主动发现，引导幼儿在愉快的体验中获得成功与发展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4）我单位预算安排的基本支出保障了教学工作的正常运转，完成了年初预算资金的合理使用，有效控制了“三公经费”的支出；建立了完善的固定资产管理制度，配置合理，处置合规；严格遵守各项财经纪律及相关法规，经费支出途径公开透明，公开了预决算，自觉接受群众监督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1、存在问题及原因分析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1. 教学配套用房欠缺，教学硬件设施有待进一步完善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幼儿园在硬件设施方面存在不足，特别是教学配套用房的缺乏，影响了教学活动的正常开展和教学质量的提升。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2. 在编教师不足，造成幼儿园经费紧张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在编教师的数量不足，导致幼儿园在经费使用上面临压力，限制了幼儿园在提升教学质量和改善环境方面的投入。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3. 自评表填报数据不准确，与实际完成情况不一致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在项目自评表的填报过程中存在数据不准确的问题，导致自评结果与实际完成情况不符，影响了对项目进度和效果的正确评估。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4. 环境创设不达标，教学条件改善效果不显著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部分幼儿园在环境创设和教学设施维护方面不达标，影响了幼儿的学习环境和活动质量。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原因分析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1、经济和财政压力：部分幼儿园由于经费紧张，难以进行大规模的设施更新和环境改善。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2、人力资源问题：在编教师数量不足，加上教师流失率高，影响了教师队伍的稳定性和教学质量。</w:t>
      </w:r>
    </w:p>
    <w:p>
      <w:pPr>
        <w:pStyle w:val="10"/>
        <w:spacing w:beforeLines="0" w:afterLines="0" w:line="570" w:lineRule="exact"/>
        <w:ind w:left="0" w:leftChars="0" w:firstLine="560" w:firstLineChars="200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3、管理和监督不足：在项目自评和执行过程中，数据管理和实际效果的不一致，反映了管理和监督层面的不足。</w:t>
      </w:r>
    </w:p>
    <w:p>
      <w:pPr>
        <w:pStyle w:val="10"/>
        <w:spacing w:beforeLines="0" w:afterLines="0" w:line="570" w:lineRule="exact"/>
        <w:jc w:val="left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4、政策和执行落差：环境创设和教学条件改善的不充分，可能与政策要求和实施细节之间的落差有关。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2"/>
        <w:ind w:left="0" w:leftChars="0"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8"/>
          <w:szCs w:val="36"/>
        </w:rPr>
        <w:t>牢固树立绩效理念。围绕“科学规范、公开公正、效益优先”的基本原则，将绩效理念贯穿预算编制、执行、结果的全过程，对预算项目支出实行绩效管理，由过去关注项目资金使用向关注项目可行性和项目效益性转变，从而实现事前、事中、事后监督全覆盖。</w:t>
      </w:r>
    </w:p>
    <w:p>
      <w:pPr>
        <w:numPr>
          <w:ilvl w:val="0"/>
          <w:numId w:val="4"/>
        </w:num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spacing w:line="60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我单位部门整体支出绩效总体较好，各项目标基本达到了相应时期执行进度，使财政收支预算执行都得了较好的制度保障和实施效果。根据要求，在政府门户网站公开。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26.405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36.94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2.0224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0.3518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1.8156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1.8156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29.7229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幼儿伙食费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公用经费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5.1229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4.扩大学前教育资源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18.76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282"/>
        <w:gridCol w:w="1320"/>
        <w:gridCol w:w="648"/>
        <w:gridCol w:w="732"/>
        <w:gridCol w:w="1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双牌县阳明山中心幼儿园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96.94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96.94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74.67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97%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74.67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2095"/>
              </w:tabs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74.67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教职工人数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招生人数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40人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亲子活动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教育教学工作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安全教育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重大安全事故发生率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年初预算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96.94万元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74.67万元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0.72万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教师培训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0.8万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校园清理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120人/次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120人/次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建立良性工作机制，激发教师队伍活力。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长远影响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长远影响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家长满意度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教师满意度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58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龚梅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2025.6.10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13974606054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龚梅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保教费、幼儿伙食费、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扩大学前教育资源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阳明山中心幼儿园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保障幼儿膳食营养，促进幼儿身心健康发展。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改善幼儿园教育教学环境。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该项目的实施，保障了幼儿园工作正常运转和幼儿膳食营养均衡，安全卫生，促进幼儿身心健康发展，提供良好的教育教学环境。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2、确保经费的各项开支，很好的完成了每次活动。</w:t>
            </w:r>
          </w:p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3、维修改善了园内环境建设。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资金的预算和使用规划不具体。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各部门学期初的计划不详细。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加强与财政和主管部门沟通，把握资金拨付动态，提前做好资金规划；提前做好项目预算，准确把握项目资金需求。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各部门需在每学期初制定详尽的活动计划和经费预算，保证活动的顺利开展，并达到预期效果。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223"/>
        <w:gridCol w:w="1572"/>
        <w:gridCol w:w="1080"/>
        <w:gridCol w:w="1176"/>
        <w:gridCol w:w="696"/>
        <w:gridCol w:w="666"/>
        <w:gridCol w:w="1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保教费、幼儿伙食费、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扩大学前教育资源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县教育局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阳明山中心幼儿园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50.86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保障幼儿膳食营养均衡，安全卫生，促进幼儿身心健康发展。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改善幼儿园教育教学环境。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确保经费的各项开支，很好的完成了每次活动。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活动开展情况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6次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6次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改善校园环境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节约率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全年幼儿人数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营养卫生合格率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幼儿伙食供应时间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运转保障率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创建和谐的教育环境，提高保教保育质量。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促进教育事业发展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家长幼儿满意程度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教师满意度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05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Theme="minorEastAsia"/>
          <w:sz w:val="22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字：龚梅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阳明山中心幼儿园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龚梅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园长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13974606054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邓誉婷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总务主任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18374181904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ind w:left="0" w:leftChars="0" w:firstLine="0" w:firstLineChars="0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B79448-0088-43DB-83DA-93FBA54F26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E8E413-B43A-45D1-889C-901C5B134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680BAC2-BA71-407A-8163-7F30924A7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E3D9966-249E-4B5B-BF3A-CD51012C4E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226FBA9-09DE-4750-A9FF-7F6C9D74E0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62EBC7F-F88B-4F8D-9D25-D0C56E44BC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1A92D"/>
    <w:multiLevelType w:val="singleLevel"/>
    <w:tmpl w:val="A451A9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813B1D"/>
    <w:multiLevelType w:val="singleLevel"/>
    <w:tmpl w:val="AC813B1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AE621F"/>
    <w:multiLevelType w:val="singleLevel"/>
    <w:tmpl w:val="F3AE62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811079"/>
    <w:multiLevelType w:val="singleLevel"/>
    <w:tmpl w:val="02811079"/>
    <w:lvl w:ilvl="0" w:tentative="0">
      <w:start w:val="1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abstractNum w:abstractNumId="4">
    <w:nsid w:val="4ABF9250"/>
    <w:multiLevelType w:val="singleLevel"/>
    <w:tmpl w:val="4ABF92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6C5DC540"/>
    <w:multiLevelType w:val="singleLevel"/>
    <w:tmpl w:val="6C5DC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Dc5NDIxNGJmMzk2OGMwMDE2MTU3ODJkYTBmZWQifQ=="/>
    <w:docVar w:name="KSO_WPS_MARK_KEY" w:val="5e8c76b3-5713-418a-baaf-edea1c659656"/>
  </w:docVars>
  <w:rsids>
    <w:rsidRoot w:val="00172A27"/>
    <w:rsid w:val="014D4677"/>
    <w:rsid w:val="041E04DF"/>
    <w:rsid w:val="0571786C"/>
    <w:rsid w:val="0CCE5073"/>
    <w:rsid w:val="101F3C57"/>
    <w:rsid w:val="105E064F"/>
    <w:rsid w:val="109B53FF"/>
    <w:rsid w:val="154B3473"/>
    <w:rsid w:val="15B02F86"/>
    <w:rsid w:val="16222E32"/>
    <w:rsid w:val="1BCE59A7"/>
    <w:rsid w:val="1D5E5630"/>
    <w:rsid w:val="1E0762A9"/>
    <w:rsid w:val="1F9C1D8C"/>
    <w:rsid w:val="203957BE"/>
    <w:rsid w:val="20BA3D5C"/>
    <w:rsid w:val="20FE29CD"/>
    <w:rsid w:val="213827F6"/>
    <w:rsid w:val="24756501"/>
    <w:rsid w:val="2AF82401"/>
    <w:rsid w:val="31EF3498"/>
    <w:rsid w:val="33457B5A"/>
    <w:rsid w:val="33EA0D37"/>
    <w:rsid w:val="38EA5012"/>
    <w:rsid w:val="3BC666E9"/>
    <w:rsid w:val="3DFB432B"/>
    <w:rsid w:val="40857A73"/>
    <w:rsid w:val="41A60F90"/>
    <w:rsid w:val="437042B4"/>
    <w:rsid w:val="43D25C86"/>
    <w:rsid w:val="47FF7E2A"/>
    <w:rsid w:val="4A7E5437"/>
    <w:rsid w:val="4B490F32"/>
    <w:rsid w:val="4B564457"/>
    <w:rsid w:val="4BCF2CC7"/>
    <w:rsid w:val="4C575977"/>
    <w:rsid w:val="4DF30F3A"/>
    <w:rsid w:val="4E8B7C40"/>
    <w:rsid w:val="4F1637A4"/>
    <w:rsid w:val="500F1BD2"/>
    <w:rsid w:val="50281B04"/>
    <w:rsid w:val="51C40746"/>
    <w:rsid w:val="52AC54CA"/>
    <w:rsid w:val="543E6CC0"/>
    <w:rsid w:val="55412274"/>
    <w:rsid w:val="55C03679"/>
    <w:rsid w:val="57C446E9"/>
    <w:rsid w:val="58820FB8"/>
    <w:rsid w:val="59903E19"/>
    <w:rsid w:val="5ABA52A9"/>
    <w:rsid w:val="5C8E01AF"/>
    <w:rsid w:val="5DDF383F"/>
    <w:rsid w:val="62BE6D8B"/>
    <w:rsid w:val="64E742EF"/>
    <w:rsid w:val="684B0AD7"/>
    <w:rsid w:val="6E351362"/>
    <w:rsid w:val="75073918"/>
    <w:rsid w:val="771A18F7"/>
    <w:rsid w:val="7B2647B9"/>
    <w:rsid w:val="7B8A540F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1985</Words>
  <Characters>2370</Characters>
  <Lines>0</Lines>
  <Paragraphs>0</Paragraphs>
  <TotalTime>0</TotalTime>
  <ScaleCrop>false</ScaleCrop>
  <LinksUpToDate>false</LinksUpToDate>
  <CharactersWithSpaces>2586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86139</cp:lastModifiedBy>
  <dcterms:modified xsi:type="dcterms:W3CDTF">2025-09-24T02:53:16Z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01A2161541574DD997698CD9D69F2FB6</vt:lpwstr>
  </property>
  <property fmtid="{D5CDD505-2E9C-101B-9397-08002B2CF9AE}" pid="4" name="KSOTemplateDocerSaveRecord">
    <vt:lpwstr>eyJoZGlkIjoiMzhjMGRlZjUxYzk1MDA0ZTMwMTBlZmEyMTI1NDc1ZWMiLCJ1c2VySWQiOiI0MjA3NTgyNjAifQ==</vt:lpwstr>
  </property>
</Properties>
</file>