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078B">
      <w:pPr>
        <w:spacing w:beforeLines="0" w:afterLines="0"/>
        <w:jc w:val="both"/>
        <w:outlineLvl w:val="1"/>
        <w:rPr>
          <w:rFonts w:hint="eastAsia" w:ascii="方正小标宋简体" w:eastAsia="方正小标宋简体"/>
          <w:sz w:val="52"/>
          <w:szCs w:val="24"/>
        </w:rPr>
      </w:pPr>
      <w:bookmarkStart w:id="0" w:name="_GoBack"/>
      <w:bookmarkEnd w:id="0"/>
    </w:p>
    <w:p w14:paraId="35F7BC62">
      <w:pPr>
        <w:spacing w:beforeLines="0" w:afterLines="0"/>
        <w:jc w:val="both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麻江镇卫生院部门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0707966F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6B04AC7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23DF7F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B783CE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70108E7">
      <w:pPr>
        <w:spacing w:beforeLines="0" w:afterLines="0"/>
        <w:rPr>
          <w:rFonts w:hint="default" w:eastAsia="黑体"/>
          <w:sz w:val="32"/>
          <w:szCs w:val="24"/>
        </w:rPr>
      </w:pPr>
    </w:p>
    <w:p w14:paraId="6C09AC8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45388A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9BD851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3BBE89D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双牌县麻江镇卫生院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 w14:paraId="144C5AC6">
      <w:pPr>
        <w:spacing w:beforeLines="0" w:afterLines="0" w:line="600" w:lineRule="exact"/>
        <w:ind w:firstLine="1600" w:firstLineChars="500"/>
        <w:rPr>
          <w:rFonts w:hint="eastAsia" w:eastAsia="楷体_GB2312"/>
          <w:sz w:val="32"/>
          <w:szCs w:val="24"/>
        </w:rPr>
      </w:pPr>
    </w:p>
    <w:p w14:paraId="00AF22C4">
      <w:pPr>
        <w:numPr>
          <w:ilvl w:val="0"/>
          <w:numId w:val="1"/>
        </w:numPr>
        <w:spacing w:beforeLines="0" w:afterLines="0" w:line="570" w:lineRule="exact"/>
        <w:ind w:left="630" w:leftChars="0" w:firstLineChars="0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基本情况</w:t>
      </w:r>
    </w:p>
    <w:p w14:paraId="3D529A68">
      <w:pPr>
        <w:numPr>
          <w:ilvl w:val="0"/>
          <w:numId w:val="0"/>
        </w:numPr>
        <w:spacing w:beforeLines="0" w:afterLines="0" w:line="570" w:lineRule="exact"/>
        <w:ind w:left="640" w:leftChars="0"/>
        <w:outlineLvl w:val="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4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部门（单位）基本情况</w:t>
      </w:r>
    </w:p>
    <w:p w14:paraId="6EE5A061">
      <w:pPr>
        <w:widowControl/>
        <w:spacing w:line="600" w:lineRule="atLeast"/>
        <w:ind w:firstLine="600" w:firstLineChars="200"/>
        <w:jc w:val="left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bCs/>
          <w:kern w:val="0"/>
          <w:sz w:val="30"/>
          <w:szCs w:val="30"/>
        </w:rPr>
        <w:t>根据县编委（双编发[2020]25号）核定，双牌县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eastAsia="zh-CN"/>
        </w:rPr>
        <w:t>麻江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镇卫生院是国家公益一类事业单位，主要承担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eastAsia="zh-CN"/>
        </w:rPr>
        <w:t>麻江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镇范围内人民群众的医疗卫生服务。202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年本单位年初编制人数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val="en-US" w:eastAsia="zh-CN"/>
        </w:rPr>
        <w:t>14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人</w:t>
      </w:r>
      <w:r>
        <w:rPr>
          <w:rFonts w:hint="eastAsia" w:ascii="楷体" w:hAnsi="楷体" w:eastAsia="楷体" w:cs="楷体"/>
          <w:bCs/>
          <w:kern w:val="0"/>
          <w:sz w:val="36"/>
          <w:szCs w:val="36"/>
        </w:rPr>
        <w:t>，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202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年年末实有编制数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14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人，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全部纳入202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年部门决算编制范围。</w:t>
      </w:r>
    </w:p>
    <w:p w14:paraId="568B2DFE">
      <w:pPr>
        <w:widowControl/>
        <w:spacing w:line="600" w:lineRule="atLeast"/>
        <w:ind w:firstLine="600"/>
        <w:jc w:val="left"/>
        <w:rPr>
          <w:rFonts w:hint="eastAsia" w:ascii="楷体" w:hAnsi="楷体" w:eastAsia="楷体" w:cs="楷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二）部门（单位）年度整体支出绩效目标，项目支出绩效目标</w:t>
      </w:r>
      <w:r>
        <w:rPr>
          <w:rFonts w:hint="eastAsia" w:ascii="楷体" w:hAnsi="楷体" w:eastAsia="楷体" w:cs="楷体"/>
          <w:kern w:val="0"/>
          <w:sz w:val="30"/>
          <w:szCs w:val="30"/>
        </w:rPr>
        <w:t>　</w:t>
      </w:r>
    </w:p>
    <w:p w14:paraId="10F57B92">
      <w:pPr>
        <w:widowControl/>
        <w:spacing w:line="600" w:lineRule="atLeast"/>
        <w:ind w:firstLine="6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根据预算绩效管理要求，我单位组织对202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楷体" w:hAnsi="楷体" w:eastAsia="楷体" w:cs="楷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202.6</w:t>
      </w:r>
      <w:r>
        <w:rPr>
          <w:rFonts w:hint="eastAsia" w:ascii="楷体" w:hAnsi="楷体" w:eastAsia="楷体" w:cs="楷体"/>
          <w:kern w:val="0"/>
          <w:sz w:val="30"/>
          <w:szCs w:val="30"/>
        </w:rPr>
        <w:t>万元，其中涉及项目2个，涉及一般公共预算当年财政项目拨款</w:t>
      </w:r>
      <w:r>
        <w:rPr>
          <w:rFonts w:hint="eastAsia" w:ascii="楷体" w:hAnsi="楷体" w:eastAsia="楷体" w:cs="楷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202.6</w:t>
      </w:r>
      <w:r>
        <w:rPr>
          <w:rFonts w:hint="eastAsia" w:ascii="楷体" w:hAnsi="楷体" w:eastAsia="楷体" w:cs="楷体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 w14:paraId="0B14B3B9"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</w:p>
    <w:p w14:paraId="50056275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776F462E">
      <w:pPr>
        <w:widowControl/>
        <w:spacing w:line="600" w:lineRule="atLeast"/>
        <w:ind w:firstLine="600"/>
        <w:jc w:val="left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39B6EC13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200.36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98.89</w:t>
      </w:r>
      <w:r>
        <w:rPr>
          <w:rFonts w:hint="eastAsia" w:ascii="宋体" w:hAnsi="宋体" w:cs="宋体"/>
          <w:kern w:val="0"/>
          <w:sz w:val="30"/>
          <w:szCs w:val="30"/>
        </w:rPr>
        <w:t>%。一般公共预算财政拨款基本支出中人员经费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145.76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54.6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万元，主要包括：办公费、印刷费、邮电费、差旅费、维修（护）费、会议费、培训费、公务接待费、劳务费、工会经费、福利费、专用材料费等。</w:t>
      </w:r>
    </w:p>
    <w:p w14:paraId="1834406A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 w14:paraId="74C596B0">
      <w:pPr>
        <w:pStyle w:val="9"/>
        <w:numPr>
          <w:ilvl w:val="0"/>
          <w:numId w:val="2"/>
        </w:numPr>
        <w:spacing w:line="600" w:lineRule="exact"/>
        <w:ind w:firstLine="600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2A9C11AD">
      <w:pPr>
        <w:pStyle w:val="9"/>
        <w:numPr>
          <w:ilvl w:val="0"/>
          <w:numId w:val="0"/>
        </w:numPr>
        <w:spacing w:line="60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60.63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29.92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 w14:paraId="63B9FDD5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 w14:paraId="4D7BAFD4">
      <w:pPr>
        <w:pStyle w:val="9"/>
        <w:numPr>
          <w:ilvl w:val="0"/>
          <w:numId w:val="0"/>
        </w:numPr>
        <w:spacing w:beforeLines="0" w:afterLines="0" w:line="570" w:lineRule="exact"/>
        <w:ind w:left="63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</w:t>
      </w:r>
    </w:p>
    <w:p w14:paraId="55EB9DFB">
      <w:pPr>
        <w:pStyle w:val="9"/>
        <w:numPr>
          <w:ilvl w:val="0"/>
          <w:numId w:val="0"/>
        </w:numPr>
        <w:spacing w:beforeLines="0" w:afterLines="0" w:line="570" w:lineRule="exact"/>
        <w:ind w:left="640" w:leftChars="0" w:firstLine="320" w:firstLineChars="100"/>
        <w:jc w:val="left"/>
        <w:outlineLvl w:val="0"/>
        <w:rPr>
          <w:rFonts w:hint="eastAsia" w:ascii="Times New Roman" w:hAnsi="Times New Roman" w:eastAsia="黑体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无</w:t>
      </w:r>
    </w:p>
    <w:p w14:paraId="7B3B0EFD">
      <w:pPr>
        <w:pStyle w:val="9"/>
        <w:numPr>
          <w:ilvl w:val="0"/>
          <w:numId w:val="0"/>
        </w:numPr>
        <w:spacing w:beforeLines="0" w:afterLines="0" w:line="570" w:lineRule="exact"/>
        <w:ind w:left="63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</w:t>
      </w:r>
    </w:p>
    <w:p w14:paraId="1CB64CF0">
      <w:pPr>
        <w:pStyle w:val="9"/>
        <w:numPr>
          <w:ilvl w:val="0"/>
          <w:numId w:val="0"/>
        </w:numPr>
        <w:spacing w:beforeLines="0" w:afterLines="0" w:line="570" w:lineRule="exact"/>
        <w:ind w:left="640" w:leftChars="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无</w:t>
      </w:r>
    </w:p>
    <w:p w14:paraId="7CDF3AA4">
      <w:pPr>
        <w:pStyle w:val="9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</w:t>
      </w:r>
    </w:p>
    <w:p w14:paraId="1033C9EF">
      <w:pPr>
        <w:pStyle w:val="9"/>
        <w:numPr>
          <w:ilvl w:val="0"/>
          <w:numId w:val="0"/>
        </w:numPr>
        <w:spacing w:beforeLines="0" w:afterLines="0" w:line="570" w:lineRule="exact"/>
        <w:ind w:firstLine="960" w:firstLineChars="3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无</w:t>
      </w:r>
    </w:p>
    <w:p w14:paraId="46806FD0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237F1251"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  <w:lang w:eastAsia="zh-CN"/>
        </w:rPr>
      </w:pPr>
      <w:r>
        <w:rPr>
          <w:rFonts w:hint="eastAsia" w:ascii="宋体" w:hAnsi="宋体" w:cs="宋体"/>
          <w:sz w:val="32"/>
          <w:szCs w:val="24"/>
        </w:rPr>
        <w:t>20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24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261.04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8.24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一般预算经费拨款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200.36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cs="宋体"/>
          <w:sz w:val="32"/>
          <w:szCs w:val="24"/>
          <w:lang w:eastAsia="zh-CN"/>
        </w:rPr>
        <w:t>了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4.88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公用经费里的专项材料费</w:t>
      </w:r>
      <w:r>
        <w:rPr>
          <w:rFonts w:hint="eastAsia" w:ascii="仿宋" w:hAnsi="仿宋" w:eastAsia="仿宋" w:cs="仿宋"/>
          <w:sz w:val="32"/>
          <w:szCs w:val="32"/>
        </w:rPr>
        <w:t>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。项目支</w:t>
      </w:r>
      <w:r>
        <w:rPr>
          <w:rFonts w:hint="eastAsia" w:ascii="宋体" w:hAnsi="宋体" w:cs="宋体"/>
          <w:sz w:val="32"/>
          <w:szCs w:val="24"/>
          <w:lang w:eastAsia="zh-CN"/>
        </w:rPr>
        <w:t>出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60.63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eastAsia="宋体" w:cs="宋体"/>
          <w:color w:val="auto"/>
          <w:sz w:val="32"/>
          <w:szCs w:val="24"/>
          <w:lang w:val="en-US" w:eastAsia="zh-CN"/>
        </w:rPr>
        <w:t>3.37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eastAsia="宋体" w:cs="宋体"/>
          <w:color w:val="auto"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年基药补助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支出及公卫支出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145.76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增加</w:t>
      </w:r>
      <w:r>
        <w:rPr>
          <w:rFonts w:hint="eastAsia" w:ascii="宋体" w:hAnsi="宋体" w:eastAsia="宋体" w:cs="宋体"/>
          <w:color w:val="auto"/>
          <w:sz w:val="32"/>
          <w:szCs w:val="24"/>
          <w:lang w:val="en-US" w:eastAsia="zh-CN"/>
        </w:rPr>
        <w:t>30.51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20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增加新进了人员</w:t>
      </w:r>
      <w:r>
        <w:rPr>
          <w:rFonts w:hint="eastAsia" w:ascii="宋体" w:hAnsi="宋体" w:cs="宋体"/>
          <w:sz w:val="32"/>
          <w:szCs w:val="24"/>
        </w:rPr>
        <w:t>；公用经费完成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54.6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4.2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eastAsia="宋体" w:cs="宋体"/>
          <w:color w:val="auto"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sz w:val="32"/>
          <w:szCs w:val="24"/>
        </w:rPr>
        <w:t>%，变化的主要原因：20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24</w:t>
      </w:r>
      <w:r>
        <w:rPr>
          <w:rFonts w:hint="eastAsia" w:ascii="宋体" w:hAnsi="宋体" w:cs="宋体"/>
          <w:sz w:val="32"/>
          <w:szCs w:val="24"/>
        </w:rPr>
        <w:t>年</w:t>
      </w:r>
      <w:r>
        <w:rPr>
          <w:rFonts w:hint="eastAsia" w:ascii="宋体" w:hAnsi="宋体" w:cs="宋体"/>
          <w:sz w:val="32"/>
          <w:szCs w:val="24"/>
          <w:lang w:eastAsia="zh-CN"/>
        </w:rPr>
        <w:t>专项材料支出</w:t>
      </w:r>
      <w:r>
        <w:rPr>
          <w:rFonts w:hint="eastAsia" w:ascii="宋体" w:hAnsi="宋体" w:cs="宋体"/>
          <w:color w:val="auto"/>
          <w:sz w:val="32"/>
          <w:szCs w:val="24"/>
          <w:lang w:val="en-US" w:eastAsia="zh-CN"/>
        </w:rPr>
        <w:t>减少</w:t>
      </w:r>
      <w:r>
        <w:rPr>
          <w:rFonts w:hint="eastAsia" w:ascii="宋体" w:hAnsi="宋体" w:cs="宋体"/>
          <w:sz w:val="32"/>
          <w:szCs w:val="24"/>
          <w:lang w:eastAsia="zh-CN"/>
        </w:rPr>
        <w:t>。</w:t>
      </w:r>
    </w:p>
    <w:p w14:paraId="16BB0939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5DE9495E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预算编制不够明确和细化，资金使用效益有待进一步提高，绩效目标设立要进一步明确、细化和量化。</w:t>
      </w:r>
    </w:p>
    <w:p w14:paraId="0FBB0B89"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1FF7FF3F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宋体" w:hAnsi="宋体" w:cs="宋体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 w14:paraId="0E992939"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</w:p>
    <w:p w14:paraId="2850C15F"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 w14:paraId="66431E26">
      <w:pPr>
        <w:numPr>
          <w:ilvl w:val="0"/>
          <w:numId w:val="0"/>
        </w:numPr>
        <w:spacing w:line="600" w:lineRule="exact"/>
        <w:ind w:leftChars="200"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 w14:paraId="279465BB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</w:p>
    <w:p w14:paraId="2243446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D645531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3F48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CF94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8E1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0E0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645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946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02B49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28DF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B75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5F4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62A8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355BD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181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F082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4B6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5080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4704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3FDF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4DF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6D0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EAD5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48C42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48B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871B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163.12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8566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200.40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46692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200.36</w:t>
            </w:r>
          </w:p>
        </w:tc>
      </w:tr>
      <w:tr w14:paraId="1B9EF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F43C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16AC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36.01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253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54.60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86AAD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54.60</w:t>
            </w:r>
          </w:p>
        </w:tc>
      </w:tr>
      <w:tr w14:paraId="2916E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36E6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DA3D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1.62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2A5E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60D2C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1.31</w:t>
            </w:r>
          </w:p>
        </w:tc>
      </w:tr>
      <w:tr w14:paraId="468D2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B29C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BC82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9804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5.47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D6E5F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5.47</w:t>
            </w:r>
          </w:p>
        </w:tc>
      </w:tr>
      <w:tr w14:paraId="0B95D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2EF9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D8B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542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89F0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 w14:paraId="46B72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309B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6B6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556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D58B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88C6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1C6F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413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03D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9D36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9361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8CB9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6CE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036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BA2B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1C7A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88C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06D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7B9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9F48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D57E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373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80E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C83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20F3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71C14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EA6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8D1B3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E33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4435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C160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B284E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98B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548C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60.63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C31DE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60.63</w:t>
            </w:r>
          </w:p>
        </w:tc>
      </w:tr>
      <w:tr w14:paraId="1624B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6D1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9BA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A9D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C125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52C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B0F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A2D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887E9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60.63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B1C3F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60.63</w:t>
            </w:r>
          </w:p>
        </w:tc>
      </w:tr>
      <w:tr w14:paraId="6E7E2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251D3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6B4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1F6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854F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</w:rPr>
              <w:t>　</w:t>
            </w:r>
          </w:p>
        </w:tc>
      </w:tr>
      <w:tr w14:paraId="1D22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BF5D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AEA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3A90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7.0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AFF45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7.0</w:t>
            </w:r>
          </w:p>
        </w:tc>
      </w:tr>
      <w:tr w14:paraId="3B5CC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FAC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4A6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431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50F8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239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2DA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FD8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85B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272D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3272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BA3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4F0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AB6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84E0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1C94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363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4E5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351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85FA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46C1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2B2F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4D28A3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057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3680CD3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CF9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F7F1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9650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E56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6557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5FB34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CAAA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6C7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B3A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9A16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19E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833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EF53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59EE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A5A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D92B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0F99D3F1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834AED4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78DA2A56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1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朱金萍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15367526927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蒋崇国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68CC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15C77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06A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D8A3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双牌县麻江镇卫生院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1B2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0AC6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091DDF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683BA5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66B9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DFB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AB9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677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F3A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4D6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E3D2D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EBA1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0F4B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01B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59FA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261.04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29A7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261.02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D606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261.00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C3C3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F3E4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36561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421C0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78FBD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AF18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261.00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ECED9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261.00</w:t>
            </w:r>
          </w:p>
        </w:tc>
      </w:tr>
      <w:tr w14:paraId="0FA75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58E4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2B80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202.60 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FDA0F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200.36</w:t>
            </w:r>
          </w:p>
        </w:tc>
      </w:tr>
      <w:tr w14:paraId="574D2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7E5C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D7962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DCED38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60.63</w:t>
            </w:r>
          </w:p>
        </w:tc>
      </w:tr>
      <w:tr w14:paraId="6E701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ED3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F838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EA9D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255A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CAE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94994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07B25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3804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CE2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CF5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1A96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306AA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7A9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2B0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261.00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F69A3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261.00</w:t>
            </w:r>
          </w:p>
        </w:tc>
      </w:tr>
      <w:tr w14:paraId="3BFC3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1B1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65A1F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F55CC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67609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4CD224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861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DC2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6B1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4692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F36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C00A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7AC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3E33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384AA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EBE2B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9623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7AED06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2EF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298763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174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9A8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FB4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66A3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4C56B"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9E02F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8C9A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C08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07DE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9B0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7263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B51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F40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763D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B73F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72BDF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A4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7DE2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AE6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717F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A23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B02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505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806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E3BF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C37F08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6C41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294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6D5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881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7B2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05B8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ABB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8BB2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3AB2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15F236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2956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FB0A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631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2FA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76A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4015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967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DB1E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A98D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9CED80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FD8F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86C6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614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9B134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014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B0AFD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FF1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A108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9B6F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E55E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77BA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6EF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FA8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6F6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27F257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5E89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502C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194D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5B67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EC5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73B8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965B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66C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F08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41B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DEB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241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09A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196C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9DE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CE5F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DDB9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B207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78A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460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EA2C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E680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2B1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E57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2F8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32812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6EF1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890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89C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789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424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CCA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9F6D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998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AF2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F532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02F6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2E4C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4C90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E78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036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AFB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E55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249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54E0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D2A1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DF22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69B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E5C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BA9A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0A3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0EF1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0A7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FC6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225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17ED7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09A9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0DE3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3E9C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3DD24F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4D3B84A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46D8B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A48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168575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665C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83F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63B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8CFC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EE5F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0F8C8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C05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0EBB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3C2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446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337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61E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491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7BB1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37A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0972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7C96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854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432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EBE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F6D3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6CE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E59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18E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8B07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510D8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39A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5583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313F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EB6B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38AD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270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919B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6AD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138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A21E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5AD3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DE49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1D4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414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A0E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BFF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C172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1426F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24D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CC91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21AA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223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63E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C8D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FB7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A6A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BD1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73B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AFF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05BB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866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A2E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D9DD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7FC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C93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A6D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360B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9C392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0984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FC5C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9592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724B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9FFE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A466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66903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1FAB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CCFC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256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E459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500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4E3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89A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A405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7D98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C40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C23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CD4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79D1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3EF8A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A6A6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440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1B9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A898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960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BC2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6395E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6DC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CD74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13A1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D2E4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507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BD8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258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A82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70E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D6D6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D20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BE3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1922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ED3D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AFF9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46BE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A1A1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970A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5C4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EDF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09D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3B8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269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C65BA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088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DDB2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6E5B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943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79A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1FF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C58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F744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0163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DCE0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C4F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F57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028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F29A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5C34B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麻江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B9BA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EF0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88C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9884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2069F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5D9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33C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896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864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5B3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9006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D6F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1307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000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ECD7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117F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E5B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EB6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310F5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8E1C8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D37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朱金萍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15367526927</w:t>
      </w:r>
      <w:r>
        <w:rPr>
          <w:rFonts w:hint="eastAsia" w:eastAsia="仿宋_GB2312"/>
          <w:sz w:val="22"/>
          <w:szCs w:val="24"/>
        </w:rPr>
        <w:t xml:space="preserve"> </w:t>
      </w:r>
    </w:p>
    <w:p w14:paraId="0D9B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eastAsia="zh-CN"/>
        </w:rPr>
        <w:t>蒋崇国</w:t>
      </w:r>
    </w:p>
    <w:p w14:paraId="5F38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2DB7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55DF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4231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7492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6332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1CEF6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7F7F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5DCB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52A8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0AE5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4A95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1A5E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0FA4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0D919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3CF32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 w14:paraId="472F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BAA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2D809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735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18B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1F9C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21"/>
                <w:szCs w:val="21"/>
                <w:lang w:val="en-US" w:eastAsia="zh-CN"/>
              </w:rPr>
              <w:t>基本公共卫生服务、国家基本药物制度补助</w:t>
            </w:r>
          </w:p>
        </w:tc>
      </w:tr>
      <w:tr w14:paraId="543B0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CCCF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924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C4DE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60.63万元</w:t>
            </w:r>
          </w:p>
        </w:tc>
      </w:tr>
      <w:tr w14:paraId="38985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1CBC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4C8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B38F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双牌县卫生健康局</w:t>
            </w:r>
          </w:p>
        </w:tc>
      </w:tr>
      <w:tr w14:paraId="53F54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7DEB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922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34E6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21"/>
                <w:szCs w:val="21"/>
                <w:lang w:val="en-US" w:eastAsia="zh-CN"/>
              </w:rPr>
              <w:t>推进国家基本公共卫生服务，药物药品零差价销售率。</w:t>
            </w:r>
          </w:p>
        </w:tc>
      </w:tr>
      <w:tr w14:paraId="5AED9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A77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9B5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D6B7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2024年基本公共卫生服务支出53.63万元，国家基本药物制度补助7万元</w:t>
            </w:r>
          </w:p>
        </w:tc>
      </w:tr>
      <w:tr w14:paraId="37FD0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9DEA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937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370D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18769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 w14:paraId="30DE4A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2C8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C72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D05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AC99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4CEE2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 w14:paraId="331605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B1F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251F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DEB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4B4C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 w14:paraId="25439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3347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A63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4C2F8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7672D2B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5C123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53F31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3F28C9E8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朱金萍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15367526927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0A9881B3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2E8FF7BA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15054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023BE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21C84D3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2EE5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双牌县麻江镇卫生院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52B0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B26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088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A1D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F66E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双牌县麻江镇卫生院</w:t>
            </w:r>
          </w:p>
        </w:tc>
      </w:tr>
      <w:tr w14:paraId="32C96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630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7F3A04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DE5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F36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1E5E18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717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95445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B0E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3E813A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A2A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62A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8F76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2C50D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053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F73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ECD4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60.63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4B41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60.63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52CE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60.63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8AB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2A88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DAE5F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5461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18A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AC2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8CB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5E5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F5B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16B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BAB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229E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EC88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740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F972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2581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D65D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39F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114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8D8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99DE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DA92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572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8A36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D30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67E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9E5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32D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786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2582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36B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4C2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E38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33D1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37E58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295F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133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60.63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BACE2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60.63</w:t>
            </w:r>
          </w:p>
        </w:tc>
      </w:tr>
      <w:tr w14:paraId="54B10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E89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5FD391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5CCC1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4CB2DF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0A7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FF0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656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DE8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1AC9109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245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63322E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50B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0BCA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33EF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01CC79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6326AA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016C1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87E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704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6E2B68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A80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067791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6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73581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53.36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AE71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53.36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F560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CEA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65EFB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78C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27F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6729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63C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477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777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7E4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460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201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93FA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EF11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06F2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4F8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392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7158FE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6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39068">
            <w:pPr>
              <w:spacing w:beforeLines="0" w:afterLines="0"/>
              <w:jc w:val="left"/>
              <w:rPr>
                <w:rFonts w:hint="default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91A7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173E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2AE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3A96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2E00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5B1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7C9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074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1A6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227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FBC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7B0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DB4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2E50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166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DED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77C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C42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304852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4AEC3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8DCFC8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D91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CC4A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B8A35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1AD2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93F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FE3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3BD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556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536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0DCE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459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BF4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B95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B555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C87B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B42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5BD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4C7241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7DC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AC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8877C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7ADE6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F8E8E5"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35FC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5F081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6385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DBA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6A4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571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DE2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2AB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645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9B16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E9CC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4405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547D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C38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3E1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F34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443BD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16ACD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D1C0C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780A3"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3D288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9ADC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94B5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880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644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E81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37FA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BBF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F8A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3DF68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BDE3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593F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43BE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883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192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0B6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D1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AC2DC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EC8E60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80D8D"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665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C6AB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9C37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52F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D27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9E5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CABB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261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E6B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0E59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8190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4210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1A41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C06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A0D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2D8917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31F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0A486B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9A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2E3E1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3DE23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7A460"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346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E942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FA70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0EE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92C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E58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901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FBB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7EC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FF40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BD13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9E19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72EC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726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D58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77D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27F769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A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212C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C14C4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B2BEE"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2FD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CB07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B4C3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E4B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20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62F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3CE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A93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7E3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67B9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8A889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1DDA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51C5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FD1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A17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063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5772D0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00B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FEBA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A575AE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CAC29">
            <w:pPr>
              <w:spacing w:beforeLines="0" w:afterLines="0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AA05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F59F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B62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F6F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464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036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FE9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6518A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58D9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31F6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820363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3811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2650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F3C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846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5FF54B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0751CB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ADA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68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139F1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麻江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A29C7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麻江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4A2AC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8961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E3F7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0EE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5C10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36C6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D07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5F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F070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59E5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9232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442EF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AC69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3E34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7CE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902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0B42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9C8B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73F8C65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F6ADF0B">
      <w:pPr>
        <w:spacing w:beforeLines="0" w:afterLines="0"/>
        <w:jc w:val="left"/>
        <w:rPr>
          <w:rFonts w:hint="eastAsia" w:eastAsiaTheme="minorEastAsia"/>
          <w:sz w:val="21"/>
          <w:szCs w:val="21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填表人：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朱金萍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2025.6.18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15367526927单位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负责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蒋崇国</w:t>
      </w:r>
    </w:p>
    <w:p w14:paraId="164E30D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1C38193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368447E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麻江镇卫生院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762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F750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48F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4ED3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04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5E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5C2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658E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ED6C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3AB6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蒋崇国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7CF3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院长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8589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D6C74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17346985237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BE3B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30E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981D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7C46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朱金萍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78F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7042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4EC74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15367526927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E503A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37F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3AEE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8585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7F3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5866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F277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EF5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630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504D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3E13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F875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B8C7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EBA8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5D49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E16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A1D0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D6B9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6B6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2967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600D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31B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A4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FAED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493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B808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5DF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753B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305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6CB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5337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4B4E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BF19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0F93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7E1D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36FE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8E3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358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F76B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58CF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0424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F5D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588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75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134C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B1C0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F77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DE5C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D114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56DE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0AC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C39A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8B1B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D87D4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897E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29EE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5FE9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256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2D1C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D129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63AC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F2B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98FC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0D6F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64EEE37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4EED0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2A6DF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12A6DF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D187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93ECC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593ECC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00B89"/>
    <w:multiLevelType w:val="singleLevel"/>
    <w:tmpl w:val="02700B8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D18F0"/>
    <w:multiLevelType w:val="singleLevel"/>
    <w:tmpl w:val="092D18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48C4E1"/>
    <w:multiLevelType w:val="singleLevel"/>
    <w:tmpl w:val="1548C4E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2NWI2NWE4YTllYjcyMmFjNGRjMDc3MGMxMjEifQ=="/>
  </w:docVars>
  <w:rsids>
    <w:rsidRoot w:val="00172A27"/>
    <w:rsid w:val="003E5149"/>
    <w:rsid w:val="01302AE1"/>
    <w:rsid w:val="019C7234"/>
    <w:rsid w:val="027D1079"/>
    <w:rsid w:val="03917118"/>
    <w:rsid w:val="04685539"/>
    <w:rsid w:val="051E4594"/>
    <w:rsid w:val="05434666"/>
    <w:rsid w:val="054933A7"/>
    <w:rsid w:val="05981BA7"/>
    <w:rsid w:val="0654516C"/>
    <w:rsid w:val="068F06C2"/>
    <w:rsid w:val="092B365C"/>
    <w:rsid w:val="093518E5"/>
    <w:rsid w:val="09D749DA"/>
    <w:rsid w:val="0AF837E1"/>
    <w:rsid w:val="0CCE5073"/>
    <w:rsid w:val="0D730621"/>
    <w:rsid w:val="0F1C597A"/>
    <w:rsid w:val="0FEF3A3B"/>
    <w:rsid w:val="101F3C57"/>
    <w:rsid w:val="103E101E"/>
    <w:rsid w:val="105E064F"/>
    <w:rsid w:val="125C7FC2"/>
    <w:rsid w:val="14CB5B87"/>
    <w:rsid w:val="14E54E9B"/>
    <w:rsid w:val="14E944F6"/>
    <w:rsid w:val="154B3473"/>
    <w:rsid w:val="1563330B"/>
    <w:rsid w:val="15B02F86"/>
    <w:rsid w:val="174F2536"/>
    <w:rsid w:val="17F378CF"/>
    <w:rsid w:val="1B4268F4"/>
    <w:rsid w:val="1BCE59A7"/>
    <w:rsid w:val="1C2E35CB"/>
    <w:rsid w:val="1C6263EC"/>
    <w:rsid w:val="1C7A236C"/>
    <w:rsid w:val="1CDE1EB8"/>
    <w:rsid w:val="1D026BDB"/>
    <w:rsid w:val="1D5E5630"/>
    <w:rsid w:val="1DAC0C4B"/>
    <w:rsid w:val="1EF736F4"/>
    <w:rsid w:val="1F9C1D8C"/>
    <w:rsid w:val="20BA3D5C"/>
    <w:rsid w:val="20FE29CD"/>
    <w:rsid w:val="213827F6"/>
    <w:rsid w:val="224968DA"/>
    <w:rsid w:val="24756501"/>
    <w:rsid w:val="24DD2A62"/>
    <w:rsid w:val="2500362B"/>
    <w:rsid w:val="25221A2C"/>
    <w:rsid w:val="259471D0"/>
    <w:rsid w:val="25B92A83"/>
    <w:rsid w:val="27282EE2"/>
    <w:rsid w:val="2760298E"/>
    <w:rsid w:val="288C68DE"/>
    <w:rsid w:val="2AF82401"/>
    <w:rsid w:val="2B2F236E"/>
    <w:rsid w:val="2CB23E56"/>
    <w:rsid w:val="2CD03A5E"/>
    <w:rsid w:val="2D2F2CFF"/>
    <w:rsid w:val="2D4E6E17"/>
    <w:rsid w:val="2E0777D8"/>
    <w:rsid w:val="2E5F13C2"/>
    <w:rsid w:val="302F06F7"/>
    <w:rsid w:val="30E90748"/>
    <w:rsid w:val="315D0875"/>
    <w:rsid w:val="31EF3498"/>
    <w:rsid w:val="32371736"/>
    <w:rsid w:val="33457B5A"/>
    <w:rsid w:val="33EA0D37"/>
    <w:rsid w:val="346B1A6E"/>
    <w:rsid w:val="353F0AC4"/>
    <w:rsid w:val="35867B7C"/>
    <w:rsid w:val="35BC2F0C"/>
    <w:rsid w:val="38164407"/>
    <w:rsid w:val="382F6206"/>
    <w:rsid w:val="38ED0146"/>
    <w:rsid w:val="3AE26AD2"/>
    <w:rsid w:val="3C553E04"/>
    <w:rsid w:val="3D1F3F1D"/>
    <w:rsid w:val="3DBD697D"/>
    <w:rsid w:val="3DFB432B"/>
    <w:rsid w:val="3EF7525A"/>
    <w:rsid w:val="416C6C93"/>
    <w:rsid w:val="41A60F90"/>
    <w:rsid w:val="437042B4"/>
    <w:rsid w:val="43D25C86"/>
    <w:rsid w:val="44142D36"/>
    <w:rsid w:val="442D4230"/>
    <w:rsid w:val="44542702"/>
    <w:rsid w:val="44B725DD"/>
    <w:rsid w:val="457572C5"/>
    <w:rsid w:val="45B06FA1"/>
    <w:rsid w:val="46067393"/>
    <w:rsid w:val="46D32666"/>
    <w:rsid w:val="46F95AEB"/>
    <w:rsid w:val="47FF7E2A"/>
    <w:rsid w:val="480713C8"/>
    <w:rsid w:val="481054AA"/>
    <w:rsid w:val="4A066ACF"/>
    <w:rsid w:val="4A7E5437"/>
    <w:rsid w:val="4B490F32"/>
    <w:rsid w:val="4B564457"/>
    <w:rsid w:val="4C575977"/>
    <w:rsid w:val="4DF30F3A"/>
    <w:rsid w:val="4E8B7C40"/>
    <w:rsid w:val="4F1637A4"/>
    <w:rsid w:val="4F630E89"/>
    <w:rsid w:val="4FC017CE"/>
    <w:rsid w:val="500F1BD2"/>
    <w:rsid w:val="51C40746"/>
    <w:rsid w:val="527E62E7"/>
    <w:rsid w:val="53391617"/>
    <w:rsid w:val="543E6CC0"/>
    <w:rsid w:val="550D14E9"/>
    <w:rsid w:val="55412274"/>
    <w:rsid w:val="55C03679"/>
    <w:rsid w:val="56C1337C"/>
    <w:rsid w:val="57C446E9"/>
    <w:rsid w:val="5831588C"/>
    <w:rsid w:val="58820FB8"/>
    <w:rsid w:val="5A3D144C"/>
    <w:rsid w:val="5ABA52A9"/>
    <w:rsid w:val="5AE62BEA"/>
    <w:rsid w:val="5B5D7BA1"/>
    <w:rsid w:val="5C8E01AF"/>
    <w:rsid w:val="5CF946F9"/>
    <w:rsid w:val="5D105DFA"/>
    <w:rsid w:val="5ECC74FD"/>
    <w:rsid w:val="5F517BED"/>
    <w:rsid w:val="5FB723D3"/>
    <w:rsid w:val="60DF22ED"/>
    <w:rsid w:val="60EE302E"/>
    <w:rsid w:val="6205499D"/>
    <w:rsid w:val="62BE6D8B"/>
    <w:rsid w:val="62C25C0C"/>
    <w:rsid w:val="62C548F5"/>
    <w:rsid w:val="634A6922"/>
    <w:rsid w:val="64E02555"/>
    <w:rsid w:val="64E742EF"/>
    <w:rsid w:val="655B207A"/>
    <w:rsid w:val="67102057"/>
    <w:rsid w:val="671D4B10"/>
    <w:rsid w:val="672B24E4"/>
    <w:rsid w:val="67B850C4"/>
    <w:rsid w:val="67FA56DC"/>
    <w:rsid w:val="680320FD"/>
    <w:rsid w:val="684B0AD7"/>
    <w:rsid w:val="69614495"/>
    <w:rsid w:val="6A2A54E8"/>
    <w:rsid w:val="6A902328"/>
    <w:rsid w:val="6AD2581B"/>
    <w:rsid w:val="6BCB2CFA"/>
    <w:rsid w:val="6C0873F4"/>
    <w:rsid w:val="6C40082E"/>
    <w:rsid w:val="6C5B406F"/>
    <w:rsid w:val="6D1A2ADB"/>
    <w:rsid w:val="6D8A7447"/>
    <w:rsid w:val="6EAB5982"/>
    <w:rsid w:val="6EC52B6C"/>
    <w:rsid w:val="6FBB6813"/>
    <w:rsid w:val="70FC24C5"/>
    <w:rsid w:val="723A3EE3"/>
    <w:rsid w:val="72DC4E4C"/>
    <w:rsid w:val="74C20123"/>
    <w:rsid w:val="74ED52D5"/>
    <w:rsid w:val="75073918"/>
    <w:rsid w:val="771A18F7"/>
    <w:rsid w:val="7934795B"/>
    <w:rsid w:val="798412AA"/>
    <w:rsid w:val="7A702F9F"/>
    <w:rsid w:val="7BE51155"/>
    <w:rsid w:val="7C44527C"/>
    <w:rsid w:val="7C691FF6"/>
    <w:rsid w:val="7C703D67"/>
    <w:rsid w:val="7CA632CD"/>
    <w:rsid w:val="7CD61ED3"/>
    <w:rsid w:val="7D79528C"/>
    <w:rsid w:val="7E991F23"/>
    <w:rsid w:val="7EB5519D"/>
    <w:rsid w:val="7F0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2797</Words>
  <Characters>3320</Characters>
  <Lines>0</Lines>
  <Paragraphs>0</Paragraphs>
  <TotalTime>286</TotalTime>
  <ScaleCrop>false</ScaleCrop>
  <LinksUpToDate>false</LinksUpToDate>
  <CharactersWithSpaces>3700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小敏</cp:lastModifiedBy>
  <cp:lastPrinted>2023-09-12T06:41:00Z</cp:lastPrinted>
  <dcterms:modified xsi:type="dcterms:W3CDTF">2025-10-09T02:55:53Z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8E1B846892A8426EA646D1685E8E7ABE_13</vt:lpwstr>
  </property>
  <property fmtid="{D5CDD505-2E9C-101B-9397-08002B2CF9AE}" pid="4" name="KSOTemplateDocerSaveRecord">
    <vt:lpwstr>eyJoZGlkIjoiOTIxMjYwMmYxOGE4YmUxOTBhYzE4NDljNjA4ZjIzNDYiLCJ1c2VySWQiOiI0MzI1MzExMDcifQ==</vt:lpwstr>
  </property>
</Properties>
</file>