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C37F5">
      <w:pPr>
        <w:widowControl/>
        <w:spacing w:line="540" w:lineRule="exact"/>
        <w:jc w:val="left"/>
        <w:rPr>
          <w:rFonts w:hint="default" w:ascii="黑体" w:hAnsi="黑体" w:eastAsia="黑体" w:cs="黑体"/>
          <w:sz w:val="32"/>
          <w:szCs w:val="32"/>
        </w:rPr>
      </w:pPr>
    </w:p>
    <w:p w14:paraId="1FDB40E3">
      <w:pPr>
        <w:widowControl/>
        <w:spacing w:line="540" w:lineRule="exact"/>
        <w:jc w:val="left"/>
        <w:rPr>
          <w:rFonts w:hint="default" w:ascii="黑体" w:hAnsi="黑体" w:eastAsia="黑体" w:cs="黑体"/>
          <w:sz w:val="32"/>
          <w:szCs w:val="32"/>
        </w:rPr>
      </w:pPr>
    </w:p>
    <w:p w14:paraId="73BB4D26">
      <w:pPr>
        <w:widowControl/>
        <w:spacing w:line="540" w:lineRule="exact"/>
        <w:jc w:val="left"/>
        <w:rPr>
          <w:rFonts w:hint="default" w:ascii="黑体" w:hAnsi="黑体" w:eastAsia="黑体" w:cs="黑体"/>
          <w:sz w:val="32"/>
          <w:szCs w:val="32"/>
        </w:rPr>
      </w:pPr>
    </w:p>
    <w:p w14:paraId="1FD3F2D1">
      <w:pPr>
        <w:widowControl/>
        <w:spacing w:line="540" w:lineRule="exact"/>
        <w:jc w:val="left"/>
        <w:rPr>
          <w:rFonts w:hint="default" w:ascii="黑体" w:hAnsi="黑体" w:eastAsia="黑体" w:cs="黑体"/>
          <w:sz w:val="32"/>
          <w:szCs w:val="32"/>
        </w:rPr>
      </w:pPr>
    </w:p>
    <w:p w14:paraId="01C2978F">
      <w:pPr>
        <w:widowControl/>
        <w:spacing w:line="540" w:lineRule="exact"/>
        <w:jc w:val="left"/>
        <w:rPr>
          <w:rFonts w:hint="default" w:ascii="黑体" w:hAnsi="黑体" w:eastAsia="黑体" w:cs="黑体"/>
          <w:sz w:val="32"/>
          <w:szCs w:val="32"/>
        </w:rPr>
      </w:pPr>
    </w:p>
    <w:p w14:paraId="07632B31">
      <w:pPr>
        <w:widowControl/>
        <w:spacing w:line="540" w:lineRule="exact"/>
        <w:jc w:val="left"/>
        <w:rPr>
          <w:rFonts w:hint="default" w:ascii="仿宋_GB2312" w:hAnsi="仿宋_GB2312" w:eastAsia="仿宋_GB2312" w:cs="仿宋_GB2312"/>
          <w:sz w:val="32"/>
        </w:rPr>
      </w:pPr>
      <w:r>
        <w:rPr>
          <w:rFonts w:ascii="黑体" w:hAnsi="黑体" w:eastAsia="黑体" w:cs="黑体"/>
          <w:sz w:val="32"/>
          <w:szCs w:val="32"/>
        </w:rPr>
        <w:t>附件1</w:t>
      </w:r>
    </w:p>
    <w:p w14:paraId="2FCDD2D4">
      <w:pPr>
        <w:jc w:val="center"/>
        <w:outlineLvl w:val="1"/>
        <w:rPr>
          <w:rFonts w:hint="default" w:ascii="方正小标宋简体" w:eastAsia="方正小标宋简体"/>
          <w:sz w:val="52"/>
        </w:rPr>
      </w:pPr>
      <w:r>
        <w:rPr>
          <w:rFonts w:ascii="方正小标宋简体" w:eastAsia="方正小标宋简体"/>
          <w:sz w:val="52"/>
        </w:rPr>
        <w:t>2024年度双牌县塘底乡卫生院部门整体支出绩效自评报告</w:t>
      </w:r>
    </w:p>
    <w:p w14:paraId="34172884">
      <w:pPr>
        <w:jc w:val="center"/>
        <w:rPr>
          <w:rFonts w:hint="default" w:eastAsia="黑体"/>
          <w:sz w:val="32"/>
        </w:rPr>
      </w:pPr>
    </w:p>
    <w:p w14:paraId="4ECC60AA">
      <w:pPr>
        <w:jc w:val="center"/>
        <w:rPr>
          <w:rFonts w:hint="default" w:eastAsia="黑体"/>
          <w:sz w:val="32"/>
        </w:rPr>
      </w:pPr>
    </w:p>
    <w:p w14:paraId="685F8D89">
      <w:pPr>
        <w:jc w:val="center"/>
        <w:rPr>
          <w:rFonts w:hint="default" w:eastAsia="黑体"/>
          <w:sz w:val="32"/>
        </w:rPr>
      </w:pPr>
    </w:p>
    <w:p w14:paraId="2F6C2F31">
      <w:pPr>
        <w:rPr>
          <w:rFonts w:hint="default" w:eastAsia="黑体"/>
          <w:sz w:val="32"/>
        </w:rPr>
      </w:pPr>
    </w:p>
    <w:p w14:paraId="7287A9A3">
      <w:pPr>
        <w:jc w:val="center"/>
        <w:rPr>
          <w:rFonts w:hint="default" w:eastAsia="黑体"/>
          <w:sz w:val="32"/>
        </w:rPr>
      </w:pPr>
    </w:p>
    <w:p w14:paraId="55FD6C2F">
      <w:pPr>
        <w:jc w:val="center"/>
        <w:rPr>
          <w:rFonts w:hint="default" w:eastAsia="黑体"/>
          <w:sz w:val="32"/>
        </w:rPr>
      </w:pPr>
    </w:p>
    <w:p w14:paraId="7127AAC9">
      <w:pPr>
        <w:jc w:val="center"/>
        <w:rPr>
          <w:rFonts w:hint="default" w:eastAsia="黑体"/>
          <w:sz w:val="32"/>
        </w:rPr>
      </w:pPr>
    </w:p>
    <w:p w14:paraId="545BBA76">
      <w:pPr>
        <w:spacing w:line="600" w:lineRule="exact"/>
        <w:jc w:val="center"/>
        <w:rPr>
          <w:rFonts w:hint="default" w:eastAsia="仿宋_GB2312"/>
          <w:sz w:val="32"/>
          <w:u w:val="single"/>
        </w:rPr>
      </w:pPr>
      <w:r>
        <w:rPr>
          <w:rFonts w:eastAsia="仿宋_GB2312"/>
          <w:sz w:val="32"/>
        </w:rPr>
        <w:t>单位名称（盖章）：</w:t>
      </w:r>
      <w:r>
        <w:rPr>
          <w:rFonts w:eastAsia="仿宋_GB2312"/>
          <w:sz w:val="32"/>
          <w:u w:val="single"/>
        </w:rPr>
        <w:t>双牌县塘底乡卫生院</w:t>
      </w:r>
    </w:p>
    <w:p w14:paraId="3AB410B2">
      <w:pPr>
        <w:spacing w:line="600" w:lineRule="exact"/>
        <w:ind w:firstLine="3200" w:firstLineChars="1000"/>
        <w:rPr>
          <w:rFonts w:hint="default" w:eastAsia="楷体_GB2312"/>
          <w:sz w:val="32"/>
        </w:rPr>
      </w:pPr>
    </w:p>
    <w:p w14:paraId="4B6D64C9">
      <w:pPr>
        <w:spacing w:line="600" w:lineRule="exact"/>
        <w:ind w:firstLine="3200" w:firstLineChars="1000"/>
        <w:rPr>
          <w:rFonts w:hint="default" w:eastAsia="楷体_GB2312"/>
          <w:sz w:val="32"/>
        </w:rPr>
      </w:pPr>
      <w:r>
        <w:rPr>
          <w:rFonts w:eastAsia="楷体_GB2312"/>
          <w:sz w:val="32"/>
        </w:rPr>
        <w:t>2025年7月19日</w:t>
      </w:r>
    </w:p>
    <w:p w14:paraId="417B4002">
      <w:pPr>
        <w:jc w:val="center"/>
        <w:rPr>
          <w:rFonts w:hint="default" w:eastAsia="黑体"/>
          <w:sz w:val="32"/>
        </w:rPr>
      </w:pPr>
    </w:p>
    <w:p w14:paraId="4FF132E0">
      <w:pPr>
        <w:jc w:val="center"/>
        <w:outlineLvl w:val="0"/>
        <w:rPr>
          <w:rFonts w:hint="default" w:eastAsia="仿宋_GB2312"/>
          <w:sz w:val="32"/>
        </w:rPr>
      </w:pPr>
      <w:r>
        <w:rPr>
          <w:rFonts w:eastAsia="仿宋_GB2312"/>
          <w:sz w:val="32"/>
        </w:rPr>
        <w:t>（此页为封面）</w:t>
      </w:r>
    </w:p>
    <w:p w14:paraId="247AFE03">
      <w:pPr>
        <w:numPr>
          <w:ilvl w:val="0"/>
          <w:numId w:val="1"/>
        </w:numPr>
        <w:spacing w:line="570" w:lineRule="exact"/>
        <w:outlineLvl w:val="0"/>
        <w:rPr>
          <w:rFonts w:hint="default" w:eastAsia="黑体"/>
          <w:sz w:val="32"/>
        </w:rPr>
      </w:pPr>
      <w:r>
        <w:rPr>
          <w:rFonts w:hint="default" w:eastAsia="仿宋_GB2312"/>
          <w:sz w:val="32"/>
        </w:rPr>
        <w:br w:type="page"/>
      </w:r>
      <w:r>
        <w:rPr>
          <w:rFonts w:eastAsia="黑体"/>
          <w:sz w:val="32"/>
        </w:rPr>
        <w:t>部门（单位）基本情况</w:t>
      </w:r>
    </w:p>
    <w:p w14:paraId="0F4B2DFD">
      <w:pPr>
        <w:numPr>
          <w:ilvl w:val="0"/>
          <w:numId w:val="2"/>
        </w:numPr>
        <w:spacing w:line="600" w:lineRule="exact"/>
        <w:ind w:firstLine="640" w:firstLineChars="200"/>
        <w:rPr>
          <w:rFonts w:hint="default"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部门（单位）基本情况</w:t>
      </w:r>
    </w:p>
    <w:p w14:paraId="47837330">
      <w:pPr>
        <w:widowControl/>
        <w:spacing w:line="600" w:lineRule="atLeast"/>
        <w:ind w:firstLine="600"/>
        <w:jc w:val="left"/>
        <w:rPr>
          <w:rFonts w:hint="default"/>
        </w:rPr>
      </w:pPr>
      <w:r>
        <w:rPr>
          <w:rFonts w:ascii="宋体" w:hAnsi="宋体"/>
          <w:bCs/>
          <w:kern w:val="0"/>
          <w:sz w:val="30"/>
          <w:szCs w:val="30"/>
        </w:rPr>
        <w:t>根据县编委（双编发[2020]25号）核定，双牌县塘底乡卫生院是国家公益一类事业单位，主要承担塘底乡范围内人民群众的医疗卫生服务。202</w:t>
      </w:r>
      <w:r>
        <w:rPr>
          <w:rFonts w:asciiTheme="minorEastAsia" w:hAnsiTheme="minorEastAsia" w:eastAsiaTheme="minorEastAsia"/>
          <w:bCs/>
          <w:kern w:val="0"/>
          <w:sz w:val="30"/>
          <w:szCs w:val="30"/>
        </w:rPr>
        <w:t>4</w:t>
      </w:r>
      <w:r>
        <w:rPr>
          <w:rFonts w:ascii="宋体" w:hAnsi="宋体"/>
          <w:bCs/>
          <w:kern w:val="0"/>
          <w:sz w:val="30"/>
          <w:szCs w:val="30"/>
        </w:rPr>
        <w:t>年本单位年初编制人数11人</w:t>
      </w:r>
      <w:r>
        <w:rPr>
          <w:rFonts w:ascii="宋体" w:hAnsi="宋体"/>
          <w:bCs/>
          <w:kern w:val="0"/>
          <w:sz w:val="36"/>
          <w:szCs w:val="36"/>
        </w:rPr>
        <w:t>，</w:t>
      </w:r>
      <w:r>
        <w:rPr>
          <w:rFonts w:ascii="宋体" w:hAnsi="宋体" w:eastAsia="宋体" w:cs="宋体"/>
          <w:kern w:val="0"/>
          <w:sz w:val="30"/>
          <w:szCs w:val="30"/>
        </w:rPr>
        <w:t>年末实有编制数11人，</w:t>
      </w:r>
      <w:r>
        <w:rPr>
          <w:rFonts w:ascii="宋体" w:hAnsi="宋体"/>
          <w:bCs/>
          <w:kern w:val="0"/>
          <w:sz w:val="30"/>
          <w:szCs w:val="30"/>
        </w:rPr>
        <w:t>全部纳入</w:t>
      </w:r>
      <w:r>
        <w:rPr>
          <w:rFonts w:ascii="宋体" w:hAnsi="宋体" w:eastAsia="宋体"/>
          <w:bCs/>
          <w:kern w:val="0"/>
          <w:sz w:val="30"/>
          <w:szCs w:val="30"/>
        </w:rPr>
        <w:t>2024</w:t>
      </w:r>
      <w:r>
        <w:rPr>
          <w:rFonts w:ascii="宋体" w:hAnsi="宋体"/>
          <w:bCs/>
          <w:kern w:val="0"/>
          <w:sz w:val="30"/>
          <w:szCs w:val="30"/>
        </w:rPr>
        <w:t>年部门决算编制范围。</w:t>
      </w:r>
    </w:p>
    <w:p w14:paraId="148CCB69">
      <w:pPr>
        <w:widowControl/>
        <w:spacing w:line="600" w:lineRule="atLeast"/>
        <w:ind w:firstLine="600"/>
        <w:jc w:val="left"/>
        <w:rPr>
          <w:rFonts w:hint="default" w:ascii="宋体" w:hAnsi="宋体" w:cs="宋体"/>
          <w:kern w:val="0"/>
          <w:sz w:val="30"/>
          <w:szCs w:val="30"/>
        </w:rPr>
      </w:pPr>
      <w:r>
        <w:rPr>
          <w:rFonts w:ascii="楷体_GB2312" w:hAnsi="楷体_GB2312" w:eastAsia="楷体_GB2312"/>
          <w:sz w:val="32"/>
          <w:szCs w:val="32"/>
        </w:rPr>
        <w:t>（二）部门（单位）年度整体支出绩效目标，项目支出绩效目标</w:t>
      </w:r>
      <w:r>
        <w:rPr>
          <w:rFonts w:ascii="宋体" w:hAnsi="宋体" w:cs="宋体"/>
          <w:kern w:val="0"/>
          <w:sz w:val="30"/>
          <w:szCs w:val="30"/>
        </w:rPr>
        <w:t>　</w:t>
      </w:r>
    </w:p>
    <w:p w14:paraId="3A9EE39A">
      <w:pPr>
        <w:widowControl/>
        <w:spacing w:line="600" w:lineRule="atLeast"/>
        <w:ind w:firstLine="600"/>
        <w:jc w:val="left"/>
        <w:rPr>
          <w:rFonts w:hint="default" w:ascii="宋体" w:hAnsi="宋体" w:cs="宋体"/>
          <w:kern w:val="0"/>
          <w:sz w:val="30"/>
          <w:szCs w:val="30"/>
        </w:rPr>
      </w:pPr>
      <w:r>
        <w:rPr>
          <w:rFonts w:ascii="宋体" w:hAnsi="宋体" w:cs="宋体"/>
          <w:kern w:val="0"/>
          <w:sz w:val="30"/>
          <w:szCs w:val="30"/>
        </w:rPr>
        <w:t>根据预算绩效管理要求，我单位组织对</w:t>
      </w:r>
      <w:r>
        <w:rPr>
          <w:rFonts w:ascii="宋体" w:hAnsi="宋体" w:eastAsia="宋体" w:cs="宋体"/>
          <w:kern w:val="0"/>
          <w:sz w:val="30"/>
          <w:szCs w:val="30"/>
        </w:rPr>
        <w:t>2024</w:t>
      </w:r>
      <w:r>
        <w:rPr>
          <w:rFonts w:ascii="宋体" w:hAnsi="宋体" w:cs="宋体"/>
          <w:kern w:val="0"/>
          <w:sz w:val="30"/>
          <w:szCs w:val="30"/>
        </w:rPr>
        <w:t>年度部门整体支出和专项资金实施了全覆盖性的绩效评价，撰写了整体支出绩效评价报告和项目支出绩效评价报告。一般公共预算财政拨款收入决算数</w:t>
      </w:r>
      <w:r>
        <w:rPr>
          <w:rFonts w:ascii="宋体" w:hAnsi="宋体" w:eastAsia="宋体" w:cs="宋体"/>
          <w:kern w:val="0"/>
          <w:sz w:val="30"/>
          <w:szCs w:val="30"/>
        </w:rPr>
        <w:t>132.19</w:t>
      </w:r>
      <w:r>
        <w:rPr>
          <w:rFonts w:ascii="宋体" w:hAnsi="宋体" w:cs="宋体"/>
          <w:kern w:val="0"/>
          <w:sz w:val="30"/>
          <w:szCs w:val="30"/>
        </w:rPr>
        <w:t>万元，其中涉及项目2个，涉及一般公共预算当年财政项目拨款</w:t>
      </w:r>
      <w:r>
        <w:rPr>
          <w:rFonts w:ascii="宋体" w:hAnsi="宋体" w:eastAsia="宋体" w:cs="宋体"/>
          <w:kern w:val="0"/>
          <w:sz w:val="30"/>
          <w:szCs w:val="30"/>
        </w:rPr>
        <w:t>44.82</w:t>
      </w:r>
      <w:r>
        <w:rPr>
          <w:rFonts w:ascii="宋体" w:hAnsi="宋体" w:cs="宋体"/>
          <w:kern w:val="0"/>
          <w:sz w:val="30"/>
          <w:szCs w:val="30"/>
        </w:rPr>
        <w:t>万元，自评覆盖率达到100%。绩效自评结果显示，上述项目支出绩效情况较为理想，均达到了项目申请时设定的各项绩效目标。</w:t>
      </w:r>
    </w:p>
    <w:p w14:paraId="52FA6E55">
      <w:pPr>
        <w:pStyle w:val="10"/>
        <w:spacing w:line="570" w:lineRule="exact"/>
        <w:ind w:firstLine="640"/>
        <w:outlineLvl w:val="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二、一般公共预算支出情况</w:t>
      </w:r>
    </w:p>
    <w:p w14:paraId="2BF3EA0D">
      <w:pPr>
        <w:pStyle w:val="10"/>
        <w:spacing w:line="570" w:lineRule="exact"/>
        <w:ind w:firstLine="640"/>
        <w:outlineLvl w:val="1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（一）基本支出情况</w:t>
      </w:r>
    </w:p>
    <w:p w14:paraId="319C042C">
      <w:pPr>
        <w:widowControl/>
        <w:spacing w:line="600" w:lineRule="atLeast"/>
        <w:ind w:firstLine="600"/>
        <w:jc w:val="left"/>
        <w:rPr>
          <w:rFonts w:hint="default" w:eastAsia="仿宋_GB2312"/>
          <w:sz w:val="32"/>
        </w:rPr>
      </w:pPr>
      <w:r>
        <w:rPr>
          <w:rFonts w:ascii="宋体" w:hAnsi="宋体" w:cs="宋体"/>
          <w:kern w:val="0"/>
          <w:sz w:val="30"/>
          <w:szCs w:val="30"/>
        </w:rPr>
        <w:t>基本支出：</w:t>
      </w:r>
      <w:r>
        <w:rPr>
          <w:rFonts w:cs="宋体" w:asciiTheme="minorEastAsia" w:hAnsiTheme="minorEastAsia" w:eastAsiaTheme="minorEastAsia"/>
          <w:kern w:val="0"/>
          <w:sz w:val="30"/>
          <w:szCs w:val="30"/>
        </w:rPr>
        <w:t>132.19</w:t>
      </w:r>
      <w:r>
        <w:rPr>
          <w:rFonts w:ascii="宋体" w:hAnsi="宋体" w:cs="宋体"/>
          <w:kern w:val="0"/>
          <w:sz w:val="30"/>
          <w:szCs w:val="30"/>
        </w:rPr>
        <w:t>万元，占总支出的比重为</w:t>
      </w:r>
      <w:r>
        <w:rPr>
          <w:rFonts w:ascii="宋体" w:hAnsi="宋体" w:eastAsia="宋体" w:cs="宋体"/>
          <w:kern w:val="0"/>
          <w:sz w:val="30"/>
          <w:szCs w:val="30"/>
        </w:rPr>
        <w:t>100</w:t>
      </w:r>
      <w:r>
        <w:rPr>
          <w:rFonts w:ascii="宋体" w:hAnsi="宋体" w:cs="宋体"/>
          <w:kern w:val="0"/>
          <w:sz w:val="30"/>
          <w:szCs w:val="30"/>
        </w:rPr>
        <w:t xml:space="preserve"> %。一般公共预算财政拨款基本支出中人员经费</w:t>
      </w:r>
      <w:r>
        <w:rPr>
          <w:rFonts w:cs="宋体" w:asciiTheme="minorEastAsia" w:hAnsiTheme="minorEastAsia" w:eastAsiaTheme="minorEastAsia"/>
          <w:kern w:val="0"/>
          <w:sz w:val="30"/>
          <w:szCs w:val="30"/>
        </w:rPr>
        <w:t>132.19</w:t>
      </w:r>
      <w:r>
        <w:rPr>
          <w:rFonts w:ascii="宋体" w:hAnsi="宋体" w:cs="宋体"/>
          <w:kern w:val="0"/>
          <w:sz w:val="30"/>
          <w:szCs w:val="30"/>
        </w:rPr>
        <w:t>万元，主要包括：基本工资、津贴补贴、奖金、社会保障缴费、其他工资福利支出、离休费、退休费、抚恤金、奖励金、住房公积金、其他对个人和家庭的补助支出；一般公共预算财政拨款基本支出中公用经费0万元，主要包括：办公费、印刷费、邮电费、差旅费、维修（护）费、会议费、培训费、公务接待费、劳务费、工会经费、福利费、专用材料费等。</w:t>
      </w:r>
    </w:p>
    <w:p w14:paraId="0A418DB7">
      <w:pPr>
        <w:widowControl/>
        <w:spacing w:line="600" w:lineRule="atLeast"/>
        <w:ind w:firstLine="600"/>
        <w:jc w:val="left"/>
        <w:rPr>
          <w:rFonts w:hint="default"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（二）项目支出情况</w:t>
      </w:r>
    </w:p>
    <w:p w14:paraId="7A67D61B">
      <w:pPr>
        <w:pStyle w:val="10"/>
        <w:spacing w:line="600" w:lineRule="exact"/>
        <w:ind w:firstLine="6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项目支出：</w:t>
      </w:r>
      <w:r>
        <w:rPr>
          <w:rFonts w:hint="eastAsia" w:cs="宋体" w:asciiTheme="minorEastAsia" w:hAnsiTheme="minorEastAsia" w:eastAsiaTheme="minorEastAsia"/>
          <w:sz w:val="30"/>
          <w:szCs w:val="30"/>
        </w:rPr>
        <w:t>44.82</w:t>
      </w:r>
      <w:r>
        <w:rPr>
          <w:rFonts w:hint="eastAsia" w:ascii="宋体" w:hAnsi="宋体" w:cs="宋体"/>
          <w:sz w:val="30"/>
          <w:szCs w:val="30"/>
        </w:rPr>
        <w:t>万元，占总支出的比重为</w:t>
      </w:r>
      <w:r>
        <w:rPr>
          <w:rFonts w:hint="eastAsia" w:cs="宋体" w:asciiTheme="minorEastAsia" w:hAnsiTheme="minorEastAsia" w:eastAsiaTheme="minorEastAsia"/>
          <w:sz w:val="30"/>
          <w:szCs w:val="30"/>
        </w:rPr>
        <w:t>100</w:t>
      </w:r>
      <w:r>
        <w:rPr>
          <w:rFonts w:hint="eastAsia" w:ascii="宋体" w:hAnsi="宋体" w:cs="宋体"/>
          <w:sz w:val="30"/>
          <w:szCs w:val="30"/>
        </w:rPr>
        <w:t>%，是指单位为完成特定行政工作任务或事业发展目标而发生的支出。</w:t>
      </w:r>
    </w:p>
    <w:p w14:paraId="0ACEFEE1">
      <w:pPr>
        <w:pStyle w:val="10"/>
        <w:numPr>
          <w:ilvl w:val="0"/>
          <w:numId w:val="1"/>
        </w:numPr>
        <w:spacing w:line="570" w:lineRule="exact"/>
        <w:ind w:firstLineChars="0"/>
        <w:jc w:val="left"/>
        <w:outlineLvl w:val="0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黑体"/>
          <w:sz w:val="32"/>
        </w:rPr>
        <w:t>政府性基金预算支出情况。</w:t>
      </w:r>
    </w:p>
    <w:p w14:paraId="6EFE5473">
      <w:pPr>
        <w:pStyle w:val="10"/>
        <w:spacing w:line="570" w:lineRule="exact"/>
        <w:ind w:left="640" w:firstLine="640"/>
        <w:jc w:val="left"/>
        <w:outlineLvl w:val="0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无。</w:t>
      </w:r>
    </w:p>
    <w:p w14:paraId="64259A9F">
      <w:pPr>
        <w:pStyle w:val="10"/>
        <w:numPr>
          <w:ilvl w:val="0"/>
          <w:numId w:val="1"/>
        </w:numPr>
        <w:spacing w:line="570" w:lineRule="exact"/>
        <w:ind w:firstLineChars="0"/>
        <w:jc w:val="left"/>
        <w:outlineLvl w:val="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四、国有资本经营预算支出情况。</w:t>
      </w:r>
    </w:p>
    <w:p w14:paraId="5542B659">
      <w:pPr>
        <w:pStyle w:val="10"/>
        <w:spacing w:line="570" w:lineRule="exact"/>
        <w:ind w:left="640" w:firstLine="640"/>
        <w:jc w:val="left"/>
        <w:outlineLvl w:val="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无。</w:t>
      </w:r>
    </w:p>
    <w:p w14:paraId="442F9F17">
      <w:pPr>
        <w:pStyle w:val="10"/>
        <w:numPr>
          <w:ilvl w:val="0"/>
          <w:numId w:val="1"/>
        </w:numPr>
        <w:spacing w:line="570" w:lineRule="exact"/>
        <w:ind w:firstLineChars="0"/>
        <w:jc w:val="left"/>
        <w:outlineLvl w:val="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社会保险基金预算支出情况。</w:t>
      </w:r>
    </w:p>
    <w:p w14:paraId="3756A13E">
      <w:pPr>
        <w:pStyle w:val="10"/>
        <w:spacing w:line="570" w:lineRule="exact"/>
        <w:ind w:left="640" w:firstLine="640"/>
        <w:jc w:val="left"/>
        <w:outlineLvl w:val="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无。</w:t>
      </w:r>
    </w:p>
    <w:p w14:paraId="3EBAAE35">
      <w:pPr>
        <w:spacing w:line="570" w:lineRule="exact"/>
        <w:ind w:firstLine="645"/>
        <w:jc w:val="left"/>
        <w:outlineLvl w:val="0"/>
        <w:rPr>
          <w:rFonts w:hint="default" w:eastAsia="黑体"/>
          <w:sz w:val="32"/>
        </w:rPr>
      </w:pPr>
      <w:r>
        <w:rPr>
          <w:rFonts w:eastAsia="黑体"/>
          <w:sz w:val="32"/>
        </w:rPr>
        <w:t>六、部门整体支出绩效情况</w:t>
      </w:r>
    </w:p>
    <w:p w14:paraId="6574F11D">
      <w:pPr>
        <w:pStyle w:val="10"/>
        <w:spacing w:line="600" w:lineRule="exact"/>
        <w:ind w:firstLine="600"/>
        <w:jc w:val="left"/>
        <w:rPr>
          <w:rFonts w:hint="eastAsia" w:cs="宋体" w:asciiTheme="majorEastAsia" w:hAnsiTheme="majorEastAsia" w:eastAsiaTheme="majorEastAsia"/>
          <w:sz w:val="30"/>
          <w:szCs w:val="30"/>
          <w:lang w:eastAsia="zh-CN"/>
        </w:rPr>
      </w:pPr>
      <w:r>
        <w:rPr>
          <w:rFonts w:hint="eastAsia" w:cs="宋体" w:asciiTheme="majorEastAsia" w:hAnsiTheme="majorEastAsia" w:eastAsiaTheme="majorEastAsia"/>
          <w:sz w:val="30"/>
          <w:szCs w:val="30"/>
        </w:rPr>
        <w:t>2024年，本部门支出177.01万元，比上年减少40.23万元，减少22.7%；变化的主要原因：2024年医疗药品收入减少,公共卫生服务经费收入减少。其中：基本支出完成132.19万元，比上年减少45.01万元</w:t>
      </w:r>
      <w:r>
        <w:rPr>
          <w:rFonts w:hint="eastAsia" w:cs="宋体" w:asciiTheme="majorEastAsia" w:hAnsiTheme="majorEastAsia" w:eastAsiaTheme="majorEastAsia"/>
          <w:sz w:val="32"/>
        </w:rPr>
        <w:t>，减少34.04%，变化的主要原因：2024年医疗收入及基本公共卫生服务经费开支减少。项目支出44.82万元，比上年增加4.77万元，</w:t>
      </w:r>
      <w:r>
        <w:rPr>
          <w:rFonts w:hint="eastAsia" w:cs="宋体" w:asciiTheme="majorEastAsia" w:hAnsiTheme="majorEastAsia" w:eastAsiaTheme="majorEastAsia"/>
          <w:sz w:val="30"/>
          <w:szCs w:val="30"/>
        </w:rPr>
        <w:t>增加10.6%；变化的主要原因：2024年基本公共卫生服务支出增加。人员经费完成132.19万元，比上年增加16.21万元，增加</w:t>
      </w:r>
      <w:r>
        <w:rPr>
          <w:rFonts w:hint="eastAsia" w:ascii="宋体" w:hAnsi="宋体" w:cs="宋体" w:eastAsiaTheme="minorEastAsia"/>
          <w:sz w:val="32"/>
        </w:rPr>
        <w:t>12.26</w:t>
      </w:r>
      <w:r>
        <w:rPr>
          <w:rFonts w:hint="eastAsia" w:ascii="宋体" w:hAnsi="宋体" w:cs="宋体"/>
          <w:sz w:val="32"/>
        </w:rPr>
        <w:t>%，变化的主要原因：202</w:t>
      </w:r>
      <w:r>
        <w:rPr>
          <w:rFonts w:hint="eastAsia" w:ascii="宋体" w:hAnsi="宋体" w:cs="宋体" w:eastAsiaTheme="minorEastAsia"/>
          <w:sz w:val="32"/>
        </w:rPr>
        <w:t>4</w:t>
      </w:r>
      <w:r>
        <w:rPr>
          <w:rFonts w:hint="eastAsia" w:ascii="宋体" w:hAnsi="宋体" w:cs="宋体"/>
          <w:sz w:val="32"/>
        </w:rPr>
        <w:t>年工资福利、绩效工资、</w:t>
      </w:r>
      <w:r>
        <w:rPr>
          <w:rFonts w:hint="eastAsia" w:cs="宋体" w:asciiTheme="majorEastAsia" w:hAnsiTheme="majorEastAsia" w:eastAsiaTheme="majorEastAsia"/>
          <w:sz w:val="30"/>
          <w:szCs w:val="30"/>
        </w:rPr>
        <w:t>住房公积等支出均比上年增加</w:t>
      </w:r>
      <w:r>
        <w:rPr>
          <w:rFonts w:hint="eastAsia" w:cs="宋体" w:asciiTheme="majorEastAsia" w:hAnsiTheme="majorEastAsia" w:eastAsiaTheme="majorEastAsia"/>
          <w:sz w:val="30"/>
          <w:szCs w:val="30"/>
          <w:lang w:eastAsia="zh-CN"/>
        </w:rPr>
        <w:t>。</w:t>
      </w:r>
    </w:p>
    <w:p w14:paraId="0066B44B">
      <w:pPr>
        <w:pStyle w:val="10"/>
        <w:spacing w:line="570" w:lineRule="exact"/>
        <w:ind w:firstLine="640"/>
        <w:jc w:val="left"/>
        <w:outlineLvl w:val="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七、存在的问题及原因分析</w:t>
      </w:r>
    </w:p>
    <w:p w14:paraId="1A8CEE48">
      <w:pPr>
        <w:spacing w:line="570" w:lineRule="exact"/>
        <w:ind w:firstLine="600" w:firstLineChars="200"/>
        <w:jc w:val="left"/>
        <w:rPr>
          <w:rFonts w:hint="default" w:eastAsia="仿宋_GB2312"/>
          <w:sz w:val="32"/>
        </w:rPr>
      </w:pPr>
      <w:r>
        <w:rPr>
          <w:rFonts w:ascii="宋体" w:hAnsi="宋体" w:cs="宋体"/>
          <w:kern w:val="0"/>
          <w:sz w:val="30"/>
          <w:szCs w:val="30"/>
        </w:rPr>
        <w:t>从这次绩效自评结果看，我院项目实施情况整体良好，各科室工作积极主动，使资金发挥了其应有的经济及社会效益，但也存在一些问题：1.预算细化程度不够，造成了预算数与执行数的差异；2．预算执行完成后的绩效管理还有待完善和加强。</w:t>
      </w:r>
    </w:p>
    <w:p w14:paraId="6D493BC0">
      <w:pPr>
        <w:numPr>
          <w:ilvl w:val="0"/>
          <w:numId w:val="3"/>
        </w:numPr>
        <w:spacing w:line="570" w:lineRule="exact"/>
        <w:ind w:firstLine="640" w:firstLineChars="200"/>
        <w:jc w:val="left"/>
        <w:outlineLvl w:val="0"/>
        <w:rPr>
          <w:rFonts w:hint="default" w:eastAsia="黑体"/>
          <w:sz w:val="32"/>
        </w:rPr>
      </w:pPr>
      <w:r>
        <w:rPr>
          <w:rFonts w:eastAsia="黑体"/>
          <w:sz w:val="32"/>
        </w:rPr>
        <w:t>下一步改进措施</w:t>
      </w:r>
    </w:p>
    <w:p w14:paraId="783FFA03">
      <w:pPr>
        <w:spacing w:line="570" w:lineRule="exact"/>
        <w:ind w:firstLine="600" w:firstLineChars="200"/>
        <w:jc w:val="left"/>
        <w:rPr>
          <w:rFonts w:hint="default" w:eastAsia="仿宋_GB2312"/>
          <w:sz w:val="32"/>
        </w:rPr>
      </w:pPr>
      <w:r>
        <w:rPr>
          <w:rFonts w:ascii="宋体" w:hAnsi="宋体" w:cs="宋体"/>
          <w:kern w:val="0"/>
          <w:sz w:val="30"/>
          <w:szCs w:val="30"/>
        </w:rPr>
        <w:t>严格按照政府会计制度准则实行财务运行和财务报账机制</w:t>
      </w:r>
      <w:r>
        <w:rPr>
          <w:rFonts w:eastAsia="仿宋_GB2312"/>
          <w:spacing w:val="-6"/>
          <w:sz w:val="32"/>
        </w:rPr>
        <w:t>。</w:t>
      </w:r>
    </w:p>
    <w:p w14:paraId="7EA8D5FB">
      <w:pPr>
        <w:spacing w:line="570" w:lineRule="exact"/>
        <w:ind w:firstLine="645"/>
        <w:jc w:val="left"/>
        <w:outlineLvl w:val="0"/>
        <w:rPr>
          <w:rFonts w:hint="default" w:eastAsia="黑体"/>
          <w:sz w:val="32"/>
        </w:rPr>
      </w:pPr>
      <w:r>
        <w:rPr>
          <w:rFonts w:eastAsia="黑体"/>
          <w:sz w:val="32"/>
        </w:rPr>
        <w:t>九、部门整体支出绩效自评结果拟应用和公开情况</w:t>
      </w:r>
    </w:p>
    <w:p w14:paraId="1EE6B009">
      <w:pPr>
        <w:spacing w:line="570" w:lineRule="exact"/>
        <w:ind w:firstLine="645"/>
        <w:jc w:val="left"/>
        <w:rPr>
          <w:rFonts w:hint="default" w:eastAsia="黑体"/>
          <w:sz w:val="32"/>
        </w:rPr>
      </w:pPr>
      <w:r>
        <w:rPr>
          <w:rFonts w:eastAsia="黑体"/>
          <w:sz w:val="32"/>
        </w:rPr>
        <w:t>其他需要说明的情况</w:t>
      </w:r>
    </w:p>
    <w:p w14:paraId="4A012842">
      <w:pPr>
        <w:spacing w:afterLines="50" w:line="600" w:lineRule="exact"/>
        <w:rPr>
          <w:rFonts w:hint="default" w:eastAsia="黑体"/>
          <w:sz w:val="32"/>
        </w:rPr>
      </w:pPr>
    </w:p>
    <w:p w14:paraId="1518A002">
      <w:pPr>
        <w:spacing w:afterLines="50" w:line="600" w:lineRule="exact"/>
        <w:rPr>
          <w:rFonts w:hint="default" w:eastAsia="黑体"/>
          <w:sz w:val="32"/>
        </w:rPr>
      </w:pPr>
    </w:p>
    <w:p w14:paraId="17D7CA4E">
      <w:pPr>
        <w:spacing w:afterLines="50" w:line="600" w:lineRule="exact"/>
        <w:rPr>
          <w:rFonts w:hint="default" w:eastAsia="黑体"/>
          <w:sz w:val="32"/>
        </w:rPr>
      </w:pPr>
    </w:p>
    <w:p w14:paraId="3AFA6637">
      <w:pPr>
        <w:spacing w:afterLines="50" w:line="600" w:lineRule="exact"/>
        <w:rPr>
          <w:rFonts w:hint="default" w:eastAsia="黑体"/>
          <w:sz w:val="32"/>
        </w:rPr>
      </w:pPr>
    </w:p>
    <w:p w14:paraId="72231DBE">
      <w:pPr>
        <w:spacing w:afterLines="50" w:line="600" w:lineRule="exact"/>
        <w:rPr>
          <w:rFonts w:hint="default" w:eastAsia="黑体"/>
          <w:sz w:val="32"/>
        </w:rPr>
      </w:pPr>
    </w:p>
    <w:p w14:paraId="766F5D59">
      <w:pPr>
        <w:spacing w:afterLines="50" w:line="600" w:lineRule="exact"/>
        <w:rPr>
          <w:rFonts w:hint="default" w:eastAsia="黑体"/>
          <w:sz w:val="32"/>
        </w:rPr>
      </w:pPr>
    </w:p>
    <w:p w14:paraId="1C26DCA3">
      <w:pPr>
        <w:spacing w:afterLines="50" w:line="600" w:lineRule="exact"/>
        <w:rPr>
          <w:rFonts w:hint="default" w:eastAsia="黑体"/>
          <w:sz w:val="32"/>
        </w:rPr>
      </w:pPr>
    </w:p>
    <w:p w14:paraId="46CDC2CC">
      <w:pPr>
        <w:spacing w:line="440" w:lineRule="exact"/>
        <w:rPr>
          <w:rFonts w:hint="default" w:ascii="黑体" w:hAnsi="黑体" w:eastAsia="黑体" w:cs="黑体"/>
          <w:sz w:val="32"/>
          <w:szCs w:val="32"/>
        </w:rPr>
      </w:pPr>
    </w:p>
    <w:p w14:paraId="5D9411AE">
      <w:pPr>
        <w:spacing w:line="440" w:lineRule="exact"/>
        <w:rPr>
          <w:rFonts w:hint="default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附件2</w:t>
      </w:r>
    </w:p>
    <w:p w14:paraId="12AF1460">
      <w:pPr>
        <w:spacing w:line="440" w:lineRule="exact"/>
        <w:rPr>
          <w:rFonts w:hint="default" w:ascii="黑体" w:hAnsi="黑体" w:eastAsia="黑体" w:cs="黑体"/>
          <w:sz w:val="32"/>
          <w:szCs w:val="32"/>
        </w:rPr>
      </w:pPr>
    </w:p>
    <w:p w14:paraId="1E84FD86"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</w:t>
      </w:r>
      <w:r>
        <w:rPr>
          <w:rFonts w:hint="eastAsia" w:ascii="方正小标宋简体" w:eastAsia="方正小标宋简体"/>
          <w:sz w:val="44"/>
          <w:lang w:val="en-US" w:eastAsia="zh-CN"/>
        </w:rPr>
        <w:t>4</w:t>
      </w:r>
      <w:r>
        <w:rPr>
          <w:rFonts w:ascii="方正小标宋简体" w:eastAsia="方正小标宋简体"/>
          <w:sz w:val="44"/>
        </w:rPr>
        <w:t>年度部门整体支出绩效评价基础数据表</w:t>
      </w:r>
    </w:p>
    <w:tbl>
      <w:tblPr>
        <w:tblStyle w:val="7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 w14:paraId="2EB2A4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0FD056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8FACC4F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D0B4662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val="en-US" w:eastAsia="zh-CN"/>
              </w:rPr>
              <w:t>4</w:t>
            </w: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1CB8A555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控制率</w:t>
            </w:r>
          </w:p>
        </w:tc>
      </w:tr>
      <w:tr w14:paraId="715915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C6222A5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E47C69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11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E8F8B1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11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4B74F7C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100%　</w:t>
            </w:r>
          </w:p>
        </w:tc>
      </w:tr>
      <w:tr w14:paraId="4BE7EA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673BE0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09CE2B2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val="en-US" w:eastAsia="zh-CN"/>
              </w:rPr>
              <w:t>3</w:t>
            </w: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6E16546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val="en-US" w:eastAsia="zh-CN"/>
              </w:rPr>
              <w:t>4</w:t>
            </w: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4A824053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val="en-US" w:eastAsia="zh-CN"/>
              </w:rPr>
              <w:t>4</w:t>
            </w: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年决算数</w:t>
            </w:r>
          </w:p>
        </w:tc>
      </w:tr>
      <w:tr w14:paraId="578777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BE9728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9637470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val="en-US" w:eastAsia="zh-CN"/>
              </w:rPr>
              <w:t>217.24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9B82A9F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val="en-US" w:eastAsia="zh-CN"/>
              </w:rPr>
              <w:t>177.01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4D37A304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val="en-US" w:eastAsia="zh-CN"/>
              </w:rPr>
              <w:t>177.01</w:t>
            </w:r>
          </w:p>
        </w:tc>
      </w:tr>
      <w:tr w14:paraId="08A863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5CDC015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DEFDD0E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val="en-US" w:eastAsia="zh-CN"/>
              </w:rPr>
              <w:t>58.68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1F832D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0CFBED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lang w:val="en-US" w:eastAsia="zh-CN"/>
              </w:rPr>
              <w:t>0</w:t>
            </w:r>
          </w:p>
        </w:tc>
      </w:tr>
      <w:tr w14:paraId="48E9F3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BFF70C7"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D0356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B5ED99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69A402B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</w:tr>
      <w:tr w14:paraId="2878E0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E603156"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DECAD0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D7845D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6A60418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</w:tr>
      <w:tr w14:paraId="3494FA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90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901C0D3"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8F0F6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9D7005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769862C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</w:tr>
      <w:tr w14:paraId="39CF6B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367944A"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93D1E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1.3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F55E85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54EB648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</w:tr>
      <w:tr w14:paraId="63B97A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B3A4EF4"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40BE4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919BCC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22823AB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</w:tr>
      <w:tr w14:paraId="45A1FF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0DAFA06"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F3821B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1A1B32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26F62B49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</w:tr>
      <w:tr w14:paraId="3495D2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2725997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5BE86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D0FF56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3C9F2E3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</w:tr>
      <w:tr w14:paraId="328344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57B2B29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9FF14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45D281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5E13A52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</w:tr>
      <w:tr w14:paraId="5080DF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E1B317D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E2737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1.3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543BAD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2DF4099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</w:tr>
      <w:tr w14:paraId="1542D5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E2A68D2">
            <w:pPr>
              <w:ind w:firstLine="960" w:firstLineChars="4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D08DE95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58.37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F845D0B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44.82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7E78A43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44.82</w:t>
            </w:r>
          </w:p>
        </w:tc>
      </w:tr>
      <w:tr w14:paraId="7034C3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5DA524A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  1.</w:t>
            </w:r>
            <w:r>
              <w:rPr>
                <w:rFonts w:ascii="仿宋_GB2312" w:hAnsi="仿宋_GB2312"/>
                <w:kern w:val="0"/>
              </w:rPr>
              <w:t>基本公共为生服务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21B76B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44.37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A297C0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30.82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0BB0C7F9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30.82</w:t>
            </w:r>
          </w:p>
        </w:tc>
      </w:tr>
      <w:tr w14:paraId="4D284A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6233B3F">
            <w:pPr>
              <w:numPr>
                <w:ilvl w:val="0"/>
                <w:numId w:val="4"/>
              </w:numPr>
              <w:ind w:firstLine="210" w:firstLineChars="1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仿宋_GB2312" w:hAnsi="仿宋_GB2312"/>
                <w:kern w:val="0"/>
              </w:rPr>
              <w:t xml:space="preserve"> 药物制度补助项目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5591A5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14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AE5118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124E0119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14</w:t>
            </w:r>
          </w:p>
        </w:tc>
      </w:tr>
      <w:tr w14:paraId="126972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D3F3DFA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7883D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4EF430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4862793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</w:tr>
      <w:tr w14:paraId="2C3017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CA43189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513C99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213.83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8E32C2"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177.01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AA841F"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lang w:val="en-US" w:eastAsia="zh-CN"/>
              </w:rPr>
              <w:t>177.01</w:t>
            </w:r>
          </w:p>
        </w:tc>
      </w:tr>
      <w:tr w14:paraId="6C1F91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D603245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楼堂馆所控制情况</w:t>
            </w:r>
          </w:p>
          <w:p w14:paraId="6FA8D5BB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（2023年完工项目）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02EA0B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批复规模</w:t>
            </w:r>
          </w:p>
          <w:p w14:paraId="7473D73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A73BFD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C809F2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B3BC13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BCA06F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36396CCF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投资概算控制率</w:t>
            </w:r>
          </w:p>
        </w:tc>
      </w:tr>
      <w:tr w14:paraId="4A573A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8C44583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BECCA29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6C215A2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EAF80C1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B0C8F25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80A7C6A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64026862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  <w:tr w14:paraId="54ACDF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EA1C46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2199B9E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</w:tbl>
    <w:p w14:paraId="49B1C842">
      <w:pPr>
        <w:spacing w:line="100" w:lineRule="exact"/>
        <w:jc w:val="left"/>
        <w:rPr>
          <w:rFonts w:hint="default" w:asciiTheme="minorEastAsia" w:hAnsiTheme="minorEastAsia" w:eastAsiaTheme="minorEastAsia" w:cstheme="minorEastAsia"/>
          <w:sz w:val="24"/>
        </w:rPr>
      </w:pPr>
    </w:p>
    <w:p w14:paraId="66DE1A4D">
      <w:pPr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说明：“项目支出”需要填报基本支出以外的所有项目支出情况，“公用经费”填报基本支出中的一般商品和服务支出。</w:t>
      </w:r>
    </w:p>
    <w:p w14:paraId="44C976D3">
      <w:pPr>
        <w:spacing w:line="100" w:lineRule="exact"/>
        <w:jc w:val="left"/>
        <w:rPr>
          <w:rFonts w:hint="default" w:asciiTheme="minorEastAsia" w:hAnsiTheme="minorEastAsia" w:eastAsiaTheme="minorEastAsia" w:cstheme="minorEastAsia"/>
          <w:sz w:val="24"/>
        </w:rPr>
      </w:pPr>
    </w:p>
    <w:p w14:paraId="51257688">
      <w:pPr>
        <w:spacing w:line="440" w:lineRule="exac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孙小波</w:t>
      </w:r>
      <w:r>
        <w:rPr>
          <w:rFonts w:asciiTheme="minorEastAsia" w:hAnsiTheme="minorEastAsia" w:eastAsiaTheme="minorEastAsia" w:cstheme="minorEastAsia"/>
          <w:sz w:val="24"/>
        </w:rPr>
        <w:t xml:space="preserve"> 填报日期：202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5</w:t>
      </w:r>
      <w:r>
        <w:rPr>
          <w:rFonts w:asciiTheme="minorEastAsia" w:hAnsiTheme="minorEastAsia" w:eastAsiaTheme="minorEastAsia" w:cstheme="minorEastAsia"/>
          <w:sz w:val="24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7</w:t>
      </w:r>
      <w:r>
        <w:rPr>
          <w:rFonts w:asciiTheme="minorEastAsia" w:hAnsiTheme="minorEastAsia" w:eastAsiaTheme="minorEastAsia" w:cstheme="minorEastAsia"/>
          <w:sz w:val="24"/>
        </w:rPr>
        <w:t>月19日  联系电话：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19958270900</w:t>
      </w:r>
      <w:r>
        <w:rPr>
          <w:rFonts w:asciiTheme="minorEastAsia" w:hAnsiTheme="minorEastAsia" w:eastAsiaTheme="minorEastAsia" w:cstheme="minorEastAsia"/>
          <w:sz w:val="24"/>
        </w:rPr>
        <w:t xml:space="preserve"> 单位负责人签字：</w:t>
      </w:r>
    </w:p>
    <w:p w14:paraId="212C9E56">
      <w:pPr>
        <w:spacing w:line="440" w:lineRule="exact"/>
        <w:jc w:val="left"/>
        <w:rPr>
          <w:rFonts w:hint="default" w:asciiTheme="minorEastAsia" w:hAnsiTheme="minorEastAsia" w:eastAsiaTheme="minorEastAsia" w:cstheme="minorEastAsia"/>
          <w:sz w:val="24"/>
        </w:rPr>
      </w:pPr>
    </w:p>
    <w:p w14:paraId="1455B11E">
      <w:pPr>
        <w:spacing w:line="440" w:lineRule="exact"/>
        <w:jc w:val="left"/>
        <w:rPr>
          <w:rFonts w:hint="default" w:asciiTheme="minorEastAsia" w:hAnsiTheme="minorEastAsia" w:eastAsiaTheme="minorEastAsia" w:cstheme="minorEastAsia"/>
          <w:sz w:val="24"/>
        </w:rPr>
      </w:pPr>
    </w:p>
    <w:p w14:paraId="7D248B63">
      <w:pPr>
        <w:spacing w:line="440" w:lineRule="exact"/>
        <w:jc w:val="left"/>
        <w:rPr>
          <w:rFonts w:hint="default" w:asciiTheme="minorEastAsia" w:hAnsiTheme="minorEastAsia" w:eastAsiaTheme="minorEastAsia" w:cstheme="minorEastAsia"/>
          <w:sz w:val="24"/>
        </w:rPr>
      </w:pPr>
    </w:p>
    <w:p w14:paraId="2347A82B">
      <w:pPr>
        <w:spacing w:line="440" w:lineRule="exact"/>
        <w:jc w:val="left"/>
        <w:rPr>
          <w:rFonts w:hint="default" w:asciiTheme="minorEastAsia" w:hAnsiTheme="minorEastAsia" w:eastAsiaTheme="minorEastAsia" w:cstheme="minorEastAsia"/>
          <w:sz w:val="24"/>
        </w:rPr>
      </w:pPr>
    </w:p>
    <w:p w14:paraId="03258374">
      <w:pPr>
        <w:spacing w:line="440" w:lineRule="exact"/>
        <w:jc w:val="left"/>
        <w:rPr>
          <w:rFonts w:hint="default" w:asciiTheme="minorEastAsia" w:hAnsiTheme="minorEastAsia" w:eastAsiaTheme="minorEastAsia" w:cstheme="minorEastAsia"/>
          <w:sz w:val="24"/>
        </w:rPr>
      </w:pPr>
    </w:p>
    <w:p w14:paraId="2378D3C1">
      <w:pPr>
        <w:spacing w:line="440" w:lineRule="exact"/>
        <w:jc w:val="left"/>
        <w:rPr>
          <w:rFonts w:hint="default" w:asciiTheme="minorEastAsia" w:hAnsiTheme="minorEastAsia" w:eastAsiaTheme="minorEastAsia" w:cstheme="minorEastAsia"/>
          <w:sz w:val="24"/>
        </w:rPr>
      </w:pPr>
    </w:p>
    <w:p w14:paraId="3ADD2755">
      <w:pPr>
        <w:spacing w:line="440" w:lineRule="exact"/>
        <w:jc w:val="left"/>
        <w:rPr>
          <w:rFonts w:hint="default" w:asciiTheme="minorEastAsia" w:hAnsiTheme="minorEastAsia" w:eastAsiaTheme="minorEastAsia" w:cstheme="minorEastAsia"/>
          <w:sz w:val="24"/>
        </w:rPr>
      </w:pPr>
    </w:p>
    <w:p w14:paraId="5A592B59">
      <w:pPr>
        <w:spacing w:line="440" w:lineRule="exact"/>
        <w:jc w:val="left"/>
        <w:rPr>
          <w:rFonts w:hint="default" w:asciiTheme="minorEastAsia" w:hAnsiTheme="minorEastAsia" w:eastAsiaTheme="minorEastAsia" w:cstheme="minorEastAsia"/>
          <w:sz w:val="24"/>
        </w:rPr>
      </w:pPr>
    </w:p>
    <w:p w14:paraId="368D8383">
      <w:pPr>
        <w:spacing w:line="440" w:lineRule="exact"/>
        <w:jc w:val="left"/>
        <w:rPr>
          <w:rFonts w:hint="default" w:asciiTheme="minorEastAsia" w:hAnsiTheme="minorEastAsia" w:eastAsiaTheme="minorEastAsia" w:cstheme="minorEastAsia"/>
          <w:sz w:val="24"/>
        </w:rPr>
      </w:pPr>
    </w:p>
    <w:p w14:paraId="0543836C">
      <w:pPr>
        <w:spacing w:line="440" w:lineRule="exact"/>
        <w:jc w:val="left"/>
        <w:rPr>
          <w:rFonts w:hint="default" w:asciiTheme="minorEastAsia" w:hAnsiTheme="minorEastAsia" w:eastAsiaTheme="minorEastAsia" w:cstheme="minorEastAsia"/>
          <w:sz w:val="24"/>
        </w:rPr>
      </w:pPr>
    </w:p>
    <w:p w14:paraId="19FB3EA9">
      <w:pPr>
        <w:spacing w:line="440" w:lineRule="exact"/>
        <w:jc w:val="left"/>
        <w:rPr>
          <w:rFonts w:hint="default" w:asciiTheme="minorEastAsia" w:hAnsiTheme="minorEastAsia" w:eastAsiaTheme="minorEastAsia" w:cstheme="minorEastAsia"/>
          <w:sz w:val="24"/>
        </w:rPr>
      </w:pPr>
    </w:p>
    <w:p w14:paraId="338CD156">
      <w:pPr>
        <w:spacing w:line="440" w:lineRule="exact"/>
        <w:jc w:val="left"/>
        <w:rPr>
          <w:rFonts w:hint="default" w:asciiTheme="minorEastAsia" w:hAnsiTheme="minorEastAsia" w:eastAsiaTheme="minorEastAsia" w:cstheme="minorEastAsia"/>
          <w:sz w:val="24"/>
        </w:rPr>
      </w:pPr>
    </w:p>
    <w:p w14:paraId="7C4A585E">
      <w:pPr>
        <w:spacing w:line="440" w:lineRule="exact"/>
        <w:jc w:val="left"/>
        <w:rPr>
          <w:rFonts w:hint="default" w:asciiTheme="minorEastAsia" w:hAnsiTheme="minorEastAsia" w:eastAsiaTheme="minorEastAsia" w:cstheme="minorEastAsia"/>
          <w:sz w:val="24"/>
        </w:rPr>
      </w:pPr>
    </w:p>
    <w:p w14:paraId="7C240ABB">
      <w:pPr>
        <w:spacing w:line="440" w:lineRule="exact"/>
        <w:jc w:val="left"/>
        <w:rPr>
          <w:rFonts w:hint="default" w:eastAsia="黑体"/>
          <w:sz w:val="32"/>
        </w:rPr>
      </w:pPr>
      <w:r>
        <w:rPr>
          <w:rFonts w:ascii="黑体" w:hAnsi="黑体" w:eastAsia="黑体" w:cs="黑体"/>
          <w:sz w:val="32"/>
          <w:szCs w:val="32"/>
        </w:rPr>
        <w:t>附件3</w:t>
      </w:r>
    </w:p>
    <w:p w14:paraId="25DD5FAC"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</w:t>
      </w:r>
      <w:r>
        <w:rPr>
          <w:rFonts w:hint="eastAsia" w:ascii="方正小标宋简体" w:eastAsia="方正小标宋简体"/>
          <w:sz w:val="44"/>
          <w:lang w:val="en-US" w:eastAsia="zh-CN"/>
        </w:rPr>
        <w:t>4</w:t>
      </w:r>
      <w:bookmarkStart w:id="0" w:name="_GoBack"/>
      <w:bookmarkEnd w:id="0"/>
      <w:r>
        <w:rPr>
          <w:rFonts w:ascii="方正小标宋简体" w:eastAsia="方正小标宋简体"/>
          <w:sz w:val="44"/>
        </w:rPr>
        <w:t>年度部门整体支出绩效自评表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07"/>
        <w:gridCol w:w="668"/>
        <w:gridCol w:w="632"/>
        <w:gridCol w:w="1503"/>
        <w:gridCol w:w="901"/>
        <w:gridCol w:w="553"/>
        <w:gridCol w:w="496"/>
        <w:gridCol w:w="495"/>
        <w:gridCol w:w="2104"/>
      </w:tblGrid>
      <w:tr w14:paraId="7D660C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5" w:hRule="atLeast"/>
          <w:jc w:val="center"/>
        </w:trPr>
        <w:tc>
          <w:tcPr>
            <w:tcW w:w="705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5D032A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县级预算部门名称</w:t>
            </w:r>
          </w:p>
        </w:tc>
        <w:tc>
          <w:tcPr>
            <w:tcW w:w="4294" w:type="pct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55D494C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双牌县塘底乡卫生院　</w:t>
            </w:r>
          </w:p>
        </w:tc>
      </w:tr>
      <w:tr w14:paraId="7029B6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5" w:hRule="atLeast"/>
          <w:jc w:val="center"/>
        </w:trPr>
        <w:tc>
          <w:tcPr>
            <w:tcW w:w="705" w:type="pct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EF041A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年度预</w:t>
            </w:r>
          </w:p>
          <w:p w14:paraId="79B8C5E2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算申请</w:t>
            </w:r>
          </w:p>
          <w:p w14:paraId="75CBAF7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（万元）</w:t>
            </w:r>
          </w:p>
        </w:tc>
        <w:tc>
          <w:tcPr>
            <w:tcW w:w="75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0BE272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0FBA50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年初预算数</w:t>
            </w:r>
          </w:p>
        </w:tc>
        <w:tc>
          <w:tcPr>
            <w:tcW w:w="5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BAA11F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全年预算数</w:t>
            </w:r>
          </w:p>
        </w:tc>
        <w:tc>
          <w:tcPr>
            <w:tcW w:w="3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3450FF9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全年执行数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B4DF86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分值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7EAED8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执行率</w:t>
            </w:r>
          </w:p>
        </w:tc>
        <w:tc>
          <w:tcPr>
            <w:tcW w:w="12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7658CAC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得分</w:t>
            </w:r>
          </w:p>
        </w:tc>
      </w:tr>
      <w:tr w14:paraId="690B56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705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A2A1DF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75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6EE8DD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年度资金总额</w:t>
            </w:r>
          </w:p>
        </w:tc>
        <w:tc>
          <w:tcPr>
            <w:tcW w:w="8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02E48A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272.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01</w:t>
            </w:r>
          </w:p>
        </w:tc>
        <w:tc>
          <w:tcPr>
            <w:tcW w:w="5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BCA6FF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272.01</w:t>
            </w:r>
          </w:p>
        </w:tc>
        <w:tc>
          <w:tcPr>
            <w:tcW w:w="3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D3D97E2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272.01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A3906F2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10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2F65F8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100%</w:t>
            </w:r>
          </w:p>
        </w:tc>
        <w:tc>
          <w:tcPr>
            <w:tcW w:w="12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22BE698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10</w:t>
            </w:r>
          </w:p>
        </w:tc>
      </w:tr>
      <w:tr w14:paraId="0975B7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705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4DA4C32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163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B6E8967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按收入性质分：</w:t>
            </w:r>
          </w:p>
        </w:tc>
        <w:tc>
          <w:tcPr>
            <w:tcW w:w="2131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6D205C1D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按支出性质分：</w:t>
            </w:r>
          </w:p>
        </w:tc>
      </w:tr>
      <w:tr w14:paraId="70E3C3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705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531093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163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4EC47F9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177.01</w:t>
            </w:r>
          </w:p>
        </w:tc>
        <w:tc>
          <w:tcPr>
            <w:tcW w:w="2131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58C79B89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132.19</w:t>
            </w:r>
          </w:p>
        </w:tc>
      </w:tr>
      <w:tr w14:paraId="276F8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705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3253B59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163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125ECD6">
            <w:pPr>
              <w:spacing w:line="240" w:lineRule="exact"/>
              <w:ind w:firstLine="960" w:firstLineChars="4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政府性基金拨款：0</w:t>
            </w:r>
          </w:p>
        </w:tc>
        <w:tc>
          <w:tcPr>
            <w:tcW w:w="2131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0F6F54B9">
            <w:pPr>
              <w:spacing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44.82</w:t>
            </w:r>
          </w:p>
        </w:tc>
      </w:tr>
      <w:tr w14:paraId="624FAA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705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4552A8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163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0687AF0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纳入专户管理的非税收入拨款：0</w:t>
            </w:r>
          </w:p>
        </w:tc>
        <w:tc>
          <w:tcPr>
            <w:tcW w:w="2131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7049B0F0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22E91F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705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4DDCED2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163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14DB2C2">
            <w:pPr>
              <w:spacing w:line="240" w:lineRule="exact"/>
              <w:ind w:firstLine="1680" w:firstLineChars="7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其他资金：25.5</w:t>
            </w:r>
          </w:p>
        </w:tc>
        <w:tc>
          <w:tcPr>
            <w:tcW w:w="2131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7BDA9025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793149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7" w:hRule="atLeast"/>
          <w:jc w:val="center"/>
        </w:trPr>
        <w:tc>
          <w:tcPr>
            <w:tcW w:w="705" w:type="pct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FBB82B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年度总体目标</w:t>
            </w:r>
          </w:p>
        </w:tc>
        <w:tc>
          <w:tcPr>
            <w:tcW w:w="2163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AB53F8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预期目标</w:t>
            </w:r>
          </w:p>
        </w:tc>
        <w:tc>
          <w:tcPr>
            <w:tcW w:w="2131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4A49E6D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实际完成情况　</w:t>
            </w:r>
          </w:p>
        </w:tc>
      </w:tr>
      <w:tr w14:paraId="7DD0D8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8" w:hRule="atLeast"/>
          <w:jc w:val="center"/>
        </w:trPr>
        <w:tc>
          <w:tcPr>
            <w:tcW w:w="705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F9B8E3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163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1CA78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177.01</w:t>
            </w:r>
          </w:p>
        </w:tc>
        <w:tc>
          <w:tcPr>
            <w:tcW w:w="2131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6651122F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177.01</w:t>
            </w:r>
          </w:p>
        </w:tc>
      </w:tr>
      <w:tr w14:paraId="0A7870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705" w:type="pct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546D0C2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绩</w:t>
            </w:r>
          </w:p>
          <w:p w14:paraId="283D0A6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</w:t>
            </w:r>
          </w:p>
          <w:p w14:paraId="2355BF3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</w:t>
            </w:r>
          </w:p>
          <w:p w14:paraId="3D31FB2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标</w:t>
            </w:r>
          </w:p>
          <w:p w14:paraId="770AE83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3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8F474C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一级指标</w:t>
            </w:r>
          </w:p>
        </w:tc>
        <w:tc>
          <w:tcPr>
            <w:tcW w:w="3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62DC06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二级指标</w:t>
            </w:r>
          </w:p>
        </w:tc>
        <w:tc>
          <w:tcPr>
            <w:tcW w:w="8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93E452F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三级指标</w:t>
            </w:r>
          </w:p>
        </w:tc>
        <w:tc>
          <w:tcPr>
            <w:tcW w:w="5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C2B4AE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年度指标值</w:t>
            </w:r>
          </w:p>
        </w:tc>
        <w:tc>
          <w:tcPr>
            <w:tcW w:w="3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51DBDC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实际完成值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CB2ADE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分值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B23867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得分</w:t>
            </w:r>
          </w:p>
        </w:tc>
        <w:tc>
          <w:tcPr>
            <w:tcW w:w="12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5FFB5D0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偏差原因分析及改进措施</w:t>
            </w:r>
          </w:p>
        </w:tc>
      </w:tr>
      <w:tr w14:paraId="2826B6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0" w:hRule="atLeast"/>
          <w:jc w:val="center"/>
        </w:trPr>
        <w:tc>
          <w:tcPr>
            <w:tcW w:w="705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970654F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390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CF5DC8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产出指标</w:t>
            </w:r>
          </w:p>
          <w:p w14:paraId="72FCB43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(50分)</w:t>
            </w:r>
          </w:p>
        </w:tc>
        <w:tc>
          <w:tcPr>
            <w:tcW w:w="369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17DDF7F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重点工作</w:t>
            </w:r>
          </w:p>
          <w:p w14:paraId="412ABB5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任务完成</w:t>
            </w:r>
          </w:p>
        </w:tc>
        <w:tc>
          <w:tcPr>
            <w:tcW w:w="8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16700AB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kern w:val="0"/>
                <w:sz w:val="16"/>
                <w:szCs w:val="16"/>
              </w:rPr>
              <w:t>推进国家基本公共卫生服务</w:t>
            </w:r>
          </w:p>
        </w:tc>
        <w:tc>
          <w:tcPr>
            <w:tcW w:w="5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7CA2EC3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3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C7C3D7A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90%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D0BAC4F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7957CF2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5A034AD1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</w:p>
        </w:tc>
      </w:tr>
      <w:tr w14:paraId="1602EF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5" w:hRule="atLeast"/>
          <w:jc w:val="center"/>
        </w:trPr>
        <w:tc>
          <w:tcPr>
            <w:tcW w:w="705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3854C93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390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7BBAAD6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369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FFF00A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8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8254344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kern w:val="0"/>
                <w:sz w:val="16"/>
                <w:szCs w:val="16"/>
              </w:rPr>
              <w:t>药物药品零差价销售率。</w:t>
            </w:r>
          </w:p>
        </w:tc>
        <w:tc>
          <w:tcPr>
            <w:tcW w:w="5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EF6C39B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3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492706B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7E76BA3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6905D0C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7EC482C9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</w:p>
        </w:tc>
      </w:tr>
      <w:tr w14:paraId="566D0B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  <w:jc w:val="center"/>
        </w:trPr>
        <w:tc>
          <w:tcPr>
            <w:tcW w:w="705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E43F662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390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2CD162E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369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C833E0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8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654DBC1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kern w:val="0"/>
                <w:sz w:val="16"/>
                <w:szCs w:val="16"/>
              </w:rPr>
              <w:t>按时完成各项工作。</w:t>
            </w:r>
          </w:p>
        </w:tc>
        <w:tc>
          <w:tcPr>
            <w:tcW w:w="5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B244E16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3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9FDFC0C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9427E64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66F2AB9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34D82E17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</w:p>
        </w:tc>
      </w:tr>
      <w:tr w14:paraId="1FFE34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45" w:hRule="atLeast"/>
          <w:jc w:val="center"/>
        </w:trPr>
        <w:tc>
          <w:tcPr>
            <w:tcW w:w="705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C79D600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390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E53D223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369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0053CB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878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C854FC4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sz w:val="16"/>
                <w:szCs w:val="16"/>
                <w:shd w:val="clear" w:color="auto" w:fill="FFFFFF"/>
              </w:rPr>
              <w:t>按照上级考核指标逐项完成率。</w:t>
            </w:r>
          </w:p>
        </w:tc>
        <w:tc>
          <w:tcPr>
            <w:tcW w:w="526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637FC0A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90%</w:t>
            </w:r>
          </w:p>
        </w:tc>
        <w:tc>
          <w:tcPr>
            <w:tcW w:w="323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2CE2F02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90%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B3A20C7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214093B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59E5A695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</w:p>
          <w:p w14:paraId="4DEC5F93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存在外在客观因素所造成的个别指标数不达标。</w:t>
            </w:r>
          </w:p>
        </w:tc>
      </w:tr>
      <w:tr w14:paraId="7E27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705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50BA9F2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390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9934AFF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369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E0FE73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履职目</w:t>
            </w:r>
          </w:p>
          <w:p w14:paraId="0B5929DF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标实现</w:t>
            </w:r>
          </w:p>
        </w:tc>
        <w:tc>
          <w:tcPr>
            <w:tcW w:w="8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865A207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kern w:val="0"/>
                <w:sz w:val="16"/>
                <w:szCs w:val="16"/>
              </w:rPr>
              <w:t>基本支出</w:t>
            </w:r>
          </w:p>
        </w:tc>
        <w:tc>
          <w:tcPr>
            <w:tcW w:w="5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3AFA233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kern w:val="0"/>
                <w:sz w:val="16"/>
                <w:szCs w:val="16"/>
              </w:rPr>
              <w:t>126.96万元</w:t>
            </w:r>
          </w:p>
        </w:tc>
        <w:tc>
          <w:tcPr>
            <w:tcW w:w="3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193AC93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kern w:val="0"/>
                <w:sz w:val="16"/>
                <w:szCs w:val="16"/>
              </w:rPr>
              <w:t>126.96万元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153A28B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20C06FE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1D4EA493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</w:p>
        </w:tc>
      </w:tr>
      <w:tr w14:paraId="29CC18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705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9FD440A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390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AEFFEF1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369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2A6A6A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8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EFFFAD5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kern w:val="0"/>
                <w:sz w:val="16"/>
                <w:szCs w:val="16"/>
              </w:rPr>
              <w:t>项目支出</w:t>
            </w:r>
          </w:p>
        </w:tc>
        <w:tc>
          <w:tcPr>
            <w:tcW w:w="5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575EA1F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kern w:val="0"/>
                <w:sz w:val="16"/>
                <w:szCs w:val="16"/>
              </w:rPr>
              <w:t>79万元</w:t>
            </w:r>
          </w:p>
        </w:tc>
        <w:tc>
          <w:tcPr>
            <w:tcW w:w="3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71F7278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kern w:val="0"/>
                <w:sz w:val="16"/>
                <w:szCs w:val="16"/>
              </w:rPr>
              <w:t>79万元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CFEEDF1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5A74F0C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15D1C5AE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</w:p>
        </w:tc>
      </w:tr>
      <w:tr w14:paraId="6A49C6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5" w:hRule="atLeast"/>
          <w:jc w:val="center"/>
        </w:trPr>
        <w:tc>
          <w:tcPr>
            <w:tcW w:w="705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0FBEAE5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390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293F86B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369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DFAA02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878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C450409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医疗服务能力</w:t>
            </w:r>
          </w:p>
        </w:tc>
        <w:tc>
          <w:tcPr>
            <w:tcW w:w="526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9AA2BE7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稳定提升</w:t>
            </w:r>
          </w:p>
        </w:tc>
        <w:tc>
          <w:tcPr>
            <w:tcW w:w="323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2CC8531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稳定提升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9F624FB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4885053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34A28D66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医疗知识、技术不断更新进步，乡镇学习条件有限。</w:t>
            </w:r>
          </w:p>
        </w:tc>
      </w:tr>
      <w:tr w14:paraId="72FEFA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705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24E5704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390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F233A10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效益指标</w:t>
            </w:r>
          </w:p>
          <w:p w14:paraId="3D3B538F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（40分）</w:t>
            </w:r>
          </w:p>
          <w:p w14:paraId="57F40609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  <w:p w14:paraId="0926465F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369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AC9811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履职</w:t>
            </w:r>
          </w:p>
          <w:p w14:paraId="68561969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效益</w:t>
            </w:r>
          </w:p>
        </w:tc>
        <w:tc>
          <w:tcPr>
            <w:tcW w:w="8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7894AEC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居民健康水平</w:t>
            </w:r>
          </w:p>
        </w:tc>
        <w:tc>
          <w:tcPr>
            <w:tcW w:w="5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AF66F16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稳定提升</w:t>
            </w:r>
          </w:p>
        </w:tc>
        <w:tc>
          <w:tcPr>
            <w:tcW w:w="3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0C2FDD0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稳定提升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0D78057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EF1B978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7DE34F56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防治结合为主，提升健康生活水平。</w:t>
            </w:r>
          </w:p>
        </w:tc>
      </w:tr>
      <w:tr w14:paraId="4854D3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705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58D707E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390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7996B53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369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1097B0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8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84C0B33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医疗废物处置</w:t>
            </w:r>
          </w:p>
        </w:tc>
        <w:tc>
          <w:tcPr>
            <w:tcW w:w="5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E97DBEB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规范处置</w:t>
            </w:r>
          </w:p>
        </w:tc>
        <w:tc>
          <w:tcPr>
            <w:tcW w:w="3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48AC16C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规范处置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71B5788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1BA4B28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4DA39F88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</w:p>
        </w:tc>
      </w:tr>
      <w:tr w14:paraId="252E66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4" w:hRule="atLeast"/>
          <w:jc w:val="center"/>
        </w:trPr>
        <w:tc>
          <w:tcPr>
            <w:tcW w:w="705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657A197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390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423FE24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369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728B5F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878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36B47C6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kern w:val="0"/>
                <w:sz w:val="16"/>
                <w:szCs w:val="16"/>
              </w:rPr>
              <w:t>打造基本医疗服务链条。</w:t>
            </w:r>
          </w:p>
        </w:tc>
        <w:tc>
          <w:tcPr>
            <w:tcW w:w="526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C6DA751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正常运转</w:t>
            </w:r>
          </w:p>
          <w:p w14:paraId="52FD702B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65C4340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正常运转</w:t>
            </w:r>
          </w:p>
          <w:p w14:paraId="1874F19C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2DAA92A">
            <w:pPr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　10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9718B59">
            <w:pPr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　</w:t>
            </w:r>
          </w:p>
          <w:p w14:paraId="73146396">
            <w:pPr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　10</w:t>
            </w:r>
          </w:p>
          <w:p w14:paraId="77D2BF80">
            <w:pPr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2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6EA640F5">
            <w:pPr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　</w:t>
            </w:r>
          </w:p>
          <w:p w14:paraId="7AC48858">
            <w:pPr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　</w:t>
            </w:r>
          </w:p>
          <w:p w14:paraId="3807EB97">
            <w:pPr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　</w:t>
            </w:r>
          </w:p>
        </w:tc>
      </w:tr>
      <w:tr w14:paraId="19E3E2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 w:hRule="atLeast"/>
          <w:jc w:val="center"/>
        </w:trPr>
        <w:tc>
          <w:tcPr>
            <w:tcW w:w="705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B29C844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390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7285109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369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643CCF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满意度</w:t>
            </w:r>
          </w:p>
        </w:tc>
        <w:tc>
          <w:tcPr>
            <w:tcW w:w="878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6979F16">
            <w:pPr>
              <w:spacing w:line="240" w:lineRule="exact"/>
              <w:jc w:val="center"/>
              <w:rPr>
                <w:rFonts w:hint="default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ascii="仿宋" w:hAnsi="仿宋" w:eastAsia="仿宋" w:cs="仿宋"/>
                <w:kern w:val="0"/>
                <w:sz w:val="16"/>
                <w:szCs w:val="16"/>
              </w:rPr>
              <w:t>职工满意度</w:t>
            </w:r>
          </w:p>
        </w:tc>
        <w:tc>
          <w:tcPr>
            <w:tcW w:w="526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46C9ED2">
            <w:pPr>
              <w:spacing w:line="240" w:lineRule="exact"/>
              <w:jc w:val="center"/>
              <w:rPr>
                <w:rFonts w:hint="default" w:ascii="仿宋" w:hAnsi="仿宋" w:eastAsia="仿宋" w:cs="仿宋"/>
                <w:kern w:val="0"/>
                <w:sz w:val="16"/>
                <w:szCs w:val="16"/>
              </w:rPr>
            </w:pPr>
          </w:p>
          <w:p w14:paraId="3EB58499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≥95%</w:t>
            </w:r>
          </w:p>
          <w:p w14:paraId="161CAA16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2C8432E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</w:p>
          <w:p w14:paraId="5D29B283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100%</w:t>
            </w:r>
          </w:p>
          <w:p w14:paraId="63DD9461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1954FF9">
            <w:pPr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　</w:t>
            </w:r>
          </w:p>
          <w:p w14:paraId="546259C2">
            <w:pPr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　5</w:t>
            </w:r>
          </w:p>
          <w:p w14:paraId="47C965AB">
            <w:pPr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22C971C">
            <w:pPr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　</w:t>
            </w:r>
          </w:p>
          <w:p w14:paraId="197BFC06">
            <w:pPr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　5　</w:t>
            </w:r>
          </w:p>
        </w:tc>
        <w:tc>
          <w:tcPr>
            <w:tcW w:w="1229" w:type="pct"/>
            <w:tcBorders>
              <w:top w:val="single" w:color="auto" w:sz="6" w:space="0"/>
              <w:left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2A572AFF">
            <w:pPr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　</w:t>
            </w:r>
          </w:p>
          <w:p w14:paraId="2DDA1B01">
            <w:pPr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　</w:t>
            </w:r>
          </w:p>
          <w:p w14:paraId="18A43CF5">
            <w:pPr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　</w:t>
            </w:r>
          </w:p>
        </w:tc>
      </w:tr>
      <w:tr w14:paraId="4667FC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6" w:hRule="atLeast"/>
          <w:jc w:val="center"/>
        </w:trPr>
        <w:tc>
          <w:tcPr>
            <w:tcW w:w="705" w:type="pct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DDE9FB0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90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3648E3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369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56A6BE6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878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EAE9B74">
            <w:pPr>
              <w:spacing w:line="240" w:lineRule="exact"/>
              <w:jc w:val="center"/>
              <w:rPr>
                <w:rFonts w:hint="default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ascii="仿宋" w:hAnsi="仿宋" w:eastAsia="仿宋" w:cs="仿宋"/>
                <w:kern w:val="0"/>
                <w:sz w:val="16"/>
                <w:szCs w:val="16"/>
              </w:rPr>
              <w:t>受益群众满意度。</w:t>
            </w:r>
          </w:p>
        </w:tc>
        <w:tc>
          <w:tcPr>
            <w:tcW w:w="526" w:type="pct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0691FE0"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≥95%</w:t>
            </w:r>
          </w:p>
          <w:p w14:paraId="3FB614F6">
            <w:pPr>
              <w:spacing w:line="240" w:lineRule="exact"/>
              <w:jc w:val="center"/>
              <w:rPr>
                <w:rFonts w:hint="default" w:ascii="仿宋" w:hAnsi="仿宋" w:eastAsia="仿宋" w:cs="仿宋"/>
                <w:kern w:val="0"/>
                <w:sz w:val="16"/>
                <w:szCs w:val="16"/>
              </w:rPr>
            </w:pPr>
          </w:p>
        </w:tc>
        <w:tc>
          <w:tcPr>
            <w:tcW w:w="323" w:type="pct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28B8274">
            <w:pPr>
              <w:spacing w:line="240" w:lineRule="exact"/>
              <w:jc w:val="center"/>
              <w:rPr>
                <w:rFonts w:hint="default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ascii="仿宋" w:hAnsi="仿宋" w:eastAsia="仿宋" w:cs="仿宋"/>
                <w:kern w:val="0"/>
                <w:sz w:val="16"/>
                <w:szCs w:val="16"/>
              </w:rPr>
              <w:t>100%</w:t>
            </w:r>
          </w:p>
        </w:tc>
        <w:tc>
          <w:tcPr>
            <w:tcW w:w="289" w:type="pct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496AEAB">
            <w:pPr>
              <w:spacing w:line="240" w:lineRule="exact"/>
              <w:jc w:val="center"/>
              <w:rPr>
                <w:rFonts w:hint="default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ascii="仿宋" w:hAnsi="仿宋" w:eastAsia="仿宋" w:cs="仿宋"/>
                <w:kern w:val="0"/>
                <w:sz w:val="16"/>
                <w:szCs w:val="16"/>
              </w:rPr>
              <w:t>5</w:t>
            </w:r>
          </w:p>
        </w:tc>
        <w:tc>
          <w:tcPr>
            <w:tcW w:w="289" w:type="pct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A0865BE">
            <w:pPr>
              <w:spacing w:line="240" w:lineRule="exact"/>
              <w:jc w:val="center"/>
              <w:rPr>
                <w:rFonts w:hint="default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ascii="仿宋" w:hAnsi="仿宋" w:eastAsia="仿宋" w:cs="仿宋"/>
                <w:kern w:val="0"/>
                <w:sz w:val="16"/>
                <w:szCs w:val="16"/>
              </w:rPr>
              <w:t>5</w:t>
            </w:r>
          </w:p>
        </w:tc>
        <w:tc>
          <w:tcPr>
            <w:tcW w:w="1229" w:type="pct"/>
            <w:tcBorders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67960B25">
            <w:pPr>
              <w:spacing w:line="240" w:lineRule="exact"/>
              <w:jc w:val="center"/>
              <w:rPr>
                <w:rFonts w:hint="default" w:ascii="仿宋" w:hAnsi="仿宋" w:eastAsia="仿宋" w:cs="仿宋"/>
                <w:kern w:val="0"/>
                <w:sz w:val="16"/>
                <w:szCs w:val="16"/>
              </w:rPr>
            </w:pPr>
          </w:p>
        </w:tc>
      </w:tr>
      <w:tr w14:paraId="76AF71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3191" w:type="pct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D00D50F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总分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B96411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100</w:t>
            </w:r>
          </w:p>
        </w:tc>
        <w:tc>
          <w:tcPr>
            <w:tcW w:w="289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A14B243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97</w:t>
            </w:r>
          </w:p>
        </w:tc>
        <w:tc>
          <w:tcPr>
            <w:tcW w:w="1229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49D2B135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</w:tbl>
    <w:p w14:paraId="76691252">
      <w:pPr>
        <w:jc w:val="left"/>
        <w:rPr>
          <w:rFonts w:hint="default" w:eastAsia="仿宋_GB2312"/>
          <w:sz w:val="22"/>
        </w:rPr>
        <w:sectPr>
          <w:footerReference r:id="rId3" w:type="default"/>
          <w:footerReference r:id="rId4" w:type="even"/>
          <w:pgSz w:w="11905" w:h="16837"/>
          <w:pgMar w:top="1440" w:right="1701" w:bottom="1440" w:left="1701" w:header="851" w:footer="1474" w:gutter="0"/>
          <w:pgNumType w:fmt="numberInDash" w:start="1"/>
          <w:cols w:space="0" w:num="1"/>
          <w:docGrid w:type="lines" w:linePitch="636" w:charSpace="0"/>
        </w:sectPr>
      </w:pPr>
      <w:r>
        <w:rPr>
          <w:rFonts w:asciiTheme="minorEastAsia" w:hAnsiTheme="minorEastAsia" w:eastAsiaTheme="minorEastAsia" w:cstheme="minorEastAsia"/>
          <w:sz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孙小波</w:t>
      </w:r>
      <w:r>
        <w:rPr>
          <w:rFonts w:asciiTheme="minorEastAsia" w:hAnsiTheme="minorEastAsia" w:eastAsiaTheme="minorEastAsia" w:cstheme="minorEastAsia"/>
          <w:sz w:val="24"/>
        </w:rPr>
        <w:t xml:space="preserve"> 填报日期：202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5</w:t>
      </w:r>
      <w:r>
        <w:rPr>
          <w:rFonts w:asciiTheme="minorEastAsia" w:hAnsiTheme="minorEastAsia" w:eastAsiaTheme="minorEastAsia" w:cstheme="minorEastAsia"/>
          <w:sz w:val="24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7</w:t>
      </w:r>
      <w:r>
        <w:rPr>
          <w:rFonts w:asciiTheme="minorEastAsia" w:hAnsiTheme="minorEastAsia" w:eastAsiaTheme="minorEastAsia" w:cstheme="minorEastAsia"/>
          <w:sz w:val="24"/>
        </w:rPr>
        <w:t>月19日  联系电话：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19958270900</w:t>
      </w:r>
      <w:r>
        <w:rPr>
          <w:rFonts w:asciiTheme="minorEastAsia" w:hAnsiTheme="minorEastAsia" w:eastAsiaTheme="minorEastAsia" w:cstheme="minorEastAsia"/>
          <w:sz w:val="24"/>
        </w:rPr>
        <w:t xml:space="preserve"> 单位负责人签字：</w:t>
      </w:r>
    </w:p>
    <w:p w14:paraId="7B878288">
      <w:pPr>
        <w:spacing w:line="440" w:lineRule="exact"/>
        <w:jc w:val="left"/>
        <w:rPr>
          <w:rFonts w:hint="default" w:eastAsia="黑体"/>
          <w:color w:val="000000"/>
          <w:sz w:val="32"/>
        </w:rPr>
      </w:pPr>
      <w:r>
        <w:rPr>
          <w:rFonts w:ascii="黑体" w:hAnsi="黑体" w:eastAsia="黑体" w:cs="黑体"/>
          <w:color w:val="000000"/>
          <w:sz w:val="32"/>
          <w:szCs w:val="32"/>
        </w:rPr>
        <w:t>附件4</w:t>
      </w:r>
    </w:p>
    <w:p w14:paraId="664CCDAE"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</w:t>
      </w:r>
      <w:r>
        <w:rPr>
          <w:rFonts w:hint="eastAsia" w:ascii="方正小标宋简体" w:eastAsia="方正小标宋简体"/>
          <w:sz w:val="44"/>
          <w:lang w:val="en-US" w:eastAsia="zh-CN"/>
        </w:rPr>
        <w:t>4</w:t>
      </w:r>
      <w:r>
        <w:rPr>
          <w:rFonts w:ascii="方正小标宋简体" w:eastAsia="方正小标宋简体"/>
          <w:sz w:val="44"/>
        </w:rPr>
        <w:t>年度项目支出绩效自评报告</w:t>
      </w:r>
    </w:p>
    <w:tbl>
      <w:tblPr>
        <w:tblStyle w:val="7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 w14:paraId="5956B5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CFE885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DE02C19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0DE5F10F">
            <w:pPr>
              <w:widowControl/>
              <w:jc w:val="center"/>
              <w:rPr>
                <w:rFonts w:hint="default"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基本公共为生服务、药物制度补助项目</w:t>
            </w:r>
          </w:p>
        </w:tc>
      </w:tr>
      <w:tr w14:paraId="5DE116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 w14:paraId="50D79FE0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E7FA50C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6662F9D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44.82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万</w:t>
            </w:r>
          </w:p>
        </w:tc>
      </w:tr>
      <w:tr w14:paraId="0763E2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 w14:paraId="6B56DD5A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7E503C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5DDC19D9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双牌县卫生健康局</w:t>
            </w:r>
          </w:p>
        </w:tc>
      </w:tr>
      <w:tr w14:paraId="3A0D2E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 w14:paraId="1949E941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1F082D6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08D9D85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提高居民健康水平，解决居民看病难看病贵的问题。</w:t>
            </w:r>
          </w:p>
        </w:tc>
      </w:tr>
      <w:tr w14:paraId="7ABDC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1BFA5A5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1A3532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3D8FE732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本部门项目支出实行绩效目标管理，202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4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年部门项目支出绩效目标的金额为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44.82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万元，年末决算金额为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44.82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万元。</w:t>
            </w:r>
          </w:p>
        </w:tc>
      </w:tr>
      <w:tr w14:paraId="647D63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 w14:paraId="353A8AFE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617DD7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679EA4A9">
            <w:pPr>
              <w:ind w:firstLine="480" w:firstLineChars="200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电子健康档案， 健康教育，预防接种，儿童、 孕产妇、老年人、 高血压患者、糖尿病患者、重精患者和肺结核患者等7类重点人群健康管理服务，中医药健康管理服务，家医签约服务等14个二级指标达到省、市要求。</w:t>
            </w:r>
          </w:p>
        </w:tc>
      </w:tr>
      <w:tr w14:paraId="2625B5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6AE516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F78563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0C14E0B3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30"/>
                <w:szCs w:val="30"/>
              </w:rPr>
              <w:t>.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预算细化程度不够，造成了预算数与执行数的差异；2．预算执行完成后的绩效管理还有待完善和加强。</w:t>
            </w:r>
          </w:p>
        </w:tc>
      </w:tr>
      <w:tr w14:paraId="644E2E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 w14:paraId="19B9CCDA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91BCBF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66DEA8DC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严格按照政府会计制度准则实行财务运行和财务报账机制。</w:t>
            </w:r>
          </w:p>
        </w:tc>
      </w:tr>
      <w:tr w14:paraId="70E2FE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/>
          </w:tcPr>
          <w:p w14:paraId="161E5148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84EB92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6A4C83F8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 w14:paraId="65D02814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无。</w:t>
            </w:r>
          </w:p>
          <w:p w14:paraId="76557B0F"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</w:tbl>
    <w:p w14:paraId="348BF80D"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p w14:paraId="0C3F51E3">
      <w:pPr>
        <w:jc w:val="left"/>
        <w:rPr>
          <w:rFonts w:hint="default" w:eastAsia="仿宋_GB2312"/>
          <w:sz w:val="22"/>
        </w:rPr>
        <w:sectPr>
          <w:footerReference r:id="rId5" w:type="default"/>
          <w:footerReference r:id="rId6" w:type="even"/>
          <w:pgSz w:w="11905" w:h="16837"/>
          <w:pgMar w:top="1440" w:right="1701" w:bottom="1440" w:left="1701" w:header="851" w:footer="1474" w:gutter="0"/>
          <w:pgNumType w:fmt="numberInDash" w:start="1"/>
          <w:cols w:space="0" w:num="1"/>
          <w:docGrid w:type="lines" w:linePitch="636" w:charSpace="0"/>
        </w:sectPr>
      </w:pPr>
      <w:r>
        <w:rPr>
          <w:rFonts w:asciiTheme="minorEastAsia" w:hAnsiTheme="minorEastAsia" w:eastAsiaTheme="minorEastAsia" w:cstheme="minorEastAsia"/>
          <w:sz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孙小波</w:t>
      </w:r>
      <w:r>
        <w:rPr>
          <w:rFonts w:asciiTheme="minorEastAsia" w:hAnsiTheme="minorEastAsia" w:eastAsiaTheme="minorEastAsia" w:cstheme="minorEastAsia"/>
          <w:sz w:val="24"/>
        </w:rPr>
        <w:t xml:space="preserve"> 填报日期：202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5</w:t>
      </w:r>
      <w:r>
        <w:rPr>
          <w:rFonts w:asciiTheme="minorEastAsia" w:hAnsiTheme="minorEastAsia" w:eastAsiaTheme="minorEastAsia" w:cstheme="minorEastAsia"/>
          <w:sz w:val="24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7</w:t>
      </w:r>
      <w:r>
        <w:rPr>
          <w:rFonts w:asciiTheme="minorEastAsia" w:hAnsiTheme="minorEastAsia" w:eastAsiaTheme="minorEastAsia" w:cstheme="minorEastAsia"/>
          <w:sz w:val="24"/>
        </w:rPr>
        <w:t>月19日  联系电话：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19958270900</w:t>
      </w:r>
      <w:r>
        <w:rPr>
          <w:rFonts w:asciiTheme="minorEastAsia" w:hAnsiTheme="minorEastAsia" w:eastAsiaTheme="minorEastAsia" w:cstheme="minorEastAsia"/>
          <w:sz w:val="24"/>
        </w:rPr>
        <w:t xml:space="preserve"> 单位负责人签字：</w:t>
      </w:r>
    </w:p>
    <w:p w14:paraId="6D91D76C">
      <w:pPr>
        <w:spacing w:line="600" w:lineRule="exact"/>
        <w:jc w:val="left"/>
        <w:rPr>
          <w:rFonts w:hint="default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附件5</w:t>
      </w:r>
    </w:p>
    <w:p w14:paraId="21606F93">
      <w:pPr>
        <w:spacing w:afterLines="50" w:line="60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</w:t>
      </w:r>
      <w:r>
        <w:rPr>
          <w:rFonts w:hint="eastAsia" w:ascii="方正小标宋简体" w:eastAsia="方正小标宋简体"/>
          <w:sz w:val="44"/>
          <w:lang w:val="en-US" w:eastAsia="zh-CN"/>
        </w:rPr>
        <w:t>4</w:t>
      </w:r>
      <w:r>
        <w:rPr>
          <w:rFonts w:ascii="方正小标宋简体" w:eastAsia="方正小标宋简体"/>
          <w:sz w:val="44"/>
        </w:rPr>
        <w:t>年度项目支出绩效自评表</w:t>
      </w:r>
    </w:p>
    <w:tbl>
      <w:tblPr>
        <w:tblStyle w:val="7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 w14:paraId="583C7E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6AA977F"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项目支</w:t>
            </w:r>
          </w:p>
          <w:p w14:paraId="38AFF2E0"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7074A329">
            <w:pPr>
              <w:widowControl/>
              <w:jc w:val="center"/>
              <w:rPr>
                <w:rFonts w:hint="default"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基本公共为生服务、药物制度补助项目</w:t>
            </w:r>
          </w:p>
        </w:tc>
      </w:tr>
      <w:tr w14:paraId="56D7FF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5CC2538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46404C5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双牌县卫生健康局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7DF049B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48398269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双牌县塘底乡卫生院</w:t>
            </w:r>
          </w:p>
        </w:tc>
      </w:tr>
      <w:tr w14:paraId="5DD1A0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20BFF3C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项目资金</w:t>
            </w:r>
          </w:p>
          <w:p w14:paraId="78DB4420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D7CB002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09B438A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年初</w:t>
            </w:r>
          </w:p>
          <w:p w14:paraId="1730D32E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97D72F6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全年</w:t>
            </w:r>
          </w:p>
          <w:p w14:paraId="24872BA0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FA6179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全年</w:t>
            </w:r>
          </w:p>
          <w:p w14:paraId="760A5BA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D06CA0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57C85A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7B47B9B5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得分</w:t>
            </w:r>
          </w:p>
        </w:tc>
      </w:tr>
      <w:tr w14:paraId="7497D5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FCCFBDA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A1C4A94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C551B2B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44.82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2ECC0C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44.82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10A8AC0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44.82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96C0149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7A8FE55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6F7D3210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</w:tr>
      <w:tr w14:paraId="76AD7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C20171D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7BE3909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C137F8D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04650F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44.82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6D7398C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44.82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0A7D97F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7ABF234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1B092C6A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</w:tr>
      <w:tr w14:paraId="0119A8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9B9F656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CB8FCAF"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1F4FB5B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55CA683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5A7D00B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DC85C67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60932A2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594260DC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</w:tr>
      <w:tr w14:paraId="5B9E50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5F66B0D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54356E6"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27F1694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9A18463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086AA44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E0801D1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586737C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04A755D3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</w:tr>
      <w:tr w14:paraId="4F703D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0B7E4B9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E56C7B3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491D8ED4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实际完成情况　</w:t>
            </w:r>
          </w:p>
        </w:tc>
      </w:tr>
      <w:tr w14:paraId="68B56D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C69224A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4677820">
            <w:pP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_GB2312"/>
                <w:kern w:val="0"/>
                <w:sz w:val="18"/>
                <w:szCs w:val="18"/>
              </w:rPr>
              <w:t>用于开展卫生健康服务工作，促进公共为生事业发展和基本药物制度、村医补助发放。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　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2D8590C9">
            <w:pP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ascii="仿宋_GB2312" w:hAnsi="仿宋_GB2312"/>
                <w:kern w:val="0"/>
                <w:sz w:val="18"/>
                <w:szCs w:val="18"/>
              </w:rPr>
              <w:t>用于开展卫生健康服务工作，促进公共为生事业发展和基本药物制度、村医补助发放。</w:t>
            </w:r>
          </w:p>
        </w:tc>
      </w:tr>
      <w:tr w14:paraId="661AE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E1CFAEA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绩</w:t>
            </w:r>
          </w:p>
          <w:p w14:paraId="386C4F46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</w:t>
            </w:r>
          </w:p>
          <w:p w14:paraId="76D3432A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</w:t>
            </w:r>
          </w:p>
          <w:p w14:paraId="0D6BB74E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86ABB19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9B4D29F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45ABFD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C8719F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</w:t>
            </w:r>
          </w:p>
          <w:p w14:paraId="5500CCE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548123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</w:t>
            </w:r>
          </w:p>
          <w:p w14:paraId="0538011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A38018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D0DB40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549AFDB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偏差原因</w:t>
            </w:r>
          </w:p>
          <w:p w14:paraId="3154618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分析及</w:t>
            </w:r>
          </w:p>
          <w:p w14:paraId="1A4BE5C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改进措施</w:t>
            </w:r>
          </w:p>
        </w:tc>
      </w:tr>
      <w:tr w14:paraId="63FA3D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48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FE87AA2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4FAD88F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成本指标</w:t>
            </w:r>
          </w:p>
          <w:p w14:paraId="75A55B09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AEFBA2C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经济成</w:t>
            </w:r>
          </w:p>
          <w:p w14:paraId="5863C601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B80418F">
            <w:pPr>
              <w:jc w:val="left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sz w:val="16"/>
                <w:szCs w:val="16"/>
              </w:rPr>
              <w:t>资金投入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A5F121C">
            <w:pPr>
              <w:jc w:val="left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sz w:val="16"/>
                <w:szCs w:val="16"/>
              </w:rPr>
              <w:t>　107.28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2790594">
            <w:pPr>
              <w:jc w:val="left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sz w:val="16"/>
                <w:szCs w:val="16"/>
              </w:rPr>
              <w:t>　107.28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95F5391">
            <w:pPr>
              <w:jc w:val="left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sz w:val="16"/>
                <w:szCs w:val="16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FF653B2">
            <w:pPr>
              <w:jc w:val="left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sz w:val="16"/>
                <w:szCs w:val="16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1F09B8C2">
            <w:pPr>
              <w:jc w:val="left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sz w:val="16"/>
                <w:szCs w:val="16"/>
              </w:rPr>
              <w:t>　</w:t>
            </w:r>
          </w:p>
          <w:p w14:paraId="55A04429">
            <w:pPr>
              <w:jc w:val="left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sz w:val="16"/>
                <w:szCs w:val="16"/>
              </w:rPr>
              <w:t>　</w:t>
            </w:r>
          </w:p>
        </w:tc>
      </w:tr>
      <w:tr w14:paraId="007A16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7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8F73F50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E5AE368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E39C514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社会成</w:t>
            </w:r>
          </w:p>
          <w:p w14:paraId="66B3F676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3208932">
            <w:pPr>
              <w:jc w:val="left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sz w:val="16"/>
                <w:szCs w:val="16"/>
              </w:rPr>
              <w:t>开展相关活动，提供优质服务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9BD569D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sz w:val="16"/>
                <w:szCs w:val="16"/>
              </w:rPr>
              <w:t>　90%</w:t>
            </w:r>
          </w:p>
          <w:p w14:paraId="7A4B694A">
            <w:pPr>
              <w:jc w:val="left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</w:p>
          <w:p w14:paraId="28790792">
            <w:pPr>
              <w:jc w:val="left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DBA4896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sz w:val="16"/>
                <w:szCs w:val="16"/>
              </w:rPr>
              <w:t>　90%</w:t>
            </w:r>
          </w:p>
          <w:p w14:paraId="59713BD1">
            <w:pPr>
              <w:jc w:val="left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</w:p>
          <w:p w14:paraId="2C530E00">
            <w:pPr>
              <w:jc w:val="left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330C841">
            <w:pPr>
              <w:jc w:val="left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sz w:val="16"/>
                <w:szCs w:val="16"/>
              </w:rPr>
              <w:t>　5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277E4AA">
            <w:pPr>
              <w:jc w:val="left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sz w:val="16"/>
                <w:szCs w:val="16"/>
              </w:rPr>
              <w:t>　5</w:t>
            </w:r>
          </w:p>
          <w:p w14:paraId="5768DD7A">
            <w:pPr>
              <w:jc w:val="left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23960AB2">
            <w:pPr>
              <w:jc w:val="left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sz w:val="16"/>
                <w:szCs w:val="16"/>
              </w:rPr>
              <w:t>　</w:t>
            </w:r>
          </w:p>
          <w:p w14:paraId="14489F7F">
            <w:pPr>
              <w:jc w:val="left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sz w:val="16"/>
                <w:szCs w:val="16"/>
              </w:rPr>
              <w:t>　</w:t>
            </w:r>
          </w:p>
        </w:tc>
      </w:tr>
      <w:tr w14:paraId="734642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2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C797EB4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DEC2E5B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620C3D5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生态环境</w:t>
            </w:r>
          </w:p>
          <w:p w14:paraId="07FB473E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37E511F">
            <w:pPr>
              <w:jc w:val="left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sz w:val="16"/>
                <w:szCs w:val="16"/>
              </w:rPr>
              <w:t>获得本乡镇居民的认可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DB01ACA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sz w:val="16"/>
                <w:szCs w:val="16"/>
              </w:rPr>
              <w:t>90%</w:t>
            </w:r>
          </w:p>
          <w:p w14:paraId="32457FC3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28565F3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sz w:val="16"/>
                <w:szCs w:val="16"/>
              </w:rPr>
              <w:t>90%</w:t>
            </w:r>
          </w:p>
          <w:p w14:paraId="6C018848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80F2E86">
            <w:pPr>
              <w:ind w:firstLine="160" w:firstLineChars="100"/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sz w:val="16"/>
                <w:szCs w:val="16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C656AF7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sz w:val="16"/>
                <w:szCs w:val="16"/>
              </w:rPr>
              <w:t>5</w:t>
            </w:r>
          </w:p>
          <w:p w14:paraId="210C6B8B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132604C7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</w:p>
          <w:p w14:paraId="6DB5D82D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643173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2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9B7F6EB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DDDE658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产出指标</w:t>
            </w:r>
          </w:p>
          <w:p w14:paraId="258D1AB2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（40分）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745A0B4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ABB0558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推进国家基本公共卫生服务，药物药品零差价销售率。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932C19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90%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 w14:paraId="3D3FE2A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</w:rPr>
            </w:pPr>
          </w:p>
          <w:p w14:paraId="31A9B7A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</w:rPr>
            </w:pPr>
          </w:p>
          <w:p w14:paraId="4C857A5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85%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882064D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344D2F3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6048EE2C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671004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2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F150DF1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05393D9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3CB56A1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568DADC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按时完成各项工作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77B61D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 w14:paraId="41773AB9">
            <w:pPr>
              <w:widowControl/>
              <w:jc w:val="center"/>
              <w:rPr>
                <w:rFonts w:hint="default"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90%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14D4226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CF02747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</w:p>
          <w:p w14:paraId="7A76F003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5EC12FF4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75FFFC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2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02D09AC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215C7C0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45E7EE4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D37711E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  <w:shd w:val="clear" w:color="auto" w:fill="FFFFFF"/>
              </w:rPr>
              <w:t>按照上级考核指标逐项完成率。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16FA91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 w14:paraId="08CF87D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95%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079DDB5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6804D2B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02DC8A3A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31E8C2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2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7E517BF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0DBBAD8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效益指标</w:t>
            </w:r>
          </w:p>
          <w:p w14:paraId="25D84A6D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4B324EA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经济效</w:t>
            </w:r>
          </w:p>
          <w:p w14:paraId="4C1FE14A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6BF9C33">
            <w:pPr>
              <w:jc w:val="left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产生业务总收入。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735279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90%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 w14:paraId="787882C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85%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F9C1A55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0807BCE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</w:p>
          <w:p w14:paraId="393E4859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63520084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66CBD4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2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9B0DDD3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F5DA3E8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D7118CC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生态效</w:t>
            </w:r>
          </w:p>
          <w:p w14:paraId="1AABD40B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14D85CA"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提供更优质的服务力度，赢得群众满意和支持。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59756C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90%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 w14:paraId="6631F3E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85%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C9E80F8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sz w:val="16"/>
                <w:szCs w:val="16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39773EF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</w:p>
          <w:p w14:paraId="059EE6B3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sz w:val="16"/>
                <w:szCs w:val="16"/>
              </w:rPr>
              <w:t>4</w:t>
            </w:r>
          </w:p>
          <w:p w14:paraId="50680C76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77755EF0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4D7C05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2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D8F8A5A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7196B1A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3254543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社会效</w:t>
            </w:r>
          </w:p>
          <w:p w14:paraId="40310160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DC6FB8A">
            <w:pPr>
              <w:jc w:val="left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治疗病人恢复率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9C8736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90%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 w14:paraId="3A4A487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85%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F19124B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sz w:val="16"/>
                <w:szCs w:val="16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E7909FB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48DBA946">
            <w:pPr>
              <w:jc w:val="center"/>
              <w:rPr>
                <w:rFonts w:hint="default" w:ascii="宋体" w:hAnsi="宋体" w:eastAsia="宋体" w:cs="宋体"/>
                <w:color w:val="000000"/>
                <w:sz w:val="16"/>
                <w:szCs w:val="16"/>
              </w:rPr>
            </w:pPr>
          </w:p>
        </w:tc>
      </w:tr>
      <w:tr w14:paraId="40EB4A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6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D7E42B9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27FB7A4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满意度</w:t>
            </w:r>
          </w:p>
          <w:p w14:paraId="151BFEB1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指标</w:t>
            </w:r>
          </w:p>
          <w:p w14:paraId="5E807ABB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E7999E7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F0AE3E6">
            <w:pPr>
              <w:widowControl/>
              <w:jc w:val="left"/>
              <w:rPr>
                <w:rFonts w:hint="default" w:ascii="仿宋_GB2312" w:hAnsi="仿宋_GB2312" w:eastAsia="宋体"/>
                <w:b/>
                <w:bCs/>
                <w:kern w:val="0"/>
                <w:szCs w:val="21"/>
              </w:rPr>
            </w:pPr>
            <w:r>
              <w:rPr>
                <w:rFonts w:ascii="仿宋_GB2312" w:hAnsi="仿宋_GB2312"/>
                <w:kern w:val="0"/>
                <w:sz w:val="16"/>
                <w:szCs w:val="16"/>
              </w:rPr>
              <w:t>受意群众满意度。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BCD7349">
            <w:pPr>
              <w:widowControl/>
              <w:jc w:val="center"/>
              <w:rPr>
                <w:rFonts w:hint="default" w:ascii="仿宋_GB2312" w:hAnsi="仿宋_GB2312"/>
                <w:kern w:val="0"/>
                <w:szCs w:val="21"/>
              </w:rPr>
            </w:pPr>
            <w:r>
              <w:rPr>
                <w:rFonts w:ascii="仿宋_GB2312" w:hAnsi="仿宋_GB2312"/>
                <w:kern w:val="0"/>
              </w:rPr>
              <w:t>90%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 w14:paraId="466BEA6E">
            <w:pPr>
              <w:widowControl/>
              <w:jc w:val="center"/>
              <w:rPr>
                <w:rFonts w:hint="default" w:ascii="仿宋_GB2312" w:hAnsi="仿宋_GB2312" w:eastAsia="宋体"/>
                <w:kern w:val="0"/>
                <w:szCs w:val="21"/>
              </w:rPr>
            </w:pPr>
            <w:r>
              <w:rPr>
                <w:rFonts w:ascii="仿宋_GB2312" w:hAnsi="仿宋_GB2312"/>
                <w:kern w:val="0"/>
              </w:rPr>
              <w:t>95%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B4F7E62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5DB1E29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  <w:p w14:paraId="4B289006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52FA7360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 w14:paraId="48C091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F9BC55A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9EC47F9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3935DDC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95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307AC951"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</w:tbl>
    <w:p w14:paraId="377C9F84">
      <w:pPr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p w14:paraId="7221B068">
      <w:pPr>
        <w:jc w:val="left"/>
        <w:rPr>
          <w:rFonts w:hint="default" w:asciiTheme="minorEastAsia" w:hAnsiTheme="minorEastAsia" w:eastAsiaTheme="minorEastAsia" w:cstheme="minorEastAsia"/>
          <w:sz w:val="24"/>
        </w:rPr>
      </w:pPr>
    </w:p>
    <w:p w14:paraId="3421016D">
      <w:pPr>
        <w:jc w:val="left"/>
        <w:rPr>
          <w:rFonts w:hint="default" w:eastAsia="仿宋_GB2312"/>
          <w:sz w:val="22"/>
        </w:rPr>
        <w:sectPr>
          <w:footerReference r:id="rId7" w:type="default"/>
          <w:footerReference r:id="rId8" w:type="even"/>
          <w:pgSz w:w="11905" w:h="16837"/>
          <w:pgMar w:top="1440" w:right="1701" w:bottom="1440" w:left="1701" w:header="851" w:footer="1474" w:gutter="0"/>
          <w:pgNumType w:fmt="numberInDash" w:start="1"/>
          <w:cols w:space="0" w:num="1"/>
          <w:docGrid w:type="lines" w:linePitch="636" w:charSpace="0"/>
        </w:sectPr>
      </w:pPr>
      <w:r>
        <w:rPr>
          <w:rFonts w:asciiTheme="minorEastAsia" w:hAnsiTheme="minorEastAsia" w:eastAsiaTheme="minorEastAsia" w:cstheme="minorEastAsia"/>
          <w:sz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孙小波</w:t>
      </w:r>
      <w:r>
        <w:rPr>
          <w:rFonts w:asciiTheme="minorEastAsia" w:hAnsiTheme="minorEastAsia" w:eastAsiaTheme="minorEastAsia" w:cstheme="minorEastAsia"/>
          <w:sz w:val="24"/>
        </w:rPr>
        <w:t xml:space="preserve"> 填报日期：202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5</w:t>
      </w:r>
      <w:r>
        <w:rPr>
          <w:rFonts w:asciiTheme="minorEastAsia" w:hAnsiTheme="minorEastAsia" w:eastAsiaTheme="minorEastAsia" w:cstheme="minorEastAsia"/>
          <w:sz w:val="24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7</w:t>
      </w:r>
      <w:r>
        <w:rPr>
          <w:rFonts w:asciiTheme="minorEastAsia" w:hAnsiTheme="minorEastAsia" w:eastAsiaTheme="minorEastAsia" w:cstheme="minorEastAsia"/>
          <w:sz w:val="24"/>
        </w:rPr>
        <w:t>月19日  联系电话：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19958270900</w:t>
      </w:r>
      <w:r>
        <w:rPr>
          <w:rFonts w:asciiTheme="minorEastAsia" w:hAnsiTheme="minorEastAsia" w:eastAsiaTheme="minorEastAsia" w:cstheme="minorEastAsia"/>
          <w:sz w:val="24"/>
        </w:rPr>
        <w:t xml:space="preserve"> 单位负责人签字</w:t>
      </w:r>
    </w:p>
    <w:p w14:paraId="65D159FE">
      <w:pPr>
        <w:rPr>
          <w:rFonts w:hint="default"/>
        </w:rPr>
      </w:pPr>
    </w:p>
    <w:sectPr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915EF6">
    <w:pPr>
      <w:pStyle w:val="3"/>
      <w:framePr w:wrap="auto" w:vAnchor="margin" w:hAnchor="text" w:xAlign="left" w:yAlign="inline"/>
      <w:ind w:right="360" w:firstLine="360"/>
      <w:rPr>
        <w:rFonts w:hint="default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B34B887">
                          <w:pPr>
                            <w:pStyle w:val="3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宋体" w:hAnsi="宋体" w:cs="宋体"/>
                              <w:szCs w:val="18"/>
                            </w:rPr>
                            <w:t>- 4 -</w:t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/pihOEBAADMAwAADgAAAGRycy9lMm9Eb2MueG1srVNNrtMwEN4jcQfL&#10;e5q0EqiKmj4B1UNICJAeHMB1nMaS/zSeNikHgBuwYsOec/UcjJ2kDx6bt2CTzJ+/me/zeHMzWMNO&#10;CqL2rubLRcmZctI32h1q/vnT7bM1ZxGFa4TxTtX8rCK/2T59sulDpVa+86ZRwAjExaoPNe8QQ1UU&#10;UXbKirjwQTlKth6sQHLhUDQgekK3pliV5Yui99AE8FLFSNHdmOQTIjwG0Letlmrn5dEqhyMqKCOQ&#10;KMVOh8i3edq2VRI/tG1UyEzNiSnmLzUhe5++xXYjqgOI0Gk5jSAeM8IDTlZoR02vUDuBgh1B/wNl&#10;tQQffYsL6W0xEsmKEItl+UCbu04ElbmQ1DFcRY//D1a+P30EppuaP+fMCUsXfvn+7fLj1+XnV7ZM&#10;8vQhVlR1F6gOh1d+oKWZ45GCifXQgk1/4sMoT+Ker+KqAZlMh9ar9bqklKTc7BB+cX88QMQ3yluW&#10;jJoD3V4WVZzeRRxL55LUzflbbUy+QeP+ChDmGFF5BabTick4cbJw2A8Tvb1vzsSOHgV17Tx84ayn&#10;lai5oxfAmXnrSPG0PbMBs7GfDeEkHaw5cjaar3HcsmMAfegId5mpxPDyiDR3ppPGGHuTDMmhS86C&#10;TAuZtuhPP1fdP8Lt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AL+mKE4QEAAMw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B34B887">
                    <w:pPr>
                      <w:pStyle w:val="3"/>
                      <w:rPr>
                        <w:rFonts w:hint="default"/>
                      </w:rPr>
                    </w:pPr>
                    <w:r>
                      <w:rPr>
                        <w:rFonts w:ascii="宋体" w:hAnsi="宋体" w:cs="宋体"/>
                        <w:szCs w:val="1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宋体" w:hAnsi="宋体" w:cs="宋体"/>
                        <w:szCs w:val="18"/>
                      </w:rPr>
                      <w:t>- 4 -</w:t>
                    </w:r>
                    <w:r>
                      <w:rPr>
                        <w:rFonts w:ascii="宋体" w:hAnsi="宋体" w:cs="宋体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A4E03A">
    <w:pPr>
      <w:pStyle w:val="3"/>
      <w:framePr w:wrap="auto" w:vAnchor="margin" w:hAnchor="text" w:xAlign="left" w:yAlign="inline"/>
      <w:ind w:right="360" w:firstLine="360"/>
      <w:rPr>
        <w:rFonts w:hint="default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13B86D7">
                          <w:pPr>
                            <w:pStyle w:val="3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EYTEeMBAADMAwAADgAAAGRycy9lMm9Eb2MueG1srVPNjtMwEL4j8Q6W&#10;7zRpkVZV1XS1UC1CQoC07AO4jtNY8p/G0yblAeANOHHhznP1ORg7SReWyx72ksyfv5nv83h93VvD&#10;jgqi9q7i81nJmXLS19rtK37/5fbVkrOIwtXCeKcqflKRX29evlh3YaUWvvWmVsAIxMVVFyreIoZV&#10;UUTZKivizAflKNl4sALJhX1Rg+gI3ZpiUZZXReehDuClipGi2yHJR0R4CqBvGi3V1suDVQ4HVFBG&#10;IFGKrQ6Rb/K0TaMkfmqaqJCZihNTzF9qQvYufYvNWqz2IEKr5TiCeMoIjzhZoR01vUBtBQp2AP0f&#10;lNUSfPQNzqS3xUAkK0Is5uUjbe5aEVTmQlLHcBE9Ph+s/Hj8DEzXFb/izAlLF37+8f388/f51zf2&#10;OsnThbiiqrtAddi/8T0tzRSPFEys+wZs+hMfRnkS93QRV/XIZDq0XCyXJaUk5SaH8IuH4wEivlPe&#10;smRUHOj2sqji+CHiUDqVpG7O32pj8g0a90+AMIeIyiswnk5MhomThf2uH+ntfH0idvQoqGvr4Stn&#10;Ha1ExR29AM7Me0eKp+2ZDJiM3WQIJ+lgxZGzwXyLw5YdAuh9S7jzTCWGmwPS3JlOGmPoTTIkhy45&#10;CzIuZNqiv/1c9fAIN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zql5uc8AAAAFAQAADwAAAAAA&#10;AAABACAAAAAiAAAAZHJzL2Rvd25yZXYueG1sUEsBAhQAFAAAAAgAh07iQJRGExHjAQAAzAMAAA4A&#10;AAAAAAAAAQAgAAAAHgEAAGRycy9lMm9Eb2MueG1sUEsFBgAAAAAGAAYAWQEAAHM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3B86D7">
                    <w:pPr>
                      <w:pStyle w:val="3"/>
                      <w:rPr>
                        <w:rFonts w:hint="default"/>
                      </w:rPr>
                    </w:pPr>
                    <w:r>
                      <w:rPr>
                        <w:rFonts w:ascii="宋体" w:hAnsi="宋体" w:cs="宋体"/>
                        <w:szCs w:val="1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Cs w:val="1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Cs w:val="18"/>
                      </w:rPr>
                      <w:t>- 2 -</w:t>
                    </w:r>
                    <w:r>
                      <w:rPr>
                        <w:rFonts w:ascii="宋体" w:hAnsi="宋体" w:cs="宋体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2A2392">
    <w:pPr>
      <w:pStyle w:val="3"/>
      <w:framePr w:wrap="auto" w:vAnchor="margin" w:hAnchor="text" w:xAlign="left" w:yAlign="inline"/>
      <w:ind w:right="360" w:firstLine="360"/>
      <w:rPr>
        <w:rFonts w:hint="default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4E4CFAC">
                          <w:pPr>
                            <w:pStyle w:val="3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宋体" w:hAnsi="宋体" w:cs="宋体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GVwN+IBAADMAwAADgAAAGRycy9lMm9Eb2MueG1srVPNjtMwEL4j8Q6W&#10;7zRpD6iKmq6AahESAqSFB3Adp7FkeyyP26Q8ALwBJy7cea4+B2Mn6S7LZQ9ckvnzN/N9Hm9uBmvY&#10;SQXU4Gq+XJScKSeh0e5Q8y+fb1+sOcMoXCMMOFXzs0J+s33+bNP7Sq2gA9OowAjEYdX7mncx+qoo&#10;UHbKClyAV46SLQQrIrnhUDRB9IRuTbEqy5dFD6HxAaRCpOhuTPIJMTwFENpWS7UDebTKxRE1KCMi&#10;UcJOe+TbPG3bKhk/ti2qyEzNiWnMX2pC9j59i+1GVIcgfKflNIJ4ygiPOFmhHTW9Qu1EFOwY9D9Q&#10;VssACG1cSLDFSCQrQiyW5SNt7jrhVeZCUqO/io7/D1Z+OH0KTDe0CZw5YenCLz++X37+vvz6xpZJ&#10;nt5jRVV3nuri8BqGVDrFkYKJ9dAGm/7Eh1GexD1fxVVDZDIdWq/W65JSknKzQzjF/XEfML5VYFky&#10;ah7o9rKo4vQe41g6l6RuDm61MRQXlXF/BQhzjKi8AtPpxGScOFlx2A8TjT00Z2JHj4K6dhC+ctbT&#10;StTc0QvgzLxzpHjantkIs7GfDeEkHax55Gw038Rxy44+6ENHuMtMBf2rY6S5M500xtibZEgOXXIW&#10;ZFrItEUP/Vx1/wi3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IGVwN+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4E4CFAC">
                    <w:pPr>
                      <w:pStyle w:val="3"/>
                      <w:rPr>
                        <w:rFonts w:hint="default"/>
                      </w:rPr>
                    </w:pPr>
                    <w:r>
                      <w:rPr>
                        <w:rFonts w:ascii="宋体" w:hAnsi="宋体" w:cs="宋体"/>
                        <w:szCs w:val="1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宋体" w:hAnsi="宋体" w:cs="宋体"/>
                        <w:szCs w:val="18"/>
                      </w:rPr>
                      <w:t>- 2 -</w:t>
                    </w:r>
                    <w:r>
                      <w:rPr>
                        <w:rFonts w:ascii="宋体" w:hAnsi="宋体" w:cs="宋体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02613A">
    <w:pPr>
      <w:pStyle w:val="3"/>
      <w:framePr w:wrap="auto" w:vAnchor="margin" w:hAnchor="text" w:xAlign="left" w:yAlign="inline"/>
      <w:ind w:right="360" w:firstLine="360"/>
      <w:rPr>
        <w:rFonts w:hint="default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A66254A">
                          <w:pPr>
                            <w:pStyle w:val="3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YoipeIBAADMAwAADgAAAGRycy9lMm9Eb2MueG1srVPNjtMwEL4j8Q6W&#10;7zRpQaiqmq6AahESAqSFB3Adp7HkP824TcoDwBtw4sKd5+pz7NhJurB72cNekvnzN/N9Hq+vemvY&#10;UQFq7yo+n5WcKSd9rd2+4t++Xr9YcoZRuFoY71TFTwr51eb5s3UXVmrhW29qBYxAHK66UPE2xrAq&#10;CpStsgJnPihHycaDFZFc2Bc1iI7QrSkWZfm66DzUAbxUiBTdDkk+IsJjAH3TaKm2Xh6scnFABWVE&#10;JErY6oB8k6dtGiXj56ZBFZmpODGN+UtNyN6lb7FZi9UeRGi1HEcQjxnhHicrtKOmF6itiIIdQD+A&#10;slqCR9/EmfS2GIhkRYjFvLynzU0rgspcSGoMF9Hx6WDlp+MXYLqu+CvOnLB04edfP8+//57//GAv&#10;kzxdwBVV3QSqi/1b39PSTHGkYGLdN2DTn/gwypO4p4u4qo9MpkPLxXJZUkpSbnIIv7g7HgDje+Ut&#10;S0bFgW4viyqOHzEOpVNJ6ub8tTYm36Bx/wUIc4iovALj6cRkmDhZsd/1I72dr0/Ejh4FdW09fOes&#10;o5WouKMXwJn54EjxtD2TAZOxmwzhJB2seORsMN/FYcsOAfS+Jdx5poLhzSHS3JlOGmPoTTIkhy45&#10;CzIuZNqif/1cdfcIN7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IYoipe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66254A">
                    <w:pPr>
                      <w:pStyle w:val="3"/>
                      <w:rPr>
                        <w:rFonts w:hint="default"/>
                      </w:rPr>
                    </w:pPr>
                    <w:r>
                      <w:rPr>
                        <w:rFonts w:ascii="宋体" w:hAnsi="宋体" w:cs="宋体"/>
                        <w:szCs w:val="1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Cs w:val="1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Cs w:val="18"/>
                      </w:rPr>
                      <w:t>- 2 -</w:t>
                    </w:r>
                    <w:r>
                      <w:rPr>
                        <w:rFonts w:ascii="宋体" w:hAnsi="宋体" w:cs="宋体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ED18C">
    <w:pPr>
      <w:pStyle w:val="3"/>
      <w:framePr w:wrap="auto" w:vAnchor="margin" w:hAnchor="text" w:xAlign="left" w:yAlign="inline"/>
      <w:ind w:right="360" w:firstLine="360"/>
      <w:rPr>
        <w:rFonts w:hint="default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607454C">
                          <w:pPr>
                            <w:pStyle w:val="3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宋体" w:hAnsi="宋体" w:cs="宋体"/>
                              <w:szCs w:val="18"/>
                            </w:rPr>
                            <w:t>4</w:t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alBg+EBAADMAwAADgAAAGRycy9lMm9Eb2MueG1srVNNrtMwEN4jcQfL&#10;e5q0SKiKmj4B1UNICJAeHMB1nMaS/zSeNikHgBuwYsOec/UcjJ2kDx6bt2CTzJ+/me/zeHMzWMNO&#10;CqL2rubLRcmZctI32h1q/vnT7bM1ZxGFa4TxTtX8rCK/2T59sulDpVa+86ZRwAjExaoPNe8QQ1UU&#10;UXbKirjwQTlKth6sQHLhUDQgekK3pliV5Yui99AE8FLFSNHdmOQTIjwG0Letlmrn5dEqhyMqKCOQ&#10;KMVOh8i3edq2VRI/tG1UyEzNiSnmLzUhe5++xXYjqgOI0Gk5jSAeM8IDTlZoR02vUDuBgh1B/wNl&#10;tQQffYsL6W0xEsmKEItl+UCbu04ElbmQ1DFcRY//D1a+P30EppuaP+fMCUsXfvn+7fLj1+XnV7ZM&#10;8vQhVlR1F6gOh1d+oKWZ45GCifXQgk1/4sMoT+Ker+KqAZlMh9ar9bqklKTc7BB+cX88QMQ3yluW&#10;jJoD3V4WVZzeRRxL55LUzflbbUy+QeP+ChDmGFF5BabTick4cbJw2A8Tvb1vzsSOHgV17Tx84ayn&#10;lai5oxfAmXnrSPG0PbMBs7GfDeEkHaw5cjaar3HcsmMAfegId5mpxPDyiDR3ppPGGHuTDMmhS86C&#10;TAuZtuhPP1fdP8Lt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CVqUGD4QEAAMw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607454C">
                    <w:pPr>
                      <w:pStyle w:val="3"/>
                      <w:rPr>
                        <w:rFonts w:hint="default"/>
                      </w:rPr>
                    </w:pPr>
                    <w:r>
                      <w:rPr>
                        <w:rFonts w:ascii="宋体" w:hAnsi="宋体" w:cs="宋体"/>
                        <w:szCs w:val="1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宋体" w:hAnsi="宋体" w:cs="宋体"/>
                        <w:szCs w:val="18"/>
                      </w:rPr>
                      <w:t>4</w:t>
                    </w:r>
                    <w:r>
                      <w:rPr>
                        <w:rFonts w:ascii="宋体" w:hAnsi="宋体" w:cs="宋体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7BF60">
    <w:pPr>
      <w:pStyle w:val="3"/>
      <w:framePr w:wrap="auto" w:vAnchor="margin" w:hAnchor="text" w:xAlign="left" w:yAlign="inline"/>
      <w:ind w:right="360" w:firstLine="360"/>
      <w:rPr>
        <w:rFonts w:hint="default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7B56B0D">
                          <w:pPr>
                            <w:pStyle w:val="3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9kBouIBAADMAwAADgAAAGRycy9lMm9Eb2MueG1srVNNrtMwEN4jcQfL&#10;e5q0SKiKmj4B1UNICJAeHMB1nMaS7bE8bpNyALgBKzbsOVfPwdhJ+uCxeQs2yfz5m/k+jzc3gzXs&#10;pAJqcDVfLkrOlJPQaHeo+edPt8/WnGEUrhEGnKr5WSG/2T59sul9pVbQgWlUYATisOp9zbsYfVUU&#10;KDtlBS7AK0fJFoIVkdxwKJogekK3pliV5Yuih9D4AFIhUnQ3JvmEGB4DCG2rpdqBPFrl4ogalBGR&#10;KGGnPfJtnrZtlYwf2hZVZKbmxDTmLzUhe5++xXYjqkMQvtNyGkE8ZoQHnKzQjppeoXYiCnYM+h8o&#10;q2UAhDYuJNhiJJIVIRbL8oE2d53wKnMhqdFfRcf/Byvfnz4GppuarzhzwtKFX75/u/z4dfn5lT1P&#10;8vQeK6q681QXh1cw0NLMcaRgYj20waY/8WGUJ3HPV3HVEJlMh9ar9bqklKTc7BB+cX/cB4xvFFiW&#10;jJoHur0sqji9wziWziWpm4NbbUy+QeP+ChDmGFF5BabTick4cbLisB8mentozsSOHgV17SB84ayn&#10;lai5oxfAmXnrSPG0PbMRZmM/G8JJOljzyNlovo7jlh190IeOcJeZCvqXx0hzZzppjLE3yZAcuuQs&#10;yLSQaYv+9HPV/SPc/g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v9kBou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B56B0D">
                    <w:pPr>
                      <w:pStyle w:val="3"/>
                      <w:rPr>
                        <w:rFonts w:hint="default"/>
                      </w:rPr>
                    </w:pPr>
                    <w:r>
                      <w:rPr>
                        <w:rFonts w:ascii="宋体" w:hAnsi="宋体" w:cs="宋体"/>
                        <w:szCs w:val="1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Cs w:val="1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Cs w:val="18"/>
                      </w:rPr>
                      <w:t>- 2 -</w:t>
                    </w:r>
                    <w:r>
                      <w:rPr>
                        <w:rFonts w:ascii="宋体" w:hAnsi="宋体" w:cs="宋体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9EC204"/>
    <w:multiLevelType w:val="singleLevel"/>
    <w:tmpl w:val="869EC204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2">
    <w:nsid w:val="58EA010F"/>
    <w:multiLevelType w:val="singleLevel"/>
    <w:tmpl w:val="58EA010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61214E05"/>
    <w:multiLevelType w:val="singleLevel"/>
    <w:tmpl w:val="61214E05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yMGQxMWRlNGIzN2U3OTIwZTcyOWUxZTM3NjFmOGYifQ=="/>
  </w:docVars>
  <w:rsids>
    <w:rsidRoot w:val="00172A27"/>
    <w:rsid w:val="00172A27"/>
    <w:rsid w:val="00201282"/>
    <w:rsid w:val="00213555"/>
    <w:rsid w:val="002548F3"/>
    <w:rsid w:val="002E1F55"/>
    <w:rsid w:val="007273E5"/>
    <w:rsid w:val="0084551F"/>
    <w:rsid w:val="00894470"/>
    <w:rsid w:val="009E4EB2"/>
    <w:rsid w:val="00B17466"/>
    <w:rsid w:val="00E549FE"/>
    <w:rsid w:val="00F72CA9"/>
    <w:rsid w:val="065B4BE3"/>
    <w:rsid w:val="08826F8D"/>
    <w:rsid w:val="0A3C5DCD"/>
    <w:rsid w:val="0B230EE0"/>
    <w:rsid w:val="0CAC582D"/>
    <w:rsid w:val="0CCE5073"/>
    <w:rsid w:val="101F3C57"/>
    <w:rsid w:val="105E064F"/>
    <w:rsid w:val="10A73DA4"/>
    <w:rsid w:val="10A96961"/>
    <w:rsid w:val="10D34B99"/>
    <w:rsid w:val="154B3473"/>
    <w:rsid w:val="15B02F86"/>
    <w:rsid w:val="1BCE59A7"/>
    <w:rsid w:val="1D5E5630"/>
    <w:rsid w:val="1F9C1D8C"/>
    <w:rsid w:val="1FD10F05"/>
    <w:rsid w:val="202D1DEC"/>
    <w:rsid w:val="20B567E0"/>
    <w:rsid w:val="20BA3D5C"/>
    <w:rsid w:val="20FE29CD"/>
    <w:rsid w:val="213827F6"/>
    <w:rsid w:val="21400304"/>
    <w:rsid w:val="2373608C"/>
    <w:rsid w:val="24756501"/>
    <w:rsid w:val="24777FA5"/>
    <w:rsid w:val="28327F9F"/>
    <w:rsid w:val="2AF82401"/>
    <w:rsid w:val="2BE16B79"/>
    <w:rsid w:val="2ED9414A"/>
    <w:rsid w:val="30B023A9"/>
    <w:rsid w:val="31EF3498"/>
    <w:rsid w:val="323C3349"/>
    <w:rsid w:val="33457B5A"/>
    <w:rsid w:val="33EA0D37"/>
    <w:rsid w:val="377805FB"/>
    <w:rsid w:val="39DE2D7E"/>
    <w:rsid w:val="3A79547F"/>
    <w:rsid w:val="3B6B4EB5"/>
    <w:rsid w:val="3BD04936"/>
    <w:rsid w:val="3D842BDE"/>
    <w:rsid w:val="3DFB432B"/>
    <w:rsid w:val="3F373503"/>
    <w:rsid w:val="4057625B"/>
    <w:rsid w:val="41A60F90"/>
    <w:rsid w:val="437042B4"/>
    <w:rsid w:val="43D25C86"/>
    <w:rsid w:val="45AA0C30"/>
    <w:rsid w:val="461B7E6D"/>
    <w:rsid w:val="47B9793D"/>
    <w:rsid w:val="47FF7E2A"/>
    <w:rsid w:val="49301F5C"/>
    <w:rsid w:val="4A7E5437"/>
    <w:rsid w:val="4B293FCF"/>
    <w:rsid w:val="4B490F32"/>
    <w:rsid w:val="4B564457"/>
    <w:rsid w:val="4B9A5798"/>
    <w:rsid w:val="4C0575F5"/>
    <w:rsid w:val="4C575977"/>
    <w:rsid w:val="4DF30F3A"/>
    <w:rsid w:val="4E8B7C40"/>
    <w:rsid w:val="4F1637A4"/>
    <w:rsid w:val="500F1BD2"/>
    <w:rsid w:val="51C40746"/>
    <w:rsid w:val="52065E75"/>
    <w:rsid w:val="52C11D9C"/>
    <w:rsid w:val="543E6CC0"/>
    <w:rsid w:val="55412274"/>
    <w:rsid w:val="55C03679"/>
    <w:rsid w:val="57C446E9"/>
    <w:rsid w:val="58820FB8"/>
    <w:rsid w:val="589272AE"/>
    <w:rsid w:val="5ABA52A9"/>
    <w:rsid w:val="5C8E01AF"/>
    <w:rsid w:val="5D7C348F"/>
    <w:rsid w:val="62BE6D8B"/>
    <w:rsid w:val="64D36744"/>
    <w:rsid w:val="64E742EF"/>
    <w:rsid w:val="684B0AD7"/>
    <w:rsid w:val="69AF5EEE"/>
    <w:rsid w:val="6D0A4D83"/>
    <w:rsid w:val="72392434"/>
    <w:rsid w:val="75073918"/>
    <w:rsid w:val="771A18F7"/>
    <w:rsid w:val="78BB479E"/>
    <w:rsid w:val="79EF393C"/>
    <w:rsid w:val="7DEC38C1"/>
    <w:rsid w:val="7E991F23"/>
    <w:rsid w:val="7EB551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unhideWhenUsed/>
    <w:qFormat/>
    <w:uiPriority w:val="0"/>
    <w:pPr>
      <w:framePr w:wrap="auto" w:vAnchor="text" w:hAnchor="margin" w:xAlign="outside" w:y="1"/>
      <w:tabs>
        <w:tab w:val="center" w:pos="4153"/>
        <w:tab w:val="right" w:pos="8306"/>
      </w:tabs>
      <w:snapToGrid w:val="0"/>
      <w:jc w:val="left"/>
    </w:pPr>
    <w:rPr>
      <w:kern w:val="0"/>
      <w:sz w:val="2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Autospacing="1" w:afterAutospacing="1"/>
      <w:jc w:val="left"/>
    </w:pPr>
    <w:rPr>
      <w:rFonts w:hint="default" w:ascii="Calibri" w:hAnsi="Calibri" w:eastAsia="宋体"/>
      <w:kern w:val="0"/>
      <w:sz w:val="24"/>
    </w:rPr>
  </w:style>
  <w:style w:type="paragraph" w:styleId="6">
    <w:name w:val="Body Text First Indent 2"/>
    <w:basedOn w:val="2"/>
    <w:qFormat/>
    <w:uiPriority w:val="0"/>
    <w:pPr>
      <w:spacing w:before="100" w:beforeAutospacing="1"/>
      <w:ind w:left="0" w:firstLine="420" w:firstLineChars="200"/>
    </w:pPr>
  </w:style>
  <w:style w:type="paragraph" w:customStyle="1" w:styleId="9">
    <w:name w:val="列出段落1"/>
    <w:basedOn w:val="1"/>
    <w:unhideWhenUsed/>
    <w:qFormat/>
    <w:uiPriority w:val="34"/>
    <w:pPr>
      <w:ind w:firstLine="420" w:firstLineChars="200"/>
    </w:pPr>
    <w:rPr>
      <w:rFonts w:ascii="仿宋" w:hAnsi="仿宋" w:eastAsia="仿宋"/>
      <w:kern w:val="0"/>
      <w:sz w:val="2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  <w:rPr>
      <w:rFonts w:hint="default" w:ascii="Calibri" w:hAnsi="Calibri"/>
      <w:kern w:val="0"/>
      <w:sz w:val="28"/>
    </w:rPr>
  </w:style>
  <w:style w:type="character" w:customStyle="1" w:styleId="11">
    <w:name w:val="页眉 Char"/>
    <w:basedOn w:val="8"/>
    <w:link w:val="4"/>
    <w:uiPriority w:val="0"/>
    <w:rPr>
      <w:rFonts w:eastAsia="Times New Roman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1638</Words>
  <Characters>1925</Characters>
  <Lines>31</Lines>
  <Paragraphs>8</Paragraphs>
  <TotalTime>80</TotalTime>
  <ScaleCrop>false</ScaleCrop>
  <LinksUpToDate>false</LinksUpToDate>
  <CharactersWithSpaces>1979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2025-07-22T01:31:00Z</dcterms:created>
  <dc:creator>海之韵</dc:creator>
  <cp:lastModifiedBy>李文</cp:lastModifiedBy>
  <dcterms:modified xsi:type="dcterms:W3CDTF">2025-07-22T06:37:43Z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CB15C7DE012A4A28A10D7178D6C56FE8_13</vt:lpwstr>
  </property>
  <property fmtid="{D5CDD505-2E9C-101B-9397-08002B2CF9AE}" pid="4" name="KSOTemplateDocerSaveRecord">
    <vt:lpwstr>eyJoZGlkIjoiZWE2NDFlZTRjMWQ2N2RiNzUxYjZjMWY5MjEzNTllZjkiLCJ1c2VySWQiOiI0NDEwNDE0ODIifQ==</vt:lpwstr>
  </property>
</Properties>
</file>