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43F1F">
      <w:pPr>
        <w:widowControl/>
        <w:spacing w:beforeLines="0" w:afterLines="0" w:line="540" w:lineRule="exact"/>
        <w:jc w:val="left"/>
        <w:rPr>
          <w:rFonts w:hint="eastAsia" w:ascii="黑体" w:hAnsi="黑体" w:eastAsia="黑体" w:cs="黑体"/>
          <w:sz w:val="32"/>
          <w:szCs w:val="32"/>
        </w:rPr>
      </w:pPr>
    </w:p>
    <w:p w14:paraId="3B1AFF62">
      <w:pPr>
        <w:widowControl/>
        <w:spacing w:beforeLines="0" w:afterLines="0" w:line="540" w:lineRule="exact"/>
        <w:jc w:val="left"/>
        <w:rPr>
          <w:rFonts w:hint="eastAsia" w:ascii="黑体" w:hAnsi="黑体" w:eastAsia="黑体" w:cs="黑体"/>
          <w:sz w:val="32"/>
          <w:szCs w:val="32"/>
        </w:rPr>
      </w:pPr>
    </w:p>
    <w:p w14:paraId="4DB17DEB">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1E6F4DC8">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双牌县泷泊镇中心小学</w:t>
      </w:r>
      <w:r>
        <w:rPr>
          <w:rFonts w:hint="eastAsia" w:ascii="方正小标宋简体" w:eastAsia="方正小标宋简体"/>
          <w:sz w:val="52"/>
          <w:szCs w:val="24"/>
        </w:rPr>
        <w:t>整体支出绩效自评报告</w:t>
      </w:r>
    </w:p>
    <w:p w14:paraId="18867BFA">
      <w:pPr>
        <w:spacing w:beforeLines="0" w:afterLines="0"/>
        <w:jc w:val="center"/>
        <w:rPr>
          <w:rFonts w:hint="default" w:eastAsia="黑体"/>
          <w:sz w:val="32"/>
          <w:szCs w:val="24"/>
        </w:rPr>
      </w:pPr>
      <w:bookmarkStart w:id="0" w:name="_GoBack"/>
      <w:bookmarkEnd w:id="0"/>
    </w:p>
    <w:p w14:paraId="7359A666">
      <w:pPr>
        <w:spacing w:beforeLines="0" w:afterLines="0"/>
        <w:jc w:val="center"/>
        <w:rPr>
          <w:rFonts w:hint="default" w:eastAsia="黑体"/>
          <w:sz w:val="32"/>
          <w:szCs w:val="24"/>
        </w:rPr>
      </w:pPr>
    </w:p>
    <w:p w14:paraId="7D8ADE2E">
      <w:pPr>
        <w:spacing w:beforeLines="0" w:afterLines="0"/>
        <w:jc w:val="center"/>
        <w:rPr>
          <w:rFonts w:hint="default" w:eastAsia="黑体"/>
          <w:sz w:val="32"/>
          <w:szCs w:val="24"/>
        </w:rPr>
      </w:pPr>
    </w:p>
    <w:p w14:paraId="595F3593">
      <w:pPr>
        <w:spacing w:beforeLines="0" w:afterLines="0"/>
        <w:rPr>
          <w:rFonts w:hint="default" w:eastAsia="黑体"/>
          <w:sz w:val="32"/>
          <w:szCs w:val="24"/>
        </w:rPr>
      </w:pPr>
    </w:p>
    <w:p w14:paraId="60292BC4">
      <w:pPr>
        <w:spacing w:beforeLines="0" w:afterLines="0"/>
        <w:jc w:val="center"/>
        <w:rPr>
          <w:rFonts w:hint="default" w:eastAsia="黑体"/>
          <w:sz w:val="32"/>
          <w:szCs w:val="24"/>
        </w:rPr>
      </w:pPr>
    </w:p>
    <w:p w14:paraId="1EB772D5">
      <w:pPr>
        <w:spacing w:beforeLines="0" w:afterLines="0"/>
        <w:jc w:val="center"/>
        <w:rPr>
          <w:rFonts w:hint="default" w:eastAsia="黑体"/>
          <w:sz w:val="32"/>
          <w:szCs w:val="24"/>
        </w:rPr>
      </w:pPr>
    </w:p>
    <w:p w14:paraId="18FED99E">
      <w:pPr>
        <w:spacing w:beforeLines="0" w:afterLines="0"/>
        <w:jc w:val="center"/>
        <w:rPr>
          <w:rFonts w:hint="default" w:eastAsia="黑体"/>
          <w:sz w:val="32"/>
          <w:szCs w:val="24"/>
        </w:rPr>
      </w:pPr>
    </w:p>
    <w:p w14:paraId="280AE7C9">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14:paraId="4092D40F">
      <w:pPr>
        <w:spacing w:beforeLines="0" w:afterLines="0" w:line="600" w:lineRule="exact"/>
        <w:ind w:firstLine="3200" w:firstLineChars="1000"/>
        <w:rPr>
          <w:rFonts w:hint="eastAsia" w:eastAsia="楷体_GB2312"/>
          <w:sz w:val="32"/>
          <w:szCs w:val="24"/>
        </w:rPr>
      </w:pPr>
    </w:p>
    <w:p w14:paraId="2EA149B3">
      <w:pPr>
        <w:spacing w:beforeLines="0" w:afterLines="0" w:line="600" w:lineRule="exact"/>
        <w:ind w:firstLine="3200" w:firstLineChars="1000"/>
        <w:rPr>
          <w:rFonts w:hint="default" w:eastAsia="楷体_GB2312"/>
          <w:sz w:val="32"/>
          <w:szCs w:val="24"/>
        </w:rPr>
      </w:pPr>
      <w:r>
        <w:rPr>
          <w:rFonts w:hint="eastAsia" w:eastAsia="楷体_GB2312"/>
          <w:sz w:val="32"/>
          <w:szCs w:val="24"/>
        </w:rPr>
        <w:t>年  月  日</w:t>
      </w:r>
    </w:p>
    <w:p w14:paraId="224AA2E7">
      <w:pPr>
        <w:spacing w:beforeLines="0" w:afterLines="0"/>
        <w:jc w:val="center"/>
        <w:rPr>
          <w:rFonts w:hint="default" w:eastAsia="黑体"/>
          <w:sz w:val="32"/>
          <w:szCs w:val="24"/>
        </w:rPr>
      </w:pPr>
    </w:p>
    <w:p w14:paraId="7449631C">
      <w:pPr>
        <w:spacing w:beforeLines="0" w:afterLines="0"/>
        <w:jc w:val="center"/>
        <w:outlineLvl w:val="0"/>
        <w:rPr>
          <w:rFonts w:hint="default" w:eastAsia="仿宋_GB2312"/>
          <w:sz w:val="32"/>
          <w:szCs w:val="24"/>
        </w:rPr>
      </w:pPr>
      <w:r>
        <w:rPr>
          <w:rFonts w:hint="eastAsia" w:eastAsia="仿宋_GB2312"/>
          <w:sz w:val="32"/>
          <w:szCs w:val="24"/>
        </w:rPr>
        <w:t>（此页为封面）</w:t>
      </w:r>
    </w:p>
    <w:p w14:paraId="23DBEAA4">
      <w:pPr>
        <w:numPr>
          <w:ilvl w:val="0"/>
          <w:numId w:val="0"/>
        </w:numPr>
        <w:spacing w:beforeLines="0" w:afterLines="0" w:line="570" w:lineRule="exact"/>
        <w:ind w:leftChars="0"/>
        <w:outlineLvl w:val="0"/>
        <w:rPr>
          <w:rFonts w:ascii="黑体" w:hAnsi="黑体" w:eastAsia="黑体"/>
          <w:sz w:val="32"/>
          <w:szCs w:val="32"/>
        </w:rPr>
      </w:pPr>
    </w:p>
    <w:p w14:paraId="24DA8C1C">
      <w:pPr>
        <w:numPr>
          <w:ilvl w:val="0"/>
          <w:numId w:val="0"/>
        </w:numPr>
        <w:spacing w:beforeLines="0" w:afterLines="0" w:line="570" w:lineRule="exact"/>
        <w:ind w:leftChars="0"/>
        <w:outlineLvl w:val="0"/>
        <w:rPr>
          <w:rFonts w:ascii="黑体" w:hAnsi="黑体" w:eastAsia="黑体"/>
          <w:sz w:val="32"/>
          <w:szCs w:val="32"/>
        </w:rPr>
      </w:pPr>
    </w:p>
    <w:p w14:paraId="06C41E6B">
      <w:pPr>
        <w:numPr>
          <w:ilvl w:val="0"/>
          <w:numId w:val="0"/>
        </w:numPr>
        <w:spacing w:beforeLines="0" w:afterLines="0" w:line="570" w:lineRule="exact"/>
        <w:ind w:leftChars="0"/>
        <w:outlineLvl w:val="0"/>
        <w:rPr>
          <w:rFonts w:ascii="黑体" w:hAnsi="黑体" w:eastAsia="黑体"/>
          <w:sz w:val="32"/>
          <w:szCs w:val="32"/>
        </w:rPr>
      </w:pPr>
    </w:p>
    <w:p w14:paraId="286CA331">
      <w:pPr>
        <w:numPr>
          <w:ilvl w:val="0"/>
          <w:numId w:val="0"/>
        </w:numPr>
        <w:spacing w:beforeLines="0" w:afterLines="0" w:line="570" w:lineRule="exact"/>
        <w:ind w:leftChars="0"/>
        <w:outlineLvl w:val="0"/>
        <w:rPr>
          <w:rFonts w:eastAsia="黑体"/>
          <w:sz w:val="32"/>
          <w:szCs w:val="32"/>
        </w:rPr>
      </w:pPr>
      <w:r>
        <w:rPr>
          <w:rFonts w:ascii="黑体" w:hAnsi="黑体" w:eastAsia="黑体"/>
          <w:sz w:val="32"/>
          <w:szCs w:val="32"/>
        </w:rPr>
        <w:t>一、基本情况</w:t>
      </w:r>
    </w:p>
    <w:p w14:paraId="67A1CE80">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ascii="楷体_GB2312" w:hAnsi="楷体_GB2312" w:eastAsia="楷体_GB2312"/>
          <w:sz w:val="32"/>
          <w:szCs w:val="32"/>
        </w:rPr>
      </w:pPr>
      <w:r>
        <w:rPr>
          <w:rFonts w:ascii="楷体_GB2312" w:hAnsi="楷体_GB2312" w:eastAsia="楷体_GB2312"/>
          <w:sz w:val="32"/>
          <w:szCs w:val="32"/>
        </w:rPr>
        <w:t>（一）部门（单位）基本情况</w:t>
      </w:r>
    </w:p>
    <w:p w14:paraId="03BF516C">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双牌县泷泊</w:t>
      </w:r>
      <w:r>
        <w:rPr>
          <w:rFonts w:hint="eastAsia" w:ascii="仿宋" w:hAnsi="仿宋" w:eastAsia="仿宋" w:cs="仿宋"/>
          <w:sz w:val="32"/>
          <w:szCs w:val="32"/>
          <w:lang w:eastAsia="zh-CN"/>
        </w:rPr>
        <w:t>镇中心小学</w:t>
      </w:r>
      <w:r>
        <w:rPr>
          <w:rFonts w:hint="eastAsia" w:ascii="仿宋" w:hAnsi="仿宋" w:eastAsia="仿宋" w:cs="仿宋"/>
          <w:sz w:val="32"/>
          <w:szCs w:val="32"/>
        </w:rPr>
        <w:t>是经费独立核算单位</w:t>
      </w:r>
      <w:r>
        <w:rPr>
          <w:rFonts w:hint="eastAsia" w:ascii="仿宋" w:hAnsi="仿宋" w:eastAsia="仿宋" w:cs="仿宋"/>
          <w:sz w:val="32"/>
          <w:szCs w:val="32"/>
          <w:lang w:eastAsia="zh-CN"/>
        </w:rPr>
        <w:t>，是</w:t>
      </w:r>
      <w:r>
        <w:rPr>
          <w:rFonts w:hint="eastAsia" w:ascii="仿宋" w:hAnsi="仿宋" w:eastAsia="仿宋" w:cs="仿宋"/>
          <w:sz w:val="32"/>
          <w:szCs w:val="32"/>
        </w:rPr>
        <w:t>在</w:t>
      </w:r>
      <w:r>
        <w:rPr>
          <w:rFonts w:hint="eastAsia" w:ascii="仿宋" w:hAnsi="仿宋" w:eastAsia="仿宋" w:cs="仿宋"/>
          <w:sz w:val="32"/>
          <w:szCs w:val="32"/>
          <w:lang w:eastAsia="zh-CN"/>
        </w:rPr>
        <w:t>双牌</w:t>
      </w:r>
      <w:r>
        <w:rPr>
          <w:rFonts w:hint="eastAsia" w:ascii="仿宋" w:hAnsi="仿宋" w:eastAsia="仿宋" w:cs="仿宋"/>
          <w:sz w:val="32"/>
          <w:szCs w:val="32"/>
        </w:rPr>
        <w:t>县教育局领导下的一所乡镇</w:t>
      </w:r>
      <w:r>
        <w:rPr>
          <w:rFonts w:hint="eastAsia" w:ascii="仿宋" w:hAnsi="仿宋" w:eastAsia="仿宋" w:cs="仿宋"/>
          <w:sz w:val="32"/>
          <w:szCs w:val="32"/>
          <w:lang w:eastAsia="zh-CN"/>
        </w:rPr>
        <w:t>中心小学</w:t>
      </w:r>
      <w:r>
        <w:rPr>
          <w:rFonts w:hint="eastAsia" w:ascii="仿宋" w:hAnsi="仿宋" w:eastAsia="仿宋" w:cs="仿宋"/>
          <w:sz w:val="32"/>
          <w:szCs w:val="32"/>
        </w:rPr>
        <w:t>。</w:t>
      </w:r>
    </w:p>
    <w:p w14:paraId="0B5741BB">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实施小学义务教育，</w:t>
      </w:r>
      <w:r>
        <w:rPr>
          <w:rFonts w:hint="eastAsia" w:ascii="仿宋" w:hAnsi="仿宋" w:eastAsia="仿宋" w:cs="仿宋"/>
          <w:sz w:val="32"/>
          <w:szCs w:val="32"/>
          <w:lang w:val="en-US" w:eastAsia="zh-CN"/>
        </w:rPr>
        <w:t>促进基础教育发展、</w:t>
      </w:r>
      <w:r>
        <w:rPr>
          <w:rFonts w:hint="eastAsia" w:ascii="仿宋" w:hAnsi="仿宋" w:eastAsia="仿宋" w:cs="仿宋"/>
          <w:sz w:val="32"/>
          <w:szCs w:val="32"/>
        </w:rPr>
        <w:t xml:space="preserve">小学学历教育，是学校的主要工作职能。  </w:t>
      </w:r>
    </w:p>
    <w:p w14:paraId="65356DCB">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ascii="楷体_GB2312" w:hAnsi="楷体_GB2312" w:eastAsia="楷体_GB2312"/>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年末财政供养人数为:</w:t>
      </w:r>
      <w:r>
        <w:rPr>
          <w:rFonts w:hint="eastAsia" w:ascii="仿宋" w:hAnsi="仿宋" w:eastAsia="仿宋" w:cs="仿宋"/>
          <w:sz w:val="32"/>
          <w:szCs w:val="32"/>
          <w:lang w:val="en-US" w:eastAsia="zh-CN"/>
        </w:rPr>
        <w:t>编制数50人，实际</w:t>
      </w:r>
      <w:r>
        <w:rPr>
          <w:rFonts w:hint="eastAsia" w:ascii="仿宋" w:hAnsi="仿宋" w:eastAsia="仿宋" w:cs="仿宋"/>
          <w:sz w:val="32"/>
          <w:szCs w:val="32"/>
        </w:rPr>
        <w:t xml:space="preserve">在职人员 </w:t>
      </w:r>
      <w:r>
        <w:rPr>
          <w:rFonts w:hint="eastAsia" w:ascii="仿宋" w:hAnsi="仿宋" w:eastAsia="仿宋" w:cs="仿宋"/>
          <w:sz w:val="32"/>
          <w:szCs w:val="32"/>
          <w:lang w:val="en-US" w:eastAsia="zh-CN"/>
        </w:rPr>
        <w:t>50</w:t>
      </w:r>
      <w:r>
        <w:rPr>
          <w:rFonts w:hint="eastAsia" w:ascii="仿宋" w:hAnsi="仿宋" w:eastAsia="仿宋" w:cs="仿宋"/>
          <w:sz w:val="32"/>
          <w:szCs w:val="32"/>
        </w:rPr>
        <w:t xml:space="preserve">人，在校生人数 </w:t>
      </w:r>
      <w:r>
        <w:rPr>
          <w:rFonts w:hint="eastAsia" w:ascii="仿宋" w:hAnsi="仿宋" w:eastAsia="仿宋" w:cs="仿宋"/>
          <w:sz w:val="32"/>
          <w:szCs w:val="32"/>
          <w:lang w:val="en-US" w:eastAsia="zh-CN"/>
        </w:rPr>
        <w:t>629</w:t>
      </w:r>
      <w:r>
        <w:rPr>
          <w:rFonts w:hint="eastAsia" w:ascii="仿宋" w:hAnsi="仿宋" w:eastAsia="仿宋" w:cs="仿宋"/>
          <w:sz w:val="32"/>
          <w:szCs w:val="32"/>
        </w:rPr>
        <w:t>人，教学班</w:t>
      </w:r>
      <w:r>
        <w:rPr>
          <w:rFonts w:hint="eastAsia" w:ascii="仿宋" w:hAnsi="仿宋" w:eastAsia="仿宋" w:cs="仿宋"/>
          <w:sz w:val="32"/>
          <w:szCs w:val="32"/>
          <w:lang w:val="en-US" w:eastAsia="zh-CN"/>
        </w:rPr>
        <w:t>17</w:t>
      </w:r>
      <w:r>
        <w:rPr>
          <w:rFonts w:hint="eastAsia" w:ascii="仿宋" w:hAnsi="仿宋" w:eastAsia="仿宋" w:cs="仿宋"/>
          <w:sz w:val="32"/>
          <w:szCs w:val="32"/>
        </w:rPr>
        <w:t>个。</w:t>
      </w:r>
    </w:p>
    <w:p w14:paraId="576BAEED">
      <w:pPr>
        <w:keepNext w:val="0"/>
        <w:keepLines w:val="0"/>
        <w:pageBreakBefore w:val="0"/>
        <w:widowControl w:val="0"/>
        <w:numPr>
          <w:ilvl w:val="0"/>
          <w:numId w:val="1"/>
        </w:numPr>
        <w:kinsoku/>
        <w:wordWrap/>
        <w:overflowPunct/>
        <w:topLinePunct w:val="0"/>
        <w:autoSpaceDE/>
        <w:autoSpaceDN/>
        <w:bidi w:val="0"/>
        <w:snapToGrid/>
        <w:spacing w:line="580" w:lineRule="exact"/>
        <w:ind w:firstLine="640" w:firstLineChars="200"/>
        <w:textAlignment w:val="auto"/>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14:paraId="18DD5573">
      <w:pPr>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学校</w:t>
      </w:r>
      <w:r>
        <w:rPr>
          <w:rFonts w:hint="eastAsia" w:ascii="仿宋" w:hAnsi="仿宋" w:eastAsia="仿宋" w:cs="仿宋"/>
          <w:i w:val="0"/>
          <w:iCs w:val="0"/>
          <w:caps w:val="0"/>
          <w:color w:val="auto"/>
          <w:spacing w:val="0"/>
          <w:sz w:val="32"/>
          <w:szCs w:val="32"/>
          <w:shd w:val="clear" w:color="auto" w:fill="FFFFFF"/>
        </w:rPr>
        <w:t>全面贯彻党的教育方针，深入实施素质教育，促进教育公平，推动学校依法办学、科学管理，保障学生平等权益、促进学生全面发展、引领教师专业进步、提升教育教学水平、营造和谐美丽环境、建设现代学校制度，稳步提高教育质量，办人民满意的教育。</w:t>
      </w:r>
    </w:p>
    <w:p w14:paraId="49099599">
      <w:pPr>
        <w:pStyle w:val="11"/>
        <w:keepNext w:val="0"/>
        <w:keepLines w:val="0"/>
        <w:pageBreakBefore w:val="0"/>
        <w:widowControl w:val="0"/>
        <w:numPr>
          <w:ilvl w:val="0"/>
          <w:numId w:val="2"/>
        </w:numPr>
        <w:kinsoku/>
        <w:wordWrap/>
        <w:overflowPunct/>
        <w:topLinePunct w:val="0"/>
        <w:autoSpaceDE/>
        <w:autoSpaceDN/>
        <w:bidi w:val="0"/>
        <w:snapToGrid/>
        <w:spacing w:line="580" w:lineRule="exact"/>
        <w:ind w:left="620" w:leftChars="0" w:firstLine="640" w:firstLineChars="0"/>
        <w:textAlignment w:val="auto"/>
        <w:rPr>
          <w:rFonts w:ascii="黑体" w:hAnsi="黑体" w:eastAsia="黑体"/>
          <w:sz w:val="32"/>
          <w:szCs w:val="32"/>
        </w:rPr>
      </w:pPr>
      <w:r>
        <w:rPr>
          <w:rFonts w:ascii="黑体" w:hAnsi="黑体" w:eastAsia="黑体"/>
          <w:sz w:val="32"/>
          <w:szCs w:val="32"/>
        </w:rPr>
        <w:t>一般公共预算支出情况</w:t>
      </w:r>
    </w:p>
    <w:p w14:paraId="26A3A60F">
      <w:pPr>
        <w:pStyle w:val="11"/>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textAlignment w:val="auto"/>
        <w:rPr>
          <w:rFonts w:ascii="黑体" w:hAnsi="黑体" w:eastAsia="黑体"/>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我校</w:t>
      </w:r>
      <w:r>
        <w:rPr>
          <w:rFonts w:hint="eastAsia" w:ascii="仿宋" w:hAnsi="仿宋" w:eastAsia="仿宋" w:cs="仿宋"/>
          <w:sz w:val="32"/>
          <w:szCs w:val="32"/>
          <w:lang w:eastAsia="zh-CN"/>
        </w:rPr>
        <w:t>决算收入</w:t>
      </w:r>
      <w:r>
        <w:rPr>
          <w:rFonts w:hint="eastAsia" w:ascii="仿宋" w:hAnsi="仿宋" w:eastAsia="仿宋" w:cs="仿宋"/>
          <w:sz w:val="32"/>
          <w:szCs w:val="32"/>
          <w:lang w:val="en-US" w:eastAsia="zh-CN"/>
        </w:rPr>
        <w:t>832.5万元，其中</w:t>
      </w:r>
      <w:r>
        <w:rPr>
          <w:rFonts w:hint="eastAsia" w:ascii="仿宋" w:hAnsi="仿宋" w:eastAsia="仿宋" w:cs="仿宋"/>
          <w:sz w:val="32"/>
          <w:szCs w:val="32"/>
        </w:rPr>
        <w:t>当年财政补助资金</w:t>
      </w:r>
      <w:r>
        <w:rPr>
          <w:rFonts w:hint="eastAsia" w:ascii="仿宋" w:hAnsi="仿宋" w:eastAsia="仿宋" w:cs="仿宋"/>
          <w:sz w:val="32"/>
          <w:szCs w:val="32"/>
          <w:lang w:val="en-US" w:eastAsia="zh-CN"/>
        </w:rPr>
        <w:t>832.5万元，上年结转0万元。决算整体支出832.54万元。</w:t>
      </w:r>
    </w:p>
    <w:p w14:paraId="2105BD51">
      <w:pPr>
        <w:pStyle w:val="11"/>
        <w:keepNext w:val="0"/>
        <w:keepLines w:val="0"/>
        <w:pageBreakBefore w:val="0"/>
        <w:widowControl w:val="0"/>
        <w:numPr>
          <w:ilvl w:val="0"/>
          <w:numId w:val="3"/>
        </w:numPr>
        <w:kinsoku/>
        <w:wordWrap/>
        <w:overflowPunct/>
        <w:topLinePunct w:val="0"/>
        <w:autoSpaceDE/>
        <w:autoSpaceDN/>
        <w:bidi w:val="0"/>
        <w:snapToGrid/>
        <w:spacing w:line="580" w:lineRule="exact"/>
        <w:ind w:firstLine="640"/>
        <w:textAlignment w:val="auto"/>
        <w:rPr>
          <w:rFonts w:ascii="楷体_GB2312" w:hAnsi="楷体_GB2312" w:eastAsia="楷体_GB2312"/>
          <w:sz w:val="32"/>
          <w:szCs w:val="32"/>
        </w:rPr>
      </w:pPr>
      <w:r>
        <w:rPr>
          <w:rFonts w:ascii="楷体_GB2312" w:hAnsi="楷体_GB2312" w:eastAsia="楷体_GB2312"/>
          <w:sz w:val="32"/>
          <w:szCs w:val="32"/>
        </w:rPr>
        <w:t>基本支出情况</w:t>
      </w:r>
    </w:p>
    <w:p w14:paraId="0A7E7F02">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rPr>
        <w:t>年我校基本支出</w:t>
      </w:r>
      <w:r>
        <w:rPr>
          <w:rFonts w:hint="eastAsia" w:ascii="仿宋" w:hAnsi="仿宋" w:eastAsia="仿宋" w:cs="仿宋"/>
          <w:sz w:val="32"/>
          <w:szCs w:val="32"/>
          <w:lang w:val="en-US" w:eastAsia="zh-CN"/>
        </w:rPr>
        <w:t>689.8</w:t>
      </w:r>
      <w:r>
        <w:rPr>
          <w:rFonts w:hint="eastAsia" w:ascii="仿宋" w:hAnsi="仿宋" w:eastAsia="仿宋" w:cs="仿宋"/>
          <w:sz w:val="32"/>
          <w:szCs w:val="32"/>
        </w:rPr>
        <w:t>万元，其中: (1)工资福利支出</w:t>
      </w:r>
      <w:r>
        <w:rPr>
          <w:rFonts w:hint="eastAsia" w:ascii="仿宋" w:hAnsi="仿宋" w:eastAsia="仿宋" w:cs="仿宋"/>
          <w:sz w:val="32"/>
          <w:szCs w:val="32"/>
          <w:lang w:val="en-US" w:eastAsia="zh-CN"/>
        </w:rPr>
        <w:t>688.2</w:t>
      </w:r>
      <w:r>
        <w:rPr>
          <w:rFonts w:hint="eastAsia" w:ascii="仿宋" w:hAnsi="仿宋" w:eastAsia="仿宋" w:cs="仿宋"/>
          <w:sz w:val="32"/>
          <w:szCs w:val="32"/>
        </w:rPr>
        <w:t xml:space="preserve">万元，分别为:基本工资 </w:t>
      </w:r>
      <w:r>
        <w:rPr>
          <w:rFonts w:hint="eastAsia" w:ascii="仿宋" w:hAnsi="仿宋" w:eastAsia="仿宋" w:cs="仿宋"/>
          <w:sz w:val="32"/>
          <w:szCs w:val="32"/>
          <w:lang w:val="en-US" w:eastAsia="zh-CN"/>
        </w:rPr>
        <w:t>256.7</w:t>
      </w:r>
      <w:r>
        <w:rPr>
          <w:rFonts w:hint="eastAsia" w:ascii="仿宋" w:hAnsi="仿宋" w:eastAsia="仿宋" w:cs="仿宋"/>
          <w:sz w:val="32"/>
          <w:szCs w:val="32"/>
        </w:rPr>
        <w:t>万元、津贴补贴</w:t>
      </w:r>
      <w:r>
        <w:rPr>
          <w:rFonts w:hint="eastAsia" w:ascii="仿宋" w:hAnsi="仿宋" w:eastAsia="仿宋" w:cs="仿宋"/>
          <w:sz w:val="32"/>
          <w:szCs w:val="32"/>
          <w:lang w:val="en-US" w:eastAsia="zh-CN"/>
        </w:rPr>
        <w:t>97.5</w:t>
      </w:r>
      <w:r>
        <w:rPr>
          <w:rFonts w:hint="eastAsia" w:ascii="仿宋" w:hAnsi="仿宋" w:eastAsia="仿宋" w:cs="仿宋"/>
          <w:sz w:val="32"/>
          <w:szCs w:val="32"/>
        </w:rPr>
        <w:t>万元、绩效工资</w:t>
      </w:r>
      <w:r>
        <w:rPr>
          <w:rFonts w:hint="eastAsia" w:ascii="仿宋" w:hAnsi="仿宋" w:eastAsia="仿宋" w:cs="仿宋"/>
          <w:sz w:val="32"/>
          <w:szCs w:val="32"/>
          <w:lang w:val="en-US" w:eastAsia="zh-CN"/>
        </w:rPr>
        <w:t>90.2</w:t>
      </w:r>
      <w:r>
        <w:rPr>
          <w:rFonts w:hint="eastAsia" w:ascii="仿宋" w:hAnsi="仿宋" w:eastAsia="仿宋" w:cs="仿宋"/>
          <w:sz w:val="32"/>
          <w:szCs w:val="32"/>
        </w:rPr>
        <w:t>万元，</w:t>
      </w:r>
      <w:r>
        <w:rPr>
          <w:rFonts w:hint="eastAsia" w:ascii="仿宋" w:hAnsi="仿宋" w:eastAsia="仿宋" w:cs="仿宋"/>
          <w:sz w:val="32"/>
          <w:szCs w:val="32"/>
          <w:lang w:val="en-US" w:eastAsia="zh-CN"/>
        </w:rPr>
        <w:t>奖金5.4万元，</w:t>
      </w:r>
      <w:r>
        <w:rPr>
          <w:rFonts w:hint="eastAsia" w:ascii="仿宋" w:hAnsi="仿宋" w:eastAsia="仿宋" w:cs="仿宋"/>
          <w:sz w:val="32"/>
          <w:szCs w:val="32"/>
        </w:rPr>
        <w:t>机关事业单位基本养老保险缴费</w:t>
      </w:r>
      <w:r>
        <w:rPr>
          <w:rFonts w:hint="eastAsia" w:ascii="仿宋" w:hAnsi="仿宋" w:eastAsia="仿宋" w:cs="仿宋"/>
          <w:sz w:val="32"/>
          <w:szCs w:val="32"/>
          <w:lang w:val="en-US" w:eastAsia="zh-CN"/>
        </w:rPr>
        <w:t>61.1</w:t>
      </w:r>
      <w:r>
        <w:rPr>
          <w:rFonts w:hint="eastAsia" w:ascii="仿宋" w:hAnsi="仿宋" w:eastAsia="仿宋" w:cs="仿宋"/>
          <w:sz w:val="32"/>
          <w:szCs w:val="32"/>
        </w:rPr>
        <w:t>万元;</w:t>
      </w:r>
      <w:r>
        <w:rPr>
          <w:rFonts w:hint="eastAsia" w:ascii="仿宋" w:hAnsi="仿宋" w:eastAsia="仿宋" w:cs="仿宋"/>
          <w:sz w:val="32"/>
          <w:szCs w:val="32"/>
          <w:lang w:val="en-US" w:eastAsia="zh-CN"/>
        </w:rPr>
        <w:t>基本医疗保险缴费33.2万元，</w:t>
      </w:r>
      <w:r>
        <w:rPr>
          <w:rFonts w:hint="eastAsia" w:ascii="仿宋" w:hAnsi="仿宋" w:eastAsia="仿宋" w:cs="仿宋"/>
          <w:sz w:val="32"/>
          <w:szCs w:val="32"/>
          <w:lang w:eastAsia="zh-CN"/>
        </w:rPr>
        <w:t>住房公积金</w:t>
      </w:r>
      <w:r>
        <w:rPr>
          <w:rFonts w:hint="eastAsia" w:ascii="仿宋" w:hAnsi="仿宋" w:eastAsia="仿宋" w:cs="仿宋"/>
          <w:sz w:val="32"/>
          <w:szCs w:val="32"/>
          <w:lang w:val="en-US" w:eastAsia="zh-CN"/>
        </w:rPr>
        <w:t>45.</w:t>
      </w:r>
      <w:r>
        <w:rPr>
          <w:rFonts w:hint="eastAsia" w:ascii="仿宋" w:hAnsi="仿宋" w:eastAsia="仿宋" w:cs="仿宋"/>
          <w:sz w:val="32"/>
          <w:szCs w:val="32"/>
        </w:rPr>
        <w:t>万元，其他工资福利支出</w:t>
      </w:r>
      <w:r>
        <w:rPr>
          <w:rFonts w:hint="eastAsia" w:ascii="仿宋" w:hAnsi="仿宋" w:eastAsia="仿宋" w:cs="仿宋"/>
          <w:sz w:val="32"/>
          <w:szCs w:val="32"/>
          <w:lang w:val="en-US" w:eastAsia="zh-CN"/>
        </w:rPr>
        <w:t>4.7万</w:t>
      </w:r>
      <w:r>
        <w:rPr>
          <w:rFonts w:hint="eastAsia" w:ascii="仿宋" w:hAnsi="仿宋" w:eastAsia="仿宋" w:cs="仿宋"/>
          <w:sz w:val="32"/>
          <w:szCs w:val="32"/>
        </w:rPr>
        <w:t>元。 (2)</w:t>
      </w:r>
      <w:r>
        <w:rPr>
          <w:rFonts w:hint="eastAsia" w:ascii="仿宋" w:hAnsi="仿宋" w:eastAsia="仿宋" w:cs="仿宋"/>
          <w:sz w:val="32"/>
          <w:szCs w:val="32"/>
          <w:lang w:eastAsia="zh-CN"/>
        </w:rPr>
        <w:t>商品和服务</w:t>
      </w:r>
      <w:r>
        <w:rPr>
          <w:rFonts w:hint="eastAsia" w:ascii="仿宋" w:hAnsi="仿宋" w:eastAsia="仿宋" w:cs="仿宋"/>
          <w:sz w:val="32"/>
          <w:szCs w:val="32"/>
        </w:rPr>
        <w:t xml:space="preserve">支出 </w:t>
      </w:r>
      <w:r>
        <w:rPr>
          <w:rFonts w:hint="eastAsia" w:ascii="仿宋" w:hAnsi="仿宋" w:eastAsia="仿宋" w:cs="仿宋"/>
          <w:sz w:val="32"/>
          <w:szCs w:val="32"/>
          <w:lang w:val="en-US" w:eastAsia="zh-CN"/>
        </w:rPr>
        <w:t>70.8万</w:t>
      </w:r>
      <w:r>
        <w:rPr>
          <w:rFonts w:hint="eastAsia" w:ascii="仿宋" w:hAnsi="仿宋" w:eastAsia="仿宋" w:cs="仿宋"/>
          <w:sz w:val="32"/>
          <w:szCs w:val="32"/>
        </w:rPr>
        <w:t>元，分别为:办公费</w:t>
      </w:r>
      <w:r>
        <w:rPr>
          <w:rFonts w:hint="eastAsia" w:ascii="仿宋" w:hAnsi="仿宋" w:eastAsia="仿宋" w:cs="仿宋"/>
          <w:sz w:val="32"/>
          <w:szCs w:val="32"/>
          <w:lang w:val="en-US" w:eastAsia="zh-CN"/>
        </w:rPr>
        <w:t>14.8万元</w:t>
      </w:r>
      <w:r>
        <w:rPr>
          <w:rFonts w:hint="eastAsia" w:ascii="仿宋" w:hAnsi="仿宋" w:eastAsia="仿宋" w:cs="仿宋"/>
          <w:sz w:val="32"/>
          <w:szCs w:val="32"/>
        </w:rPr>
        <w:t>;</w:t>
      </w:r>
      <w:r>
        <w:rPr>
          <w:rFonts w:hint="eastAsia" w:ascii="仿宋" w:hAnsi="仿宋" w:eastAsia="仿宋" w:cs="仿宋"/>
          <w:sz w:val="32"/>
          <w:szCs w:val="32"/>
          <w:lang w:val="en-US" w:eastAsia="zh-CN"/>
        </w:rPr>
        <w:t>水费0.7万元，</w:t>
      </w:r>
      <w:r>
        <w:rPr>
          <w:rFonts w:hint="eastAsia" w:ascii="仿宋" w:hAnsi="仿宋" w:eastAsia="仿宋" w:cs="仿宋"/>
          <w:sz w:val="32"/>
          <w:szCs w:val="32"/>
        </w:rPr>
        <w:t xml:space="preserve">电费 </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r>
        <w:rPr>
          <w:rFonts w:hint="eastAsia" w:ascii="仿宋" w:hAnsi="仿宋" w:eastAsia="仿宋" w:cs="仿宋"/>
          <w:sz w:val="32"/>
          <w:szCs w:val="32"/>
          <w:lang w:eastAsia="zh-CN"/>
        </w:rPr>
        <w:t>邮电</w:t>
      </w:r>
      <w:r>
        <w:rPr>
          <w:rFonts w:hint="eastAsia" w:ascii="仿宋" w:hAnsi="仿宋" w:eastAsia="仿宋" w:cs="仿宋"/>
          <w:sz w:val="32"/>
          <w:szCs w:val="32"/>
        </w:rPr>
        <w:t xml:space="preserve">费 </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维修</w:t>
      </w:r>
      <w:r>
        <w:rPr>
          <w:rFonts w:hint="eastAsia" w:ascii="仿宋" w:hAnsi="仿宋" w:eastAsia="仿宋" w:cs="仿宋"/>
          <w:sz w:val="32"/>
          <w:szCs w:val="32"/>
        </w:rPr>
        <w:t xml:space="preserve">维护费 </w:t>
      </w:r>
      <w:r>
        <w:rPr>
          <w:rFonts w:hint="eastAsia" w:ascii="仿宋" w:hAnsi="仿宋" w:eastAsia="仿宋" w:cs="仿宋"/>
          <w:sz w:val="32"/>
          <w:szCs w:val="32"/>
          <w:lang w:val="en-US" w:eastAsia="zh-CN"/>
        </w:rPr>
        <w:t>11.4</w:t>
      </w:r>
      <w:r>
        <w:rPr>
          <w:rFonts w:hint="eastAsia" w:ascii="仿宋" w:hAnsi="仿宋" w:eastAsia="仿宋" w:cs="仿宋"/>
          <w:sz w:val="32"/>
          <w:szCs w:val="32"/>
        </w:rPr>
        <w:t>万元，培训费</w:t>
      </w:r>
      <w:r>
        <w:rPr>
          <w:rFonts w:hint="eastAsia" w:ascii="仿宋" w:hAnsi="仿宋" w:eastAsia="仿宋" w:cs="仿宋"/>
          <w:sz w:val="32"/>
          <w:szCs w:val="32"/>
          <w:lang w:val="en-US" w:eastAsia="zh-CN"/>
        </w:rPr>
        <w:t>1.1</w:t>
      </w:r>
      <w:r>
        <w:rPr>
          <w:rFonts w:hint="eastAsia" w:ascii="仿宋" w:hAnsi="仿宋" w:eastAsia="仿宋" w:cs="仿宋"/>
          <w:sz w:val="32"/>
          <w:szCs w:val="32"/>
        </w:rPr>
        <w:t>万元，</w:t>
      </w:r>
      <w:r>
        <w:rPr>
          <w:rFonts w:hint="eastAsia" w:ascii="仿宋" w:hAnsi="仿宋" w:eastAsia="仿宋" w:cs="仿宋"/>
          <w:sz w:val="32"/>
          <w:szCs w:val="32"/>
          <w:lang w:eastAsia="zh-CN"/>
        </w:rPr>
        <w:t>公务接待费</w:t>
      </w:r>
      <w:r>
        <w:rPr>
          <w:rFonts w:hint="eastAsia" w:ascii="仿宋" w:hAnsi="仿宋" w:eastAsia="仿宋" w:cs="仿宋"/>
          <w:sz w:val="32"/>
          <w:szCs w:val="32"/>
          <w:lang w:val="en-US" w:eastAsia="zh-CN"/>
        </w:rPr>
        <w:t>2.46万元;专用材料费0万元，劳务费8.2万元；</w:t>
      </w:r>
      <w:r>
        <w:rPr>
          <w:rFonts w:hint="eastAsia" w:ascii="仿宋" w:hAnsi="仿宋" w:eastAsia="仿宋" w:cs="仿宋"/>
          <w:sz w:val="32"/>
          <w:szCs w:val="32"/>
        </w:rPr>
        <w:t xml:space="preserve">工会费 </w:t>
      </w:r>
      <w:r>
        <w:rPr>
          <w:rFonts w:hint="eastAsia" w:ascii="仿宋" w:hAnsi="仿宋" w:eastAsia="仿宋" w:cs="仿宋"/>
          <w:sz w:val="32"/>
          <w:szCs w:val="32"/>
          <w:lang w:val="en-US" w:eastAsia="zh-CN"/>
        </w:rPr>
        <w:t>16.8</w:t>
      </w:r>
      <w:r>
        <w:rPr>
          <w:rFonts w:hint="eastAsia" w:ascii="仿宋" w:hAnsi="仿宋" w:eastAsia="仿宋" w:cs="仿宋"/>
          <w:sz w:val="32"/>
          <w:szCs w:val="32"/>
        </w:rPr>
        <w:t>万元。</w:t>
      </w:r>
      <w:r>
        <w:rPr>
          <w:rFonts w:hint="eastAsia" w:ascii="仿宋" w:hAnsi="仿宋" w:eastAsia="仿宋" w:cs="仿宋"/>
          <w:sz w:val="32"/>
          <w:szCs w:val="32"/>
          <w:lang w:eastAsia="zh-CN"/>
        </w:rPr>
        <w:t>委托业务费</w:t>
      </w:r>
      <w:r>
        <w:rPr>
          <w:rFonts w:hint="eastAsia" w:ascii="仿宋" w:hAnsi="仿宋" w:eastAsia="仿宋" w:cs="仿宋"/>
          <w:sz w:val="32"/>
          <w:szCs w:val="32"/>
          <w:lang w:val="en-US" w:eastAsia="zh-CN"/>
        </w:rPr>
        <w:t>0万元。福利费0万元。其他商品服务支出13.4万元</w:t>
      </w:r>
      <w:r>
        <w:rPr>
          <w:rFonts w:hint="eastAsia" w:ascii="仿宋" w:hAnsi="仿宋" w:eastAsia="仿宋" w:cs="仿宋"/>
          <w:sz w:val="32"/>
          <w:szCs w:val="32"/>
        </w:rPr>
        <w:t xml:space="preserve"> (3)对个人和家庭的补助支出</w:t>
      </w:r>
      <w:r>
        <w:rPr>
          <w:rFonts w:hint="eastAsia" w:ascii="仿宋" w:hAnsi="仿宋" w:eastAsia="仿宋" w:cs="仿宋"/>
          <w:sz w:val="32"/>
          <w:szCs w:val="32"/>
          <w:lang w:val="en-US" w:eastAsia="zh-CN"/>
        </w:rPr>
        <w:t>62.7</w:t>
      </w:r>
      <w:r>
        <w:rPr>
          <w:rFonts w:hint="eastAsia" w:ascii="仿宋" w:hAnsi="仿宋" w:eastAsia="仿宋" w:cs="仿宋"/>
          <w:sz w:val="32"/>
          <w:szCs w:val="32"/>
        </w:rPr>
        <w:t>万元</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其中助学金</w:t>
      </w:r>
      <w:r>
        <w:rPr>
          <w:rFonts w:hint="eastAsia" w:ascii="仿宋" w:hAnsi="仿宋" w:eastAsia="仿宋" w:cs="仿宋"/>
          <w:sz w:val="32"/>
          <w:szCs w:val="32"/>
          <w:lang w:val="en-US" w:eastAsia="zh-CN"/>
        </w:rPr>
        <w:t>0万元，奖励金0万元。</w:t>
      </w:r>
    </w:p>
    <w:p w14:paraId="707B477B">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default" w:ascii="楷体_GB2312" w:hAnsi="楷体_GB2312" w:eastAsia="楷体_GB2312"/>
          <w:sz w:val="32"/>
          <w:szCs w:val="32"/>
          <w:lang w:val="en-US"/>
        </w:rPr>
      </w:pPr>
      <w:r>
        <w:rPr>
          <w:rFonts w:hint="eastAsia" w:ascii="仿宋" w:hAnsi="仿宋" w:eastAsia="仿宋" w:cs="仿宋"/>
          <w:sz w:val="32"/>
          <w:szCs w:val="32"/>
          <w:lang w:val="en-US" w:eastAsia="zh-CN"/>
        </w:rPr>
        <w:t>202年我校“三公”经费使用情况：我校“三公”经费年初预算金额2.5万元，决算支出2.46万元，其中因公出国（境）费0万元，公务用车购置及运行维护费0万元.</w:t>
      </w:r>
    </w:p>
    <w:p w14:paraId="53567E29">
      <w:pPr>
        <w:pStyle w:val="11"/>
        <w:keepNext w:val="0"/>
        <w:keepLines w:val="0"/>
        <w:pageBreakBefore w:val="0"/>
        <w:widowControl w:val="0"/>
        <w:numPr>
          <w:ilvl w:val="0"/>
          <w:numId w:val="3"/>
        </w:numPr>
        <w:kinsoku/>
        <w:wordWrap/>
        <w:overflowPunct/>
        <w:topLinePunct w:val="0"/>
        <w:autoSpaceDE/>
        <w:autoSpaceDN/>
        <w:bidi w:val="0"/>
        <w:snapToGrid/>
        <w:spacing w:line="580" w:lineRule="exact"/>
        <w:ind w:left="0" w:leftChars="0" w:firstLine="640" w:firstLineChars="200"/>
        <w:textAlignment w:val="auto"/>
        <w:rPr>
          <w:rFonts w:ascii="楷体_GB2312" w:hAnsi="楷体_GB2312" w:eastAsia="楷体_GB2312"/>
          <w:sz w:val="32"/>
          <w:szCs w:val="32"/>
        </w:rPr>
      </w:pPr>
      <w:r>
        <w:rPr>
          <w:rFonts w:ascii="楷体_GB2312" w:hAnsi="楷体_GB2312" w:eastAsia="楷体_GB2312"/>
          <w:sz w:val="32"/>
          <w:szCs w:val="32"/>
        </w:rPr>
        <w:t>项目支出情况</w:t>
      </w:r>
    </w:p>
    <w:p w14:paraId="48F095B4">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default" w:ascii="楷体_GB2312" w:hAnsi="楷体_GB2312" w:eastAsia="楷体_GB2312"/>
          <w:sz w:val="32"/>
          <w:szCs w:val="32"/>
          <w:lang w:val="en-US"/>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 xml:space="preserve">年全年我校实现项目支出 </w:t>
      </w:r>
      <w:r>
        <w:rPr>
          <w:rFonts w:hint="eastAsia" w:ascii="仿宋" w:hAnsi="仿宋" w:eastAsia="仿宋" w:cs="仿宋"/>
          <w:sz w:val="32"/>
          <w:szCs w:val="32"/>
          <w:lang w:val="en-US" w:eastAsia="zh-CN"/>
        </w:rPr>
        <w:t>141.1</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学生</w:t>
      </w:r>
      <w:r>
        <w:rPr>
          <w:rFonts w:hint="eastAsia" w:ascii="仿宋" w:hAnsi="仿宋" w:eastAsia="仿宋" w:cs="仿宋"/>
          <w:sz w:val="32"/>
          <w:szCs w:val="32"/>
          <w:lang w:eastAsia="zh-CN"/>
        </w:rPr>
        <w:t>营养午餐支出</w:t>
      </w:r>
      <w:r>
        <w:rPr>
          <w:rFonts w:hint="eastAsia" w:ascii="仿宋" w:hAnsi="仿宋" w:eastAsia="仿宋" w:cs="仿宋"/>
          <w:sz w:val="32"/>
          <w:szCs w:val="32"/>
          <w:lang w:val="en-US" w:eastAsia="zh-CN"/>
        </w:rPr>
        <w:t>61.9万元，</w:t>
      </w:r>
      <w:r>
        <w:rPr>
          <w:rFonts w:hint="eastAsia" w:ascii="仿宋" w:hAnsi="仿宋" w:eastAsia="仿宋" w:cs="仿宋"/>
          <w:sz w:val="32"/>
          <w:szCs w:val="32"/>
        </w:rPr>
        <w:t>资本性支出(基本建设):</w:t>
      </w:r>
      <w:r>
        <w:rPr>
          <w:rFonts w:hint="eastAsia" w:ascii="仿宋" w:hAnsi="仿宋" w:eastAsia="仿宋" w:cs="仿宋"/>
          <w:sz w:val="32"/>
          <w:szCs w:val="32"/>
          <w:lang w:val="en-US" w:eastAsia="zh-CN"/>
        </w:rPr>
        <w:t>校园环境</w:t>
      </w:r>
      <w:r>
        <w:rPr>
          <w:rFonts w:hint="eastAsia" w:ascii="仿宋" w:hAnsi="仿宋" w:eastAsia="仿宋" w:cs="仿宋"/>
          <w:sz w:val="32"/>
          <w:szCs w:val="32"/>
          <w:lang w:eastAsia="zh-CN"/>
        </w:rPr>
        <w:t>建设</w:t>
      </w:r>
      <w:r>
        <w:rPr>
          <w:rFonts w:hint="eastAsia" w:ascii="仿宋" w:hAnsi="仿宋" w:eastAsia="仿宋" w:cs="仿宋"/>
          <w:sz w:val="32"/>
          <w:szCs w:val="32"/>
          <w:lang w:val="en-US" w:eastAsia="zh-CN"/>
        </w:rPr>
        <w:t>9.6万元</w:t>
      </w:r>
    </w:p>
    <w:p w14:paraId="5E718993">
      <w:pPr>
        <w:pStyle w:val="11"/>
        <w:keepNext w:val="0"/>
        <w:keepLines w:val="0"/>
        <w:pageBreakBefore w:val="0"/>
        <w:widowControl w:val="0"/>
        <w:numPr>
          <w:ilvl w:val="0"/>
          <w:numId w:val="2"/>
        </w:numPr>
        <w:kinsoku/>
        <w:wordWrap/>
        <w:overflowPunct/>
        <w:topLinePunct w:val="0"/>
        <w:autoSpaceDE/>
        <w:autoSpaceDN/>
        <w:bidi w:val="0"/>
        <w:snapToGrid/>
        <w:spacing w:line="580" w:lineRule="exact"/>
        <w:ind w:left="620" w:leftChars="0" w:firstLine="640" w:firstLineChars="0"/>
        <w:textAlignment w:val="auto"/>
        <w:rPr>
          <w:rFonts w:ascii="黑体" w:hAnsi="黑体" w:eastAsia="黑体"/>
          <w:sz w:val="32"/>
          <w:szCs w:val="32"/>
        </w:rPr>
      </w:pPr>
      <w:r>
        <w:rPr>
          <w:rFonts w:ascii="黑体" w:hAnsi="黑体" w:eastAsia="黑体"/>
          <w:sz w:val="32"/>
          <w:szCs w:val="32"/>
        </w:rPr>
        <w:t>政府性基金预算支出情况</w:t>
      </w:r>
    </w:p>
    <w:p w14:paraId="77C8FCCE">
      <w:pPr>
        <w:pStyle w:val="11"/>
        <w:keepNext w:val="0"/>
        <w:keepLines w:val="0"/>
        <w:pageBreakBefore w:val="0"/>
        <w:widowControl w:val="0"/>
        <w:numPr>
          <w:ilvl w:val="0"/>
          <w:numId w:val="0"/>
        </w:numPr>
        <w:kinsoku/>
        <w:wordWrap/>
        <w:overflowPunct/>
        <w:topLinePunct w:val="0"/>
        <w:autoSpaceDE/>
        <w:autoSpaceDN/>
        <w:bidi w:val="0"/>
        <w:snapToGrid/>
        <w:spacing w:line="580" w:lineRule="exact"/>
        <w:ind w:left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本年度我单位无政府性基金预算收支。</w:t>
      </w:r>
    </w:p>
    <w:p w14:paraId="6202F78B">
      <w:pPr>
        <w:pStyle w:val="11"/>
        <w:keepNext w:val="0"/>
        <w:keepLines w:val="0"/>
        <w:pageBreakBefore w:val="0"/>
        <w:widowControl w:val="0"/>
        <w:numPr>
          <w:ilvl w:val="0"/>
          <w:numId w:val="2"/>
        </w:numPr>
        <w:kinsoku/>
        <w:wordWrap/>
        <w:overflowPunct/>
        <w:topLinePunct w:val="0"/>
        <w:autoSpaceDE/>
        <w:autoSpaceDN/>
        <w:bidi w:val="0"/>
        <w:snapToGrid/>
        <w:spacing w:line="580" w:lineRule="exact"/>
        <w:ind w:left="620" w:leftChars="0" w:firstLine="640" w:firstLineChars="0"/>
        <w:textAlignment w:val="auto"/>
        <w:rPr>
          <w:rFonts w:ascii="黑体" w:hAnsi="黑体" w:eastAsia="黑体"/>
          <w:sz w:val="32"/>
          <w:szCs w:val="32"/>
        </w:rPr>
      </w:pPr>
      <w:r>
        <w:rPr>
          <w:rFonts w:ascii="黑体" w:hAnsi="黑体" w:eastAsia="黑体"/>
          <w:sz w:val="32"/>
          <w:szCs w:val="32"/>
        </w:rPr>
        <w:t>国有资本经营预算支出情况</w:t>
      </w:r>
    </w:p>
    <w:p w14:paraId="258CE120">
      <w:pPr>
        <w:pStyle w:val="11"/>
        <w:keepNext w:val="0"/>
        <w:keepLines w:val="0"/>
        <w:pageBreakBefore w:val="0"/>
        <w:widowControl w:val="0"/>
        <w:numPr>
          <w:ilvl w:val="0"/>
          <w:numId w:val="0"/>
        </w:numPr>
        <w:kinsoku/>
        <w:wordWrap/>
        <w:overflowPunct/>
        <w:topLinePunct w:val="0"/>
        <w:autoSpaceDE/>
        <w:autoSpaceDN/>
        <w:bidi w:val="0"/>
        <w:snapToGrid/>
        <w:spacing w:line="580" w:lineRule="exact"/>
        <w:ind w:leftChars="200" w:firstLine="320" w:firstLineChars="100"/>
        <w:textAlignment w:val="auto"/>
        <w:rPr>
          <w:rFonts w:ascii="黑体" w:hAnsi="黑体" w:eastAsia="黑体"/>
          <w:sz w:val="32"/>
          <w:szCs w:val="32"/>
        </w:rPr>
      </w:pPr>
      <w:r>
        <w:rPr>
          <w:rFonts w:hint="eastAsia" w:ascii="仿宋" w:hAnsi="仿宋" w:eastAsia="仿宋" w:cs="仿宋"/>
          <w:sz w:val="32"/>
          <w:szCs w:val="32"/>
          <w:lang w:val="en-US" w:eastAsia="zh-CN"/>
        </w:rPr>
        <w:t>本年度我单位无</w:t>
      </w:r>
      <w:r>
        <w:rPr>
          <w:rFonts w:hint="eastAsia" w:ascii="仿宋" w:hAnsi="仿宋" w:eastAsia="仿宋" w:cs="仿宋"/>
          <w:sz w:val="32"/>
          <w:szCs w:val="32"/>
        </w:rPr>
        <w:t>资本经营预算支出</w:t>
      </w:r>
      <w:r>
        <w:rPr>
          <w:rFonts w:hint="eastAsia" w:ascii="仿宋" w:hAnsi="仿宋" w:eastAsia="仿宋" w:cs="仿宋"/>
          <w:sz w:val="32"/>
          <w:szCs w:val="32"/>
          <w:lang w:eastAsia="zh-CN"/>
        </w:rPr>
        <w:t>。</w:t>
      </w:r>
    </w:p>
    <w:p w14:paraId="6C28557A">
      <w:pPr>
        <w:pStyle w:val="11"/>
        <w:keepNext w:val="0"/>
        <w:keepLines w:val="0"/>
        <w:pageBreakBefore w:val="0"/>
        <w:widowControl w:val="0"/>
        <w:numPr>
          <w:ilvl w:val="0"/>
          <w:numId w:val="2"/>
        </w:numPr>
        <w:kinsoku/>
        <w:wordWrap/>
        <w:overflowPunct/>
        <w:topLinePunct w:val="0"/>
        <w:autoSpaceDE/>
        <w:autoSpaceDN/>
        <w:bidi w:val="0"/>
        <w:snapToGrid/>
        <w:spacing w:line="580" w:lineRule="exact"/>
        <w:ind w:left="620" w:leftChars="0" w:firstLine="640" w:firstLineChars="0"/>
        <w:textAlignment w:val="auto"/>
        <w:rPr>
          <w:rFonts w:ascii="黑体" w:hAnsi="黑体" w:eastAsia="黑体"/>
          <w:sz w:val="32"/>
          <w:szCs w:val="32"/>
        </w:rPr>
      </w:pPr>
      <w:r>
        <w:rPr>
          <w:rFonts w:ascii="黑体" w:hAnsi="黑体" w:eastAsia="黑体"/>
          <w:sz w:val="32"/>
          <w:szCs w:val="32"/>
        </w:rPr>
        <w:t>社会保险基金预算支出情况</w:t>
      </w:r>
    </w:p>
    <w:p w14:paraId="77346AB3">
      <w:pPr>
        <w:pStyle w:val="11"/>
        <w:keepNext w:val="0"/>
        <w:keepLines w:val="0"/>
        <w:pageBreakBefore w:val="0"/>
        <w:widowControl w:val="0"/>
        <w:numPr>
          <w:ilvl w:val="0"/>
          <w:numId w:val="0"/>
        </w:numPr>
        <w:kinsoku/>
        <w:wordWrap/>
        <w:overflowPunct/>
        <w:topLinePunct w:val="0"/>
        <w:autoSpaceDE/>
        <w:autoSpaceDN/>
        <w:bidi w:val="0"/>
        <w:snapToGrid/>
        <w:spacing w:line="580" w:lineRule="exact"/>
        <w:ind w:leftChars="200" w:firstLine="640" w:firstLineChars="200"/>
        <w:textAlignment w:val="auto"/>
        <w:rPr>
          <w:rFonts w:ascii="黑体" w:hAnsi="黑体" w:eastAsia="黑体"/>
          <w:sz w:val="32"/>
          <w:szCs w:val="32"/>
        </w:rPr>
      </w:pPr>
      <w:r>
        <w:rPr>
          <w:rFonts w:hint="eastAsia" w:ascii="仿宋" w:hAnsi="仿宋" w:eastAsia="仿宋" w:cs="仿宋"/>
          <w:sz w:val="32"/>
          <w:szCs w:val="32"/>
          <w:lang w:val="en-US" w:eastAsia="zh-CN"/>
        </w:rPr>
        <w:t>本年度我校</w:t>
      </w:r>
      <w:r>
        <w:rPr>
          <w:rFonts w:hint="eastAsia" w:ascii="仿宋" w:hAnsi="仿宋" w:eastAsia="仿宋" w:cs="仿宋"/>
          <w:sz w:val="32"/>
          <w:szCs w:val="32"/>
        </w:rPr>
        <w:t>机关事业单位基本养老保险缴费</w:t>
      </w:r>
      <w:r>
        <w:rPr>
          <w:rFonts w:hint="eastAsia" w:ascii="仿宋" w:hAnsi="仿宋" w:eastAsia="仿宋" w:cs="仿宋"/>
          <w:sz w:val="32"/>
          <w:szCs w:val="32"/>
          <w:lang w:val="en-US" w:eastAsia="zh-CN"/>
        </w:rPr>
        <w:t>支出61.1</w:t>
      </w:r>
      <w:r>
        <w:rPr>
          <w:rFonts w:hint="eastAsia" w:ascii="仿宋" w:hAnsi="仿宋" w:eastAsia="仿宋" w:cs="仿宋"/>
          <w:sz w:val="32"/>
          <w:szCs w:val="32"/>
        </w:rPr>
        <w:t>万元;</w:t>
      </w:r>
      <w:r>
        <w:rPr>
          <w:rFonts w:hint="eastAsia" w:ascii="仿宋" w:hAnsi="仿宋" w:eastAsia="仿宋" w:cs="仿宋"/>
          <w:sz w:val="32"/>
          <w:szCs w:val="32"/>
          <w:lang w:val="en-US" w:eastAsia="zh-CN"/>
        </w:rPr>
        <w:t>基本医疗保险缴费支出33.2万元。</w:t>
      </w:r>
    </w:p>
    <w:p w14:paraId="10FF0E9C">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eastAsia="黑体"/>
          <w:sz w:val="32"/>
          <w:szCs w:val="32"/>
        </w:rPr>
      </w:pPr>
      <w:r>
        <w:rPr>
          <w:rFonts w:ascii="黑体" w:hAnsi="黑体" w:eastAsia="黑体"/>
          <w:sz w:val="32"/>
          <w:szCs w:val="32"/>
        </w:rPr>
        <w:t>六、部门整体支出绩效情况</w:t>
      </w:r>
    </w:p>
    <w:p w14:paraId="130C25BB">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按照文件要求，我们根据部门整体支出绩效考评指标对我单位202</w:t>
      </w:r>
      <w:r>
        <w:rPr>
          <w:rFonts w:hint="eastAsia" w:ascii="仿宋" w:hAnsi="仿宋" w:eastAsia="仿宋" w:cs="仿宋"/>
          <w:sz w:val="32"/>
          <w:szCs w:val="32"/>
          <w:lang w:val="en-US" w:eastAsia="zh-CN"/>
        </w:rPr>
        <w:t>3</w:t>
      </w:r>
      <w:r>
        <w:rPr>
          <w:rFonts w:hint="eastAsia" w:ascii="仿宋" w:hAnsi="仿宋" w:eastAsia="仿宋" w:cs="仿宋"/>
          <w:sz w:val="32"/>
          <w:szCs w:val="32"/>
        </w:rPr>
        <w:t>年基本支出、三公经费、项目支出和厉行节约等方面的情况进行自评，主要包括预算配置、预算执行、预算管理、职责履行、履职效益及厉行节约保障措施等方面的情况，详见附件2、附件3。</w:t>
      </w:r>
    </w:p>
    <w:p w14:paraId="15382D64">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720"/>
        <w:jc w:val="left"/>
        <w:textAlignment w:val="auto"/>
        <w:rPr>
          <w:rFonts w:hint="eastAsia" w:ascii="仿宋" w:hAnsi="仿宋" w:eastAsia="仿宋" w:cs="仿宋"/>
          <w:i w:val="0"/>
          <w:caps w:val="0"/>
          <w:color w:val="auto"/>
          <w:spacing w:val="0"/>
          <w:sz w:val="32"/>
          <w:szCs w:val="32"/>
          <w:shd w:val="clear" w:color="auto" w:fill="auto"/>
        </w:rPr>
      </w:pPr>
      <w:r>
        <w:rPr>
          <w:rFonts w:hint="eastAsia" w:ascii="仿宋" w:hAnsi="仿宋" w:eastAsia="仿宋" w:cs="仿宋"/>
          <w:i w:val="0"/>
          <w:caps w:val="0"/>
          <w:color w:val="auto"/>
          <w:spacing w:val="0"/>
          <w:sz w:val="32"/>
          <w:szCs w:val="32"/>
          <w:shd w:val="clear" w:color="auto" w:fill="auto"/>
        </w:rPr>
        <w:t>我单位历来重视单位内部管理制度建设及监督，加强财务管理，强化财务监督，增强法纪观念，遵守规章制度。为保证财务管理工作规范有序进行，我校制订了相关财务管理的制度、规定，成立了财务监督小组，加强内部控制和监督。对各项资金的管理、经费收支审批等均作了明确规定，正确 组织资金的筹集、调度和使用，债权债务及时结算、结清。各项经费支出实行限额把关、一支笔审批制度。强化制度执行。切实做好厉行节约工作，全面落实各项管理制度要求，努力降低行政成本。严格公务接待费、差旅费、会 议费和培训费审核审批程序，做到一事一公函、一事一审批、一事一结账。</w:t>
      </w:r>
    </w:p>
    <w:p w14:paraId="636145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整体支出控管措施</w:t>
      </w:r>
    </w:p>
    <w:p w14:paraId="3D01821D">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hint="eastAsia" w:ascii="仿宋" w:hAnsi="仿宋" w:eastAsia="仿宋" w:cs="仿宋"/>
          <w:sz w:val="32"/>
          <w:szCs w:val="32"/>
        </w:rPr>
      </w:pPr>
      <w:r>
        <w:rPr>
          <w:rFonts w:hint="eastAsia" w:ascii="仿宋" w:hAnsi="仿宋" w:eastAsia="仿宋" w:cs="仿宋"/>
          <w:sz w:val="32"/>
          <w:szCs w:val="32"/>
        </w:rPr>
        <w:t>（一）加强部门预算管理,合理安排财政资金。增强行政成本意识，细化经费预算编制，在保证单位正常工作需要的人员经费和公用经费的前提下，严格控制 “三公”经费支出。各项支出遵照预算执行，确保支出与预算的对应衔 接，着力提高预算执行力。</w:t>
      </w:r>
    </w:p>
    <w:p w14:paraId="4F05267E">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hint="eastAsia" w:ascii="仿宋" w:hAnsi="仿宋" w:eastAsia="仿宋" w:cs="仿宋"/>
          <w:sz w:val="32"/>
          <w:szCs w:val="32"/>
        </w:rPr>
      </w:pPr>
      <w:r>
        <w:rPr>
          <w:rFonts w:hint="eastAsia" w:ascii="仿宋" w:hAnsi="仿宋" w:eastAsia="仿宋" w:cs="仿宋"/>
          <w:sz w:val="32"/>
          <w:szCs w:val="32"/>
        </w:rPr>
        <w:t>（二）加强“三公”经费管理，严控“三公”经费规模。我单位在既有的制度办法基础上，进一步研究完善公务接待、公务用车配置使用和因公出国(境)等管理制度和审核程序，将  “三公”经费严格纳入预算管理，严控 “三公”经费支出。具体情况是：</w:t>
      </w:r>
    </w:p>
    <w:p w14:paraId="71CE8322">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1、公务接待费。202</w:t>
      </w:r>
      <w:r>
        <w:rPr>
          <w:rFonts w:hint="eastAsia" w:ascii="仿宋" w:hAnsi="仿宋" w:eastAsia="仿宋" w:cs="仿宋"/>
          <w:sz w:val="32"/>
          <w:szCs w:val="32"/>
          <w:lang w:val="en-US" w:eastAsia="zh-CN"/>
        </w:rPr>
        <w:t>3</w:t>
      </w:r>
      <w:r>
        <w:rPr>
          <w:rFonts w:hint="eastAsia" w:ascii="仿宋" w:hAnsi="仿宋" w:eastAsia="仿宋" w:cs="仿宋"/>
          <w:sz w:val="32"/>
          <w:szCs w:val="32"/>
        </w:rPr>
        <w:t>年公务接待费预算</w:t>
      </w:r>
      <w:r>
        <w:rPr>
          <w:rFonts w:hint="eastAsia" w:ascii="仿宋" w:hAnsi="仿宋" w:eastAsia="仿宋" w:cs="仿宋"/>
          <w:sz w:val="32"/>
          <w:szCs w:val="32"/>
          <w:lang w:val="en-US" w:eastAsia="zh-CN"/>
        </w:rPr>
        <w:t>2.5</w:t>
      </w:r>
      <w:r>
        <w:rPr>
          <w:rFonts w:hint="eastAsia" w:ascii="仿宋" w:hAnsi="仿宋" w:eastAsia="仿宋" w:cs="仿宋"/>
          <w:sz w:val="32"/>
          <w:szCs w:val="32"/>
        </w:rPr>
        <w:t>万元，而实际接待</w:t>
      </w:r>
      <w:r>
        <w:rPr>
          <w:rFonts w:hint="eastAsia" w:ascii="仿宋" w:hAnsi="仿宋" w:eastAsia="仿宋" w:cs="仿宋"/>
          <w:sz w:val="32"/>
          <w:szCs w:val="32"/>
          <w:lang w:val="en-US" w:eastAsia="zh-CN"/>
        </w:rPr>
        <w:t>2.46</w:t>
      </w:r>
      <w:r>
        <w:rPr>
          <w:rFonts w:hint="eastAsia" w:ascii="仿宋" w:hAnsi="仿宋" w:eastAsia="仿宋" w:cs="仿宋"/>
          <w:sz w:val="32"/>
          <w:szCs w:val="32"/>
        </w:rPr>
        <w:t>万元，</w:t>
      </w:r>
      <w:r>
        <w:rPr>
          <w:rFonts w:hint="eastAsia" w:ascii="仿宋" w:hAnsi="仿宋" w:eastAsia="仿宋" w:cs="仿宋"/>
          <w:sz w:val="32"/>
          <w:szCs w:val="32"/>
          <w:lang w:eastAsia="zh-CN"/>
        </w:rPr>
        <w:t>（部分接待费由于疫情原因没报，但</w:t>
      </w:r>
      <w:r>
        <w:rPr>
          <w:rFonts w:hint="eastAsia" w:ascii="仿宋" w:hAnsi="仿宋" w:eastAsia="仿宋" w:cs="仿宋"/>
          <w:sz w:val="32"/>
          <w:szCs w:val="32"/>
        </w:rPr>
        <w:t>接待经费严格控制在预算额度内使用</w:t>
      </w:r>
      <w:r>
        <w:rPr>
          <w:rFonts w:hint="eastAsia" w:ascii="仿宋" w:hAnsi="仿宋" w:eastAsia="仿宋" w:cs="仿宋"/>
          <w:sz w:val="32"/>
          <w:szCs w:val="32"/>
          <w:lang w:eastAsia="zh-CN"/>
        </w:rPr>
        <w:t>）我校</w:t>
      </w:r>
      <w:r>
        <w:rPr>
          <w:rFonts w:hint="eastAsia" w:ascii="仿宋" w:hAnsi="仿宋" w:eastAsia="仿宋" w:cs="仿宋"/>
          <w:sz w:val="32"/>
          <w:szCs w:val="32"/>
        </w:rPr>
        <w:t>在公务接待中做到了“四严格”，即严格预算管理，规定接待经费严格控制在预算额度内使用；严格审批程序，规定了公务接待的审批权限；严格接待标准，规定住宿、用餐原则上安排在财政指定的公务接待定点宾馆或者机关食堂，原则上都安排自助餐，如有重要接待，也以湘菜为主；严格报账，要求公务接待费用实行“一支笔”审批，严格执行先审批，后接待的程序。</w:t>
      </w:r>
    </w:p>
    <w:p w14:paraId="2251E1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2、公务用车购置及运行费无。</w:t>
      </w:r>
    </w:p>
    <w:p w14:paraId="4F7A086E">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加强对公用支出中重点费用的管理。规范会议费、培训费、差旅费、办公费等费用开支标准，按照国家规定的标准和范围列支，控制会议培训的数量、规模，简化会议培训的形式；控制差旅活动的人数和天数，不安排无明确目的的公务考察活动；坚持厉行节约的原则，控制和压缩办公经费支出，各项费用严格控制在预算额度内使用。</w:t>
      </w:r>
    </w:p>
    <w:p w14:paraId="1DD82234">
      <w:pPr>
        <w:keepNext w:val="0"/>
        <w:keepLines w:val="0"/>
        <w:pageBreakBefore w:val="0"/>
        <w:widowControl w:val="0"/>
        <w:kinsoku/>
        <w:wordWrap/>
        <w:overflowPunct/>
        <w:topLinePunct w:val="0"/>
        <w:autoSpaceDE/>
        <w:autoSpaceDN/>
        <w:bidi w:val="0"/>
        <w:adjustRightInd/>
        <w:snapToGrid/>
        <w:spacing w:line="580" w:lineRule="exact"/>
        <w:ind w:firstLine="320" w:firstLineChars="100"/>
        <w:textAlignment w:val="auto"/>
        <w:rPr>
          <w:rFonts w:hint="eastAsia" w:ascii="仿宋" w:hAnsi="仿宋" w:eastAsia="仿宋" w:cs="仿宋"/>
          <w:i w:val="0"/>
          <w:caps w:val="0"/>
          <w:color w:val="auto"/>
          <w:spacing w:val="0"/>
          <w:sz w:val="32"/>
          <w:szCs w:val="32"/>
          <w:shd w:val="clear" w:color="auto" w:fill="auto"/>
        </w:rPr>
      </w:pPr>
      <w:r>
        <w:rPr>
          <w:rFonts w:hint="eastAsia" w:ascii="仿宋" w:hAnsi="仿宋" w:eastAsia="仿宋" w:cs="仿宋"/>
          <w:sz w:val="32"/>
          <w:szCs w:val="32"/>
        </w:rPr>
        <w:t>（四）规范资金结算管理。经费报批实行"一支笔"审批制度，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提高财政资金支付效率。</w:t>
      </w:r>
    </w:p>
    <w:p w14:paraId="74178A12">
      <w:pPr>
        <w:pStyle w:val="11"/>
        <w:keepNext w:val="0"/>
        <w:keepLines w:val="0"/>
        <w:pageBreakBefore w:val="0"/>
        <w:widowControl w:val="0"/>
        <w:kinsoku/>
        <w:wordWrap/>
        <w:overflowPunct/>
        <w:topLinePunct w:val="0"/>
        <w:autoSpaceDE/>
        <w:autoSpaceDN/>
        <w:bidi w:val="0"/>
        <w:snapToGrid/>
        <w:spacing w:line="580" w:lineRule="exact"/>
        <w:ind w:firstLine="640"/>
        <w:textAlignment w:val="auto"/>
        <w:rPr>
          <w:rFonts w:ascii="Times New Roman" w:hAnsi="Times New Roman" w:eastAsia="黑体"/>
          <w:sz w:val="32"/>
          <w:szCs w:val="32"/>
        </w:rPr>
      </w:pPr>
      <w:r>
        <w:rPr>
          <w:rFonts w:ascii="黑体" w:hAnsi="黑体" w:eastAsia="黑体"/>
          <w:sz w:val="32"/>
          <w:szCs w:val="32"/>
        </w:rPr>
        <w:t>七、存在的问题及原因分析</w:t>
      </w:r>
    </w:p>
    <w:p w14:paraId="75208459">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eastAsia" w:ascii="仿宋" w:hAnsi="仿宋" w:eastAsia="仿宋" w:cs="仿宋"/>
          <w:i w:val="0"/>
          <w:caps w:val="0"/>
          <w:color w:val="3C3C3C"/>
          <w:spacing w:val="0"/>
          <w:sz w:val="32"/>
          <w:szCs w:val="32"/>
          <w:shd w:val="clear" w:color="auto" w:fill="auto"/>
        </w:rPr>
      </w:pPr>
      <w:r>
        <w:rPr>
          <w:rFonts w:hint="eastAsia" w:ascii="仿宋" w:hAnsi="仿宋" w:eastAsia="仿宋" w:cs="仿宋"/>
          <w:i w:val="0"/>
          <w:caps w:val="0"/>
          <w:color w:val="3C3C3C"/>
          <w:spacing w:val="0"/>
          <w:sz w:val="32"/>
          <w:szCs w:val="32"/>
          <w:shd w:val="clear" w:color="auto" w:fill="auto"/>
        </w:rPr>
        <w:t xml:space="preserve">1、预算编制工作有待细化。预算编制不够明确和细化，预算 编制的合理性需要提高，预算执行力度还要进一步加强。 </w:t>
      </w:r>
    </w:p>
    <w:p w14:paraId="5D287A26">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hint="eastAsia" w:ascii="仿宋" w:hAnsi="仿宋" w:eastAsia="仿宋" w:cs="仿宋"/>
          <w:i w:val="0"/>
          <w:caps w:val="0"/>
          <w:color w:val="3C3C3C"/>
          <w:spacing w:val="0"/>
          <w:sz w:val="32"/>
          <w:szCs w:val="32"/>
          <w:shd w:val="clear" w:color="auto" w:fill="auto"/>
        </w:rPr>
      </w:pPr>
      <w:r>
        <w:rPr>
          <w:rFonts w:hint="eastAsia" w:ascii="仿宋" w:hAnsi="仿宋" w:eastAsia="仿宋" w:cs="仿宋"/>
          <w:i w:val="0"/>
          <w:caps w:val="0"/>
          <w:color w:val="3C3C3C"/>
          <w:spacing w:val="0"/>
          <w:sz w:val="32"/>
          <w:szCs w:val="32"/>
          <w:shd w:val="clear" w:color="auto" w:fill="auto"/>
        </w:rPr>
        <w:t xml:space="preserve">2、因单位人员较多导致经费不足:绩效工资和日常公用经费不足。 </w:t>
      </w:r>
    </w:p>
    <w:p w14:paraId="4E8CD8DF">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ascii="黑体" w:hAnsi="黑体" w:eastAsia="黑体"/>
          <w:sz w:val="32"/>
          <w:szCs w:val="32"/>
        </w:rPr>
      </w:pPr>
      <w:r>
        <w:rPr>
          <w:rFonts w:ascii="黑体" w:hAnsi="黑体" w:eastAsia="黑体"/>
          <w:sz w:val="32"/>
          <w:szCs w:val="32"/>
        </w:rPr>
        <w:t>八、下一步改进措施</w:t>
      </w:r>
    </w:p>
    <w:p w14:paraId="508C1F0A">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jc w:val="left"/>
        <w:textAlignment w:val="auto"/>
        <w:rPr>
          <w:rFonts w:hint="eastAsia" w:ascii="仿宋" w:hAnsi="仿宋" w:eastAsia="仿宋" w:cs="仿宋"/>
          <w:b/>
          <w:bCs/>
          <w:i w:val="0"/>
          <w:caps w:val="0"/>
          <w:color w:val="3C3C3C"/>
          <w:spacing w:val="0"/>
          <w:sz w:val="32"/>
          <w:szCs w:val="32"/>
          <w:shd w:val="clear" w:color="auto" w:fill="auto"/>
        </w:rPr>
      </w:pPr>
      <w:r>
        <w:rPr>
          <w:rFonts w:hint="eastAsia" w:ascii="仿宋" w:hAnsi="仿宋" w:eastAsia="仿宋" w:cs="仿宋"/>
          <w:b/>
          <w:bCs/>
          <w:i w:val="0"/>
          <w:caps w:val="0"/>
          <w:color w:val="3C3C3C"/>
          <w:spacing w:val="0"/>
          <w:sz w:val="32"/>
          <w:szCs w:val="32"/>
          <w:shd w:val="clear" w:color="auto" w:fill="auto"/>
        </w:rPr>
        <w:t>针对上述存在的问题及对外整体支出管理工作的需要，拟</w:t>
      </w:r>
      <w:r>
        <w:rPr>
          <w:rFonts w:hint="eastAsia" w:ascii="仿宋" w:hAnsi="仿宋" w:eastAsia="仿宋" w:cs="仿宋"/>
          <w:b/>
          <w:bCs/>
          <w:i w:val="0"/>
          <w:caps w:val="0"/>
          <w:color w:val="3C3C3C"/>
          <w:spacing w:val="0"/>
          <w:sz w:val="32"/>
          <w:szCs w:val="32"/>
          <w:shd w:val="clear" w:color="auto" w:fill="auto"/>
          <w:lang w:eastAsia="zh-CN"/>
        </w:rPr>
        <w:t>实</w:t>
      </w:r>
      <w:r>
        <w:rPr>
          <w:rFonts w:hint="eastAsia" w:ascii="仿宋" w:hAnsi="仿宋" w:eastAsia="仿宋" w:cs="仿宋"/>
          <w:b/>
          <w:bCs/>
          <w:i w:val="0"/>
          <w:caps w:val="0"/>
          <w:color w:val="3C3C3C"/>
          <w:spacing w:val="0"/>
          <w:sz w:val="32"/>
          <w:szCs w:val="32"/>
          <w:shd w:val="clear" w:color="auto" w:fill="auto"/>
        </w:rPr>
        <w:t>施的改进措施如下:</w:t>
      </w:r>
    </w:p>
    <w:p w14:paraId="1B1F490B">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eastAsia" w:ascii="仿宋" w:hAnsi="仿宋" w:eastAsia="仿宋" w:cs="仿宋"/>
          <w:i w:val="0"/>
          <w:caps w:val="0"/>
          <w:color w:val="3C3C3C"/>
          <w:spacing w:val="0"/>
          <w:sz w:val="32"/>
          <w:szCs w:val="32"/>
          <w:shd w:val="clear" w:color="auto" w:fill="auto"/>
        </w:rPr>
      </w:pPr>
      <w:r>
        <w:rPr>
          <w:rFonts w:hint="eastAsia" w:ascii="仿宋" w:hAnsi="仿宋" w:eastAsia="仿宋" w:cs="仿宋"/>
          <w:i w:val="0"/>
          <w:caps w:val="0"/>
          <w:color w:val="3C3C3C"/>
          <w:spacing w:val="0"/>
          <w:sz w:val="32"/>
          <w:szCs w:val="32"/>
          <w:shd w:val="clear" w:color="auto" w:fill="auto"/>
        </w:rPr>
        <w:t xml:space="preserve"> 1、细化预算编制工作，认真做好预算的编制。进一步加强单 位内部机构各股室的预算管理意识，严格按照预算编制的相关制 度和要求进行预算编制;全面编制预算项目，优先保障固定性的、 相对刚性的费用支出项目，尽量压缩变动性的、有控制空间的费 用项目，进一步提高预算编制的科学性、严谨性和可控性。加强内部预算编制的审核和预算控制指标的下达。 </w:t>
      </w:r>
    </w:p>
    <w:p w14:paraId="5A8A597B">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eastAsia" w:ascii="仿宋" w:hAnsi="仿宋" w:eastAsia="仿宋" w:cs="仿宋"/>
          <w:i w:val="0"/>
          <w:caps w:val="0"/>
          <w:color w:val="3C3C3C"/>
          <w:spacing w:val="0"/>
          <w:sz w:val="32"/>
          <w:szCs w:val="32"/>
          <w:shd w:val="clear" w:color="auto" w:fill="auto"/>
        </w:rPr>
      </w:pPr>
      <w:r>
        <w:rPr>
          <w:rFonts w:hint="eastAsia" w:ascii="仿宋" w:hAnsi="仿宋" w:eastAsia="仿宋" w:cs="仿宋"/>
          <w:i w:val="0"/>
          <w:caps w:val="0"/>
          <w:color w:val="3C3C3C"/>
          <w:spacing w:val="0"/>
          <w:sz w:val="32"/>
          <w:szCs w:val="32"/>
          <w:shd w:val="clear" w:color="auto" w:fill="auto"/>
        </w:rPr>
        <w:t xml:space="preserve">2、加强财务管理，严格财务审核。加强单位财务管理，健全 单位财务管理制度体系，规范单位财务行为。在费用报账支付时， 按照预算规定的费用项目和用途进行资金使用审核、列报支付、 财务核算，杜绝超支现象的发生。 </w:t>
      </w:r>
    </w:p>
    <w:p w14:paraId="0865B0B1">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eastAsia" w:ascii="仿宋" w:hAnsi="仿宋" w:eastAsia="仿宋" w:cs="仿宋"/>
          <w:i w:val="0"/>
          <w:caps w:val="0"/>
          <w:color w:val="3C3C3C"/>
          <w:spacing w:val="0"/>
          <w:sz w:val="32"/>
          <w:szCs w:val="32"/>
          <w:shd w:val="clear" w:color="auto" w:fill="auto"/>
        </w:rPr>
      </w:pPr>
      <w:r>
        <w:rPr>
          <w:rFonts w:hint="eastAsia" w:ascii="仿宋" w:hAnsi="仿宋" w:eastAsia="仿宋" w:cs="仿宋"/>
          <w:i w:val="0"/>
          <w:caps w:val="0"/>
          <w:color w:val="3C3C3C"/>
          <w:spacing w:val="0"/>
          <w:sz w:val="32"/>
          <w:szCs w:val="32"/>
          <w:shd w:val="clear" w:color="auto" w:fill="auto"/>
        </w:rPr>
        <w:t>3、完善资产管理，抓好“三公”经费控制。严格编制政府采 购年初预算和计划，规范各类资产的购置审批制度、资产出租出 借和收入管理制度、资产采购制度、使用管理制度、资产处置和 报废审批制度、资产管理岗位职责制度等，加强单位内部的资产 管理工作。严格控制“三公”经费的规模和比例，把关“三公” 经费支出的审核、审批，杜绝挪用和挤占其他预算资金行为;进 一步细化“三公”经费的管理，合理压缩“三公”经费支出。</w:t>
      </w:r>
    </w:p>
    <w:p w14:paraId="3DEC980D">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jc w:val="left"/>
        <w:textAlignment w:val="auto"/>
        <w:rPr>
          <w:rFonts w:hint="eastAsia" w:ascii="仿宋" w:hAnsi="仿宋" w:eastAsia="仿宋" w:cs="仿宋"/>
          <w:i w:val="0"/>
          <w:caps w:val="0"/>
          <w:color w:val="3C3C3C"/>
          <w:spacing w:val="0"/>
          <w:sz w:val="32"/>
          <w:szCs w:val="32"/>
          <w:shd w:val="clear" w:color="auto" w:fill="auto"/>
          <w:lang w:val="en-US" w:eastAsia="zh-CN"/>
        </w:rPr>
      </w:pPr>
      <w:r>
        <w:rPr>
          <w:rFonts w:hint="eastAsia" w:ascii="仿宋" w:hAnsi="仿宋" w:eastAsia="仿宋" w:cs="仿宋"/>
          <w:i w:val="0"/>
          <w:caps w:val="0"/>
          <w:color w:val="3C3C3C"/>
          <w:spacing w:val="0"/>
          <w:sz w:val="32"/>
          <w:szCs w:val="32"/>
          <w:shd w:val="clear" w:color="auto" w:fill="auto"/>
        </w:rPr>
        <w:t xml:space="preserve"> 4、对相关人员加强培训，特别是针对《预算法》、《行政事业单位会计制度》等学习培训，规范部门预算收支核算，切实提高部门预算收支管理水平。</w:t>
      </w:r>
    </w:p>
    <w:p w14:paraId="25EBEA85">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ascii="黑体" w:hAnsi="黑体" w:eastAsia="黑体"/>
          <w:sz w:val="32"/>
          <w:szCs w:val="32"/>
        </w:rPr>
      </w:pPr>
      <w:r>
        <w:rPr>
          <w:rFonts w:ascii="黑体" w:hAnsi="黑体" w:eastAsia="黑体"/>
          <w:sz w:val="32"/>
          <w:szCs w:val="32"/>
        </w:rPr>
        <w:t>九、绩效自评结果拟应用和公开情况</w:t>
      </w:r>
    </w:p>
    <w:p w14:paraId="5E232DA9">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w:t>
      </w:r>
      <w:r>
        <w:rPr>
          <w:rFonts w:hint="eastAsia" w:ascii="仿宋" w:hAnsi="仿宋" w:eastAsia="仿宋" w:cs="仿宋"/>
          <w:sz w:val="32"/>
          <w:szCs w:val="32"/>
          <w:lang w:eastAsia="zh-CN"/>
        </w:rPr>
        <w:t>，</w:t>
      </w:r>
      <w:r>
        <w:rPr>
          <w:rFonts w:hint="eastAsia" w:ascii="仿宋" w:hAnsi="仿宋" w:eastAsia="仿宋" w:cs="仿宋"/>
          <w:sz w:val="32"/>
          <w:szCs w:val="32"/>
        </w:rPr>
        <w:t>结合我校实际将支出进行合理化分配,以达到合理高效地运用资金、提升资金的产出效果、节约成本与资源、提高部门的办事效率的目的</w:t>
      </w:r>
      <w:r>
        <w:rPr>
          <w:rFonts w:hint="eastAsia" w:ascii="仿宋" w:hAnsi="仿宋" w:eastAsia="仿宋" w:cs="仿宋"/>
          <w:sz w:val="32"/>
          <w:szCs w:val="32"/>
          <w:lang w:eastAsia="zh-CN"/>
        </w:rPr>
        <w:t>，</w:t>
      </w:r>
      <w:r>
        <w:rPr>
          <w:rFonts w:hint="eastAsia" w:ascii="仿宋" w:hAnsi="仿宋" w:eastAsia="仿宋" w:cs="仿宋"/>
          <w:sz w:val="32"/>
          <w:szCs w:val="32"/>
        </w:rPr>
        <w:t>使财政资金发挥出最大的效益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进一步提升财政精细化管理水平。</w:t>
      </w:r>
    </w:p>
    <w:p w14:paraId="4B62A386">
      <w:pPr>
        <w:keepNext w:val="0"/>
        <w:keepLines w:val="0"/>
        <w:pageBreakBefore w:val="0"/>
        <w:widowControl w:val="0"/>
        <w:kinsoku/>
        <w:wordWrap/>
        <w:overflowPunct/>
        <w:topLinePunct w:val="0"/>
        <w:autoSpaceDE/>
        <w:autoSpaceDN/>
        <w:bidi w:val="0"/>
        <w:snapToGrid/>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除涉密信息外，</w:t>
      </w:r>
      <w:r>
        <w:rPr>
          <w:rFonts w:hint="eastAsia" w:ascii="仿宋" w:hAnsi="仿宋" w:eastAsia="仿宋"/>
          <w:sz w:val="32"/>
          <w:szCs w:val="32"/>
          <w:lang w:val="en-US" w:eastAsia="zh-CN"/>
        </w:rPr>
        <w:t>我单位拟</w:t>
      </w:r>
      <w:r>
        <w:rPr>
          <w:rFonts w:hint="eastAsia" w:ascii="仿宋" w:hAnsi="仿宋" w:eastAsia="仿宋"/>
          <w:sz w:val="32"/>
          <w:szCs w:val="32"/>
        </w:rPr>
        <w:t>在202</w:t>
      </w:r>
      <w:r>
        <w:rPr>
          <w:rFonts w:hint="eastAsia" w:ascii="仿宋" w:hAnsi="仿宋" w:eastAsia="仿宋"/>
          <w:sz w:val="32"/>
          <w:szCs w:val="32"/>
          <w:lang w:val="en-US" w:eastAsia="zh-CN"/>
        </w:rPr>
        <w:t>4</w:t>
      </w:r>
      <w:r>
        <w:rPr>
          <w:rFonts w:hint="eastAsia" w:ascii="仿宋" w:hAnsi="仿宋" w:eastAsia="仿宋"/>
          <w:sz w:val="32"/>
          <w:szCs w:val="32"/>
        </w:rPr>
        <w:t>年6月30日前将项目支出资金绩效评价报告和部门整体支出绩效评价报告在县人民政府网站统一平台上公开，接受社会监督。</w:t>
      </w:r>
    </w:p>
    <w:p w14:paraId="47735705">
      <w:pPr>
        <w:spacing w:line="600" w:lineRule="exact"/>
        <w:ind w:firstLine="640" w:firstLineChars="200"/>
        <w:rPr>
          <w:rFonts w:hint="default" w:ascii="仿宋" w:hAnsi="仿宋" w:eastAsia="仿宋" w:cs="仿宋"/>
          <w:sz w:val="32"/>
          <w:szCs w:val="32"/>
          <w:lang w:val="en-US" w:eastAsia="zh-CN"/>
        </w:rPr>
      </w:pPr>
    </w:p>
    <w:p w14:paraId="5375F484">
      <w:pPr>
        <w:spacing w:line="600" w:lineRule="exact"/>
        <w:ind w:firstLine="640" w:firstLineChars="200"/>
        <w:rPr>
          <w:rFonts w:hint="eastAsia" w:ascii="仿宋" w:hAnsi="仿宋" w:eastAsia="仿宋" w:cs="仿宋"/>
          <w:sz w:val="32"/>
          <w:szCs w:val="32"/>
        </w:rPr>
      </w:pPr>
    </w:p>
    <w:p w14:paraId="664EADB0">
      <w:pPr>
        <w:spacing w:line="560" w:lineRule="exact"/>
        <w:rPr>
          <w:rFonts w:hint="eastAsia" w:ascii="黑体" w:hAnsi="黑体" w:eastAsia="黑体" w:cs="宋体"/>
          <w:kern w:val="0"/>
          <w:sz w:val="32"/>
          <w:szCs w:val="32"/>
        </w:rPr>
      </w:pPr>
    </w:p>
    <w:p w14:paraId="054C4E20"/>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7A49B">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00FB42">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2F00FB42">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319F">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990FE">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2EA990FE">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EA124"/>
    <w:multiLevelType w:val="singleLevel"/>
    <w:tmpl w:val="E12EA124"/>
    <w:lvl w:ilvl="0" w:tentative="0">
      <w:start w:val="2"/>
      <w:numFmt w:val="chineseCounting"/>
      <w:suff w:val="nothing"/>
      <w:lvlText w:val="%1、"/>
      <w:lvlJc w:val="left"/>
      <w:pPr>
        <w:ind w:left="620"/>
      </w:pPr>
      <w:rPr>
        <w:rFonts w:hint="eastAsia"/>
      </w:rPr>
    </w:lvl>
  </w:abstractNum>
  <w:abstractNum w:abstractNumId="1">
    <w:nsid w:val="66983AE7"/>
    <w:multiLevelType w:val="singleLevel"/>
    <w:tmpl w:val="66983AE7"/>
    <w:lvl w:ilvl="0" w:tentative="0">
      <w:start w:val="1"/>
      <w:numFmt w:val="chineseCounting"/>
      <w:suff w:val="nothing"/>
      <w:lvlText w:val="（%1）"/>
      <w:lvlJc w:val="left"/>
      <w:rPr>
        <w:rFonts w:hint="eastAsia"/>
      </w:rPr>
    </w:lvl>
  </w:abstractNum>
  <w:abstractNum w:abstractNumId="2">
    <w:nsid w:val="6C3D7F41"/>
    <w:multiLevelType w:val="singleLevel"/>
    <w:tmpl w:val="6C3D7F4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ODU0NzRlMjMyMGI2ZTczMjcwMWU0NTE4MzA1NmYifQ=="/>
  </w:docVars>
  <w:rsids>
    <w:rsidRoot w:val="00172A27"/>
    <w:rsid w:val="0CCE5073"/>
    <w:rsid w:val="101F3C57"/>
    <w:rsid w:val="105E064F"/>
    <w:rsid w:val="154B3473"/>
    <w:rsid w:val="15B02F86"/>
    <w:rsid w:val="1BB66EEA"/>
    <w:rsid w:val="1BCE59A7"/>
    <w:rsid w:val="1D5E5630"/>
    <w:rsid w:val="1F9C1D8C"/>
    <w:rsid w:val="20BA3D5C"/>
    <w:rsid w:val="20FE29CD"/>
    <w:rsid w:val="213827F6"/>
    <w:rsid w:val="24756501"/>
    <w:rsid w:val="27E52D39"/>
    <w:rsid w:val="2AF82401"/>
    <w:rsid w:val="31EF3498"/>
    <w:rsid w:val="33457B5A"/>
    <w:rsid w:val="33EA0D37"/>
    <w:rsid w:val="3DB65DBF"/>
    <w:rsid w:val="3DFB432B"/>
    <w:rsid w:val="3E907376"/>
    <w:rsid w:val="41A60F90"/>
    <w:rsid w:val="437042B4"/>
    <w:rsid w:val="43D25C86"/>
    <w:rsid w:val="47FF7E2A"/>
    <w:rsid w:val="48DD58AD"/>
    <w:rsid w:val="494816FA"/>
    <w:rsid w:val="4A7E5437"/>
    <w:rsid w:val="4B490F32"/>
    <w:rsid w:val="4B564457"/>
    <w:rsid w:val="4C575977"/>
    <w:rsid w:val="4DF30F3A"/>
    <w:rsid w:val="4E8B7C40"/>
    <w:rsid w:val="4F1637A4"/>
    <w:rsid w:val="500F1BD2"/>
    <w:rsid w:val="51C40746"/>
    <w:rsid w:val="543E6CC0"/>
    <w:rsid w:val="55412274"/>
    <w:rsid w:val="55C03679"/>
    <w:rsid w:val="57C446E9"/>
    <w:rsid w:val="58820FB8"/>
    <w:rsid w:val="5ABA52A9"/>
    <w:rsid w:val="5C8E01AF"/>
    <w:rsid w:val="5E6C5179"/>
    <w:rsid w:val="623023AB"/>
    <w:rsid w:val="62BE6D8B"/>
    <w:rsid w:val="64E742EF"/>
    <w:rsid w:val="684B0AD7"/>
    <w:rsid w:val="6F604E46"/>
    <w:rsid w:val="71684E2F"/>
    <w:rsid w:val="72444EDB"/>
    <w:rsid w:val="75073918"/>
    <w:rsid w:val="771A18F7"/>
    <w:rsid w:val="78B407A0"/>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character" w:styleId="9">
    <w:name w:val="page number"/>
    <w:basedOn w:val="8"/>
    <w:uiPriority w:val="0"/>
  </w:style>
  <w:style w:type="paragraph" w:customStyle="1" w:styleId="10">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6971</Words>
  <Characters>7580</Characters>
  <Lines>0</Lines>
  <Paragraphs>0</Paragraphs>
  <TotalTime>50</TotalTime>
  <ScaleCrop>false</ScaleCrop>
  <LinksUpToDate>false</LinksUpToDate>
  <CharactersWithSpaces>7902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Jenny</cp:lastModifiedBy>
  <dcterms:modified xsi:type="dcterms:W3CDTF">2024-07-22T02:56:46Z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DB2B388DCA984C80907C70ED86DDA920_13</vt:lpwstr>
  </property>
</Properties>
</file>