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双牌县妇女联合会</w:t>
      </w:r>
      <w:r>
        <w:rPr>
          <w:rFonts w:hint="eastAsia" w:ascii="方正小标宋简体" w:eastAsia="方正小标宋简体"/>
          <w:sz w:val="52"/>
          <w:szCs w:val="24"/>
        </w:rPr>
        <w:t>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      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2560" w:firstLineChars="8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>4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12</w:t>
      </w:r>
      <w:r>
        <w:rPr>
          <w:rFonts w:hint="eastAsia" w:eastAsia="楷体_GB2312"/>
          <w:sz w:val="32"/>
          <w:szCs w:val="24"/>
        </w:rPr>
        <w:t>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仿宋_GB2312"/>
          <w:b/>
          <w:bCs/>
          <w:sz w:val="32"/>
          <w:szCs w:val="24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双牌县妇女联合会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主要职能。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坚持正确的政治方向，团结、教育全县各族各界妇女以及各类妇女组织同党中央在思想上、政治上、行动上保持高度一致。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紧密围绕县委、县政府的中心任务开展工作。  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代表妇女参与社会事务的民主管理和民主监督。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坚持为妇女儿童服务、为基层服务，加强与社会各界的联系，协调、推动社会各界为妇女儿童办好事、办实事。   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加强妇联组织自身建设，指导建立健全各级妇联和基层妇女组织。　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承担县妇女儿童工作委员会的日常工作。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</w:rPr>
        <w:t>承办县委、县政府和市妇联交办的其他事项。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双牌县妇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合会属财政全额拨款正科级参照公务员管理单位；财务隶属关系属一级单位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行政单位会计制度。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现有内设机构1个：综合性办公室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人员情况。202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年本单位年未实有人数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在编在岗参公人员3人，事业编制人员2人。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(四）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部门（单位）整体支出规模，包括但不限于部门整体支出情况、部门预算收支决算情况及“三公经费”支出使用和管理情况。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/>
          <w:sz w:val="32"/>
          <w:szCs w:val="24"/>
          <w:lang w:val="en-US"/>
        </w:rPr>
        <w:t>202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24"/>
          <w:lang w:val="en-US"/>
        </w:rPr>
        <w:t>年收入实际完成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110.56</w:t>
      </w:r>
      <w:r>
        <w:rPr>
          <w:rFonts w:hint="eastAsia" w:ascii="仿宋" w:hAnsi="仿宋" w:eastAsia="仿宋"/>
          <w:sz w:val="32"/>
          <w:szCs w:val="24"/>
          <w:lang w:val="en-US"/>
        </w:rPr>
        <w:t>万元，比上年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增加4.16</w:t>
      </w:r>
      <w:r>
        <w:rPr>
          <w:rFonts w:hint="eastAsia" w:ascii="仿宋" w:hAnsi="仿宋" w:eastAsia="仿宋"/>
          <w:sz w:val="32"/>
          <w:szCs w:val="24"/>
          <w:lang w:val="en-US"/>
        </w:rPr>
        <w:t>万元，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增加4</w:t>
      </w:r>
      <w:r>
        <w:rPr>
          <w:rFonts w:hint="eastAsia" w:ascii="仿宋" w:hAnsi="仿宋" w:eastAsia="仿宋"/>
          <w:sz w:val="32"/>
          <w:szCs w:val="24"/>
          <w:lang w:val="en-US"/>
        </w:rPr>
        <w:t>%。主要原因是：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年度执行中单位事权调整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、基本工资基数变动。本年度无其他收入。</w:t>
      </w:r>
    </w:p>
    <w:p>
      <w:pPr>
        <w:widowControl/>
        <w:numPr>
          <w:ilvl w:val="0"/>
          <w:numId w:val="0"/>
        </w:numPr>
        <w:pBdr>
          <w:bottom w:val="single" w:color="FFFFFF" w:sz="4" w:space="30"/>
        </w:pBdr>
        <w:shd w:val="clear" w:color="auto" w:fill="auto"/>
        <w:autoSpaceDE w:val="0"/>
        <w:adjustRightInd w:val="0"/>
        <w:snapToGrid w:val="0"/>
        <w:spacing w:beforeLines="0" w:afterLines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2023年，本部门支出110.56万元，</w:t>
      </w:r>
      <w:r>
        <w:rPr>
          <w:rFonts w:hint="eastAsia" w:ascii="仿宋" w:hAnsi="仿宋" w:eastAsia="仿宋"/>
          <w:sz w:val="32"/>
          <w:szCs w:val="24"/>
          <w:lang w:val="en-US"/>
        </w:rPr>
        <w:t>比上年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增加4.16</w:t>
      </w:r>
      <w:r>
        <w:rPr>
          <w:rFonts w:hint="eastAsia" w:ascii="仿宋" w:hAnsi="仿宋" w:eastAsia="仿宋"/>
          <w:sz w:val="32"/>
          <w:szCs w:val="24"/>
          <w:lang w:val="en-US"/>
        </w:rPr>
        <w:t>万元，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增加4</w:t>
      </w:r>
      <w:r>
        <w:rPr>
          <w:rFonts w:hint="eastAsia" w:ascii="仿宋" w:hAnsi="仿宋" w:eastAsia="仿宋"/>
          <w:sz w:val="32"/>
          <w:szCs w:val="24"/>
          <w:lang w:val="en-US"/>
        </w:rPr>
        <w:t>%。主要原因是：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年度执行中单位事权调整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、基本工资基数变动。        </w:t>
      </w:r>
    </w:p>
    <w:p>
      <w:pPr>
        <w:widowControl/>
        <w:numPr>
          <w:ilvl w:val="0"/>
          <w:numId w:val="0"/>
        </w:numPr>
        <w:pBdr>
          <w:bottom w:val="single" w:color="FFFFFF" w:sz="4" w:space="30"/>
        </w:pBdr>
        <w:shd w:val="clear" w:color="auto" w:fill="auto"/>
        <w:autoSpaceDE w:val="0"/>
        <w:adjustRightInd w:val="0"/>
        <w:snapToGrid w:val="0"/>
        <w:spacing w:beforeLines="0" w:afterLines="0" w:line="520" w:lineRule="exact"/>
        <w:ind w:firstLine="640" w:firstLineChars="200"/>
        <w:rPr>
          <w:rFonts w:hint="eastAsia" w:ascii="仿宋" w:hAnsi="仿宋" w:eastAsia="仿宋"/>
          <w:sz w:val="32"/>
          <w:szCs w:val="24"/>
          <w:lang w:val="en-US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其中：基本支出完成78.05万元，比上年增加0.79万元，增加1%，</w:t>
      </w:r>
      <w:r>
        <w:rPr>
          <w:rFonts w:hint="eastAsia" w:ascii="仿宋_GB2312" w:eastAsia="仿宋_GB2312" w:cs="Times New Roman"/>
          <w:sz w:val="32"/>
          <w:szCs w:val="32"/>
          <w:lang w:val="zh-CN" w:eastAsia="zh-CN"/>
        </w:rPr>
        <w:t>变化的主要原因：本年度在职人员基本工资等待遇调整。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项目支出32.5万元，比上年增加3.37万元，增加10%；</w:t>
      </w:r>
      <w:r>
        <w:rPr>
          <w:rFonts w:hint="eastAsia" w:ascii="仿宋_GB2312" w:eastAsia="仿宋_GB2312" w:cs="Times New Roman"/>
          <w:sz w:val="32"/>
          <w:szCs w:val="32"/>
          <w:lang w:val="zh-CN" w:eastAsia="zh-CN"/>
        </w:rPr>
        <w:t>变化的主要原因：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年度执行中单位事权调整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。</w:t>
      </w:r>
      <w:r>
        <w:rPr>
          <w:rFonts w:hint="eastAsia" w:ascii="仿宋_GB2312" w:eastAsia="仿宋_GB2312" w:cs="Times New Roman"/>
          <w:sz w:val="32"/>
          <w:szCs w:val="32"/>
          <w:lang w:val="zh-CN" w:eastAsia="zh-CN"/>
        </w:rPr>
        <w:t>人员经费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完成66.24万元，比上年增加5.84万元，增减9%，</w:t>
      </w:r>
      <w:r>
        <w:rPr>
          <w:rFonts w:hint="eastAsia" w:ascii="仿宋_GB2312" w:eastAsia="仿宋_GB2312" w:cs="Times New Roman"/>
          <w:sz w:val="32"/>
          <w:szCs w:val="32"/>
          <w:lang w:val="zh-CN" w:eastAsia="zh-CN"/>
        </w:rPr>
        <w:t>变化的主要原因：本年度在职人员基本工资等待遇调整。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公用</w:t>
      </w:r>
      <w:r>
        <w:rPr>
          <w:rFonts w:hint="eastAsia" w:ascii="仿宋_GB2312" w:eastAsia="仿宋_GB2312" w:cs="Times New Roman"/>
          <w:sz w:val="32"/>
          <w:szCs w:val="32"/>
          <w:lang w:val="zh-CN" w:eastAsia="zh-CN"/>
        </w:rPr>
        <w:t>经费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完成11.81万元，比上年减少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5.05</w:t>
      </w:r>
      <w:r>
        <w:rPr>
          <w:rFonts w:hint="eastAsia" w:ascii="仿宋" w:hAnsi="仿宋" w:eastAsia="仿宋"/>
          <w:sz w:val="32"/>
          <w:szCs w:val="24"/>
          <w:lang w:val="en-US"/>
        </w:rPr>
        <w:t>万元，增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减-43</w:t>
      </w:r>
      <w:r>
        <w:rPr>
          <w:rFonts w:hint="eastAsia" w:ascii="仿宋" w:hAnsi="仿宋" w:eastAsia="仿宋"/>
          <w:sz w:val="32"/>
          <w:szCs w:val="24"/>
          <w:lang w:val="en-US"/>
        </w:rPr>
        <w:t>%，</w:t>
      </w:r>
      <w:r>
        <w:rPr>
          <w:rFonts w:hint="eastAsia" w:ascii="仿宋" w:hAnsi="仿宋" w:eastAsia="仿宋"/>
          <w:sz w:val="32"/>
          <w:szCs w:val="24"/>
          <w:lang w:val="zh-CN"/>
        </w:rPr>
        <w:t>变化的主要原因：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2023年多使用结转结余，公用经费使用较少</w:t>
      </w:r>
      <w:r>
        <w:rPr>
          <w:rFonts w:hint="eastAsia" w:ascii="仿宋" w:hAnsi="仿宋" w:eastAsia="仿宋"/>
          <w:sz w:val="32"/>
          <w:szCs w:val="24"/>
          <w:lang w:val="en-US"/>
        </w:rPr>
        <w:t>。</w:t>
      </w:r>
    </w:p>
    <w:p>
      <w:pPr>
        <w:widowControl/>
        <w:numPr>
          <w:numId w:val="0"/>
        </w:numPr>
        <w:pBdr>
          <w:bottom w:val="single" w:color="FFFFFF" w:sz="4" w:space="30"/>
        </w:pBdr>
        <w:shd w:val="clear" w:color="auto" w:fill="auto"/>
        <w:autoSpaceDE w:val="0"/>
        <w:adjustRightInd w:val="0"/>
        <w:snapToGrid w:val="0"/>
        <w:spacing w:beforeLines="0" w:afterLines="0" w:line="520" w:lineRule="exact"/>
        <w:ind w:firstLine="640" w:firstLineChars="200"/>
        <w:rPr>
          <w:rFonts w:hint="eastAsia" w:ascii="仿宋" w:hAnsi="仿宋" w:eastAsia="仿宋"/>
          <w:sz w:val="32"/>
          <w:szCs w:val="24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“三公”经费支出情况：</w:t>
      </w:r>
    </w:p>
    <w:p>
      <w:pPr>
        <w:widowControl/>
        <w:numPr>
          <w:ilvl w:val="0"/>
          <w:numId w:val="1"/>
        </w:numPr>
        <w:pBdr>
          <w:bottom w:val="single" w:color="FFFFFF" w:sz="4" w:space="30"/>
        </w:pBdr>
        <w:shd w:val="clear" w:color="auto" w:fill="auto"/>
        <w:autoSpaceDE w:val="0"/>
        <w:adjustRightInd w:val="0"/>
        <w:snapToGrid w:val="0"/>
        <w:spacing w:beforeLines="0" w:afterLines="0" w:line="520" w:lineRule="exact"/>
        <w:ind w:firstLine="640" w:firstLineChars="200"/>
        <w:rPr>
          <w:rFonts w:hint="eastAsia" w:ascii="仿宋" w:hAnsi="仿宋" w:eastAsia="仿宋"/>
          <w:sz w:val="32"/>
          <w:szCs w:val="24"/>
          <w:lang w:val="zh-CN"/>
        </w:rPr>
      </w:pPr>
      <w:r>
        <w:rPr>
          <w:rFonts w:hint="eastAsia" w:ascii="仿宋" w:hAnsi="仿宋" w:eastAsia="仿宋"/>
          <w:sz w:val="32"/>
          <w:szCs w:val="24"/>
          <w:lang w:val="en-US"/>
        </w:rPr>
        <w:t>202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24"/>
          <w:lang w:val="en-US"/>
        </w:rPr>
        <w:t>年，</w:t>
      </w:r>
      <w:r>
        <w:rPr>
          <w:rFonts w:hint="eastAsia"/>
          <w:sz w:val="32"/>
          <w:szCs w:val="24"/>
          <w:lang w:val="en-US"/>
        </w:rPr>
        <w:t>“</w:t>
      </w:r>
      <w:r>
        <w:rPr>
          <w:rFonts w:hint="eastAsia" w:ascii="仿宋" w:hAnsi="仿宋" w:eastAsia="仿宋"/>
          <w:sz w:val="32"/>
          <w:szCs w:val="24"/>
          <w:lang w:val="en-US"/>
        </w:rPr>
        <w:t>三公</w:t>
      </w:r>
      <w:r>
        <w:rPr>
          <w:rFonts w:hint="eastAsia"/>
          <w:sz w:val="32"/>
          <w:szCs w:val="24"/>
          <w:lang w:val="en-US"/>
        </w:rPr>
        <w:t>”</w:t>
      </w:r>
      <w:r>
        <w:rPr>
          <w:rFonts w:hint="eastAsia" w:ascii="仿宋" w:hAnsi="仿宋" w:eastAsia="仿宋"/>
          <w:sz w:val="32"/>
          <w:szCs w:val="24"/>
          <w:lang w:val="en-US"/>
        </w:rPr>
        <w:t>经费完成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0.9993万</w:t>
      </w:r>
      <w:r>
        <w:rPr>
          <w:rFonts w:hint="eastAsia" w:ascii="仿宋" w:hAnsi="仿宋" w:eastAsia="仿宋"/>
          <w:sz w:val="32"/>
          <w:szCs w:val="24"/>
          <w:lang w:val="en-US"/>
        </w:rPr>
        <w:t>元，比上年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增减0.0059万</w:t>
      </w:r>
      <w:r>
        <w:rPr>
          <w:rFonts w:hint="eastAsia" w:ascii="仿宋" w:hAnsi="仿宋" w:eastAsia="仿宋"/>
          <w:sz w:val="32"/>
          <w:szCs w:val="24"/>
          <w:lang w:val="en-US"/>
        </w:rPr>
        <w:t>元，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增长0.005</w:t>
      </w:r>
      <w:r>
        <w:rPr>
          <w:rFonts w:hint="eastAsia" w:ascii="仿宋" w:hAnsi="仿宋" w:eastAsia="仿宋"/>
          <w:sz w:val="32"/>
          <w:szCs w:val="24"/>
          <w:lang w:val="en-US"/>
        </w:rPr>
        <w:t>%，</w:t>
      </w:r>
      <w:r>
        <w:rPr>
          <w:rFonts w:hint="eastAsia" w:ascii="仿宋" w:hAnsi="仿宋" w:eastAsia="仿宋"/>
          <w:sz w:val="32"/>
          <w:szCs w:val="24"/>
          <w:lang w:val="zh-CN"/>
        </w:rPr>
        <w:t>其中：</w:t>
      </w:r>
      <w:r>
        <w:rPr>
          <w:rFonts w:hint="eastAsia" w:ascii="仿宋" w:hAnsi="仿宋" w:eastAsia="仿宋"/>
          <w:b/>
          <w:sz w:val="32"/>
          <w:szCs w:val="24"/>
          <w:lang w:val="zh-CN"/>
        </w:rPr>
        <w:t>因公出国（境）费</w:t>
      </w:r>
      <w:r>
        <w:rPr>
          <w:rFonts w:hint="eastAsia" w:ascii="仿宋" w:hAnsi="仿宋" w:eastAsia="仿宋"/>
          <w:sz w:val="32"/>
          <w:szCs w:val="24"/>
          <w:lang w:val="en-US"/>
        </w:rPr>
        <w:t>完成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元，比上年增减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元，增加下降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%，增减变化的主要原因是：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无因公出国（境）</w:t>
      </w:r>
      <w:r>
        <w:rPr>
          <w:rFonts w:hint="eastAsia" w:ascii="仿宋" w:hAnsi="仿宋" w:eastAsia="仿宋"/>
          <w:sz w:val="32"/>
          <w:szCs w:val="24"/>
          <w:lang w:val="zh-CN"/>
        </w:rPr>
        <w:t>；</w:t>
      </w:r>
      <w:r>
        <w:rPr>
          <w:rFonts w:hint="eastAsia" w:ascii="仿宋" w:hAnsi="仿宋" w:eastAsia="仿宋"/>
          <w:b/>
          <w:sz w:val="32"/>
          <w:szCs w:val="24"/>
          <w:lang w:val="zh-CN"/>
        </w:rPr>
        <w:t>公务接待费</w:t>
      </w:r>
      <w:r>
        <w:rPr>
          <w:rFonts w:hint="eastAsia" w:ascii="仿宋" w:hAnsi="仿宋" w:eastAsia="仿宋"/>
          <w:sz w:val="32"/>
          <w:szCs w:val="24"/>
          <w:lang w:val="en-US"/>
        </w:rPr>
        <w:t>完成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0.9993万</w:t>
      </w:r>
      <w:r>
        <w:rPr>
          <w:rFonts w:hint="eastAsia" w:ascii="仿宋" w:hAnsi="仿宋" w:eastAsia="仿宋"/>
          <w:sz w:val="32"/>
          <w:szCs w:val="24"/>
          <w:lang w:val="en-US"/>
        </w:rPr>
        <w:t>元，比上年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增减0.0059万</w:t>
      </w:r>
      <w:r>
        <w:rPr>
          <w:rFonts w:hint="eastAsia" w:ascii="仿宋" w:hAnsi="仿宋" w:eastAsia="仿宋"/>
          <w:sz w:val="32"/>
          <w:szCs w:val="24"/>
          <w:lang w:val="en-US"/>
        </w:rPr>
        <w:t>元，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增长0.005</w:t>
      </w:r>
      <w:r>
        <w:rPr>
          <w:rFonts w:hint="eastAsia" w:ascii="仿宋" w:hAnsi="仿宋" w:eastAsia="仿宋"/>
          <w:sz w:val="32"/>
          <w:szCs w:val="24"/>
          <w:lang w:val="en-US"/>
        </w:rPr>
        <w:t>%，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与上年基本持平。</w:t>
      </w:r>
      <w:r>
        <w:rPr>
          <w:rFonts w:hint="eastAsia" w:ascii="仿宋" w:hAnsi="仿宋" w:eastAsia="仿宋"/>
          <w:sz w:val="32"/>
          <w:szCs w:val="24"/>
          <w:lang w:val="en-US"/>
        </w:rPr>
        <w:t>主要原因是：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继续严格执行中央八项规定，控制一般性支出</w:t>
      </w:r>
      <w:r>
        <w:rPr>
          <w:rFonts w:hint="eastAsia" w:ascii="仿宋" w:hAnsi="仿宋" w:eastAsia="仿宋"/>
          <w:sz w:val="32"/>
          <w:szCs w:val="24"/>
          <w:lang w:val="zh-CN"/>
        </w:rPr>
        <w:t>。</w:t>
      </w:r>
      <w:r>
        <w:rPr>
          <w:rFonts w:hint="eastAsia" w:ascii="仿宋" w:hAnsi="仿宋" w:eastAsia="仿宋"/>
          <w:b/>
          <w:sz w:val="32"/>
          <w:szCs w:val="24"/>
          <w:lang w:val="zh-CN"/>
        </w:rPr>
        <w:t>公务用车购置及运行维护费</w:t>
      </w:r>
      <w:r>
        <w:rPr>
          <w:rFonts w:hint="eastAsia" w:ascii="仿宋" w:hAnsi="仿宋" w:eastAsia="仿宋"/>
          <w:sz w:val="32"/>
          <w:szCs w:val="24"/>
          <w:lang w:val="en-US"/>
        </w:rPr>
        <w:t>完成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元，比上年增减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元，增加下降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24"/>
          <w:lang w:val="en-US"/>
        </w:rPr>
        <w:t>%，增减变化的主要原因是：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本单位无公务用车购置及运行维护费</w:t>
      </w:r>
      <w:r>
        <w:rPr>
          <w:rFonts w:hint="eastAsia" w:ascii="仿宋" w:hAnsi="仿宋" w:eastAsia="仿宋"/>
          <w:sz w:val="32"/>
          <w:szCs w:val="24"/>
          <w:lang w:val="zh-CN"/>
        </w:rPr>
        <w:t>。</w:t>
      </w:r>
    </w:p>
    <w:p>
      <w:pPr>
        <w:widowControl/>
        <w:numPr>
          <w:ilvl w:val="0"/>
          <w:numId w:val="1"/>
        </w:numPr>
        <w:pBdr>
          <w:bottom w:val="single" w:color="FFFFFF" w:sz="4" w:space="30"/>
        </w:pBdr>
        <w:shd w:val="clear" w:color="auto" w:fill="auto"/>
        <w:autoSpaceDE w:val="0"/>
        <w:adjustRightInd w:val="0"/>
        <w:snapToGrid w:val="0"/>
        <w:spacing w:beforeLines="0" w:afterLines="0" w:line="520" w:lineRule="exact"/>
        <w:ind w:left="0" w:leftChars="0" w:firstLine="640" w:firstLineChars="200"/>
        <w:rPr>
          <w:rFonts w:hint="eastAsia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会议费支出情况：</w:t>
      </w:r>
      <w:r>
        <w:rPr>
          <w:rFonts w:hint="eastAsia" w:ascii="仿宋" w:hAnsi="仿宋" w:eastAsia="仿宋"/>
          <w:sz w:val="32"/>
          <w:szCs w:val="24"/>
          <w:lang w:val="en-US"/>
        </w:rPr>
        <w:t>202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24"/>
          <w:lang w:val="en-US"/>
        </w:rPr>
        <w:t>年会议费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1.59万</w:t>
      </w:r>
      <w:r>
        <w:rPr>
          <w:rFonts w:hint="eastAsia" w:ascii="仿宋" w:hAnsi="仿宋" w:eastAsia="仿宋"/>
          <w:sz w:val="32"/>
          <w:szCs w:val="24"/>
          <w:lang w:val="en-US"/>
        </w:rPr>
        <w:t>元，比上年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增1.39万</w:t>
      </w:r>
      <w:r>
        <w:rPr>
          <w:rFonts w:hint="eastAsia" w:ascii="仿宋" w:hAnsi="仿宋" w:eastAsia="仿宋"/>
          <w:sz w:val="32"/>
          <w:szCs w:val="24"/>
          <w:lang w:val="en-US"/>
        </w:rPr>
        <w:t>元，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增加87</w:t>
      </w:r>
      <w:r>
        <w:rPr>
          <w:rFonts w:hint="eastAsia" w:ascii="仿宋" w:hAnsi="仿宋" w:eastAsia="仿宋"/>
          <w:sz w:val="32"/>
          <w:szCs w:val="24"/>
          <w:lang w:val="en-US"/>
        </w:rPr>
        <w:t>%，增减变化的主要原因是：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年度执行中单位事权调整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，积极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开展“两癌”知识防治讲座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。</w:t>
      </w:r>
    </w:p>
    <w:p>
      <w:pPr>
        <w:widowControl/>
        <w:numPr>
          <w:ilvl w:val="0"/>
          <w:numId w:val="1"/>
        </w:numPr>
        <w:pBdr>
          <w:bottom w:val="single" w:color="FFFFFF" w:sz="4" w:space="30"/>
        </w:pBdr>
        <w:shd w:val="clear" w:color="auto" w:fill="auto"/>
        <w:autoSpaceDE w:val="0"/>
        <w:adjustRightInd w:val="0"/>
        <w:snapToGrid w:val="0"/>
        <w:spacing w:beforeLines="0" w:afterLines="0" w:line="520" w:lineRule="exact"/>
        <w:ind w:left="0" w:leftChars="0"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培训费支出情况：</w:t>
      </w:r>
      <w:r>
        <w:rPr>
          <w:rFonts w:hint="eastAsia" w:ascii="仿宋" w:hAnsi="仿宋" w:eastAsia="仿宋"/>
          <w:sz w:val="32"/>
          <w:szCs w:val="24"/>
          <w:lang w:val="en-US"/>
        </w:rPr>
        <w:t>202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24"/>
          <w:lang w:val="en-US"/>
        </w:rPr>
        <w:t>年培训费完成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0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万</w:t>
      </w:r>
      <w:r>
        <w:rPr>
          <w:rFonts w:hint="eastAsia" w:ascii="仿宋" w:hAnsi="仿宋" w:eastAsia="仿宋"/>
          <w:color w:val="000000"/>
          <w:sz w:val="32"/>
          <w:szCs w:val="24"/>
          <w:lang w:val="en-US"/>
        </w:rPr>
        <w:t>元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。</w:t>
      </w:r>
    </w:p>
    <w:p>
      <w:pPr>
        <w:widowControl/>
        <w:numPr>
          <w:ilvl w:val="0"/>
          <w:numId w:val="2"/>
        </w:numPr>
        <w:pBdr>
          <w:bottom w:val="single" w:color="FFFFFF" w:sz="4" w:space="30"/>
        </w:pBdr>
        <w:shd w:val="clear" w:color="auto" w:fill="auto"/>
        <w:autoSpaceDE w:val="0"/>
        <w:adjustRightInd w:val="0"/>
        <w:snapToGrid w:val="0"/>
        <w:spacing w:beforeLines="0" w:afterLines="0" w:line="520" w:lineRule="exact"/>
        <w:ind w:left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一般公共预算支出情况</w:t>
      </w:r>
    </w:p>
    <w:p>
      <w:pPr>
        <w:pStyle w:val="13"/>
        <w:spacing w:line="520" w:lineRule="exact"/>
        <w:ind w:firstLine="640" w:firstLineChars="200"/>
        <w:rPr>
          <w:rFonts w:hint="default"/>
          <w:lang w:val="en-US"/>
        </w:rPr>
      </w:pPr>
      <w:r>
        <w:rPr>
          <w:rFonts w:hint="eastAsia" w:ascii="仿宋" w:hAnsi="仿宋" w:eastAsia="仿宋" w:cs="Times New Roman"/>
          <w:color w:val="000000"/>
          <w:sz w:val="32"/>
          <w:szCs w:val="24"/>
          <w:lang w:val="en-US" w:eastAsia="zh-CN"/>
        </w:rPr>
        <w:t>2023年度一般公共预算财政拨款基本支出110.56万元，其中人员经费 66.24万元，占60%：基本工资18.77万元、津贴补贴9.73万元、奖金14.06万元、绩效工资4.59万元、基本养老保险缴费4.90万元、基本医疗保险费2.67万元、其他社会保障缴费0.69万元、住房公积金3.68万元。公用经费11.81万元，占10%，主要包括：办公费0.34万元、印刷费1.73万元、水费0.1、电费0.39、邮电费0.5、差旅费2.29万元、培训费0万元、劳务费0.28万元、工会经费2.2万元、其他商品和服务支出2.3万元、福利费1.68。项目支出32.5万元，占29%：主要包括：办公费1.76万元、印刷费5.32万元、邮电费0.40万元、差旅费1.76万元、维修费0万元、会议费1.59万元、公务接待费0.9993万元、劳务费5.14万元、委托业务费1.1万元、福利费0.2万元、其他交通费1.03、其他商品和服务支出3.47万元、生活补助0.2、救济费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政府性基金预算支出情况。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我单位无政府性基金预算支出情况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国有资本经营预算支出情况。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我单位无国有资本经营预算支出情况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社会保险基金预算支出情况。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我单位无社会保险基金预算支出情况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年度部门总目标预算为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110.56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纳入预算管理的所有财政性资金，对照财政批复的部门整体支出绩效目标，收集截至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底的部门整体支出的预算执行情况和绩效目标执行情况信息，采用目标比较法，用定量分析和定性分析相结合的方式，将实现情况和预期目标相比较，对目标完成、预算执行等情况进行分析研判，完成绩效监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通过部门整体支出绩效监控，暂未发现相关问题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pacing w:val="-4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>一是加强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>管理，及时发现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>执行过程中出现的问题并加以改进。二是加强对内部部门申报项目的指导，绩效目标的设置更加精准，与工作进度相匹配。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1" w:afterLines="50" w:line="220" w:lineRule="atLeast"/>
        <w:ind w:firstLine="483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-4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40"/>
          <w:sz w:val="32"/>
          <w:szCs w:val="32"/>
        </w:rPr>
        <w:t>九、部门整体支出绩效自评结果拟应用和公开情况</w:t>
      </w:r>
      <w:r>
        <w:rPr>
          <w:rFonts w:hint="eastAsia" w:ascii="仿宋_GB2312" w:hAnsi="仿宋_GB2312" w:eastAsia="仿宋_GB2312" w:cs="仿宋_GB2312"/>
          <w:b/>
          <w:bCs/>
          <w:spacing w:val="-4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pacing w:val="-40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1" w:afterLines="50" w:line="22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pacing w:val="-4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40"/>
          <w:sz w:val="32"/>
          <w:szCs w:val="32"/>
          <w:lang w:eastAsia="zh-CN"/>
        </w:rPr>
        <w:t>无</w:t>
      </w:r>
    </w:p>
    <w:p>
      <w:pPr>
        <w:spacing w:beforeLines="0" w:afterLines="0" w:line="570" w:lineRule="exact"/>
        <w:ind w:firstLine="645"/>
        <w:jc w:val="left"/>
        <w:rPr>
          <w:rFonts w:hint="eastAsia" w:ascii="黑体" w:hAnsi="黑体" w:eastAsia="黑体" w:cs="黑体"/>
          <w:spacing w:val="-34"/>
          <w:sz w:val="32"/>
          <w:szCs w:val="32"/>
        </w:rPr>
      </w:pPr>
    </w:p>
    <w:p>
      <w:pPr>
        <w:spacing w:beforeLines="0" w:afterLines="0" w:line="57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57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57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9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77.26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78.05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78.05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16.86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11.81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0.993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0.993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29.13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32.5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妇女儿童委员会经费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妇女事业发展经费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县婚姻家庭纠纷调解专项工作经费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心理健康服务和推广家庭教育专项工作经费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关于解决庆“三八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系列活动经费的请示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506"/>
              </w:tabs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、加强领导，认真组织</w:t>
            </w:r>
          </w:p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明确做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单位厉行节约专项工作，是一项严肃的政治任务，必须从全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出发，切实把思想和行动统一，进一步增强责任感和紧迫感。为此，采取有力措施，制定了实施方案、工作计划等，确保厉行节约各项规定要求落实到位，取得实实在在的效果。　</w:t>
            </w:r>
          </w:p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二、加强教育，提高认识</w:t>
            </w:r>
          </w:p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召开中层干部会，职工大会，安排和部署厉行节约工作，并下发了关于抓好厉行节约工作的意见，明确了以节水、节电、节材为重点的工作目标，要求全体职工强化节约意识，培育节约行为，从自己做起，从身边事做起，养成自觉节约一度电、一滴水、一张纸的良好习惯，切实社会责任感，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内形成“节约资源，人人有责”的良好氛围。</w:t>
            </w:r>
          </w:p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三、强化举措，严控严管</w:t>
            </w:r>
          </w:p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是严格财务预算，坚持开支严格按预算控制，实行一支笔审批制度，严格控制各类非生产性开支。二是紧缩办公费用开支，坚持开短会，可开可不开的会坚决不开；对要求参加的联谊会、交流会、学习培训会等严格控制。三是节约用水、用电、用气。对办公楼的水电责任到人，防止长流水、长明灯。</w:t>
            </w:r>
          </w:p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四、健全制度，强化管理</w:t>
            </w:r>
          </w:p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进一步健全完善有关规章制度及配套措施，进一步加强财务管理，严格执行各项费用支出审批制度。着力构建厉行节约的各项长效管理机制。进一步建立健全了招待制度、公务用车使用制度、重大事项民主决策等制度。</w:t>
            </w:r>
          </w:p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五、强化督查，严格考核</w:t>
            </w:r>
          </w:p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将厉行节约八项要求工作纳入目标责任考核，实行部门一把手负责制。不定时进行检查，并将检查结果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纳入年终考核。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周元媛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0746-7723511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9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双牌县妇女联合会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91.62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110.56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110.56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110.56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78.05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2023年农村和城镇低保适龄妇女“两癌”免费检查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2800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2804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农村妇女素质提升计划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平安家庭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全年在各级各类媒体刊登相关文章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100余篇，浏览点击量达2万余次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点击率有待提高，发动妇女群众多关注。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家庭纠纷案件调解成功率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妇女儿童宣传、维权工作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资料发放份数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10000份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按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要求实施“两癌”免费检查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　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2800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2804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引领女性创新创业，促进女性成长成才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通过微信公号、微信群、各乡镇妇联、妇委会广泛宣传招聘会信息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eastAsia="宋体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注重家庭建设，营造和谐文明新风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尚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，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推进和谐社建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  <w:t>设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rtl w:val="0"/>
                <w:lang w:val="zh-TW" w:eastAsia="zh-TW"/>
              </w:rPr>
              <w:t>坚持先进引领、示范带动，大力培育新时代先进妇女以及家庭典型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rtl w:val="0"/>
                <w:lang w:val="zh-TW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rtl w:val="0"/>
                <w:lang w:val="en-US" w:eastAsia="zh-CN"/>
              </w:rPr>
              <w:t>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rtl w:val="0"/>
                <w:lang w:val="zh-TW" w:eastAsia="zh-TW"/>
              </w:rPr>
              <w:t>重家庭家教家风建设，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rtl w:val="0"/>
                <w:lang w:val="en-US" w:eastAsia="zh-CN"/>
              </w:rPr>
              <w:t>培育社会文明新10风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及时有效的预防和化解婚姻家庭矛盾纠纷，切实维护妇女合法权益，推动平安家庭建设，促进社会和谐稳定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rtl w:val="0"/>
                <w:lang w:val="zh-TW" w:eastAsia="zh-CN"/>
              </w:rPr>
              <w:t>开展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rtl w:val="0"/>
                <w:lang w:val="en-US" w:eastAsia="zh-CN"/>
              </w:rPr>
              <w:t>全县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rtl w:val="0"/>
                <w:lang w:val="zh-TW" w:eastAsia="zh-CN"/>
              </w:rPr>
              <w:t>婚恋家庭矛盾排查化解专项行动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  <w:t>推进妇儿规划实施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推动“两个规划”的实施，对监测出的重难点问题进行调研，确保指标达到终期目标;关爱留守流动儿童，组织妇儿工委成员单位开展慰问活动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公众满意度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eastAsia="zh-CN"/>
        </w:rPr>
        <w:t>周元媛</w:t>
      </w:r>
      <w:r>
        <w:rPr>
          <w:rFonts w:hint="eastAsia" w:eastAsia="仿宋_GB2312"/>
          <w:sz w:val="22"/>
          <w:szCs w:val="24"/>
        </w:rPr>
        <w:t xml:space="preserve">        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2024.4.12</w:t>
      </w:r>
      <w:r>
        <w:rPr>
          <w:rFonts w:hint="eastAsia" w:eastAsia="仿宋_GB2312"/>
          <w:sz w:val="22"/>
          <w:szCs w:val="24"/>
        </w:rPr>
        <w:t xml:space="preserve">   </w:t>
      </w:r>
      <w:r>
        <w:rPr>
          <w:rFonts w:hint="default" w:eastAsia="仿宋_GB2312"/>
          <w:sz w:val="22"/>
          <w:szCs w:val="24"/>
        </w:rPr>
        <w:t xml:space="preserve">   </w:t>
      </w:r>
      <w:r>
        <w:rPr>
          <w:rFonts w:hint="eastAsia" w:eastAsia="仿宋_GB2312"/>
          <w:sz w:val="22"/>
          <w:szCs w:val="24"/>
        </w:rPr>
        <w:t xml:space="preserve">联系电话： </w:t>
      </w:r>
      <w:r>
        <w:rPr>
          <w:rFonts w:hint="eastAsia" w:eastAsia="仿宋_GB2312"/>
          <w:sz w:val="22"/>
          <w:szCs w:val="24"/>
          <w:lang w:val="en-US" w:eastAsia="zh-CN"/>
        </w:rPr>
        <w:t>0746-7723511</w:t>
      </w:r>
      <w:r>
        <w:rPr>
          <w:rFonts w:hint="eastAsia" w:eastAsia="仿宋_GB2312"/>
          <w:sz w:val="22"/>
          <w:szCs w:val="24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>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妇女事业发展专项经费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5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spacing w:val="-11"/>
                <w:kern w:val="0"/>
              </w:rPr>
              <w:t>根据《中共湖南省委关于加强和改进党的群团工作的实施意见》中“省市县要按照所辖地区妇女的总人数，以每人每年不少于1元的标准分别划拨青少年、妇女事业发展专项经费，纳入同级财政预算，并随经济社会发展相应增加”的精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spacing w:val="-11"/>
                <w:kern w:val="0"/>
                <w:lang w:eastAsia="zh-CN"/>
              </w:rPr>
              <w:t>全部使用到位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spacing w:val="-11"/>
                <w:kern w:val="0"/>
                <w:lang w:eastAsia="zh-CN"/>
              </w:rPr>
              <w:t>完成全年绩效目标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640" w:firstLineChars="1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640" w:firstLineChars="1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周元媛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7723511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9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6"/>
        <w:gridCol w:w="898"/>
        <w:gridCol w:w="1013"/>
        <w:gridCol w:w="1656"/>
        <w:gridCol w:w="939"/>
        <w:gridCol w:w="972"/>
        <w:gridCol w:w="678"/>
        <w:gridCol w:w="726"/>
        <w:gridCol w:w="9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441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出名称</w:t>
            </w:r>
          </w:p>
        </w:tc>
        <w:tc>
          <w:tcPr>
            <w:tcW w:w="4558" w:type="pct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妇女事业发展专项经费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44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2633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行政法规股</w:t>
            </w:r>
          </w:p>
        </w:tc>
        <w:tc>
          <w:tcPr>
            <w:tcW w:w="5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135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双牌县妇联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441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11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5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5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3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4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4" w:hRule="atLeast"/>
          <w:jc w:val="center"/>
        </w:trPr>
        <w:tc>
          <w:tcPr>
            <w:tcW w:w="441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1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9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5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5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3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4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4" w:hRule="atLeast"/>
          <w:jc w:val="center"/>
        </w:trPr>
        <w:tc>
          <w:tcPr>
            <w:tcW w:w="441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1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4"/>
                <w:szCs w:val="24"/>
              </w:rPr>
              <w:t>其中：当年财政拨款　</w:t>
            </w:r>
          </w:p>
        </w:tc>
        <w:tc>
          <w:tcPr>
            <w:tcW w:w="9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5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5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3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441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1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9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5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441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1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9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441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2633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1924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441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633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牢牢把握“代表和维护妇女权益，促进男女平等”工作主线，紧紧“围绕中心、服务大局”工作理念，创造性地开展一系列富有成效的工作和活动，团结带领全县妇女为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双牌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县经济发展做出积极贡献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1924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紧贴全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县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妇女儿童工作实际，坚持服务发展、服务基层、服务妇女的工作宗旨，不断开拓创新，圆满完成了各项工作任务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441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5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9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5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5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3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4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441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5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2"/>
                <w:szCs w:val="22"/>
              </w:rPr>
              <w:t>经济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2"/>
                <w:szCs w:val="22"/>
                <w:lang w:eastAsia="zh-CN"/>
              </w:rPr>
              <w:t>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2"/>
                <w:szCs w:val="22"/>
              </w:rPr>
              <w:t>本指标</w:t>
            </w:r>
          </w:p>
        </w:tc>
        <w:tc>
          <w:tcPr>
            <w:tcW w:w="9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lang w:val="en-US" w:eastAsia="zh-CN"/>
              </w:rPr>
              <w:t>加强财政各项资金管理</w:t>
            </w:r>
          </w:p>
        </w:tc>
        <w:tc>
          <w:tcPr>
            <w:tcW w:w="5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5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3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exact"/>
          <w:jc w:val="center"/>
        </w:trPr>
        <w:tc>
          <w:tcPr>
            <w:tcW w:w="441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2"/>
                <w:szCs w:val="22"/>
              </w:rPr>
              <w:t>社会成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2"/>
                <w:szCs w:val="22"/>
                <w:lang w:eastAsia="zh-CN"/>
              </w:rPr>
              <w:t>本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2"/>
                <w:szCs w:val="22"/>
              </w:rPr>
              <w:t>本指标</w:t>
            </w:r>
          </w:p>
        </w:tc>
        <w:tc>
          <w:tcPr>
            <w:tcW w:w="9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各项工作全面完成</w:t>
            </w:r>
          </w:p>
        </w:tc>
        <w:tc>
          <w:tcPr>
            <w:tcW w:w="5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5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3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9.5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0" w:hRule="atLeast"/>
          <w:jc w:val="center"/>
        </w:trPr>
        <w:tc>
          <w:tcPr>
            <w:tcW w:w="441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2"/>
                <w:szCs w:val="22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2"/>
                <w:szCs w:val="22"/>
              </w:rPr>
              <w:t>成本指标</w:t>
            </w:r>
          </w:p>
        </w:tc>
        <w:tc>
          <w:tcPr>
            <w:tcW w:w="9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lang w:val="en-US" w:eastAsia="zh-CN"/>
              </w:rPr>
              <w:t>不超过预算总成本</w:t>
            </w:r>
          </w:p>
        </w:tc>
        <w:tc>
          <w:tcPr>
            <w:tcW w:w="5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5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3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3" w:hRule="atLeast"/>
          <w:jc w:val="center"/>
        </w:trPr>
        <w:tc>
          <w:tcPr>
            <w:tcW w:w="441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591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9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spacing w:val="-11"/>
                <w:kern w:val="0"/>
                <w:lang w:val="en-US" w:eastAsia="zh-CN"/>
              </w:rPr>
              <w:t>2023年农村和城镇低保适龄妇女“两癌”免费检查</w:t>
            </w:r>
          </w:p>
        </w:tc>
        <w:tc>
          <w:tcPr>
            <w:tcW w:w="5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2800</w:t>
            </w:r>
          </w:p>
        </w:tc>
        <w:tc>
          <w:tcPr>
            <w:tcW w:w="5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2804人</w:t>
            </w:r>
          </w:p>
        </w:tc>
        <w:tc>
          <w:tcPr>
            <w:tcW w:w="3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441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spacing w:val="-11"/>
                <w:kern w:val="0"/>
                <w:lang w:val="en-US" w:eastAsia="zh-CN"/>
              </w:rPr>
              <w:t>农村妇女素质提升计划</w:t>
            </w:r>
          </w:p>
        </w:tc>
        <w:tc>
          <w:tcPr>
            <w:tcW w:w="5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5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60" w:hRule="atLeast"/>
          <w:jc w:val="center"/>
        </w:trPr>
        <w:tc>
          <w:tcPr>
            <w:tcW w:w="441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5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质量指标</w:t>
            </w:r>
          </w:p>
        </w:tc>
        <w:tc>
          <w:tcPr>
            <w:tcW w:w="9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各项工作全面完成预期目标</w:t>
            </w:r>
          </w:p>
        </w:tc>
        <w:tc>
          <w:tcPr>
            <w:tcW w:w="5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5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eastAsia="仿宋_GB2312"/>
                <w:color w:val="000000"/>
                <w:kern w:val="0"/>
                <w:lang w:val="en-US" w:eastAsia="zh-CN"/>
              </w:rPr>
              <w:t>完成率达到≥90%</w:t>
            </w:r>
          </w:p>
        </w:tc>
        <w:tc>
          <w:tcPr>
            <w:tcW w:w="3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441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4"/>
                <w:szCs w:val="24"/>
              </w:rPr>
              <w:t>时效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4"/>
                <w:szCs w:val="24"/>
                <w:lang w:eastAsia="zh-CN"/>
              </w:rPr>
              <w:t>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4"/>
                <w:szCs w:val="24"/>
              </w:rPr>
              <w:t>标</w:t>
            </w:r>
          </w:p>
        </w:tc>
        <w:tc>
          <w:tcPr>
            <w:tcW w:w="9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2023年全年</w:t>
            </w:r>
          </w:p>
        </w:tc>
        <w:tc>
          <w:tcPr>
            <w:tcW w:w="5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5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3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6"/>
          <w:wAfter w:w="3441" w:type="pct"/>
          <w:trHeight w:val="350" w:hRule="atLeast"/>
          <w:jc w:val="center"/>
        </w:trPr>
        <w:tc>
          <w:tcPr>
            <w:tcW w:w="441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441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5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9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lang w:val="en-US" w:eastAsia="zh-CN"/>
              </w:rPr>
              <w:t>加强财政各项资金管理</w:t>
            </w:r>
          </w:p>
        </w:tc>
        <w:tc>
          <w:tcPr>
            <w:tcW w:w="5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5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3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441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9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lang w:val="en-US" w:eastAsia="zh-CN"/>
              </w:rPr>
              <w:t>生态环境普及全民参与</w:t>
            </w:r>
          </w:p>
        </w:tc>
        <w:tc>
          <w:tcPr>
            <w:tcW w:w="5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5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3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441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9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两癌免费检查提前超额完成，做实妇女就业、创业服务</w:t>
            </w:r>
          </w:p>
        </w:tc>
        <w:tc>
          <w:tcPr>
            <w:tcW w:w="5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5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3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441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5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9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lang w:val="en-US" w:eastAsia="zh-CN"/>
              </w:rPr>
              <w:t>优化经济发展环境，改善服务</w:t>
            </w:r>
          </w:p>
        </w:tc>
        <w:tc>
          <w:tcPr>
            <w:tcW w:w="5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5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3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4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3643" w:type="pct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396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4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周元媛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7723511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</w:p>
    <w:p>
      <w:pPr>
        <w:pStyle w:val="8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8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8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8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婚姻家庭纠纷调解专项经费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及时有效地预防和化解婚姻家庭矛盾纠纷，切实维护妇女合法权益，推动平安家庭建设，促进双牌社会和谐稳定。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spacing w:val="-11"/>
                <w:kern w:val="0"/>
                <w:lang w:eastAsia="zh-CN"/>
              </w:rPr>
              <w:t>全部使用到位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spacing w:val="-11"/>
                <w:kern w:val="0"/>
                <w:lang w:eastAsia="zh-CN"/>
              </w:rPr>
              <w:t>完成全年绩效目标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640" w:firstLineChars="11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640" w:firstLineChars="11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周元媛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联系电话：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18074671210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9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婚姻家庭纠纷调解专项经费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双牌县妇联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利用“爱玲工作室”专业调解队伍为妇女群众提供更优质、专业、高效的服务。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各项工作全面完成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lang w:val="en-US" w:eastAsia="zh-CN"/>
              </w:rPr>
              <w:t>加强财政各项资金管理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2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各项工作全面完成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lang w:val="en-US" w:eastAsia="zh-CN"/>
              </w:rPr>
              <w:t>不超过预算总成本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家庭纠纷案件调解成功率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50%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县家调委全年预计累计受理家庭纠纷案件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200件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200件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宋体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县家调委全年调解成功率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50%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50%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宋体" w:cstheme="minorBidi"/>
                <w:b/>
                <w:bCs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lang w:eastAsia="zh-CN"/>
              </w:rPr>
              <w:t>普法宣传、维权宣传场次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2023年全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lang w:val="en-US" w:eastAsia="zh-CN"/>
              </w:rPr>
              <w:t>加强财政各项资金管理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lang w:val="en-US" w:eastAsia="zh-CN"/>
              </w:rPr>
              <w:t>生态环境普及全民参与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调解家庭矛盾，维护家庭和谐，促进社会稳定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lang w:val="en-US" w:eastAsia="zh-CN"/>
              </w:rPr>
              <w:t>优化经济发展环境，改善服务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周元媛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18074671210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心理健康服务和推广家庭教育专项工作经费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做好《湖南省家庭教育促进条例》工作落实、开展心理健康和家庭教育专题讲座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spacing w:val="-11"/>
                <w:kern w:val="0"/>
                <w:lang w:eastAsia="zh-CN"/>
              </w:rPr>
              <w:t>全部使用到位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spacing w:val="-11"/>
                <w:kern w:val="0"/>
                <w:lang w:eastAsia="zh-CN"/>
              </w:rPr>
              <w:t>完成全年绩效目标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640" w:firstLineChars="11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640" w:firstLineChars="11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周元媛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联系电话：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18074671210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rPr>
          <w:rFonts w:hint="default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9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948"/>
        <w:gridCol w:w="1800"/>
        <w:gridCol w:w="707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心理健康服务和推广家庭教育专项工作经费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双牌县妇女联合会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0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推动双牌县妇女儿童发展规划(2021-2025年)的实施，对监测出的重难点问题进行调研，确保指标达到终期目标;关爱留守流动儿童，组织妇儿工委成员单位开展慰问活动。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各项工作全面完成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本指标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加强财政各项资金管理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本指标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各项工作全面完成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成本指标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不超过预算总成本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数量指标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5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lang w:eastAsia="zh-CN"/>
              </w:rPr>
              <w:t>心理健康和家庭教育专题讲座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2次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2欠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家风、家教、家庭教育宣传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Times New Roman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kern w:val="0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质量指标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theme="minorBidi"/>
                <w:b/>
                <w:bCs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lang w:eastAsia="zh-CN"/>
              </w:rPr>
              <w:t>心理健康和家庭教育专题讲座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Times New Roman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纳入数据库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/百分比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theme="minorBidi"/>
                <w:b/>
                <w:bCs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家风、家教、家庭教育宣传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Times New Roman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kern w:val="0"/>
                <w:sz w:val="21"/>
                <w:szCs w:val="24"/>
                <w:lang w:val="en-US" w:eastAsia="zh-CN" w:bidi="ar-SA"/>
              </w:rPr>
              <w:t>5000人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Times New Roman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5000人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时效指标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全年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全年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全年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95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益指标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家风、家教、家庭教育宣传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w w:val="90"/>
                <w:sz w:val="21"/>
                <w:szCs w:val="21"/>
                <w:lang w:val="en-US" w:eastAsia="zh-CN"/>
              </w:rPr>
              <w:t>按期完成率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益指标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生态环境普及全民参与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益指标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仿宋_GB2312" w:hAnsi="仿宋_GB2312"/>
                <w:b/>
                <w:bCs/>
                <w:color w:val="000000"/>
                <w:kern w:val="0"/>
                <w:lang w:eastAsia="zh-CN"/>
              </w:rPr>
              <w:t>调解家庭矛盾，维护家庭和谐，促进社会稳定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服务对象满意度指标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优化经济发展环境，改善服务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eastAsiaTheme="minorEastAsia"/>
          <w:sz w:val="22"/>
          <w:szCs w:val="24"/>
          <w:lang w:eastAsia="zh-CN"/>
        </w:rPr>
        <w:sectPr>
          <w:footerReference r:id="rId6" w:type="default"/>
          <w:footerReference r:id="rId7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周元媛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联系电话：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18074671210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单位负责人签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妇女儿童委员会经费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1.7万元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spacing w:val="-11"/>
                <w:kern w:val="0"/>
                <w:sz w:val="21"/>
                <w:lang w:val="en-US" w:eastAsia="zh-CN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spacing w:val="-11"/>
                <w:kern w:val="0"/>
                <w:sz w:val="21"/>
                <w:lang w:val="en-US" w:eastAsia="zh-CN"/>
              </w:rPr>
              <w:t>协调和推动各成员单位做好维护妇女儿童权益，实施妇女儿童发展规划工作。开展调查研究，为委员会决策妇女儿童发展中的重大问题提供依据，承办全县妇女儿童工作会议、县妇儿工委全委会、专题会、经验交流与表彰工作。指导县妇儿工委办公室的工作。负责妇儿工委日常行政事务，制定编发各类文件和简报，完成省市妇儿工委办公室交办的其他工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spacing w:val="-11"/>
                <w:kern w:val="0"/>
                <w:lang w:eastAsia="zh-CN"/>
              </w:rPr>
              <w:t>全部使用到位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spacing w:val="-11"/>
                <w:kern w:val="0"/>
                <w:lang w:eastAsia="zh-CN"/>
              </w:rPr>
              <w:t>完成全年绩效目标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  <w:sectPr>
          <w:footerReference r:id="rId8" w:type="default"/>
          <w:pgSz w:w="12240" w:h="15840"/>
          <w:pgMar w:top="1440" w:right="1800" w:bottom="1440" w:left="1800" w:header="720" w:footer="720" w:gutter="0"/>
          <w:lnNumType w:countBy="0" w:distance="360"/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周元媛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18074671210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单位负责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9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363"/>
        <w:gridCol w:w="1007"/>
        <w:gridCol w:w="1140"/>
        <w:gridCol w:w="886"/>
        <w:gridCol w:w="823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妇女儿童委员会经费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双牌县妇女联合会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推动双牌县妇女儿童发展规划(2021-2025年)的实施，对监测出的重难点问题进行调研，确保指标达到终期目标;关爱留守流动儿童，组织妇儿工委成员单位开展慰问活动。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各项工作全面完成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本指标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加强财政各项资金管理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本指标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各项工作全面完成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成本指标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不超过预算总成本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数量指标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5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成员单位会议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1次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1欠</w:t>
            </w:r>
          </w:p>
        </w:tc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妇女儿童宣传工作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Times New Roman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kern w:val="0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质量指标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承办全县妇女儿童工作会议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Times New Roman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纳入数据库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/百分比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妇女儿童宣传工作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Times New Roman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theme="minorBidi"/>
                <w:kern w:val="0"/>
                <w:sz w:val="21"/>
                <w:szCs w:val="24"/>
                <w:lang w:val="en-US" w:eastAsia="zh-CN" w:bidi="ar-SA"/>
              </w:rPr>
              <w:t>30000人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Times New Roman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3000人</w:t>
            </w:r>
          </w:p>
        </w:tc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时效指标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全年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全年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全年</w:t>
            </w:r>
          </w:p>
        </w:tc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95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益指标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w w:val="90"/>
                <w:sz w:val="21"/>
                <w:szCs w:val="21"/>
                <w:lang w:val="en-US" w:eastAsia="zh-CN"/>
              </w:rPr>
              <w:t>妇女儿童宣传工作按期完成率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益指标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生态环境普及全民参与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益指标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保障妇女儿童工作开展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服务对象满意度指标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优化经济发展环境，改善服务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8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eastAsiaTheme="minorEastAsia"/>
          <w:sz w:val="22"/>
          <w:szCs w:val="24"/>
          <w:lang w:eastAsia="zh-CN"/>
        </w:rPr>
        <w:sectPr>
          <w:footerReference r:id="rId9" w:type="default"/>
          <w:footerReference r:id="rId10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周元媛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联系电话：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18074671210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单位负责人签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双牌县妇联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9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24"/>
        <w:gridCol w:w="1257"/>
        <w:gridCol w:w="1656"/>
        <w:gridCol w:w="1536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卢海艳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党组成员、副主席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0746-7723511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15874687376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周元媛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八级职员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0746-7723511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18074671210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60hbt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a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tIW7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6YEa3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oELF90BAAC+AwAADgAAAGRycy9lMm9Eb2MueG1srVNNrtMwEN4jcQfL&#10;e5q0Eq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aBCxf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YPVrZt8BAAC+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NQ+4/T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I365U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A97350"/>
    <w:multiLevelType w:val="singleLevel"/>
    <w:tmpl w:val="BEA9735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E8039F"/>
    <w:multiLevelType w:val="singleLevel"/>
    <w:tmpl w:val="71E8039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OTczNmU5ZjQyZDQzOTg4ZDY3YjA5YTc3MzczZTcifQ=="/>
    <w:docVar w:name="KSO_WPS_MARK_KEY" w:val="edd3cf1d-b567-41b9-8120-8babd52f2b6f"/>
  </w:docVars>
  <w:rsids>
    <w:rsidRoot w:val="00172A27"/>
    <w:rsid w:val="035D3D0B"/>
    <w:rsid w:val="0CB952B6"/>
    <w:rsid w:val="0CCE5073"/>
    <w:rsid w:val="0DB44DFF"/>
    <w:rsid w:val="0EEA1757"/>
    <w:rsid w:val="101F3C57"/>
    <w:rsid w:val="105E064F"/>
    <w:rsid w:val="11A7392F"/>
    <w:rsid w:val="154B3473"/>
    <w:rsid w:val="156C2EC6"/>
    <w:rsid w:val="15B02F86"/>
    <w:rsid w:val="17397074"/>
    <w:rsid w:val="19EF056A"/>
    <w:rsid w:val="1BCE59A7"/>
    <w:rsid w:val="1D5E5630"/>
    <w:rsid w:val="1F9C1D8C"/>
    <w:rsid w:val="1FA70C36"/>
    <w:rsid w:val="20BA3D5C"/>
    <w:rsid w:val="20FE29CD"/>
    <w:rsid w:val="213827F6"/>
    <w:rsid w:val="22484CBB"/>
    <w:rsid w:val="24756501"/>
    <w:rsid w:val="291E49C7"/>
    <w:rsid w:val="2AB33639"/>
    <w:rsid w:val="2AF82401"/>
    <w:rsid w:val="2C1A3224"/>
    <w:rsid w:val="2D4F15F3"/>
    <w:rsid w:val="2DBA631F"/>
    <w:rsid w:val="303B5E5F"/>
    <w:rsid w:val="3086532C"/>
    <w:rsid w:val="31021060"/>
    <w:rsid w:val="31EF3498"/>
    <w:rsid w:val="33457B5A"/>
    <w:rsid w:val="33C00B55"/>
    <w:rsid w:val="33EA0D37"/>
    <w:rsid w:val="34F52A80"/>
    <w:rsid w:val="3DFB432B"/>
    <w:rsid w:val="3E6E0295"/>
    <w:rsid w:val="3F332011"/>
    <w:rsid w:val="41087697"/>
    <w:rsid w:val="41A60F90"/>
    <w:rsid w:val="41D35EF7"/>
    <w:rsid w:val="41D81760"/>
    <w:rsid w:val="429A4C67"/>
    <w:rsid w:val="437042B4"/>
    <w:rsid w:val="43D25C86"/>
    <w:rsid w:val="471A6376"/>
    <w:rsid w:val="47FF7E2A"/>
    <w:rsid w:val="4A7E5437"/>
    <w:rsid w:val="4B490F32"/>
    <w:rsid w:val="4B564457"/>
    <w:rsid w:val="4C575977"/>
    <w:rsid w:val="4D994499"/>
    <w:rsid w:val="4DF30F3A"/>
    <w:rsid w:val="4E8B7C40"/>
    <w:rsid w:val="4EF676C9"/>
    <w:rsid w:val="4F1637A4"/>
    <w:rsid w:val="500F1BD2"/>
    <w:rsid w:val="50306C0B"/>
    <w:rsid w:val="50C23D07"/>
    <w:rsid w:val="51C40746"/>
    <w:rsid w:val="53E06252"/>
    <w:rsid w:val="5429409D"/>
    <w:rsid w:val="543E6CC0"/>
    <w:rsid w:val="547C4909"/>
    <w:rsid w:val="54BB2F47"/>
    <w:rsid w:val="54BC0A6D"/>
    <w:rsid w:val="55412274"/>
    <w:rsid w:val="55BD2CEE"/>
    <w:rsid w:val="55C03679"/>
    <w:rsid w:val="56285A6A"/>
    <w:rsid w:val="56DE4373"/>
    <w:rsid w:val="57364B06"/>
    <w:rsid w:val="57C446E9"/>
    <w:rsid w:val="5875340D"/>
    <w:rsid w:val="58820FB8"/>
    <w:rsid w:val="58ED5699"/>
    <w:rsid w:val="59A0095D"/>
    <w:rsid w:val="5ABA52A9"/>
    <w:rsid w:val="5B922527"/>
    <w:rsid w:val="5C846314"/>
    <w:rsid w:val="5C8E01AF"/>
    <w:rsid w:val="60FB0B6F"/>
    <w:rsid w:val="6200468F"/>
    <w:rsid w:val="624A3714"/>
    <w:rsid w:val="62612C54"/>
    <w:rsid w:val="62BE6D8B"/>
    <w:rsid w:val="643B19AE"/>
    <w:rsid w:val="64BE438D"/>
    <w:rsid w:val="64E742EF"/>
    <w:rsid w:val="66EA1469"/>
    <w:rsid w:val="672506F4"/>
    <w:rsid w:val="684B0AD7"/>
    <w:rsid w:val="699B4C9D"/>
    <w:rsid w:val="69DA3A17"/>
    <w:rsid w:val="6BD558D2"/>
    <w:rsid w:val="6C6B4DFB"/>
    <w:rsid w:val="70B34FC2"/>
    <w:rsid w:val="75073918"/>
    <w:rsid w:val="754658F3"/>
    <w:rsid w:val="76124539"/>
    <w:rsid w:val="771A18F7"/>
    <w:rsid w:val="7B705F89"/>
    <w:rsid w:val="7B825CBD"/>
    <w:rsid w:val="7D7358BD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styleId="3">
    <w:name w:val="Body Tex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toc 2"/>
    <w:basedOn w:val="1"/>
    <w:next w:val="1"/>
    <w:qFormat/>
    <w:uiPriority w:val="0"/>
    <w:pPr>
      <w:ind w:left="4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7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8">
    <w:name w:val="Body Text First Indent 2"/>
    <w:basedOn w:val="5"/>
    <w:qFormat/>
    <w:uiPriority w:val="0"/>
    <w:pPr>
      <w:spacing w:before="100" w:beforeAutospacing="1"/>
      <w:ind w:left="0" w:firstLine="420" w:firstLineChars="200"/>
    </w:pPr>
  </w:style>
  <w:style w:type="paragraph" w:customStyle="1" w:styleId="11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2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  <w:style w:type="paragraph" w:customStyle="1" w:styleId="13">
    <w:name w:val="List Paragraph_a0f507d5-6e28-4914-b37f-020b7d2b0f7c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6992</Words>
  <Characters>8006</Characters>
  <Lines>0</Lines>
  <Paragraphs>0</Paragraphs>
  <TotalTime>23</TotalTime>
  <ScaleCrop>false</ScaleCrop>
  <LinksUpToDate>false</LinksUpToDate>
  <CharactersWithSpaces>8646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双牌周末有约专卖</cp:lastModifiedBy>
  <cp:lastPrinted>2024-04-16T08:29:56Z</cp:lastPrinted>
  <dcterms:modified xsi:type="dcterms:W3CDTF">2024-04-16T08:39:53Z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A325E2973F7047AFBD6CDF8BB0423F45_13</vt:lpwstr>
  </property>
</Properties>
</file>