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6405">
      <w:pPr>
        <w:widowControl/>
        <w:spacing w:line="540" w:lineRule="exact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 w14:paraId="6D79B8E7">
      <w:pPr>
        <w:jc w:val="center"/>
        <w:outlineLvl w:val="1"/>
        <w:rPr>
          <w:rFonts w:ascii="方正小标宋简体" w:eastAsia="方正小标宋简体"/>
          <w:sz w:val="52"/>
        </w:rPr>
      </w:pPr>
    </w:p>
    <w:p w14:paraId="796126EB">
      <w:pPr>
        <w:jc w:val="center"/>
        <w:outlineLvl w:val="1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hint="eastAsia" w:ascii="方正小标宋简体" w:eastAsia="方正小标宋简体"/>
          <w:sz w:val="52"/>
          <w:lang w:val="en-US" w:eastAsia="zh-CN"/>
        </w:rPr>
        <w:t>3</w:t>
      </w:r>
      <w:r>
        <w:rPr>
          <w:rFonts w:ascii="方正小标宋简体" w:eastAsia="方正小标宋简体"/>
          <w:sz w:val="52"/>
        </w:rPr>
        <w:t>年度双牌县水运事务中心部门</w:t>
      </w:r>
    </w:p>
    <w:p w14:paraId="138BD521">
      <w:pPr>
        <w:jc w:val="center"/>
        <w:outlineLvl w:val="1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整体</w:t>
      </w:r>
      <w:r>
        <w:rPr>
          <w:rFonts w:hint="eastAsia" w:ascii="方正小标宋简体" w:eastAsia="方正小标宋简体"/>
          <w:sz w:val="52"/>
          <w:lang w:eastAsia="zh-CN"/>
        </w:rPr>
        <w:t>绩效评价</w:t>
      </w:r>
      <w:r>
        <w:rPr>
          <w:rFonts w:ascii="方正小标宋简体" w:eastAsia="方正小标宋简体"/>
          <w:sz w:val="52"/>
        </w:rPr>
        <w:t>报告</w:t>
      </w:r>
      <w:bookmarkStart w:id="0" w:name="_GoBack"/>
      <w:bookmarkEnd w:id="0"/>
    </w:p>
    <w:p w14:paraId="7F23A9D7">
      <w:pPr>
        <w:jc w:val="center"/>
        <w:rPr>
          <w:rFonts w:hint="default" w:eastAsia="黑体"/>
          <w:sz w:val="32"/>
        </w:rPr>
      </w:pPr>
    </w:p>
    <w:p w14:paraId="330AE99C">
      <w:pPr>
        <w:jc w:val="center"/>
        <w:rPr>
          <w:rFonts w:hint="default" w:eastAsia="黑体"/>
          <w:sz w:val="32"/>
        </w:rPr>
      </w:pPr>
    </w:p>
    <w:p w14:paraId="10477410">
      <w:pPr>
        <w:jc w:val="center"/>
        <w:rPr>
          <w:rFonts w:hint="default" w:eastAsia="黑体"/>
          <w:sz w:val="32"/>
        </w:rPr>
      </w:pPr>
    </w:p>
    <w:p w14:paraId="5DC5AC17">
      <w:pPr>
        <w:rPr>
          <w:rFonts w:hint="default" w:eastAsia="黑体"/>
          <w:sz w:val="32"/>
        </w:rPr>
      </w:pPr>
    </w:p>
    <w:p w14:paraId="439CF0F5">
      <w:pPr>
        <w:jc w:val="center"/>
        <w:rPr>
          <w:rFonts w:hint="default" w:eastAsia="黑体"/>
          <w:sz w:val="32"/>
        </w:rPr>
      </w:pPr>
    </w:p>
    <w:p w14:paraId="2E13D616">
      <w:pPr>
        <w:jc w:val="center"/>
        <w:rPr>
          <w:rFonts w:hint="default" w:eastAsia="黑体"/>
          <w:sz w:val="32"/>
        </w:rPr>
      </w:pPr>
    </w:p>
    <w:p w14:paraId="21ACA68B">
      <w:pPr>
        <w:jc w:val="center"/>
        <w:rPr>
          <w:rFonts w:hint="default" w:eastAsia="黑体"/>
          <w:sz w:val="32"/>
        </w:rPr>
      </w:pPr>
    </w:p>
    <w:p w14:paraId="657730D3">
      <w:pPr>
        <w:spacing w:line="600" w:lineRule="exact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双牌县水运事务中心    </w:t>
      </w:r>
    </w:p>
    <w:p w14:paraId="4E980281">
      <w:pPr>
        <w:spacing w:line="600" w:lineRule="exact"/>
        <w:ind w:firstLine="3200" w:firstLineChars="1000"/>
        <w:rPr>
          <w:rFonts w:eastAsia="楷体_GB2312"/>
          <w:sz w:val="32"/>
        </w:rPr>
      </w:pPr>
    </w:p>
    <w:p w14:paraId="773A34CC"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</w:t>
      </w:r>
      <w:r>
        <w:rPr>
          <w:rFonts w:hint="eastAsia" w:eastAsia="楷体_GB2312"/>
          <w:sz w:val="32"/>
          <w:lang w:val="en-US" w:eastAsia="zh-CN"/>
        </w:rPr>
        <w:t>3</w:t>
      </w:r>
      <w:r>
        <w:rPr>
          <w:rFonts w:eastAsia="楷体_GB2312"/>
          <w:sz w:val="32"/>
        </w:rPr>
        <w:t xml:space="preserve">年 5 月 </w:t>
      </w:r>
      <w:r>
        <w:rPr>
          <w:rFonts w:hint="eastAsia" w:eastAsia="楷体_GB2312"/>
          <w:sz w:val="32"/>
          <w:lang w:val="en-US" w:eastAsia="zh-CN"/>
        </w:rPr>
        <w:t>28</w:t>
      </w:r>
      <w:r>
        <w:rPr>
          <w:rFonts w:eastAsia="楷体_GB2312"/>
          <w:sz w:val="32"/>
        </w:rPr>
        <w:t>日</w:t>
      </w:r>
    </w:p>
    <w:p w14:paraId="65892245">
      <w:pPr>
        <w:jc w:val="center"/>
        <w:rPr>
          <w:rFonts w:hint="default" w:eastAsia="黑体"/>
          <w:sz w:val="32"/>
        </w:rPr>
      </w:pPr>
    </w:p>
    <w:p w14:paraId="04D77591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5BB51D33">
      <w:pPr>
        <w:spacing w:line="6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251F5FE1">
      <w:pPr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55B7560"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4E7A5F9"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一、基本情况</w:t>
      </w:r>
    </w:p>
    <w:p w14:paraId="610274ED">
      <w:pPr>
        <w:widowControl/>
        <w:spacing w:line="580" w:lineRule="atLeast"/>
        <w:ind w:firstLine="6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（一） 机构、人员构成</w:t>
      </w:r>
    </w:p>
    <w:p w14:paraId="0FA45D20"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双牌县水运事务中心隶属双牌县交通运输局，财务独立核算二级单位，我局现有内设机构4个：综合办公室、安全法制股、监控中心、港航股。</w:t>
      </w:r>
    </w:p>
    <w:p w14:paraId="01EF53B9"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本单位现有在职人员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z w:val="28"/>
          <w:szCs w:val="28"/>
        </w:rPr>
        <w:t>人，参照公务员法管理人员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ascii="宋体" w:hAnsi="宋体" w:eastAsia="宋体" w:cs="宋体"/>
          <w:sz w:val="28"/>
          <w:szCs w:val="28"/>
        </w:rPr>
        <w:t>人，临时工作人员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sz w:val="28"/>
          <w:szCs w:val="28"/>
        </w:rPr>
        <w:t>人。</w:t>
      </w:r>
    </w:p>
    <w:p w14:paraId="00A4A767">
      <w:pPr>
        <w:widowControl/>
        <w:numPr>
          <w:ilvl w:val="0"/>
          <w:numId w:val="1"/>
        </w:numPr>
        <w:spacing w:line="580" w:lineRule="atLeast"/>
        <w:ind w:firstLine="6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单位主要职责</w:t>
      </w:r>
    </w:p>
    <w:p w14:paraId="19755B12">
      <w:pPr>
        <w:widowControl/>
        <w:spacing w:line="580" w:lineRule="atLeas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1. 承担水路运输市场监管；组织制定水路运输市场有关规范性文件并监督实施；负责水路交通建设工程质量、安全生产的监督管理工作。</w:t>
      </w:r>
    </w:p>
    <w:p w14:paraId="69417F98"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2.承办县委、县人民政府交办的其他事宜。</w:t>
      </w:r>
    </w:p>
    <w:p w14:paraId="1D2B6E20">
      <w:pPr>
        <w:widowControl/>
        <w:spacing w:line="580" w:lineRule="atLeast"/>
        <w:ind w:firstLine="6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（三） 部门内部控制及厉行节约制度建设情况</w:t>
      </w:r>
    </w:p>
    <w:p w14:paraId="4B87D770"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1. 我中心高度重视预算支出绩效评价工作，成立了以魏健局长为组长，唐存军为副组长，各股室主要负责人为成员的预算支出绩效评价领导小组，积极进行有关于财政预算资金管理制度方面的内部学习和培训。</w:t>
      </w:r>
    </w:p>
    <w:p w14:paraId="0A0997F9"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2. 严格执行交通运输局建立的整体支出管理方面的内控制度，如交通运输局内部颁布的《双牌县交通运输局各项规章制度》中，就对招待费、公务用车等支出进行了有效管控</w:t>
      </w:r>
    </w:p>
    <w:p w14:paraId="40450D7E">
      <w:pPr>
        <w:widowControl/>
        <w:spacing w:line="580" w:lineRule="atLeast"/>
        <w:ind w:firstLine="6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3. 严格制度的执行，特别是“三公”经费的预算控制。加强对公务用车的管理，规范招待费用审核审批程序，“三公”经费严格控制在预算范围之内。</w:t>
      </w:r>
    </w:p>
    <w:p w14:paraId="24614C98">
      <w:pPr>
        <w:pStyle w:val="8"/>
        <w:spacing w:line="600" w:lineRule="exact"/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二、一般公共预算支出情况</w:t>
      </w:r>
    </w:p>
    <w:p w14:paraId="76907D35">
      <w:pPr>
        <w:spacing w:line="6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8"/>
          <w:szCs w:val="28"/>
        </w:rPr>
        <w:t>年本部门收入预算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1009.34</w:t>
      </w:r>
      <w:r>
        <w:rPr>
          <w:rFonts w:ascii="宋体" w:hAnsi="宋体" w:eastAsia="宋体" w:cs="宋体"/>
          <w:color w:val="000000"/>
          <w:sz w:val="28"/>
          <w:szCs w:val="28"/>
        </w:rPr>
        <w:t>万元，其中，一般公共预算拨款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528.06</w:t>
      </w:r>
      <w:r>
        <w:rPr>
          <w:rFonts w:ascii="宋体" w:hAnsi="宋体" w:eastAsia="宋体" w:cs="宋体"/>
          <w:color w:val="000000"/>
          <w:sz w:val="28"/>
          <w:szCs w:val="28"/>
        </w:rPr>
        <w:t>万元，政府性基金预算拨款  0  万元，国有资本经营预算拨款  0  万元，纳入专户管理的非税收入  0 万元，上年结转0万元。202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8"/>
          <w:szCs w:val="28"/>
        </w:rPr>
        <w:t>年本部门一般公共预算拨款支出预算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1009.34</w:t>
      </w:r>
      <w:r>
        <w:rPr>
          <w:rFonts w:ascii="宋体" w:hAnsi="宋体" w:eastAsia="宋体" w:cs="宋体"/>
          <w:color w:val="000000"/>
          <w:sz w:val="28"/>
          <w:szCs w:val="28"/>
        </w:rPr>
        <w:t>万元，其中，基本支出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16.47</w:t>
      </w:r>
      <w:r>
        <w:rPr>
          <w:rFonts w:ascii="宋体" w:hAnsi="宋体" w:eastAsia="宋体" w:cs="宋体"/>
          <w:color w:val="000000"/>
          <w:sz w:val="28"/>
          <w:szCs w:val="28"/>
        </w:rPr>
        <w:t>万元，占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1.63</w:t>
      </w:r>
      <w:r>
        <w:rPr>
          <w:rFonts w:ascii="宋体" w:hAnsi="宋体" w:eastAsia="宋体" w:cs="宋体"/>
          <w:color w:val="000000"/>
          <w:sz w:val="28"/>
          <w:szCs w:val="28"/>
        </w:rPr>
        <w:t>%；项目支出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992.88</w:t>
      </w:r>
      <w:r>
        <w:rPr>
          <w:rFonts w:ascii="宋体" w:hAnsi="宋体" w:eastAsia="宋体" w:cs="宋体"/>
          <w:color w:val="000000"/>
          <w:sz w:val="28"/>
          <w:szCs w:val="28"/>
        </w:rPr>
        <w:t>万元，占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98.37</w:t>
      </w:r>
      <w:r>
        <w:rPr>
          <w:rFonts w:ascii="宋体" w:hAnsi="宋体" w:eastAsia="宋体" w:cs="宋体"/>
          <w:color w:val="000000"/>
          <w:sz w:val="28"/>
          <w:szCs w:val="28"/>
        </w:rPr>
        <w:t>%。具体安排情况如下：</w:t>
      </w:r>
    </w:p>
    <w:p w14:paraId="2032C133">
      <w:pPr>
        <w:numPr>
          <w:ilvl w:val="0"/>
          <w:numId w:val="2"/>
        </w:num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基本支出情况</w:t>
      </w:r>
    </w:p>
    <w:p w14:paraId="2CA100E7">
      <w:pPr>
        <w:spacing w:line="6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8"/>
          <w:szCs w:val="28"/>
        </w:rPr>
        <w:t>年本部门基本支出数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16.47</w:t>
      </w:r>
      <w:r>
        <w:rPr>
          <w:rFonts w:ascii="宋体" w:hAnsi="宋体" w:eastAsia="宋体" w:cs="宋体"/>
          <w:color w:val="000000"/>
          <w:sz w:val="28"/>
          <w:szCs w:val="28"/>
        </w:rPr>
        <w:t>万元，主要是为保障部门正常运转、完成日常工作任务而发生的各项支出，包括用于基本工资、奖金、津贴补贴等人员经费以及办公费、印刷费、水电费、办公设备购置等公用经费。</w:t>
      </w:r>
    </w:p>
    <w:p w14:paraId="2B32B874">
      <w:pPr>
        <w:pStyle w:val="8"/>
        <w:numPr>
          <w:ilvl w:val="0"/>
          <w:numId w:val="3"/>
        </w:numPr>
        <w:spacing w:line="600" w:lineRule="exact"/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项目支出情况</w:t>
      </w:r>
    </w:p>
    <w:p w14:paraId="69579DF9"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8"/>
          <w:szCs w:val="28"/>
        </w:rPr>
        <w:t>年本部门项目支出预算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992.88</w:t>
      </w:r>
      <w:r>
        <w:rPr>
          <w:rFonts w:ascii="宋体" w:hAnsi="宋体" w:eastAsia="宋体" w:cs="宋体"/>
          <w:color w:val="000000"/>
          <w:sz w:val="28"/>
          <w:szCs w:val="28"/>
        </w:rPr>
        <w:t>万元，主要是用于加强加固船舶锚泊设施，防止船舶走锚事件，不断完善水上交通硬件设施；加强渡口航道维护管理，保障航道畅通，确保渡运安全；加强乡镇水上交通安全监管力度，做好年度防汛工作及辖区内渡口码头的安全监管，确保水上交通安全等项目的支出。让群众出行得到保障，提升群众满意度幸福感，维护好水上交通安全，保障水上交通秩序稳定。</w:t>
      </w:r>
    </w:p>
    <w:p w14:paraId="6EEB1DEF">
      <w:pPr>
        <w:pStyle w:val="8"/>
        <w:numPr>
          <w:ilvl w:val="0"/>
          <w:numId w:val="4"/>
        </w:numPr>
        <w:spacing w:line="600" w:lineRule="exact"/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政府性基金预算支出情况</w:t>
      </w:r>
    </w:p>
    <w:p w14:paraId="6A78FE90">
      <w:pPr>
        <w:pStyle w:val="8"/>
        <w:spacing w:line="600" w:lineRule="exact"/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202</w:t>
      </w:r>
      <w:r>
        <w:rPr>
          <w:rFonts w:hint="eastAsia" w:ascii="宋体" w:hAnsi="宋体" w:eastAsia="宋体" w:cs="宋体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Cs w:val="28"/>
        </w:rPr>
        <w:t>年本部门无政府性基金安排的支出。</w:t>
      </w:r>
    </w:p>
    <w:p w14:paraId="6873DC9E">
      <w:pPr>
        <w:pStyle w:val="8"/>
        <w:numPr>
          <w:ilvl w:val="0"/>
          <w:numId w:val="4"/>
        </w:numPr>
        <w:spacing w:line="600" w:lineRule="exact"/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国有资本经营预算支出情况</w:t>
      </w:r>
    </w:p>
    <w:p w14:paraId="3D49C4B4">
      <w:pPr>
        <w:pStyle w:val="8"/>
        <w:spacing w:line="600" w:lineRule="exact"/>
        <w:ind w:left="420" w:leftChars="200" w:firstLine="280" w:firstLineChars="10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202</w:t>
      </w:r>
      <w:r>
        <w:rPr>
          <w:rFonts w:hint="eastAsia" w:ascii="宋体" w:hAnsi="宋体" w:eastAsia="宋体" w:cs="宋体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Cs w:val="28"/>
        </w:rPr>
        <w:t>年本部门无国有资本经营安排的支出。</w:t>
      </w:r>
    </w:p>
    <w:p w14:paraId="6A00F01F">
      <w:pPr>
        <w:pStyle w:val="8"/>
        <w:numPr>
          <w:ilvl w:val="0"/>
          <w:numId w:val="4"/>
        </w:numPr>
        <w:spacing w:line="600" w:lineRule="exact"/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社会保险基金预算支出情况</w:t>
      </w:r>
    </w:p>
    <w:p w14:paraId="67CF4649">
      <w:pPr>
        <w:pStyle w:val="8"/>
        <w:spacing w:line="600" w:lineRule="exact"/>
        <w:ind w:left="420" w:leftChars="200" w:firstLine="280" w:firstLineChars="10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202</w:t>
      </w:r>
      <w:r>
        <w:rPr>
          <w:rFonts w:hint="eastAsia" w:ascii="宋体" w:hAnsi="宋体" w:eastAsia="宋体" w:cs="宋体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Cs w:val="28"/>
        </w:rPr>
        <w:t>年本部门无社会保险基金安排的支出。</w:t>
      </w:r>
    </w:p>
    <w:p w14:paraId="729E27A5">
      <w:pPr>
        <w:numPr>
          <w:ilvl w:val="0"/>
          <w:numId w:val="4"/>
        </w:num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部门整体支出绩效情况</w:t>
      </w:r>
    </w:p>
    <w:p w14:paraId="22398986">
      <w:pPr>
        <w:pStyle w:val="4"/>
        <w:widowControl/>
        <w:shd w:val="clear" w:color="auto" w:fill="FFFFFF"/>
        <w:spacing w:beforeAutospacing="0" w:afterAutospacing="0" w:line="585" w:lineRule="atLeast"/>
        <w:ind w:firstLine="643" w:firstLineChars="200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Style w:val="7"/>
          <w:rFonts w:ascii="楷体_GB2312" w:hAnsi="宋体" w:eastAsia="楷体_GB2312" w:cs="楷体_GB2312"/>
          <w:color w:val="222222"/>
          <w:sz w:val="32"/>
          <w:szCs w:val="32"/>
          <w:shd w:val="clear" w:color="auto" w:fill="FFFFFF"/>
        </w:rPr>
        <w:t>（</w:t>
      </w:r>
      <w:r>
        <w:rPr>
          <w:rStyle w:val="7"/>
          <w:rFonts w:ascii="宋体" w:hAnsi="宋体" w:eastAsia="宋体" w:cs="宋体"/>
          <w:b w:val="0"/>
          <w:bCs/>
          <w:color w:val="222222"/>
          <w:sz w:val="28"/>
          <w:szCs w:val="28"/>
          <w:shd w:val="clear" w:color="auto" w:fill="FFFFFF"/>
        </w:rPr>
        <w:t>一）加大安全监管力度，维护水上交通秩序</w:t>
      </w:r>
    </w:p>
    <w:p w14:paraId="250FAECE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1.强化安全保障和执法。一直严格按照上级相关要求，坚持“党政同责、一岗双责、失职追责”的工作责任制，始终坚持“关口前移、重心下移”思想不动摇，强化“一把手”负责制，着力落实属地监管责任，严厉查处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船舶证照不齐、超载、超航线、夜采夜航、冒雾或在能见度不良等不良气候下航行以及未按规定配备船员、聘用无证船员等非法违法经营运输</w:t>
      </w:r>
      <w:r>
        <w:rPr>
          <w:rFonts w:ascii="宋体" w:hAnsi="宋体" w:eastAsia="宋体" w:cs="宋体"/>
          <w:bCs/>
          <w:sz w:val="28"/>
          <w:szCs w:val="28"/>
          <w:shd w:val="clear" w:color="auto" w:fill="FFFFFF"/>
        </w:rPr>
        <w:t>等违章行为。截止目前，共组织执法巡查95次，出动执法人员260人次，出动执法车辆56次，累计检查船舶387艘。</w:t>
      </w:r>
    </w:p>
    <w:p w14:paraId="38FE75FB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 xml:space="preserve"> 2.开展专项活动整治，认真管控重点难点。结合辖区实际，按照“零容忍、严细实”的总要求，采取巡航、安全检查、执法检查等有效方式方法，结合上级要求和本辖区水上交通安全实际，重点开展了“强执法，防事故，保安全”、“打非治违法”汛期水上交通安全大检查、“大排查、大整治、大管控”百日行动、安全生产月活动、“隐患清零”、“安全知识进校园”、“宣传宣传日”等系列专项活动，对排查出的安全隐患和问题，层层建立了台账，做到了隐患整改责任、措施、资金、时限、预案的“五落实”。</w:t>
      </w:r>
    </w:p>
    <w:p w14:paraId="1DA4BA0C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3.强化教育培训，提升安全防预能力。结合辖区实际，通过安全生产月活动、安全生产月集中宣传咨询日、船员技能培训等安全培训，通过网络、传单、安全标语等宣传教育，广泛宣传水上交通安全知识，扎实开展水上交通安全的宣传教育工作。本年度，开展船员安全培训1次，参培人员共计100余人次。安全生产月活动中，共发放水上交通安全宣传资料500余份，接受群众咨询40余人次，为安全生产月营造了良好的宣传氛围。</w:t>
      </w:r>
    </w:p>
    <w:p w14:paraId="0342A434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4.加强现场检查，消除隐患采取新措施。加强了对客渡船、渡口码头现场监管，通过不定期巡航，对驾驶员在船舶航行中发现的问题，即时纠正制止，对渡口码头、水上运输公司形成有效管理。截至目前，对现有客运公司6家进行安全检查，营运船舶33艘，渡船17艘，拆解船舶26余艘，对水上运输公司资质检查9次，船舶现场安全检查366余艘次，检查渡口码头350余次，对14个船员违章行为进行相应的适任证扣分，共计34分。</w:t>
      </w:r>
    </w:p>
    <w:p w14:paraId="3A0A2445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5.开展应急演练，提高应急处突能力。根据辖区实际及时完善和修订应急预案，重视应急队伍建设，落实企业应急救援主体责任，指导企业结合自身生产经营活动自主开展相应的应急救援演练。在大坝渡口指导双牌县鸿运水上运输企业开展应急演练，演练科目分为“物资设备抢救、旅客疏散、水上救援、伤员抢救、漂浮物打捞、消防灭火”等项目。</w:t>
      </w:r>
    </w:p>
    <w:p w14:paraId="72A405E3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6.加强保障措施，增强值班预警防控。为充分发挥我县水情、雾情、安全信息搜集传递机制作用，配置两名工作人员轮岗进行视频监控。一是通过多种途径，主动搜集气象、水文及水位信息，密切关注寒潮、大风、大雾、雨雪等极端天气变化情况，全面实时掌握辖区通航水域的航道变化，并及时将搜集到的大雾等极端天气预防、预警信息通过各种手段向船舶业主及相关人员发布，做到不留死角、不漏一船一人；二是通过监控视频时刻监管客船、渡船等船舶，发现违章时立即制止，并及时向安全法制股报告，防止安全事故的发生。本年度，共发送水情和预警信息共计423次，共计约1500余条，制止船舶违章12余起。</w:t>
      </w:r>
    </w:p>
    <w:p w14:paraId="5C4B1359">
      <w:pPr>
        <w:ind w:firstLine="560" w:firstLineChars="200"/>
        <w:rPr>
          <w:rFonts w:ascii="宋体" w:hAnsi="宋体" w:eastAsia="宋体" w:cs="宋体"/>
          <w:bCs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7</w:t>
      </w:r>
      <w:r>
        <w:rPr>
          <w:rFonts w:ascii="宋体" w:hAnsi="宋体" w:eastAsia="宋体" w:cs="宋体"/>
          <w:bCs/>
          <w:color w:val="222222"/>
          <w:kern w:val="0"/>
          <w:sz w:val="28"/>
          <w:szCs w:val="28"/>
          <w:shd w:val="clear" w:color="auto" w:fill="FFFFFF"/>
        </w:rPr>
        <w:t>、加强疫情防控，确保水上交通与疫情防控“双安全”</w:t>
      </w:r>
    </w:p>
    <w:p w14:paraId="4A6B68B9">
      <w:pPr>
        <w:rPr>
          <w:rFonts w:ascii="宋体" w:hAnsi="宋体" w:eastAsia="宋体" w:cs="宋体"/>
          <w:bCs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kern w:val="0"/>
          <w:sz w:val="28"/>
          <w:szCs w:val="28"/>
          <w:shd w:val="clear" w:color="auto" w:fill="FFFFFF"/>
        </w:rPr>
        <w:t xml:space="preserve">    根据省市县疫情防控要求，针对疫情防控存在的风险，要求水运公司和渡运船舶做好消毒工作，配备好疫情防控物资，加强了对船员健康的摸排并要求船员定时做好核酸检测，所有乘客都要测量体温，扫场所码，佩戴好口罩，做好人员的信息登记，坚决杜绝新冠病毒从水路运输传播。</w:t>
      </w:r>
    </w:p>
    <w:p w14:paraId="0B4C63C2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</w:p>
    <w:p w14:paraId="25219531">
      <w:pPr>
        <w:pStyle w:val="4"/>
        <w:widowControl/>
        <w:shd w:val="clear" w:color="auto" w:fill="FFFFFF"/>
        <w:spacing w:beforeAutospacing="0" w:afterAutospacing="0" w:line="585" w:lineRule="atLeast"/>
        <w:ind w:firstLine="560" w:firstLineChars="200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Style w:val="7"/>
          <w:rFonts w:ascii="宋体" w:hAnsi="宋体" w:eastAsia="宋体" w:cs="宋体"/>
          <w:b w:val="0"/>
          <w:bCs/>
          <w:color w:val="222222"/>
          <w:sz w:val="28"/>
          <w:szCs w:val="28"/>
          <w:shd w:val="clear" w:color="auto" w:fill="FFFFFF"/>
        </w:rPr>
        <w:t>（二）加强水运监管力度，保障航道安全畅通</w:t>
      </w:r>
    </w:p>
    <w:p w14:paraId="04EA09B8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1.强化航道管理，保障航行安全。完成了全县40个渡口、5个桥梁及桥梁通航孔、35条渡线、2个闸坝、3个泊位等各项通航数据采集及更新；联合公安、畜牧水产部门对库区非法捕鱼作业、侵占航道、航道漂浮垃圾问题进行了专项整治，共出动巡逻执法艇30次，执法人员105余人次，清理航道内垃圾0.5吨，有效维护了航道畅通，保证了船舶航行安全。</w:t>
      </w:r>
    </w:p>
    <w:p w14:paraId="1049AF37">
      <w:pPr>
        <w:pStyle w:val="4"/>
        <w:widowControl/>
        <w:shd w:val="clear" w:color="auto" w:fill="FFFFFF"/>
        <w:spacing w:beforeAutospacing="0" w:afterAutospacing="0" w:line="585" w:lineRule="atLeast"/>
        <w:ind w:firstLine="645"/>
        <w:jc w:val="both"/>
        <w:rPr>
          <w:rFonts w:ascii="宋体" w:hAnsi="宋体" w:eastAsia="宋体" w:cs="宋体"/>
          <w:bCs/>
          <w:color w:val="222222"/>
          <w:sz w:val="28"/>
          <w:szCs w:val="28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2.加强船舶污染防治，推进航运绿色发展。加强对防止油污染设备和客船的生活污水处理设备的检查，同时严格按照船检法规，监督、指导水上运输企业和渡运船舶建立健全污油类和船舶垃圾记录制度，要求船舶配备《内河船舶污染物接收单》，如实记录船舶垃圾、船舶油污水处理情况，严禁将船舶油污和生活垃圾排放河中。要求各公司和渡运船舶与所在乡镇和村委会签订了《船舶垃圾接收处理协议》，签订了《船舶油污水处理承诺书》，按照省市要求，各水运公司建立了危废物储存间</w:t>
      </w:r>
      <w:r>
        <w:rPr>
          <w:rFonts w:ascii="宋体" w:hAnsi="宋体" w:eastAsia="宋体" w:cs="宋体"/>
          <w:bCs/>
          <w:sz w:val="28"/>
          <w:szCs w:val="28"/>
        </w:rPr>
        <w:t>和危险废物识别标识的设置</w:t>
      </w: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与具有危险废物经营许可证的永州市华晨再生能源有限公司签订了《船舶油污水接收处理协议》。</w:t>
      </w:r>
    </w:p>
    <w:p w14:paraId="1B487E22">
      <w:pPr>
        <w:spacing w:line="600" w:lineRule="exact"/>
        <w:ind w:firstLine="560" w:firstLineChars="200"/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bCs/>
          <w:color w:val="222222"/>
          <w:sz w:val="28"/>
          <w:szCs w:val="28"/>
          <w:shd w:val="clear" w:color="auto" w:fill="FFFFFF"/>
        </w:rPr>
        <w:t>4.依法做好行政审批。水运事务中心完成“最多跑一次”的事项清单和办事指南的编辑工作；完成权力清单和责任清单的编辑上报工作。所有行政审批许可都按时办结，评议率达100%，满意率达100%，全年无行政诉讼案件发生，受到社会各届好评。</w:t>
      </w:r>
    </w:p>
    <w:p w14:paraId="2DBF280B">
      <w:pPr>
        <w:pStyle w:val="2"/>
        <w:ind w:left="420" w:leftChars="200"/>
      </w:pPr>
    </w:p>
    <w:p w14:paraId="478F5F47">
      <w:pPr>
        <w:pStyle w:val="8"/>
        <w:spacing w:line="600" w:lineRule="exact"/>
        <w:ind w:firstLine="560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七、存在的问题及原因分析</w:t>
      </w:r>
    </w:p>
    <w:p w14:paraId="758EAC8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1、预算编制不够明确和细化，部分科目年初预算与年底决算有一定的差距。</w:t>
      </w:r>
    </w:p>
    <w:p w14:paraId="60A9B0A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2、固定资产管理水平有待提高。</w:t>
      </w:r>
    </w:p>
    <w:p w14:paraId="65B20C85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3、内部管理制度有待完善。</w:t>
      </w:r>
    </w:p>
    <w:p w14:paraId="25E6E6CB"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八、下一步改进措施</w:t>
      </w:r>
    </w:p>
    <w:p w14:paraId="5FD562A4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针对上述存在的问题及我中心整体支出管理工作的需要，拟实施的改进措施如下：</w:t>
      </w:r>
    </w:p>
    <w:p w14:paraId="0EB8911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 w14:paraId="113BB3F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2、加强财务管理，严格财务审核。在费用报账支付时，按照预算规定的费用项目和用途进行资金使用审核、列报支付、财务核算，杜绝超支现象的发生。</w:t>
      </w:r>
    </w:p>
    <w:p w14:paraId="35A8D52F">
      <w:pPr>
        <w:widowControl/>
        <w:spacing w:line="580" w:lineRule="atLeast"/>
        <w:ind w:firstLine="643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持续抓好“三公”经费控制管理。严格控制“三公”经费的规模和比例，把关“三公”经费支出的审核、审批，杜绝挪用和挤占其他预算资金行为；进一步细化“三公”经费的管理，合理压缩“三公”经费支出。结合本年项目个数及实施情况，充分做足预算，鼓励职工出差、下乡乘坐公共汽车、火车、高铁等交通工具，从而减少公务用车压力，为公务用车改革打好基础。二是“三公”经费及会议费在以前年度基础上，本着厉行节约的原则，科学预算，合理使用；</w:t>
      </w:r>
    </w:p>
    <w:p w14:paraId="0CE7BCE3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4、加强项目开展进度的跟踪，开展项目绩效评价，确保项目绩效目标的完成。</w:t>
      </w:r>
    </w:p>
    <w:p w14:paraId="43C84FDC"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九、绩效自评结果拟应用和公开情况</w:t>
      </w:r>
    </w:p>
    <w:p w14:paraId="102D7896">
      <w:pPr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其他需要说明的情况</w:t>
      </w:r>
    </w:p>
    <w:p w14:paraId="5BD163E1">
      <w:pPr>
        <w:spacing w:after="318" w:afterLines="50"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无</w:t>
      </w:r>
    </w:p>
    <w:p w14:paraId="7F393E46">
      <w:pPr>
        <w:spacing w:after="318" w:afterLines="50" w:line="600" w:lineRule="exact"/>
        <w:rPr>
          <w:rFonts w:hint="default" w:eastAsia="黑体"/>
          <w:sz w:val="32"/>
        </w:rPr>
      </w:pPr>
    </w:p>
    <w:p w14:paraId="2E2E7665">
      <w:pPr>
        <w:spacing w:after="318" w:afterLines="50" w:line="600" w:lineRule="exact"/>
        <w:rPr>
          <w:rFonts w:hint="default" w:eastAsia="黑体"/>
          <w:sz w:val="32"/>
        </w:rPr>
      </w:pPr>
    </w:p>
    <w:p w14:paraId="187BEBCC">
      <w:pPr>
        <w:spacing w:after="318" w:afterLines="50" w:line="600" w:lineRule="exact"/>
        <w:rPr>
          <w:rFonts w:hint="default" w:eastAsia="黑体"/>
          <w:sz w:val="32"/>
        </w:rPr>
      </w:pPr>
    </w:p>
    <w:p w14:paraId="77A73DA5">
      <w:pPr>
        <w:spacing w:after="318" w:afterLines="50" w:line="600" w:lineRule="exact"/>
        <w:rPr>
          <w:rFonts w:hint="default" w:eastAsia="黑体"/>
          <w:sz w:val="32"/>
        </w:rPr>
      </w:pPr>
    </w:p>
    <w:p w14:paraId="5404A6F1">
      <w:pPr>
        <w:spacing w:after="318" w:afterLines="50" w:line="600" w:lineRule="exact"/>
        <w:rPr>
          <w:rFonts w:hint="default" w:eastAsia="黑体"/>
          <w:sz w:val="32"/>
        </w:rPr>
      </w:pPr>
    </w:p>
    <w:p w14:paraId="0EF0A5C7">
      <w:pPr>
        <w:spacing w:after="318" w:afterLines="50" w:line="600" w:lineRule="exact"/>
        <w:rPr>
          <w:rFonts w:hint="default" w:eastAsia="黑体"/>
          <w:sz w:val="32"/>
        </w:rPr>
      </w:pPr>
    </w:p>
    <w:p w14:paraId="04A06F2E">
      <w:pPr>
        <w:spacing w:after="318" w:afterLines="50" w:line="600" w:lineRule="exact"/>
        <w:rPr>
          <w:rFonts w:hint="default" w:eastAsia="黑体"/>
          <w:sz w:val="32"/>
        </w:rPr>
      </w:pPr>
    </w:p>
    <w:p w14:paraId="1CFE1988"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 w14:paraId="68906BC2"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 w14:paraId="4107DDA1"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 w14:paraId="2202BB7C"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 w14:paraId="6BF12BF1"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 w14:paraId="64468D45"/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19C51"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5D5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35D5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BA5B56">
                          <w:pPr>
                            <w:pStyle w:val="3"/>
                            <w:rPr>
                              <w:rFonts w:hint="default" w:eastAsia="宋体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Di5A47jAQAAzA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A5B56">
                    <w:pPr>
                      <w:pStyle w:val="3"/>
                      <w:rPr>
                        <w:rFonts w:hint="default"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07A40"/>
    <w:multiLevelType w:val="singleLevel"/>
    <w:tmpl w:val="96307A4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FB652D5"/>
    <w:multiLevelType w:val="singleLevel"/>
    <w:tmpl w:val="CFB652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94E45EB"/>
    <w:multiLevelType w:val="singleLevel"/>
    <w:tmpl w:val="094E45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535FA55"/>
    <w:multiLevelType w:val="singleLevel"/>
    <w:tmpl w:val="1535FA55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TM4NmY1OGRjYzhiZmVhZWZiMjdlYTQ4ODhlNTcifQ=="/>
  </w:docVars>
  <w:rsids>
    <w:rsidRoot w:val="79D11E6A"/>
    <w:rsid w:val="317E42ED"/>
    <w:rsid w:val="79D1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3594</Words>
  <Characters>3719</Characters>
  <Lines>0</Lines>
  <Paragraphs>0</Paragraphs>
  <TotalTime>8</TotalTime>
  <ScaleCrop>false</ScaleCrop>
  <LinksUpToDate>false</LinksUpToDate>
  <CharactersWithSpaces>3749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2024-05-29T03:09:00Z</dcterms:created>
  <dc:creator>迷失</dc:creator>
  <cp:lastModifiedBy>开心一笑</cp:lastModifiedBy>
  <dcterms:modified xsi:type="dcterms:W3CDTF">2024-10-24T02:41:26Z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4F7C851418794FDEA1786F77A6A008C8_11</vt:lpwstr>
  </property>
</Properties>
</file>