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lang w:val="en-US" w:eastAsia="zh-CN"/>
        </w:rPr>
      </w:pPr>
      <w:r>
        <w:rPr>
          <w:rFonts w:hint="eastAsia" w:eastAsia="黑体"/>
          <w:kern w:val="0"/>
          <w:sz w:val="32"/>
          <w:szCs w:val="32"/>
          <w:lang w:val="en-US" w:eastAsia="zh-CN"/>
        </w:rPr>
        <w:t xml:space="preserve">   </w:t>
      </w:r>
    </w:p>
    <w:p>
      <w:pPr>
        <w:spacing w:line="600" w:lineRule="exact"/>
        <w:rPr>
          <w:rFonts w:hint="eastAsia" w:eastAsia="黑体"/>
          <w:kern w:val="0"/>
          <w:sz w:val="32"/>
          <w:szCs w:val="32"/>
        </w:rPr>
      </w:pPr>
      <w:r>
        <w:rPr>
          <w:rFonts w:eastAsia="黑体"/>
          <w:kern w:val="0"/>
          <w:sz w:val="32"/>
          <w:szCs w:val="32"/>
        </w:rPr>
        <w:t xml:space="preserve"> </w:t>
      </w:r>
    </w:p>
    <w:p>
      <w:pPr>
        <w:jc w:val="center"/>
        <w:rPr>
          <w:rFonts w:ascii="方正小标宋_GBK" w:hAnsi="方正小标宋_GBK" w:eastAsia="方正小标宋_GBK"/>
          <w:sz w:val="48"/>
          <w:szCs w:val="48"/>
        </w:rPr>
      </w:pPr>
      <w:r>
        <w:rPr>
          <w:rFonts w:hint="eastAsia"/>
          <w:sz w:val="48"/>
          <w:szCs w:val="48"/>
          <w:lang w:val="en-US" w:eastAsia="zh-CN"/>
        </w:rPr>
        <w:t>2023</w:t>
      </w:r>
      <w:r>
        <w:rPr>
          <w:rFonts w:ascii="方正小标宋_GBK" w:hAnsi="方正小标宋_GBK" w:eastAsia="方正小标宋_GBK"/>
          <w:sz w:val="48"/>
          <w:szCs w:val="48"/>
        </w:rPr>
        <w:t>年度</w:t>
      </w:r>
      <w:r>
        <w:rPr>
          <w:rFonts w:hint="eastAsia"/>
          <w:sz w:val="48"/>
          <w:szCs w:val="48"/>
          <w:lang w:eastAsia="zh-CN"/>
        </w:rPr>
        <w:t>双牌县交通运输局</w:t>
      </w:r>
      <w:r>
        <w:rPr>
          <w:rFonts w:ascii="方正小标宋_GBK" w:hAnsi="方正小标宋_GBK" w:eastAsia="方正小标宋_GBK"/>
          <w:sz w:val="48"/>
          <w:szCs w:val="48"/>
        </w:rPr>
        <w:t>部门</w:t>
      </w:r>
    </w:p>
    <w:p>
      <w:pPr>
        <w:jc w:val="center"/>
        <w:rPr>
          <w:rFonts w:eastAsia="方正小标宋_GBK"/>
          <w:sz w:val="48"/>
          <w:szCs w:val="48"/>
        </w:rPr>
      </w:pPr>
      <w:r>
        <w:rPr>
          <w:rFonts w:ascii="方正小标宋_GBK" w:hAnsi="方正小标宋_GBK" w:eastAsia="方正小标宋_GBK"/>
          <w:sz w:val="48"/>
          <w:szCs w:val="48"/>
        </w:rPr>
        <w:t>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pStyle w:val="2"/>
        <w:jc w:val="cente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ascii="黑体" w:hAnsi="黑体" w:eastAsia="黑体"/>
          <w:sz w:val="36"/>
          <w:szCs w:val="36"/>
        </w:rPr>
        <w:t>单位名称：</w:t>
      </w:r>
      <w:r>
        <w:rPr>
          <w:rFonts w:hint="eastAsia" w:ascii="黑体" w:hAnsi="黑体" w:eastAsia="黑体"/>
          <w:sz w:val="36"/>
          <w:szCs w:val="36"/>
          <w:lang w:eastAsia="zh-CN"/>
        </w:rPr>
        <w:t>双牌县交通运输局</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spacing w:line="600" w:lineRule="exact"/>
        <w:ind w:firstLine="640" w:firstLineChars="200"/>
        <w:rPr>
          <w:rFonts w:ascii="楷体_GB2312" w:hAnsi="楷体_GB2312" w:eastAsia="楷体_GB2312"/>
          <w:sz w:val="32"/>
          <w:szCs w:val="32"/>
        </w:rPr>
      </w:pPr>
      <w:r>
        <w:rPr>
          <w:rFonts w:ascii="黑体" w:hAnsi="黑体" w:eastAsia="黑体"/>
          <w:sz w:val="32"/>
          <w:szCs w:val="32"/>
        </w:rPr>
        <w:t>一、</w:t>
      </w:r>
      <w:r>
        <w:rPr>
          <w:rFonts w:hint="eastAsia" w:ascii="黑体" w:hAnsi="黑体" w:eastAsia="黑体"/>
          <w:sz w:val="32"/>
          <w:szCs w:val="32"/>
          <w:lang w:eastAsia="zh-CN"/>
        </w:rPr>
        <w:t>单位</w:t>
      </w:r>
      <w:r>
        <w:rPr>
          <w:rFonts w:ascii="黑体" w:hAnsi="黑体" w:eastAsia="黑体"/>
          <w:sz w:val="32"/>
          <w:szCs w:val="32"/>
        </w:rPr>
        <w:t>基本情况</w:t>
      </w:r>
    </w:p>
    <w:p>
      <w:pPr>
        <w:widowControl/>
        <w:spacing w:line="580" w:lineRule="atLeast"/>
        <w:ind w:firstLine="643"/>
        <w:rPr>
          <w:rFonts w:hint="eastAsia" w:ascii="仿宋_GB2312" w:eastAsia="仿宋_GB2312"/>
          <w:sz w:val="28"/>
          <w:szCs w:val="28"/>
        </w:rPr>
      </w:pPr>
      <w:r>
        <w:rPr>
          <w:rFonts w:hint="eastAsia" w:ascii="仿宋_GB2312" w:eastAsia="仿宋_GB2312"/>
          <w:sz w:val="28"/>
          <w:szCs w:val="28"/>
        </w:rPr>
        <w:t>（一）单位主要职责</w:t>
      </w:r>
    </w:p>
    <w:p>
      <w:pPr>
        <w:widowControl/>
        <w:spacing w:line="580" w:lineRule="atLeast"/>
        <w:ind w:firstLine="643"/>
        <w:rPr>
          <w:rFonts w:hint="eastAsia" w:ascii="仿宋_GB2312" w:eastAsia="仿宋_GB2312"/>
          <w:sz w:val="28"/>
          <w:szCs w:val="28"/>
        </w:rPr>
      </w:pPr>
      <w:r>
        <w:rPr>
          <w:rFonts w:hint="eastAsia" w:ascii="仿宋_GB2312" w:eastAsia="仿宋_GB2312"/>
          <w:sz w:val="28"/>
          <w:szCs w:val="28"/>
        </w:rPr>
        <w:t>1．承担全县综合交通体系建设，会同有关部门组织编制全县综合交通运输体系规划，统筹规划公路、水路行业发展，指导交通运输枢纽规划和管理。</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2．组织拟订并监督实施全县公路和水路等交通行业规划和规范性文件；负责交通运输执法检查和监督管理；参与拟订物流发展战略和规划，拟定有关政策并监督实施；指导全县公路、水路行业有关体制改革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3. 承担公路、水路运输市场和交通运输建设市场监管负责；组织制定全县公路、水路运输市场及交通运输建设市场有关规范性文件并监督实施；负责全县城乡客运执法检查和监督管理及有关交通运输基础设施规划和管理；负责公路、水路交通建设工程造价控制和工程质量、安全生产的监督管理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4. 负责全县公共客运交通规划、管理和服务；负责全县道路运输管理、营运性客运站、汽车维修、汽车综合性能检测、搬运装卸、公路运输服务等行业管理工作；负责机动车驾驶学校和驾驶员培训的行业管理工作。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5. 承担全县水上交通安全的监督管理；负责水上交通管制、船舶及相关水上设施检验、登记和防止污染、水上消防、救助打捞、通信导航、船舶与港口设施保安及危险品运输的监督管理工作；负责船员管理有关工作；负责县级管理水域水上交通安全事故、船舶及相关水上设施污染事故的应急处置，依法组织或参与事故调查处理。</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6. 组织协调辖区内公路交通工程建设；负责全县公路的路政管理和车辆超限超载的治理工作；指导交通运输管理基础设施管理和维护，承担有关重要交通设施的管理工作。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7.负责提出全县公路、水路固定资产投资规模和方向、县级财政性资金安排建议，按规定权限审核权限规划内和年度计划规模内固定资产投资项目。负责公路、桥梁、渡口、隧道的行业管理。</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8. 指导全县公路、水路行业安全生产和应急管理工作；按规定组织协调全县重点物资和紧急客货运输，负责全县路网运行监测和协调；承担全县交通战备工作。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9. 制定全县交通运输行业科技措施、规划和规范，并监督实施；指导全县交通运输信息化建设，监测分析运行情况，开展相关统计工作，发布有关信息；指导公路、水路行业环境保护和节能减排工作。</w:t>
      </w:r>
    </w:p>
    <w:p>
      <w:pPr>
        <w:widowControl/>
        <w:spacing w:line="580" w:lineRule="atLeast"/>
        <w:ind w:firstLine="640"/>
        <w:rPr>
          <w:rFonts w:hint="eastAsia" w:ascii="仿宋_GB2312" w:eastAsia="仿宋_GB2312"/>
          <w:sz w:val="28"/>
          <w:szCs w:val="28"/>
        </w:rPr>
      </w:pPr>
      <w:r>
        <w:rPr>
          <w:rFonts w:hint="eastAsia" w:ascii="仿宋_GB2312" w:eastAsia="仿宋_GB2312"/>
          <w:sz w:val="28"/>
          <w:szCs w:val="28"/>
        </w:rPr>
        <w:t>10. 指导交通运输行业开展对外交流合作和交通外经外贸工作。</w:t>
      </w:r>
    </w:p>
    <w:p>
      <w:pPr>
        <w:widowControl/>
        <w:spacing w:line="580" w:lineRule="atLeast"/>
        <w:ind w:firstLine="640"/>
        <w:rPr>
          <w:rFonts w:hint="eastAsia" w:ascii="仿宋_GB2312" w:eastAsia="仿宋_GB2312"/>
          <w:sz w:val="28"/>
          <w:szCs w:val="28"/>
        </w:rPr>
      </w:pPr>
      <w:r>
        <w:rPr>
          <w:rFonts w:hint="eastAsia" w:ascii="仿宋_GB2312" w:eastAsia="仿宋_GB2312"/>
          <w:sz w:val="28"/>
          <w:szCs w:val="28"/>
        </w:rPr>
        <w:t>11.按机构改革的总体要求，负责对局属单位机构设置、只能配置和人员编制配备等提出调整完善意见，报机构编制部门明确。</w:t>
      </w:r>
    </w:p>
    <w:p>
      <w:pPr>
        <w:widowControl/>
        <w:spacing w:line="580" w:lineRule="atLeast"/>
        <w:ind w:firstLine="640"/>
        <w:rPr>
          <w:rFonts w:hint="eastAsia" w:ascii="宋体" w:hAnsi="宋体" w:eastAsia="仿宋_GB2312" w:cs="宋体"/>
          <w:sz w:val="28"/>
          <w:szCs w:val="28"/>
          <w:lang w:val="en-US" w:eastAsia="zh-CN"/>
        </w:rPr>
      </w:pPr>
      <w:r>
        <w:rPr>
          <w:rFonts w:hint="eastAsia" w:ascii="仿宋_GB2312" w:eastAsia="仿宋_GB2312"/>
          <w:sz w:val="28"/>
          <w:szCs w:val="28"/>
        </w:rPr>
        <w:t>12.承办县委、县人民政府交办的其他事宜。</w:t>
      </w:r>
    </w:p>
    <w:p>
      <w:pPr>
        <w:widowControl/>
        <w:spacing w:line="580" w:lineRule="atLeast"/>
        <w:ind w:firstLine="643"/>
        <w:rPr>
          <w:rFonts w:hint="eastAsia" w:ascii="仿宋_GB2312" w:eastAsia="仿宋_GB2312"/>
          <w:sz w:val="28"/>
          <w:szCs w:val="28"/>
        </w:rPr>
      </w:pPr>
      <w:r>
        <w:rPr>
          <w:rFonts w:hint="eastAsia" w:ascii="仿宋_GB2312" w:eastAsia="仿宋_GB2312"/>
          <w:sz w:val="28"/>
          <w:szCs w:val="28"/>
        </w:rPr>
        <w:t>（二）机构、人员构成</w:t>
      </w:r>
    </w:p>
    <w:p>
      <w:pPr>
        <w:widowControl/>
        <w:spacing w:line="580" w:lineRule="atLeast"/>
        <w:ind w:firstLine="643"/>
        <w:rPr>
          <w:rFonts w:hint="eastAsia" w:ascii="仿宋_GB2312" w:hAnsi="Calibri" w:eastAsia="仿宋_GB2312" w:cs="Times New Roman"/>
          <w:sz w:val="28"/>
          <w:szCs w:val="28"/>
        </w:rPr>
      </w:pPr>
      <w:r>
        <w:rPr>
          <w:rFonts w:hint="eastAsia" w:ascii="仿宋_GB2312" w:hAnsi="Calibri" w:eastAsia="仿宋_GB2312" w:cs="Times New Roman"/>
          <w:sz w:val="28"/>
          <w:szCs w:val="28"/>
        </w:rPr>
        <w:t>双牌县交通运输局属行政机关；财务隶属关系属一级单位；我局现有内设机构</w:t>
      </w:r>
      <w:r>
        <w:rPr>
          <w:rFonts w:hint="eastAsia" w:ascii="仿宋_GB2312" w:hAnsi="Calibri" w:eastAsia="仿宋_GB2312" w:cs="Times New Roman"/>
          <w:sz w:val="28"/>
          <w:szCs w:val="28"/>
          <w:lang w:val="en-US" w:eastAsia="zh-CN"/>
        </w:rPr>
        <w:t>6</w:t>
      </w:r>
      <w:r>
        <w:rPr>
          <w:rFonts w:hint="eastAsia" w:ascii="仿宋_GB2312" w:hAnsi="Calibri" w:eastAsia="仿宋_GB2312" w:cs="Times New Roman"/>
          <w:sz w:val="28"/>
          <w:szCs w:val="28"/>
        </w:rPr>
        <w:t>个：办公室（加挂</w:t>
      </w:r>
      <w:r>
        <w:rPr>
          <w:rFonts w:hint="eastAsia" w:ascii="仿宋_GB2312" w:hAnsi="Calibri" w:eastAsia="仿宋_GB2312" w:cs="Times New Roman"/>
          <w:sz w:val="28"/>
          <w:szCs w:val="28"/>
          <w:lang w:eastAsia="zh-CN"/>
        </w:rPr>
        <w:t>财务审计</w:t>
      </w:r>
      <w:r>
        <w:rPr>
          <w:rFonts w:hint="eastAsia" w:ascii="仿宋_GB2312" w:hAnsi="Calibri" w:eastAsia="仿宋_GB2312" w:cs="Times New Roman"/>
          <w:sz w:val="28"/>
          <w:szCs w:val="28"/>
        </w:rPr>
        <w:t>股</w:t>
      </w:r>
      <w:r>
        <w:rPr>
          <w:rFonts w:hint="eastAsia" w:ascii="仿宋_GB2312" w:hAnsi="Calibri" w:eastAsia="仿宋_GB2312" w:cs="Times New Roman"/>
          <w:sz w:val="28"/>
          <w:szCs w:val="28"/>
          <w:lang w:eastAsia="zh-CN"/>
        </w:rPr>
        <w:t>、人事股</w:t>
      </w:r>
      <w:r>
        <w:rPr>
          <w:rFonts w:hint="eastAsia" w:ascii="仿宋_GB2312" w:hAnsi="Calibri" w:eastAsia="仿宋_GB2312" w:cs="Times New Roman"/>
          <w:sz w:val="28"/>
          <w:szCs w:val="28"/>
        </w:rPr>
        <w:t>牌子）、</w:t>
      </w:r>
      <w:r>
        <w:rPr>
          <w:rFonts w:hint="eastAsia" w:ascii="仿宋_GB2312" w:hAnsi="Calibri" w:eastAsia="仿宋_GB2312" w:cs="Times New Roman"/>
          <w:sz w:val="28"/>
          <w:szCs w:val="28"/>
          <w:lang w:eastAsia="zh-CN"/>
        </w:rPr>
        <w:t>行政审批股、安全法制股（加挂信访办公室牌子）、公路管理股（加挂路政管理股、双牌县交通战备办公室牌子）、运输管理股（加挂港航管理股牌子）、计划统计股。</w:t>
      </w:r>
      <w:r>
        <w:rPr>
          <w:rFonts w:hint="eastAsia" w:ascii="仿宋_GB2312" w:hAnsi="Calibri" w:eastAsia="仿宋_GB2312" w:cs="Times New Roman"/>
          <w:sz w:val="28"/>
          <w:szCs w:val="28"/>
        </w:rPr>
        <w:t>我局归口管理单位5个：县地方海事局、县道路运输管理所、县交通建设质量安全监督管理站、县公路管理站、双红超限检测站，其中县地方海事局、县道路运输管理所、县交通建设质量安全监督管理站为副科级全额事业单位，县公路管理站、双红超限检测站为正股级全额事业单位。</w:t>
      </w:r>
    </w:p>
    <w:p>
      <w:pPr>
        <w:widowControl/>
        <w:spacing w:line="580" w:lineRule="atLeast"/>
        <w:ind w:firstLine="64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202</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年本单位</w:t>
      </w:r>
      <w:r>
        <w:rPr>
          <w:rFonts w:hint="eastAsia" w:ascii="仿宋_GB2312" w:hAnsi="Calibri" w:eastAsia="仿宋_GB2312" w:cs="Times New Roman"/>
          <w:sz w:val="28"/>
          <w:szCs w:val="28"/>
          <w:lang w:eastAsia="zh-CN"/>
        </w:rPr>
        <w:t>编制总人数</w:t>
      </w:r>
      <w:r>
        <w:rPr>
          <w:rFonts w:hint="eastAsia" w:ascii="仿宋_GB2312" w:hAnsi="Calibri" w:eastAsia="仿宋_GB2312" w:cs="Times New Roman"/>
          <w:sz w:val="28"/>
          <w:szCs w:val="28"/>
          <w:lang w:val="en-US" w:eastAsia="zh-CN"/>
        </w:rPr>
        <w:t>100人，实际</w:t>
      </w:r>
      <w:r>
        <w:rPr>
          <w:rFonts w:hint="eastAsia" w:ascii="仿宋_GB2312" w:hAnsi="Calibri" w:eastAsia="仿宋_GB2312" w:cs="Times New Roman"/>
          <w:sz w:val="28"/>
          <w:szCs w:val="28"/>
          <w:lang w:eastAsia="zh-CN"/>
        </w:rPr>
        <w:t>年末</w:t>
      </w:r>
      <w:r>
        <w:rPr>
          <w:rFonts w:hint="eastAsia" w:ascii="仿宋_GB2312" w:hAnsi="Calibri" w:eastAsia="仿宋_GB2312" w:cs="Times New Roman"/>
          <w:sz w:val="28"/>
          <w:szCs w:val="28"/>
        </w:rPr>
        <w:t>实有人数</w:t>
      </w:r>
      <w:r>
        <w:rPr>
          <w:rFonts w:hint="eastAsia" w:ascii="仿宋_GB2312" w:hAnsi="Calibri" w:eastAsia="仿宋_GB2312" w:cs="Times New Roman"/>
          <w:sz w:val="28"/>
          <w:szCs w:val="28"/>
          <w:lang w:val="en-US" w:eastAsia="zh-CN"/>
        </w:rPr>
        <w:t>79</w:t>
      </w:r>
      <w:r>
        <w:rPr>
          <w:rFonts w:hint="eastAsia" w:ascii="仿宋_GB2312" w:hAnsi="Calibri" w:eastAsia="仿宋_GB2312" w:cs="Times New Roman"/>
          <w:sz w:val="28"/>
          <w:szCs w:val="28"/>
        </w:rPr>
        <w:t>人</w:t>
      </w:r>
      <w:r>
        <w:rPr>
          <w:rFonts w:hint="eastAsia" w:ascii="仿宋_GB2312" w:hAnsi="Calibri" w:eastAsia="仿宋_GB2312" w:cs="Times New Roman"/>
          <w:sz w:val="28"/>
          <w:szCs w:val="28"/>
          <w:lang w:eastAsia="zh-CN"/>
        </w:rPr>
        <w:t>。</w:t>
      </w:r>
    </w:p>
    <w:p>
      <w:pPr>
        <w:widowControl/>
        <w:numPr>
          <w:ilvl w:val="0"/>
          <w:numId w:val="1"/>
        </w:numPr>
        <w:spacing w:line="580" w:lineRule="atLeast"/>
        <w:ind w:firstLine="643"/>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sz w:val="28"/>
          <w:szCs w:val="28"/>
        </w:rPr>
        <w:t>单位整体支出</w:t>
      </w:r>
      <w:r>
        <w:rPr>
          <w:rFonts w:hint="eastAsia" w:ascii="仿宋_GB2312" w:hAnsi="Calibri" w:eastAsia="仿宋_GB2312" w:cs="Times New Roman"/>
          <w:sz w:val="28"/>
          <w:szCs w:val="28"/>
          <w:lang w:eastAsia="zh-CN"/>
        </w:rPr>
        <w:t>情况</w:t>
      </w:r>
    </w:p>
    <w:p>
      <w:pPr>
        <w:widowControl/>
        <w:numPr>
          <w:ilvl w:val="0"/>
          <w:numId w:val="0"/>
        </w:numPr>
        <w:spacing w:line="580" w:lineRule="atLeast"/>
        <w:ind w:firstLine="560" w:firstLineChars="200"/>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sz w:val="28"/>
          <w:szCs w:val="28"/>
          <w:lang w:val="en-US" w:eastAsia="zh-CN"/>
        </w:rPr>
        <w:t>1、单位整体支出使用情况</w:t>
      </w:r>
    </w:p>
    <w:p>
      <w:pPr>
        <w:pStyle w:val="2"/>
        <w:numPr>
          <w:ilvl w:val="0"/>
          <w:numId w:val="0"/>
        </w:numPr>
        <w:ind w:firstLine="560" w:firstLineChars="200"/>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 xml:space="preserve">本单位2023年整体支出年初预算9672.19万元，决算数为5607.82万元，预算执行率57.98%。 </w:t>
      </w:r>
      <w:r>
        <w:rPr>
          <w:rFonts w:hint="eastAsia" w:ascii="仿宋_GB2312" w:hAnsi="Calibri" w:eastAsia="仿宋_GB2312" w:cs="Times New Roman"/>
          <w:kern w:val="2"/>
          <w:sz w:val="28"/>
          <w:szCs w:val="28"/>
          <w:lang w:val="en-US" w:eastAsia="zh-CN" w:bidi="ar-SA"/>
        </w:rPr>
        <w:tab/>
      </w:r>
      <w:r>
        <w:rPr>
          <w:rFonts w:hint="eastAsia" w:ascii="仿宋_GB2312" w:hAnsi="Calibri" w:eastAsia="仿宋_GB2312" w:cs="Times New Roman"/>
          <w:kern w:val="2"/>
          <w:sz w:val="28"/>
          <w:szCs w:val="28"/>
          <w:lang w:val="en-US" w:eastAsia="zh-CN" w:bidi="ar-SA"/>
        </w:rPr>
        <w:t xml:space="preserve"> </w:t>
      </w:r>
      <w:r>
        <w:rPr>
          <w:rFonts w:hint="eastAsia" w:ascii="仿宋_GB2312" w:hAnsi="Calibri" w:eastAsia="仿宋_GB2312" w:cs="Times New Roman"/>
          <w:kern w:val="2"/>
          <w:sz w:val="28"/>
          <w:szCs w:val="28"/>
          <w:lang w:val="en-US" w:eastAsia="zh-CN" w:bidi="ar-SA"/>
        </w:rPr>
        <w:tab/>
      </w:r>
    </w:p>
    <w:p>
      <w:pPr>
        <w:pStyle w:val="2"/>
        <w:numPr>
          <w:ilvl w:val="0"/>
          <w:numId w:val="2"/>
        </w:numPr>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基本支出使用管理情况</w:t>
      </w:r>
    </w:p>
    <w:p>
      <w:pPr>
        <w:widowControl/>
        <w:spacing w:line="580" w:lineRule="atLeast"/>
        <w:ind w:firstLine="560" w:firstLineChars="200"/>
        <w:rPr>
          <w:rFonts w:hint="eastAsia" w:ascii="仿宋_GB2312" w:eastAsia="仿宋_GB2312"/>
          <w:sz w:val="28"/>
          <w:szCs w:val="28"/>
          <w:lang w:eastAsia="zh-CN"/>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年本</w:t>
      </w:r>
      <w:r>
        <w:rPr>
          <w:rFonts w:hint="eastAsia" w:ascii="仿宋_GB2312" w:eastAsia="仿宋_GB2312"/>
          <w:sz w:val="28"/>
          <w:szCs w:val="28"/>
          <w:lang w:eastAsia="zh-CN"/>
        </w:rPr>
        <w:t>单位整体</w:t>
      </w:r>
      <w:r>
        <w:rPr>
          <w:rFonts w:hint="eastAsia" w:ascii="仿宋_GB2312" w:eastAsia="仿宋_GB2312"/>
          <w:sz w:val="28"/>
          <w:szCs w:val="28"/>
        </w:rPr>
        <w:t>基本支出</w:t>
      </w:r>
      <w:r>
        <w:rPr>
          <w:rFonts w:hint="eastAsia" w:ascii="仿宋_GB2312" w:eastAsia="仿宋_GB2312"/>
          <w:sz w:val="28"/>
          <w:szCs w:val="28"/>
          <w:lang w:eastAsia="zh-CN"/>
        </w:rPr>
        <w:t>年初预算为</w:t>
      </w:r>
      <w:r>
        <w:rPr>
          <w:rFonts w:hint="eastAsia" w:ascii="仿宋_GB2312" w:eastAsia="仿宋_GB2312"/>
          <w:sz w:val="28"/>
          <w:szCs w:val="28"/>
          <w:lang w:val="en-US" w:eastAsia="zh-CN"/>
        </w:rPr>
        <w:t>990.36万元，决算数为1038.24万元，预算执行率104.83%。</w:t>
      </w:r>
      <w:r>
        <w:rPr>
          <w:rFonts w:hint="eastAsia" w:ascii="仿宋_GB2312" w:eastAsia="仿宋_GB2312"/>
          <w:sz w:val="28"/>
          <w:szCs w:val="28"/>
          <w:lang w:eastAsia="zh-CN"/>
        </w:rPr>
        <w:t>执行比例高的主要</w:t>
      </w:r>
      <w:r>
        <w:rPr>
          <w:rFonts w:hint="eastAsia" w:ascii="仿宋_GB2312" w:eastAsia="仿宋_GB2312"/>
          <w:sz w:val="28"/>
          <w:szCs w:val="28"/>
        </w:rPr>
        <w:t>原因是20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eastAsia="zh-CN"/>
        </w:rPr>
        <w:t>人员工资有所调整。</w:t>
      </w:r>
    </w:p>
    <w:p>
      <w:pPr>
        <w:pStyle w:val="2"/>
        <w:numPr>
          <w:ilvl w:val="0"/>
          <w:numId w:val="2"/>
        </w:numPr>
        <w:ind w:firstLine="560" w:firstLineChars="200"/>
        <w:rPr>
          <w:rFonts w:hint="eastAsia" w:ascii="仿宋_GB2312" w:eastAsia="仿宋_GB2312"/>
          <w:sz w:val="28"/>
          <w:szCs w:val="28"/>
        </w:rPr>
      </w:pPr>
      <w:r>
        <w:rPr>
          <w:rFonts w:hint="eastAsia" w:ascii="仿宋_GB2312" w:hAnsi="Calibri" w:eastAsia="仿宋_GB2312" w:cs="Times New Roman"/>
          <w:sz w:val="28"/>
          <w:szCs w:val="28"/>
          <w:lang w:eastAsia="zh-CN"/>
        </w:rPr>
        <w:t>项目</w:t>
      </w:r>
      <w:r>
        <w:rPr>
          <w:rFonts w:hint="eastAsia" w:ascii="仿宋_GB2312" w:hAnsi="Calibri" w:eastAsia="仿宋_GB2312" w:cs="Times New Roman"/>
          <w:sz w:val="28"/>
          <w:szCs w:val="28"/>
        </w:rPr>
        <w:t>支出使用管理情况</w:t>
      </w:r>
    </w:p>
    <w:p>
      <w:pPr>
        <w:widowControl/>
        <w:spacing w:line="580" w:lineRule="atLeast"/>
        <w:ind w:firstLine="560" w:firstLineChars="200"/>
        <w:rPr>
          <w:rFonts w:hint="default" w:eastAsia="仿宋_GB2312"/>
          <w:lang w:val="en-US" w:eastAsia="zh-CN"/>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年本</w:t>
      </w:r>
      <w:r>
        <w:rPr>
          <w:rFonts w:hint="eastAsia" w:ascii="仿宋_GB2312" w:eastAsia="仿宋_GB2312"/>
          <w:sz w:val="28"/>
          <w:szCs w:val="28"/>
          <w:lang w:eastAsia="zh-CN"/>
        </w:rPr>
        <w:t>单位整体项目</w:t>
      </w:r>
      <w:r>
        <w:rPr>
          <w:rFonts w:hint="eastAsia" w:ascii="仿宋_GB2312" w:eastAsia="仿宋_GB2312"/>
          <w:sz w:val="28"/>
          <w:szCs w:val="28"/>
        </w:rPr>
        <w:t>支出</w:t>
      </w:r>
      <w:r>
        <w:rPr>
          <w:rFonts w:hint="eastAsia" w:ascii="仿宋_GB2312" w:eastAsia="仿宋_GB2312"/>
          <w:sz w:val="28"/>
          <w:szCs w:val="28"/>
          <w:lang w:eastAsia="zh-CN"/>
        </w:rPr>
        <w:t>年初预算为</w:t>
      </w:r>
      <w:r>
        <w:rPr>
          <w:rFonts w:hint="eastAsia" w:ascii="仿宋_GB2312" w:eastAsia="仿宋_GB2312"/>
          <w:sz w:val="28"/>
          <w:szCs w:val="28"/>
          <w:lang w:val="en-US" w:eastAsia="zh-CN"/>
        </w:rPr>
        <w:t>8681.86万元，决算数为4569.57万元，预算执行率52.63%。</w:t>
      </w:r>
      <w:r>
        <w:rPr>
          <w:rFonts w:hint="eastAsia" w:ascii="仿宋_GB2312" w:eastAsia="仿宋_GB2312"/>
          <w:sz w:val="28"/>
          <w:szCs w:val="28"/>
          <w:lang w:eastAsia="zh-CN"/>
        </w:rPr>
        <w:t>主要</w:t>
      </w:r>
      <w:r>
        <w:rPr>
          <w:rFonts w:hint="eastAsia" w:ascii="仿宋_GB2312" w:eastAsia="仿宋_GB2312"/>
          <w:sz w:val="28"/>
          <w:szCs w:val="28"/>
        </w:rPr>
        <w:t>原因是</w:t>
      </w:r>
      <w:r>
        <w:rPr>
          <w:rFonts w:hint="eastAsia" w:ascii="仿宋_GB2312" w:eastAsia="仿宋_GB2312"/>
          <w:sz w:val="28"/>
          <w:szCs w:val="28"/>
          <w:lang w:eastAsia="zh-CN"/>
        </w:rPr>
        <w:t>乡镇通三级路施工难度大，施工进度慢，工程未达到拨付条件。</w:t>
      </w:r>
    </w:p>
    <w:p>
      <w:pPr>
        <w:widowControl/>
        <w:numPr>
          <w:ilvl w:val="0"/>
          <w:numId w:val="2"/>
        </w:numPr>
        <w:spacing w:line="640" w:lineRule="atLeast"/>
        <w:ind w:left="0" w:leftChars="0" w:firstLine="560" w:firstLineChars="200"/>
        <w:rPr>
          <w:rFonts w:hint="eastAsia" w:ascii="仿宋_GB2312" w:eastAsia="仿宋_GB2312"/>
          <w:sz w:val="28"/>
          <w:szCs w:val="28"/>
        </w:rPr>
      </w:pPr>
      <w:r>
        <w:rPr>
          <w:rFonts w:hint="eastAsia" w:ascii="仿宋_GB2312" w:eastAsia="仿宋_GB2312"/>
          <w:sz w:val="28"/>
          <w:szCs w:val="28"/>
        </w:rPr>
        <w:t>“三公”经费使用管理情况</w:t>
      </w:r>
    </w:p>
    <w:p>
      <w:pPr>
        <w:widowControl/>
        <w:numPr>
          <w:ilvl w:val="0"/>
          <w:numId w:val="0"/>
        </w:numPr>
        <w:spacing w:line="640" w:lineRule="atLeast"/>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202</w:t>
      </w:r>
      <w:r>
        <w:rPr>
          <w:rFonts w:hint="eastAsia" w:ascii="仿宋_GB2312" w:eastAsia="仿宋_GB2312" w:cs="Times New Roman"/>
          <w:sz w:val="28"/>
          <w:szCs w:val="28"/>
          <w:lang w:val="en-US" w:eastAsia="zh-CN"/>
        </w:rPr>
        <w:t>3</w:t>
      </w:r>
      <w:r>
        <w:rPr>
          <w:rFonts w:hint="eastAsia" w:ascii="仿宋_GB2312" w:hAnsi="Times New Roman" w:eastAsia="仿宋_GB2312" w:cs="Times New Roman"/>
          <w:sz w:val="28"/>
          <w:szCs w:val="28"/>
          <w:lang w:val="en-US" w:eastAsia="zh-CN"/>
        </w:rPr>
        <w:t>年本部门“三公”经费年初预算数为</w:t>
      </w:r>
      <w:r>
        <w:rPr>
          <w:rFonts w:hint="eastAsia" w:ascii="仿宋_GB2312" w:eastAsia="仿宋_GB2312" w:cs="Times New Roman"/>
          <w:sz w:val="28"/>
          <w:szCs w:val="28"/>
          <w:lang w:val="en-US" w:eastAsia="zh-CN"/>
        </w:rPr>
        <w:t>82.3</w:t>
      </w:r>
      <w:r>
        <w:rPr>
          <w:rFonts w:hint="eastAsia" w:ascii="仿宋_GB2312" w:hAnsi="Times New Roman" w:eastAsia="仿宋_GB2312" w:cs="Times New Roman"/>
          <w:sz w:val="28"/>
          <w:szCs w:val="28"/>
          <w:lang w:val="en-US" w:eastAsia="zh-CN"/>
        </w:rPr>
        <w:t>万元，决算数为</w:t>
      </w:r>
      <w:r>
        <w:rPr>
          <w:rFonts w:hint="eastAsia" w:ascii="仿宋_GB2312" w:eastAsia="仿宋_GB2312" w:cs="Times New Roman"/>
          <w:sz w:val="28"/>
          <w:szCs w:val="28"/>
          <w:lang w:val="en-US" w:eastAsia="zh-CN"/>
        </w:rPr>
        <w:t>82.25</w:t>
      </w:r>
      <w:r>
        <w:rPr>
          <w:rFonts w:hint="eastAsia" w:ascii="仿宋_GB2312" w:hAnsi="Times New Roman" w:eastAsia="仿宋_GB2312" w:cs="Times New Roman"/>
          <w:sz w:val="28"/>
          <w:szCs w:val="28"/>
          <w:lang w:val="en-US" w:eastAsia="zh-CN"/>
        </w:rPr>
        <w:t>万元，预算执行率</w:t>
      </w:r>
      <w:r>
        <w:rPr>
          <w:rFonts w:hint="eastAsia" w:ascii="仿宋_GB2312" w:eastAsia="仿宋_GB2312" w:cs="Times New Roman"/>
          <w:sz w:val="28"/>
          <w:szCs w:val="28"/>
          <w:lang w:val="en-US" w:eastAsia="zh-CN"/>
        </w:rPr>
        <w:t>99.93</w:t>
      </w:r>
      <w:r>
        <w:rPr>
          <w:rFonts w:hint="eastAsia" w:ascii="仿宋_GB2312" w:hAnsi="Times New Roman" w:eastAsia="仿宋_GB2312" w:cs="Times New Roman"/>
          <w:sz w:val="28"/>
          <w:szCs w:val="28"/>
          <w:lang w:val="en-US" w:eastAsia="zh-CN"/>
        </w:rPr>
        <w:t>%。其中，公务接待费年初预算数为</w:t>
      </w:r>
      <w:r>
        <w:rPr>
          <w:rFonts w:hint="eastAsia" w:ascii="仿宋_GB2312" w:eastAsia="仿宋_GB2312" w:cs="Times New Roman"/>
          <w:sz w:val="28"/>
          <w:szCs w:val="28"/>
          <w:lang w:val="en-US" w:eastAsia="zh-CN"/>
        </w:rPr>
        <w:t>27.3</w:t>
      </w:r>
      <w:r>
        <w:rPr>
          <w:rFonts w:hint="eastAsia" w:ascii="仿宋_GB2312" w:hAnsi="Times New Roman" w:eastAsia="仿宋_GB2312" w:cs="Times New Roman"/>
          <w:sz w:val="28"/>
          <w:szCs w:val="28"/>
          <w:lang w:val="en-US" w:eastAsia="zh-CN"/>
        </w:rPr>
        <w:t>万元，决算数为</w:t>
      </w:r>
      <w:r>
        <w:rPr>
          <w:rFonts w:hint="eastAsia" w:ascii="仿宋_GB2312" w:eastAsia="仿宋_GB2312" w:cs="Times New Roman"/>
          <w:sz w:val="28"/>
          <w:szCs w:val="28"/>
          <w:lang w:val="en-US" w:eastAsia="zh-CN"/>
        </w:rPr>
        <w:t>27.28</w:t>
      </w:r>
      <w:r>
        <w:rPr>
          <w:rFonts w:hint="eastAsia" w:ascii="仿宋_GB2312" w:hAnsi="Times New Roman" w:eastAsia="仿宋_GB2312" w:cs="Times New Roman"/>
          <w:sz w:val="28"/>
          <w:szCs w:val="28"/>
          <w:lang w:val="en-US" w:eastAsia="zh-CN"/>
        </w:rPr>
        <w:t>万元，预算执行率</w:t>
      </w:r>
      <w:r>
        <w:rPr>
          <w:rFonts w:hint="eastAsia" w:ascii="仿宋_GB2312" w:eastAsia="仿宋_GB2312" w:cs="Times New Roman"/>
          <w:sz w:val="28"/>
          <w:szCs w:val="28"/>
          <w:lang w:val="en-US" w:eastAsia="zh-CN"/>
        </w:rPr>
        <w:t>99.93</w:t>
      </w:r>
      <w:r>
        <w:rPr>
          <w:rFonts w:hint="eastAsia" w:ascii="仿宋_GB2312" w:hAnsi="Times New Roman" w:eastAsia="仿宋_GB2312" w:cs="Times New Roman"/>
          <w:sz w:val="28"/>
          <w:szCs w:val="28"/>
          <w:lang w:val="en-US" w:eastAsia="zh-CN"/>
        </w:rPr>
        <w:t>%。公务用车购置及运行维护费年初预算数为</w:t>
      </w:r>
      <w:r>
        <w:rPr>
          <w:rFonts w:hint="eastAsia" w:ascii="仿宋_GB2312" w:eastAsia="仿宋_GB2312" w:cs="Times New Roman"/>
          <w:sz w:val="28"/>
          <w:szCs w:val="28"/>
          <w:lang w:val="en-US" w:eastAsia="zh-CN"/>
        </w:rPr>
        <w:t>55</w:t>
      </w:r>
      <w:r>
        <w:rPr>
          <w:rFonts w:hint="eastAsia" w:ascii="仿宋_GB2312" w:hAnsi="Times New Roman" w:eastAsia="仿宋_GB2312" w:cs="Times New Roman"/>
          <w:sz w:val="28"/>
          <w:szCs w:val="28"/>
          <w:lang w:val="en-US" w:eastAsia="zh-CN"/>
        </w:rPr>
        <w:t>万元，决算数为</w:t>
      </w:r>
      <w:r>
        <w:rPr>
          <w:rFonts w:hint="eastAsia" w:ascii="仿宋_GB2312" w:eastAsia="仿宋_GB2312" w:cs="Times New Roman"/>
          <w:sz w:val="28"/>
          <w:szCs w:val="28"/>
          <w:lang w:val="en-US" w:eastAsia="zh-CN"/>
        </w:rPr>
        <w:t>52.97</w:t>
      </w:r>
      <w:r>
        <w:rPr>
          <w:rFonts w:hint="eastAsia" w:ascii="仿宋_GB2312" w:hAnsi="Times New Roman" w:eastAsia="仿宋_GB2312" w:cs="Times New Roman"/>
          <w:sz w:val="28"/>
          <w:szCs w:val="28"/>
          <w:lang w:val="en-US" w:eastAsia="zh-CN"/>
        </w:rPr>
        <w:t>万元，预算执行率</w:t>
      </w:r>
      <w:r>
        <w:rPr>
          <w:rFonts w:hint="eastAsia" w:ascii="仿宋_GB2312" w:eastAsia="仿宋_GB2312" w:cs="Times New Roman"/>
          <w:sz w:val="28"/>
          <w:szCs w:val="28"/>
          <w:lang w:val="en-US" w:eastAsia="zh-CN"/>
        </w:rPr>
        <w:t>96.31</w:t>
      </w:r>
      <w:r>
        <w:rPr>
          <w:rFonts w:hint="eastAsia" w:ascii="仿宋_GB2312" w:hAnsi="Times New Roman" w:eastAsia="仿宋_GB2312" w:cs="Times New Roman"/>
          <w:sz w:val="28"/>
          <w:szCs w:val="28"/>
          <w:lang w:val="en-US" w:eastAsia="zh-CN"/>
        </w:rPr>
        <w:t xml:space="preserve">%。因公出国（境）费0万元。 </w:t>
      </w:r>
      <w:r>
        <w:rPr>
          <w:rFonts w:hint="eastAsia" w:ascii="仿宋_GB2312" w:eastAsia="仿宋_GB2312"/>
          <w:sz w:val="28"/>
          <w:szCs w:val="28"/>
        </w:rPr>
        <w:t>“三公”经费总体控制较好，并进行了公示。</w:t>
      </w:r>
    </w:p>
    <w:p>
      <w:pPr>
        <w:pStyle w:val="12"/>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12"/>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default" w:ascii="仿宋_GB2312" w:hAnsi="仿宋" w:eastAsia="仿宋_GB2312" w:cs="Arial"/>
          <w:bCs/>
          <w:kern w:val="36"/>
          <w:sz w:val="28"/>
          <w:szCs w:val="28"/>
          <w:lang w:val="en-US" w:eastAsia="zh-CN" w:bidi="ar-SA"/>
        </w:rPr>
      </w:pPr>
      <w:r>
        <w:rPr>
          <w:rFonts w:hint="eastAsia" w:ascii="仿宋_GB2312" w:hAnsi="仿宋" w:eastAsia="仿宋_GB2312" w:cs="Arial"/>
          <w:bCs/>
          <w:kern w:val="36"/>
          <w:sz w:val="28"/>
          <w:szCs w:val="28"/>
          <w:lang w:val="en-US" w:eastAsia="zh-CN" w:bidi="ar-SA"/>
        </w:rPr>
        <w:t>基本支出1038.24万元，占总支出的比重为18.51%。其中人员经费918.94万元，主要包括：基本工资</w:t>
      </w:r>
      <w:r>
        <w:rPr>
          <w:rFonts w:hint="default" w:ascii="仿宋_GB2312" w:hAnsi="仿宋" w:eastAsia="仿宋_GB2312" w:cs="Arial"/>
          <w:bCs/>
          <w:kern w:val="36"/>
          <w:sz w:val="28"/>
          <w:szCs w:val="28"/>
          <w:lang w:val="en-US" w:eastAsia="zh-CN" w:bidi="ar-SA"/>
        </w:rPr>
        <w:t>、津贴补贴、奖金、社会保障缴费、其他工资福利支出、离休费、退休费、抚恤金、奖励金、住房公积金、对个人和家庭的补助支出；公用经费</w:t>
      </w:r>
      <w:r>
        <w:rPr>
          <w:rFonts w:hint="eastAsia" w:ascii="仿宋_GB2312" w:hAnsi="仿宋" w:eastAsia="仿宋_GB2312" w:cs="Arial"/>
          <w:bCs/>
          <w:kern w:val="36"/>
          <w:sz w:val="28"/>
          <w:szCs w:val="28"/>
          <w:lang w:val="en-US" w:eastAsia="zh-CN" w:bidi="ar-SA"/>
        </w:rPr>
        <w:t>107.49</w:t>
      </w:r>
      <w:r>
        <w:rPr>
          <w:rFonts w:hint="default" w:ascii="仿宋_GB2312" w:hAnsi="仿宋" w:eastAsia="仿宋_GB2312" w:cs="Arial"/>
          <w:bCs/>
          <w:kern w:val="36"/>
          <w:sz w:val="28"/>
          <w:szCs w:val="28"/>
          <w:lang w:val="en-US" w:eastAsia="zh-CN" w:bidi="ar-SA"/>
        </w:rPr>
        <w:t>万元，主要包括：办公费、印刷费、邮电费、差旅费、维修（护）费、会议费、培训费、公务接待费、劳务费、工会经费、福利费、公务用车运行维护费、其他交通费用、其他商品和服务支出。</w:t>
      </w:r>
    </w:p>
    <w:p>
      <w:pPr>
        <w:pStyle w:val="12"/>
        <w:numPr>
          <w:ilvl w:val="0"/>
          <w:numId w:val="3"/>
        </w:numPr>
        <w:spacing w:line="600" w:lineRule="exact"/>
        <w:ind w:firstLine="640"/>
        <w:rPr>
          <w:rFonts w:hint="default" w:ascii="仿宋_GB2312" w:hAnsi="仿宋" w:eastAsia="仿宋_GB2312" w:cs="Arial"/>
          <w:bCs/>
          <w:kern w:val="36"/>
          <w:sz w:val="28"/>
          <w:szCs w:val="28"/>
          <w:lang w:val="en-US" w:eastAsia="zh-CN" w:bidi="ar-SA"/>
        </w:rPr>
      </w:pPr>
      <w:r>
        <w:rPr>
          <w:rFonts w:ascii="楷体_GB2312" w:hAnsi="楷体_GB2312" w:eastAsia="楷体_GB2312"/>
          <w:sz w:val="32"/>
          <w:szCs w:val="32"/>
        </w:rPr>
        <w:t>项目支出情况</w:t>
      </w:r>
    </w:p>
    <w:p>
      <w:pPr>
        <w:pStyle w:val="12"/>
        <w:numPr>
          <w:ilvl w:val="0"/>
          <w:numId w:val="0"/>
        </w:numPr>
        <w:spacing w:line="600" w:lineRule="exact"/>
        <w:ind w:firstLine="560" w:firstLineChars="200"/>
        <w:rPr>
          <w:rFonts w:hint="default" w:ascii="仿宋" w:hAnsi="仿宋" w:eastAsia="仿宋" w:cs="仿宋"/>
          <w:sz w:val="28"/>
          <w:szCs w:val="28"/>
          <w:lang w:val="en-US" w:eastAsia="zh-CN"/>
        </w:rPr>
      </w:pPr>
      <w:r>
        <w:rPr>
          <w:rFonts w:hint="eastAsia" w:ascii="仿宋_GB2312" w:hAnsi="仿宋" w:eastAsia="仿宋_GB2312" w:cs="Arial"/>
          <w:bCs/>
          <w:kern w:val="36"/>
          <w:sz w:val="28"/>
          <w:szCs w:val="28"/>
          <w:lang w:val="en-US" w:eastAsia="zh-CN" w:bidi="ar-SA"/>
        </w:rPr>
        <w:t>项目支出3505.98万元，占总支出的62.52%。其中</w:t>
      </w:r>
      <w:r>
        <w:rPr>
          <w:rFonts w:hint="eastAsia" w:ascii="仿宋" w:hAnsi="仿宋" w:eastAsia="仿宋" w:cs="仿宋"/>
          <w:sz w:val="28"/>
          <w:szCs w:val="28"/>
          <w:lang w:val="en-US" w:eastAsia="zh-CN"/>
        </w:rPr>
        <w:t>主要是乡镇通三极路，农村公路养护工程，农村公路日常养护，农村公路安防工程，水毁项目等项目支出</w:t>
      </w:r>
      <w:r>
        <w:rPr>
          <w:rFonts w:hint="default" w:ascii="仿宋" w:hAnsi="仿宋" w:eastAsia="仿宋" w:cs="仿宋"/>
          <w:sz w:val="28"/>
          <w:szCs w:val="28"/>
          <w:lang w:val="en-US"/>
        </w:rPr>
        <w:t>。</w:t>
      </w:r>
    </w:p>
    <w:p>
      <w:pPr>
        <w:pStyle w:val="12"/>
        <w:numPr>
          <w:ilvl w:val="0"/>
          <w:numId w:val="4"/>
        </w:numPr>
        <w:spacing w:line="600" w:lineRule="exact"/>
        <w:ind w:firstLine="640"/>
        <w:rPr>
          <w:rFonts w:ascii="黑体" w:hAnsi="黑体" w:eastAsia="黑体"/>
          <w:sz w:val="32"/>
          <w:szCs w:val="32"/>
        </w:rPr>
      </w:pPr>
      <w:r>
        <w:rPr>
          <w:rFonts w:ascii="黑体" w:hAnsi="黑体" w:eastAsia="黑体"/>
          <w:sz w:val="32"/>
          <w:szCs w:val="32"/>
        </w:rPr>
        <w:t>政府性基金预算支出情况</w:t>
      </w:r>
    </w:p>
    <w:p>
      <w:pPr>
        <w:pStyle w:val="12"/>
        <w:numPr>
          <w:ilvl w:val="0"/>
          <w:numId w:val="0"/>
        </w:numPr>
        <w:spacing w:line="600" w:lineRule="exact"/>
        <w:ind w:firstLine="560" w:firstLineChars="200"/>
        <w:rPr>
          <w:rFonts w:hint="eastAsia" w:ascii="仿宋_GB2312" w:hAnsi="仿宋" w:eastAsia="仿宋_GB2312" w:cs="Arial"/>
          <w:bCs/>
          <w:kern w:val="36"/>
          <w:sz w:val="28"/>
          <w:szCs w:val="28"/>
          <w:lang w:val="en-US" w:eastAsia="zh-CN" w:bidi="ar-SA"/>
        </w:rPr>
      </w:pPr>
      <w:r>
        <w:rPr>
          <w:rFonts w:hint="eastAsia" w:ascii="仿宋_GB2312" w:hAnsi="仿宋" w:eastAsia="仿宋_GB2312" w:cs="Arial"/>
          <w:bCs/>
          <w:kern w:val="36"/>
          <w:sz w:val="28"/>
          <w:szCs w:val="28"/>
          <w:lang w:val="en-US" w:eastAsia="zh-CN" w:bidi="ar-SA"/>
        </w:rPr>
        <w:t>（一）基本支出0万元，占总支出的0%。</w:t>
      </w:r>
    </w:p>
    <w:p>
      <w:pPr>
        <w:pStyle w:val="12"/>
        <w:numPr>
          <w:ilvl w:val="0"/>
          <w:numId w:val="0"/>
        </w:numPr>
        <w:spacing w:line="600" w:lineRule="exact"/>
        <w:ind w:firstLine="560" w:firstLineChars="200"/>
        <w:rPr>
          <w:rFonts w:hint="default" w:ascii="仿宋_GB2312" w:hAnsi="仿宋" w:eastAsia="仿宋_GB2312" w:cs="Arial"/>
          <w:bCs/>
          <w:kern w:val="36"/>
          <w:sz w:val="28"/>
          <w:szCs w:val="28"/>
          <w:lang w:val="en-US" w:eastAsia="zh-CN" w:bidi="ar-SA"/>
        </w:rPr>
      </w:pPr>
      <w:r>
        <w:rPr>
          <w:rFonts w:hint="eastAsia" w:ascii="仿宋_GB2312" w:hAnsi="仿宋" w:eastAsia="仿宋_GB2312" w:cs="Arial"/>
          <w:bCs/>
          <w:kern w:val="36"/>
          <w:sz w:val="28"/>
          <w:szCs w:val="28"/>
          <w:lang w:val="en-US" w:eastAsia="zh-CN" w:bidi="ar-SA"/>
        </w:rPr>
        <w:t>（二）项目支出1063.6万元，占总支出的18.97%。其中</w:t>
      </w:r>
      <w:r>
        <w:rPr>
          <w:rFonts w:hint="eastAsia" w:ascii="仿宋" w:hAnsi="仿宋" w:eastAsia="仿宋" w:cs="仿宋"/>
          <w:sz w:val="28"/>
          <w:szCs w:val="28"/>
          <w:lang w:val="en-US" w:eastAsia="zh-CN"/>
        </w:rPr>
        <w:t>主要是二广高速连接线等工程。</w:t>
      </w:r>
    </w:p>
    <w:p>
      <w:pPr>
        <w:pStyle w:val="12"/>
        <w:spacing w:line="600" w:lineRule="exact"/>
        <w:ind w:firstLine="640"/>
        <w:rPr>
          <w:rFonts w:ascii="黑体" w:hAnsi="黑体" w:eastAsia="黑体"/>
          <w:sz w:val="32"/>
          <w:szCs w:val="32"/>
        </w:rPr>
      </w:pPr>
      <w:r>
        <w:rPr>
          <w:rFonts w:ascii="黑体" w:hAnsi="黑体" w:eastAsia="黑体"/>
          <w:sz w:val="32"/>
          <w:szCs w:val="32"/>
        </w:rPr>
        <w:t>四、国有资本经营预算支出情况</w:t>
      </w:r>
    </w:p>
    <w:p>
      <w:pPr>
        <w:pStyle w:val="12"/>
        <w:spacing w:line="600" w:lineRule="exact"/>
        <w:ind w:firstLine="64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我单位无国有资本经营预算支出情况</w:t>
      </w:r>
    </w:p>
    <w:p>
      <w:pPr>
        <w:pStyle w:val="12"/>
        <w:spacing w:line="600" w:lineRule="exact"/>
        <w:ind w:firstLine="640"/>
        <w:rPr>
          <w:rFonts w:ascii="黑体" w:hAnsi="黑体" w:eastAsia="黑体"/>
          <w:sz w:val="32"/>
          <w:szCs w:val="32"/>
        </w:rPr>
      </w:pPr>
      <w:r>
        <w:rPr>
          <w:rFonts w:ascii="黑体" w:hAnsi="黑体" w:eastAsia="黑体"/>
          <w:sz w:val="32"/>
          <w:szCs w:val="32"/>
        </w:rPr>
        <w:t>五、社会保险基金预算支出情况</w:t>
      </w:r>
    </w:p>
    <w:p>
      <w:pPr>
        <w:spacing w:line="600" w:lineRule="exact"/>
        <w:ind w:firstLine="640" w:firstLineChars="20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我单位无社会保险基金预算支出情况</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Times New Roman"/>
          <w:color w:val="000000"/>
          <w:kern w:val="0"/>
          <w:sz w:val="32"/>
          <w:szCs w:val="32"/>
          <w:lang w:val="en-US" w:eastAsia="zh-CN" w:bidi="ar-SA"/>
        </w:rPr>
      </w:pPr>
      <w:r>
        <w:rPr>
          <w:rFonts w:hint="eastAsia" w:ascii="仿宋_GB2312" w:hAnsi="仿宋_GB2312" w:eastAsia="仿宋_GB2312" w:cs="Times New Roman"/>
          <w:color w:val="000000"/>
          <w:kern w:val="0"/>
          <w:sz w:val="32"/>
          <w:szCs w:val="32"/>
          <w:lang w:val="en-US" w:eastAsia="zh-CN" w:bidi="ar-SA"/>
        </w:rPr>
        <w:t>1、能较好的保障人员支出和单位正常运转；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Times New Roman"/>
          <w:color w:val="000000"/>
          <w:kern w:val="0"/>
          <w:sz w:val="32"/>
          <w:szCs w:val="32"/>
          <w:lang w:val="en-US" w:eastAsia="zh-CN" w:bidi="ar-SA"/>
        </w:rPr>
      </w:pPr>
      <w:r>
        <w:rPr>
          <w:rFonts w:hint="default" w:ascii="仿宋_GB2312" w:hAnsi="仿宋_GB2312" w:eastAsia="仿宋_GB2312" w:cs="Times New Roman"/>
          <w:color w:val="000000"/>
          <w:kern w:val="0"/>
          <w:sz w:val="32"/>
          <w:szCs w:val="32"/>
          <w:lang w:val="en-US" w:eastAsia="zh-CN" w:bidi="ar-SA"/>
        </w:rPr>
        <w:t>2</w:t>
      </w:r>
      <w:r>
        <w:rPr>
          <w:rFonts w:hint="eastAsia" w:ascii="仿宋_GB2312" w:hAnsi="仿宋_GB2312" w:eastAsia="仿宋_GB2312" w:cs="Times New Roman"/>
          <w:color w:val="000000"/>
          <w:kern w:val="0"/>
          <w:sz w:val="32"/>
          <w:szCs w:val="32"/>
          <w:lang w:val="en-US" w:eastAsia="zh-CN" w:bidi="ar-SA"/>
        </w:rPr>
        <w:t>、认真贯彻执行党的基本路线、方针政策和上级组织的决议、指示、命令；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仿宋_GB2312" w:hAnsi="仿宋_GB2312" w:eastAsia="仿宋_GB2312" w:cs="Times New Roman"/>
          <w:color w:val="000000"/>
          <w:kern w:val="0"/>
          <w:sz w:val="32"/>
          <w:szCs w:val="32"/>
          <w:lang w:val="en-US" w:eastAsia="zh-CN" w:bidi="ar-SA"/>
        </w:rPr>
      </w:pPr>
      <w:r>
        <w:rPr>
          <w:rFonts w:hint="default" w:ascii="仿宋_GB2312" w:hAnsi="仿宋_GB2312" w:eastAsia="仿宋_GB2312" w:cs="Times New Roman"/>
          <w:color w:val="000000"/>
          <w:kern w:val="0"/>
          <w:sz w:val="32"/>
          <w:szCs w:val="32"/>
          <w:lang w:val="en-US" w:eastAsia="zh-CN" w:bidi="ar-SA"/>
        </w:rPr>
        <w:t>3</w:t>
      </w:r>
      <w:r>
        <w:rPr>
          <w:rFonts w:hint="eastAsia" w:ascii="仿宋_GB2312" w:hAnsi="仿宋_GB2312" w:eastAsia="仿宋_GB2312" w:cs="Times New Roman"/>
          <w:color w:val="000000"/>
          <w:kern w:val="0"/>
          <w:sz w:val="32"/>
          <w:szCs w:val="32"/>
          <w:lang w:val="en-US" w:eastAsia="zh-CN" w:bidi="ar-SA"/>
        </w:rPr>
        <w:t>、对本单位的重大问题进行决策，大大提升群众的满意度。</w:t>
      </w:r>
    </w:p>
    <w:p>
      <w:pPr>
        <w:pStyle w:val="12"/>
        <w:spacing w:line="600" w:lineRule="exact"/>
        <w:ind w:firstLine="640"/>
        <w:rPr>
          <w:rFonts w:ascii="Times New Roman" w:hAnsi="Times New Roman" w:eastAsia="黑体"/>
          <w:sz w:val="32"/>
          <w:szCs w:val="32"/>
        </w:rPr>
      </w:pPr>
      <w:r>
        <w:rPr>
          <w:rFonts w:ascii="黑体" w:hAnsi="黑体" w:eastAsia="黑体"/>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1、预算执行率有待提高。由于预算项目未实施或未及时报账导致年末预算资金未形成支出。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2、专项资金利用率较低。年末报账不及时。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3、预算编制不够明确和细化，预算编制的合理性需要提高，预算执行力度还要进一步加强。资金使用效益有待进一步提高，绩效目标设立不够明确、细化和量化。</w:t>
      </w:r>
    </w:p>
    <w:p>
      <w:pPr>
        <w:numPr>
          <w:ilvl w:val="0"/>
          <w:numId w:val="5"/>
        </w:numPr>
        <w:spacing w:line="600" w:lineRule="exact"/>
        <w:ind w:firstLine="640" w:firstLineChars="2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下一步改进措施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 1、细化预算编制工作，认真做好预算的编制。进一步加强内设机构的预算管理意识，严格按照预算编制的相关制度和要求进行预算编制。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4、对相关人员加强培训，特别是针对《预算法》、《行政事业单位会计制度》等学习培训，规范部门预算收支核算，切实提高部门预算收支管理水平。</w:t>
      </w:r>
    </w:p>
    <w:p>
      <w:pPr>
        <w:numPr>
          <w:ilvl w:val="0"/>
          <w:numId w:val="5"/>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pPr>
        <w:widowControl/>
        <w:spacing w:line="580" w:lineRule="atLeast"/>
        <w:ind w:firstLine="643"/>
        <w:rPr>
          <w:rFonts w:hint="default" w:ascii="仿宋_GB2312" w:hAnsi="Calibri" w:eastAsia="仿宋_GB2312" w:cs="Times New Roman"/>
          <w:sz w:val="28"/>
          <w:szCs w:val="28"/>
          <w:lang w:val="en-US" w:eastAsia="zh-CN"/>
        </w:rPr>
      </w:pPr>
      <w:r>
        <w:rPr>
          <w:rFonts w:hint="default" w:ascii="仿宋_GB2312" w:hAnsi="Calibri" w:eastAsia="仿宋_GB2312" w:cs="Times New Roman"/>
          <w:sz w:val="28"/>
          <w:szCs w:val="28"/>
          <w:lang w:val="en-US" w:eastAsia="zh-CN"/>
        </w:rPr>
        <w:t>自评良好，按规公开。</w:t>
      </w:r>
    </w:p>
    <w:p>
      <w:pPr>
        <w:widowControl/>
        <w:spacing w:line="580" w:lineRule="atLeast"/>
        <w:ind w:firstLine="643"/>
        <w:rPr>
          <w:rFonts w:hint="default" w:ascii="仿宋_GB2312" w:hAnsi="Calibri" w:eastAsia="仿宋_GB2312" w:cs="Times New Roman"/>
          <w:sz w:val="28"/>
          <w:szCs w:val="28"/>
          <w:lang w:val="en-US" w:eastAsia="zh-CN"/>
        </w:rPr>
      </w:pPr>
    </w:p>
    <w:p>
      <w:pPr>
        <w:spacing w:line="600" w:lineRule="exact"/>
        <w:ind w:firstLine="640" w:firstLineChars="200"/>
        <w:rPr>
          <w:rFonts w:eastAsia="仿宋_GB2312"/>
          <w:sz w:val="32"/>
          <w:szCs w:val="32"/>
        </w:rPr>
      </w:pPr>
      <w:r>
        <w:rPr>
          <w:rFonts w:ascii="仿宋_GB2312" w:hAnsi="仿宋_GB2312" w:eastAsia="仿宋_GB2312"/>
          <w:sz w:val="32"/>
          <w:szCs w:val="32"/>
        </w:rPr>
        <w:t>附件：</w:t>
      </w:r>
    </w:p>
    <w:p>
      <w:pPr>
        <w:spacing w:line="600" w:lineRule="exact"/>
        <w:ind w:firstLine="640" w:firstLineChars="200"/>
        <w:rPr>
          <w:rFonts w:eastAsia="仿宋_GB2312"/>
          <w:sz w:val="32"/>
          <w:szCs w:val="32"/>
        </w:rPr>
      </w:pPr>
      <w:r>
        <w:rPr>
          <w:rFonts w:eastAsia="仿宋_GB2312"/>
          <w:sz w:val="32"/>
          <w:szCs w:val="32"/>
        </w:rPr>
        <w:t>1</w:t>
      </w:r>
      <w:r>
        <w:rPr>
          <w:rFonts w:ascii="仿宋_GB2312" w:hAnsi="仿宋_GB2312" w:eastAsia="仿宋_GB2312"/>
          <w:sz w:val="32"/>
          <w:szCs w:val="32"/>
        </w:rPr>
        <w:t>、部门整体支出绩效评价基础数据表</w:t>
      </w:r>
    </w:p>
    <w:p>
      <w:pPr>
        <w:spacing w:line="600" w:lineRule="exact"/>
        <w:ind w:firstLine="640" w:firstLineChars="200"/>
        <w:rPr>
          <w:rFonts w:eastAsia="仿宋_GB2312"/>
          <w:sz w:val="32"/>
          <w:szCs w:val="32"/>
        </w:rPr>
      </w:pPr>
      <w:r>
        <w:rPr>
          <w:rFonts w:eastAsia="仿宋_GB2312"/>
          <w:sz w:val="32"/>
          <w:szCs w:val="32"/>
        </w:rPr>
        <w:t>2</w:t>
      </w:r>
      <w:r>
        <w:rPr>
          <w:rFonts w:ascii="仿宋_GB2312" w:hAnsi="仿宋_GB2312" w:eastAsia="仿宋_GB2312"/>
          <w:sz w:val="32"/>
          <w:szCs w:val="32"/>
        </w:rPr>
        <w:t>、部门整体支出绩效自评表</w:t>
      </w:r>
    </w:p>
    <w:p>
      <w:pPr>
        <w:spacing w:line="600" w:lineRule="exact"/>
        <w:ind w:firstLine="640" w:firstLineChars="200"/>
        <w:rPr>
          <w:rFonts w:ascii="仿宋_GB2312" w:hAnsi="仿宋_GB2312" w:eastAsia="仿宋_GB2312"/>
          <w:sz w:val="32"/>
          <w:szCs w:val="32"/>
        </w:rPr>
      </w:pPr>
      <w:r>
        <w:rPr>
          <w:rFonts w:eastAsia="仿宋_GB2312"/>
          <w:sz w:val="32"/>
          <w:szCs w:val="32"/>
        </w:rPr>
        <w:t>3</w:t>
      </w:r>
      <w:r>
        <w:rPr>
          <w:rFonts w:ascii="仿宋_GB2312" w:hAnsi="仿宋_GB2312" w:eastAsia="仿宋_GB2312"/>
          <w:sz w:val="32"/>
          <w:szCs w:val="32"/>
        </w:rPr>
        <w:t>、项目支出绩效自评表</w:t>
      </w:r>
    </w:p>
    <w:p>
      <w:pPr>
        <w:pStyle w:val="2"/>
        <w:rPr>
          <w:rFonts w:ascii="仿宋_GB2312" w:hAnsi="仿宋_GB2312" w:eastAsia="仿宋_GB2312"/>
          <w:sz w:val="32"/>
          <w:szCs w:val="32"/>
        </w:rPr>
      </w:pPr>
    </w:p>
    <w:p>
      <w:pPr>
        <w:pStyle w:val="3"/>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widowControl/>
        <w:spacing w:line="240" w:lineRule="exact"/>
        <w:jc w:val="both"/>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8A4F4"/>
    <w:multiLevelType w:val="singleLevel"/>
    <w:tmpl w:val="8738A4F4"/>
    <w:lvl w:ilvl="0" w:tentative="0">
      <w:start w:val="3"/>
      <w:numFmt w:val="chineseCounting"/>
      <w:suff w:val="nothing"/>
      <w:lvlText w:val="（%1）"/>
      <w:lvlJc w:val="left"/>
      <w:rPr>
        <w:rFonts w:hint="eastAsia"/>
      </w:rPr>
    </w:lvl>
  </w:abstractNum>
  <w:abstractNum w:abstractNumId="1">
    <w:nsid w:val="8CBE3DA0"/>
    <w:multiLevelType w:val="singleLevel"/>
    <w:tmpl w:val="8CBE3DA0"/>
    <w:lvl w:ilvl="0" w:tentative="0">
      <w:start w:val="2"/>
      <w:numFmt w:val="decimal"/>
      <w:suff w:val="nothing"/>
      <w:lvlText w:val="%1、"/>
      <w:lvlJc w:val="left"/>
    </w:lvl>
  </w:abstractNum>
  <w:abstractNum w:abstractNumId="2">
    <w:nsid w:val="CC4D5D4E"/>
    <w:multiLevelType w:val="singleLevel"/>
    <w:tmpl w:val="CC4D5D4E"/>
    <w:lvl w:ilvl="0" w:tentative="0">
      <w:start w:val="8"/>
      <w:numFmt w:val="chineseCounting"/>
      <w:suff w:val="nothing"/>
      <w:lvlText w:val="%1、"/>
      <w:lvlJc w:val="left"/>
      <w:rPr>
        <w:rFonts w:hint="eastAsia"/>
      </w:rPr>
    </w:lvl>
  </w:abstractNum>
  <w:abstractNum w:abstractNumId="3">
    <w:nsid w:val="1743614E"/>
    <w:multiLevelType w:val="singleLevel"/>
    <w:tmpl w:val="1743614E"/>
    <w:lvl w:ilvl="0" w:tentative="0">
      <w:start w:val="2"/>
      <w:numFmt w:val="chineseCounting"/>
      <w:suff w:val="nothing"/>
      <w:lvlText w:val="（%1）"/>
      <w:lvlJc w:val="left"/>
      <w:rPr>
        <w:rFonts w:hint="eastAsia"/>
      </w:rPr>
    </w:lvl>
  </w:abstractNum>
  <w:abstractNum w:abstractNumId="4">
    <w:nsid w:val="4A6F5604"/>
    <w:multiLevelType w:val="singleLevel"/>
    <w:tmpl w:val="4A6F5604"/>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zg3MDY2YmQ0MTdmMzA4MmIyZjliZjA3ZmEzMzQifQ=="/>
  </w:docVars>
  <w:rsids>
    <w:rsidRoot w:val="363E33A8"/>
    <w:rsid w:val="065512D2"/>
    <w:rsid w:val="06C929F2"/>
    <w:rsid w:val="070041D5"/>
    <w:rsid w:val="113413B0"/>
    <w:rsid w:val="204D6A7C"/>
    <w:rsid w:val="23CE3F9B"/>
    <w:rsid w:val="2740754A"/>
    <w:rsid w:val="2B147E30"/>
    <w:rsid w:val="363E33A8"/>
    <w:rsid w:val="3D920342"/>
    <w:rsid w:val="47C60A96"/>
    <w:rsid w:val="47C908A1"/>
    <w:rsid w:val="5697353F"/>
    <w:rsid w:val="5E6F5E19"/>
    <w:rsid w:val="619522EE"/>
    <w:rsid w:val="61C2739E"/>
    <w:rsid w:val="706A77CC"/>
    <w:rsid w:val="75C75CA9"/>
    <w:rsid w:val="7C80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before="100" w:beforeAutospacing="1"/>
      <w:ind w:left="0" w:firstLine="420" w:firstLineChars="200"/>
    </w:pPr>
  </w:style>
  <w:style w:type="character" w:styleId="11">
    <w:name w:val="page number"/>
    <w:basedOn w:val="10"/>
    <w:qFormat/>
    <w:uiPriority w:val="0"/>
  </w:style>
  <w:style w:type="paragraph" w:customStyle="1" w:styleId="12">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5759</Words>
  <Characters>6368</Characters>
  <Lines>0</Lines>
  <Paragraphs>0</Paragraphs>
  <TotalTime>2</TotalTime>
  <ScaleCrop>false</ScaleCrop>
  <LinksUpToDate>false</LinksUpToDate>
  <CharactersWithSpaces>6923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2023-05-04T02:01:00Z</dcterms:created>
  <dc:creator>李艳萍</dc:creator>
  <cp:lastModifiedBy>Administrator</cp:lastModifiedBy>
  <dcterms:modified xsi:type="dcterms:W3CDTF">2024-05-23T09:35:42Z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8CB6BDC94974408F995B4C99AC420B25_11</vt:lpwstr>
  </property>
</Properties>
</file>