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96F88">
      <w:pPr>
        <w:widowControl/>
        <w:spacing w:line="500" w:lineRule="exact"/>
        <w:jc w:val="left"/>
        <w:rPr>
          <w:rFonts w:hint="default" w:cs="黑体" w:asciiTheme="minorEastAsia" w:hAnsiTheme="minorEastAsia" w:eastAsiaTheme="minorEastAsia"/>
          <w:sz w:val="30"/>
          <w:szCs w:val="30"/>
        </w:rPr>
      </w:pPr>
      <w:bookmarkStart w:id="0" w:name="_GoBack"/>
      <w:bookmarkEnd w:id="0"/>
    </w:p>
    <w:p w14:paraId="26FDD5D2">
      <w:pPr>
        <w:widowControl/>
        <w:spacing w:line="500" w:lineRule="exact"/>
        <w:jc w:val="left"/>
        <w:rPr>
          <w:rFonts w:hint="default" w:cs="黑体" w:asciiTheme="minorEastAsia" w:hAnsiTheme="minorEastAsia" w:eastAsiaTheme="minorEastAsia"/>
          <w:sz w:val="30"/>
          <w:szCs w:val="30"/>
        </w:rPr>
      </w:pPr>
    </w:p>
    <w:p w14:paraId="378B016F">
      <w:pPr>
        <w:widowControl/>
        <w:spacing w:line="500" w:lineRule="exact"/>
        <w:jc w:val="left"/>
        <w:rPr>
          <w:rFonts w:hint="default" w:cs="仿宋_GB2312" w:asciiTheme="minorEastAsia" w:hAnsiTheme="minorEastAsia" w:eastAsiaTheme="minorEastAsia"/>
          <w:sz w:val="30"/>
          <w:szCs w:val="30"/>
        </w:rPr>
      </w:pPr>
      <w:r>
        <w:rPr>
          <w:rFonts w:cs="黑体" w:asciiTheme="minorEastAsia" w:hAnsiTheme="minorEastAsia" w:eastAsiaTheme="minorEastAsia"/>
          <w:sz w:val="30"/>
          <w:szCs w:val="30"/>
        </w:rPr>
        <w:t>附件1</w:t>
      </w:r>
    </w:p>
    <w:p w14:paraId="3E45D82A">
      <w:pPr>
        <w:spacing w:line="500" w:lineRule="exact"/>
        <w:jc w:val="center"/>
        <w:outlineLvl w:val="1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2023年度双牌县财政局整体支出</w:t>
      </w:r>
    </w:p>
    <w:p w14:paraId="5AFA38FB">
      <w:pPr>
        <w:spacing w:line="500" w:lineRule="exact"/>
        <w:jc w:val="center"/>
        <w:outlineLvl w:val="1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绩效自评报告</w:t>
      </w:r>
    </w:p>
    <w:p w14:paraId="1873E95B">
      <w:pPr>
        <w:spacing w:line="500" w:lineRule="exact"/>
        <w:jc w:val="center"/>
        <w:rPr>
          <w:rFonts w:hint="default" w:asciiTheme="minorEastAsia" w:hAnsiTheme="minorEastAsia" w:eastAsiaTheme="minorEastAsia"/>
          <w:sz w:val="30"/>
          <w:szCs w:val="30"/>
        </w:rPr>
      </w:pPr>
    </w:p>
    <w:p w14:paraId="24B588F3">
      <w:pPr>
        <w:spacing w:line="500" w:lineRule="exact"/>
        <w:jc w:val="center"/>
        <w:rPr>
          <w:rFonts w:hint="default" w:asciiTheme="minorEastAsia" w:hAnsiTheme="minorEastAsia" w:eastAsiaTheme="minorEastAsia"/>
          <w:sz w:val="30"/>
          <w:szCs w:val="30"/>
        </w:rPr>
      </w:pPr>
    </w:p>
    <w:p w14:paraId="69DFBDB8">
      <w:pPr>
        <w:spacing w:line="500" w:lineRule="exact"/>
        <w:jc w:val="center"/>
        <w:rPr>
          <w:rFonts w:hint="default" w:asciiTheme="minorEastAsia" w:hAnsiTheme="minorEastAsia" w:eastAsiaTheme="minorEastAsia"/>
          <w:sz w:val="30"/>
          <w:szCs w:val="30"/>
        </w:rPr>
      </w:pPr>
    </w:p>
    <w:p w14:paraId="47631F8B">
      <w:pPr>
        <w:spacing w:line="500" w:lineRule="exact"/>
        <w:rPr>
          <w:rFonts w:hint="default" w:asciiTheme="minorEastAsia" w:hAnsiTheme="minorEastAsia" w:eastAsiaTheme="minorEastAsia"/>
          <w:sz w:val="30"/>
          <w:szCs w:val="30"/>
        </w:rPr>
      </w:pPr>
    </w:p>
    <w:p w14:paraId="66E205CD">
      <w:pPr>
        <w:spacing w:line="500" w:lineRule="exact"/>
        <w:jc w:val="center"/>
        <w:rPr>
          <w:rFonts w:hint="default" w:asciiTheme="minorEastAsia" w:hAnsiTheme="minorEastAsia" w:eastAsiaTheme="minorEastAsia"/>
          <w:sz w:val="30"/>
          <w:szCs w:val="30"/>
        </w:rPr>
      </w:pPr>
    </w:p>
    <w:p w14:paraId="7238224A">
      <w:pPr>
        <w:spacing w:line="500" w:lineRule="exact"/>
        <w:jc w:val="center"/>
        <w:rPr>
          <w:rFonts w:hint="default" w:asciiTheme="minorEastAsia" w:hAnsiTheme="minorEastAsia" w:eastAsiaTheme="minorEastAsia"/>
          <w:sz w:val="30"/>
          <w:szCs w:val="30"/>
        </w:rPr>
      </w:pPr>
    </w:p>
    <w:p w14:paraId="534B6653">
      <w:pPr>
        <w:spacing w:line="500" w:lineRule="exact"/>
        <w:jc w:val="center"/>
        <w:rPr>
          <w:rFonts w:hint="default" w:asciiTheme="minorEastAsia" w:hAnsiTheme="minorEastAsia" w:eastAsiaTheme="minorEastAsia"/>
          <w:sz w:val="30"/>
          <w:szCs w:val="30"/>
        </w:rPr>
      </w:pPr>
    </w:p>
    <w:p w14:paraId="3521E1F0">
      <w:pPr>
        <w:spacing w:line="500" w:lineRule="exact"/>
        <w:ind w:firstLine="1800" w:firstLineChars="600"/>
        <w:rPr>
          <w:rFonts w:hint="default" w:asciiTheme="minorEastAsia" w:hAnsiTheme="minorEastAsia" w:eastAsiaTheme="minorEastAsia"/>
          <w:sz w:val="30"/>
          <w:szCs w:val="30"/>
          <w:u w:val="single"/>
        </w:rPr>
      </w:pPr>
      <w:r>
        <w:rPr>
          <w:rFonts w:asciiTheme="minorEastAsia" w:hAnsiTheme="minorEastAsia" w:eastAsiaTheme="minorEastAsia"/>
          <w:sz w:val="30"/>
          <w:szCs w:val="30"/>
        </w:rPr>
        <w:t>单位名称：</w:t>
      </w:r>
      <w:r>
        <w:rPr>
          <w:rFonts w:asciiTheme="minorEastAsia" w:hAnsiTheme="minorEastAsia" w:eastAsiaTheme="minorEastAsia"/>
          <w:sz w:val="30"/>
          <w:szCs w:val="30"/>
          <w:u w:val="single"/>
        </w:rPr>
        <w:t xml:space="preserve"> 双牌县财政局       </w:t>
      </w:r>
    </w:p>
    <w:p w14:paraId="0E2DA158">
      <w:pPr>
        <w:spacing w:line="500" w:lineRule="exact"/>
        <w:ind w:firstLine="3000" w:firstLineChars="1000"/>
        <w:rPr>
          <w:rFonts w:hint="default" w:asciiTheme="minorEastAsia" w:hAnsiTheme="minorEastAsia" w:eastAsiaTheme="minorEastAsia"/>
          <w:sz w:val="30"/>
          <w:szCs w:val="30"/>
        </w:rPr>
      </w:pPr>
    </w:p>
    <w:p w14:paraId="1BAA46CF">
      <w:pPr>
        <w:spacing w:line="500" w:lineRule="exact"/>
        <w:ind w:firstLine="3000" w:firstLineChars="100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2024年 5 月26日</w:t>
      </w:r>
    </w:p>
    <w:p w14:paraId="4CDD46B1">
      <w:pPr>
        <w:spacing w:line="500" w:lineRule="exact"/>
        <w:jc w:val="center"/>
        <w:rPr>
          <w:rFonts w:hint="default" w:asciiTheme="minorEastAsia" w:hAnsiTheme="minorEastAsia" w:eastAsiaTheme="minorEastAsia"/>
          <w:sz w:val="30"/>
          <w:szCs w:val="30"/>
        </w:rPr>
      </w:pPr>
    </w:p>
    <w:p w14:paraId="1956F350">
      <w:pPr>
        <w:spacing w:line="500" w:lineRule="exact"/>
        <w:jc w:val="center"/>
        <w:outlineLvl w:val="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（此页为封面）</w:t>
      </w:r>
    </w:p>
    <w:p w14:paraId="4BBB7326">
      <w:pPr>
        <w:pStyle w:val="10"/>
        <w:spacing w:line="500" w:lineRule="exact"/>
        <w:ind w:left="709" w:firstLine="0" w:firstLineChars="0"/>
        <w:outlineLvl w:val="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67900E27">
      <w:pPr>
        <w:pStyle w:val="10"/>
        <w:spacing w:line="500" w:lineRule="exact"/>
        <w:ind w:firstLine="600"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一、部门整体情况</w:t>
      </w:r>
    </w:p>
    <w:p w14:paraId="59E28477">
      <w:pPr>
        <w:spacing w:line="500" w:lineRule="exact"/>
        <w:ind w:left="709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一)、单位人员构成：县财政局年初在编在职实有人数83人。其中：行政人员48人，事业人员35人。退休人员59人，单位内设股室：</w:t>
      </w:r>
      <w:r>
        <w:rPr>
          <w:rFonts w:cs="宋体" w:asciiTheme="minorEastAsia" w:hAnsiTheme="minorEastAsia" w:eastAsiaTheme="minorEastAsia"/>
          <w:sz w:val="30"/>
          <w:szCs w:val="30"/>
        </w:rPr>
        <w:t>办公室、综合股、预算股、预算绩效管理股、国库股、企业股、经济建设股、农业股、行政政法教科文股、社会保障股、农村综合改革办公室、资产管理股、金融与债务股、财政监督检查股、监察室等15个职能股室，设双牌县政府采购监督管理办公室、双牌县财政投资评审中心、双牌县财政信息中心、双牌县国库支付核算中心、双牌县会计管理站、双牌县非税收入征收管理局、双牌县乡镇财政管理局、农信担保公司双牌分公司等8个归口管理单位。</w:t>
      </w:r>
    </w:p>
    <w:p w14:paraId="1E04DEB4">
      <w:pPr>
        <w:pStyle w:val="12"/>
        <w:spacing w:line="500" w:lineRule="exact"/>
        <w:ind w:left="710" w:leftChars="338"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在编实有在职人数83人。其中:行政人员48人，事业人员35人。退休人员59人。</w:t>
      </w:r>
    </w:p>
    <w:p w14:paraId="728036AE">
      <w:pPr>
        <w:pStyle w:val="12"/>
        <w:spacing w:line="500" w:lineRule="exact"/>
        <w:ind w:left="709" w:firstLine="0"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二)、主要职责职能</w:t>
      </w:r>
    </w:p>
    <w:p w14:paraId="59523EC0">
      <w:pPr>
        <w:pStyle w:val="12"/>
        <w:spacing w:line="500" w:lineRule="exact"/>
        <w:ind w:left="710" w:leftChars="338"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一)组织贯彻执行国家、省和市财税方针政策，拟定和执行全县财政制度、改革方案，指导全县财政工作；分析预测全县经济形势；提出运用财税政策实施调控和综合平衡全县社会财力的建议；贯彻执行有关分配政策，完善鼓励公益事业发展的财税意见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（二）起草财政、财务、会计管理规范性文件并监督实施。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三）承担县本级各项财政收支管理的责任。负责编制年度县本级预预算草案并组织执行。编制全县财政收支预算和部门预算，汇总全县部门预算和财政总预算；受全县人民政府委托，向县人民代表大会报告县本级、全县预算及其执行情况，向全县人大常委会报告预算。组织制定县本级经费开支标准、定额，负责审核批复部门(单位)的年度预预算。对财政性资金进行预算绩效管理，负责全县的预预算公开工作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四）负责政府非税收入管理，负责政府性基金管理，按规定管理行政事业性收费。管理财政票据。贯彻执行彩票监督管理政策和有关办法，管理彩票市场，会同有关部门监督和管理彩票公益金，管理其他彩票资金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（五）贯彻执行国库管理制度、国库集中支付制度，指导和监督县本级国库业务，按规定开展国库现金管理工作。负责制定政府采购制度并监督管理。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（六）贯彻执行国家、省和市税收法律、行政法规和税收调整政策，反馈政策执行情况，提出调整建议。参与县管理权限内有关税收政策及税收政策调整方案的调查研究，提出对策建议。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七）负责制定全县行政事业单位国有资产管理规章制度，会同有关部门管理行政事业单位国有资产，制定需要全县统一规定的开支标准和支出办法，负责财政预算内行政、事业单位和社会团体的非贸易外汇管理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八）负责审核和汇总编制全县国有资本经营预预算草案，制定国有资本经营预算的制度和办法，收取县本级企业国有资本收益，组织实施企业财务制度，按规定管理地方金融类企业国有资产，参与拟定企业国有资产管理相关制度，负责县级国有宣传文化、金融类企业的国有资产管理，按规定管理资产评估工作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九）负责办理和监督县财政经济发展支出、县级政府性投资项目的财政拨款，参与拟定县建设投资的有关规定，组织实施基本建设财务制度，负责有关政策性补贴和专项储备资金财政管理工作。负责农业综合开发管理工作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（十）会同有关部门管理全县财政社会保障和就业及医疗卫生支出，组织实施社会保障资金（基金）的财务管理制度，编制县社会保障预预算草案。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（十一）贯彻执行政府内外债务管理的政策、制度和办法，防范财政风险。负责统一管理县政府外债，制定基本管理制度。按规定管理外国政府和国际金融组织贷（赠）款。承担财税领域交流与合作的具体工作。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 （十二）负责管理全县的会计工作，监督和规范会计行为，组织实施国家统一的会计制度，在全县组织实施会计行政法规规章。负责组织全县会计从业人员培训和继续教育。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（十三）监督检查财税法规、政策的执行情况，反映财政收支管理中的重大问题，提出加强财政管理的意见和建议。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br w:type="textWrapping"/>
      </w:r>
      <w:r>
        <w:rPr>
          <w:rFonts w:hint="eastAsia" w:cs="宋体" w:asciiTheme="minorEastAsia" w:hAnsiTheme="minorEastAsia" w:eastAsiaTheme="minorEastAsia"/>
          <w:sz w:val="30"/>
          <w:szCs w:val="30"/>
        </w:rPr>
        <w:t xml:space="preserve">  （十四）承办县人民政府交办的其他事项。</w:t>
      </w:r>
    </w:p>
    <w:p w14:paraId="0193A07E">
      <w:pPr>
        <w:spacing w:line="500" w:lineRule="exact"/>
        <w:ind w:firstLine="300" w:firstLineChars="100"/>
        <w:outlineLvl w:val="1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（三）、整体支出规模</w:t>
      </w:r>
    </w:p>
    <w:p w14:paraId="26079169">
      <w:pPr>
        <w:spacing w:line="500" w:lineRule="exact"/>
        <w:ind w:left="594" w:leftChars="283" w:firstLine="600" w:firstLineChars="200"/>
        <w:outlineLvl w:val="1"/>
        <w:rPr>
          <w:rFonts w:hint="default" w:asciiTheme="minorEastAsia" w:hAnsiTheme="minorEastAsia" w:eastAsiaTheme="minorEastAsia"/>
          <w:color w:val="000000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2023年双牌县财政局整体支出2356.44万元，其中：基本支出1108.76万元，项目支出1247.68万元。2023年“三公经费”支出33.45元。其中：公务用车运行维护费0万元，公务接待费33.45万元，比年初预算49万元减少15.55万元，主要是控制三公经费开支减少了公务接待费；比2022年减少8.92万元，主要是减少了公务接待费。</w:t>
      </w:r>
    </w:p>
    <w:p w14:paraId="1AFEC733">
      <w:pPr>
        <w:spacing w:line="500" w:lineRule="exact"/>
        <w:outlineLvl w:val="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二、一般公共预算支出情况</w:t>
      </w:r>
    </w:p>
    <w:p w14:paraId="3CDCF75B">
      <w:pPr>
        <w:pStyle w:val="10"/>
        <w:spacing w:line="500" w:lineRule="exact"/>
        <w:ind w:firstLine="600"/>
        <w:outlineLvl w:val="1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（一）基本支出情况</w:t>
      </w:r>
    </w:p>
    <w:p w14:paraId="2F8B20F1">
      <w:pPr>
        <w:pStyle w:val="10"/>
        <w:spacing w:line="500" w:lineRule="exact"/>
        <w:ind w:firstLine="600"/>
        <w:outlineLvl w:val="1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 xml:space="preserve">   2023年基本支出年初预算批复数为1077.79，决算数为1108.76万元，执行率102.8%。其中：人员经费990.5万元，公用经费108.77万元。</w:t>
      </w:r>
    </w:p>
    <w:p w14:paraId="06BA5C88">
      <w:pPr>
        <w:pStyle w:val="10"/>
        <w:spacing w:line="500" w:lineRule="exact"/>
        <w:ind w:firstLine="600"/>
        <w:outlineLvl w:val="1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（二）项目支出情况</w:t>
      </w:r>
    </w:p>
    <w:p w14:paraId="3C3F2EF1">
      <w:pPr>
        <w:spacing w:line="500" w:lineRule="exact"/>
        <w:ind w:firstLine="600" w:firstLineChars="20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项目支出年初预算批复数为1460.68万元，2023年决算数为1247.68万元，执行率85.4%。部分绩效目标未完成的原因是：一是预算精准度有差距，二是项目有的还在实施中，还未完工结算。</w:t>
      </w:r>
    </w:p>
    <w:p w14:paraId="7069854C">
      <w:pPr>
        <w:pStyle w:val="10"/>
        <w:spacing w:line="500" w:lineRule="exact"/>
        <w:ind w:firstLine="600"/>
        <w:jc w:val="left"/>
        <w:outlineLvl w:val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三、政府性基金预算支出情况。</w:t>
      </w:r>
    </w:p>
    <w:p w14:paraId="74E6B0D4">
      <w:pPr>
        <w:pStyle w:val="10"/>
        <w:spacing w:line="500" w:lineRule="exact"/>
        <w:ind w:firstLine="600"/>
        <w:jc w:val="left"/>
        <w:outlineLvl w:val="0"/>
        <w:rPr>
          <w:rFonts w:asciiTheme="minorEastAsia" w:hAnsiTheme="minorEastAsia" w:eastAsia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30"/>
          <w:szCs w:val="30"/>
        </w:rPr>
        <w:t>我单位2023年政府性基金收入130.34万元，支出130.34万元，主要用于国有资产评估费用和债券发行评估费用。</w:t>
      </w:r>
    </w:p>
    <w:p w14:paraId="036728C9">
      <w:pPr>
        <w:pStyle w:val="10"/>
        <w:spacing w:line="500" w:lineRule="exact"/>
        <w:ind w:firstLine="600"/>
        <w:jc w:val="left"/>
        <w:outlineLvl w:val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四、国有资本经营预算支出情况。</w:t>
      </w:r>
    </w:p>
    <w:p w14:paraId="5C90D283">
      <w:pPr>
        <w:pStyle w:val="10"/>
        <w:spacing w:line="500" w:lineRule="exact"/>
        <w:ind w:firstLine="600"/>
        <w:jc w:val="left"/>
        <w:outlineLvl w:val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30"/>
          <w:szCs w:val="30"/>
        </w:rPr>
        <w:t>我单位无国有资本经营预算支出情况</w:t>
      </w:r>
    </w:p>
    <w:p w14:paraId="4039B6B0">
      <w:pPr>
        <w:pStyle w:val="10"/>
        <w:spacing w:line="500" w:lineRule="exact"/>
        <w:ind w:firstLine="600"/>
        <w:jc w:val="left"/>
        <w:outlineLvl w:val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五、社会保险基金预算支出情况。</w:t>
      </w:r>
    </w:p>
    <w:p w14:paraId="1F115FFC">
      <w:pPr>
        <w:pStyle w:val="10"/>
        <w:spacing w:line="500" w:lineRule="exact"/>
        <w:ind w:firstLine="600"/>
        <w:jc w:val="left"/>
        <w:outlineLvl w:val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color w:val="000000"/>
          <w:sz w:val="30"/>
          <w:szCs w:val="30"/>
        </w:rPr>
        <w:t>我单位无</w:t>
      </w:r>
      <w:r>
        <w:rPr>
          <w:rFonts w:hint="eastAsia" w:asciiTheme="minorEastAsia" w:hAnsiTheme="minorEastAsia" w:eastAsiaTheme="minorEastAsia"/>
          <w:sz w:val="30"/>
          <w:szCs w:val="30"/>
        </w:rPr>
        <w:t>社会保险基金</w:t>
      </w:r>
      <w:r>
        <w:rPr>
          <w:rFonts w:hint="eastAsia" w:asciiTheme="minorEastAsia" w:hAnsiTheme="minorEastAsia" w:eastAsiaTheme="minorEastAsia"/>
          <w:color w:val="000000"/>
          <w:sz w:val="30"/>
          <w:szCs w:val="30"/>
        </w:rPr>
        <w:t>预算支出情况</w:t>
      </w:r>
    </w:p>
    <w:p w14:paraId="3C944277">
      <w:pPr>
        <w:spacing w:line="500" w:lineRule="exact"/>
        <w:ind w:firstLine="645"/>
        <w:jc w:val="left"/>
        <w:outlineLvl w:val="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六、部门整体支出绩效情况</w:t>
      </w:r>
    </w:p>
    <w:p w14:paraId="08263004">
      <w:pPr>
        <w:pStyle w:val="12"/>
        <w:spacing w:line="500" w:lineRule="exact"/>
        <w:ind w:left="420" w:firstLine="750" w:firstLineChars="2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部门整体支出年初预算批复数为2538.47万元，2023年执行数为2356.44万元，执行率为92.8%。2023年我局认真做好年预算绩效运行监控工作，单位分管领导针对绩效监控工作精心组织、周密部署、把绩效监控工作列入重要议事日程，针对发现的绩效目标执行偏差和管理漏洞，及时采取有针对性的措施予以纠正，不断改进和加强预算绩效管理。</w:t>
      </w:r>
    </w:p>
    <w:p w14:paraId="1A134F08">
      <w:pPr>
        <w:pStyle w:val="12"/>
        <w:spacing w:line="500" w:lineRule="exact"/>
        <w:ind w:left="418" w:leftChars="199" w:firstLine="0"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1.预算编制情况：本单位预算编制合理，根据本部门职责、年初工作重点，以及项目的轻重缓急，在不同项目、不同用途之间分配合理。</w:t>
      </w:r>
    </w:p>
    <w:p w14:paraId="48B8852B">
      <w:pPr>
        <w:pStyle w:val="12"/>
        <w:spacing w:line="500" w:lineRule="exact"/>
        <w:ind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2.预算执行情况：</w:t>
      </w:r>
    </w:p>
    <w:p w14:paraId="6DEC5B38">
      <w:pPr>
        <w:pStyle w:val="12"/>
        <w:spacing w:line="500" w:lineRule="exact"/>
        <w:ind w:left="420" w:firstLine="0"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1）支出管理方面：本单位2023年按批复的预算文件履行当年预算，在预算内、范围内按预算安排支出。并按项目进度支付资金。严格按照先有预算，后有支出的原则，加强对财务、物资采购、资金使用等方面的管理，规范预算资金支出。</w:t>
      </w:r>
    </w:p>
    <w:p w14:paraId="35375BEA">
      <w:pPr>
        <w:pStyle w:val="12"/>
        <w:spacing w:line="500" w:lineRule="exact"/>
        <w:ind w:left="420" w:firstLine="0"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（2）资产管理方面。本单位资产管理职能由局办公室负责，设置专人负责国有资产的购置入库、报废、转移等工作的管理和监督，准确及时把握资产的增减变动及其结存情况，实现资产的安全生命周期管理。</w:t>
      </w:r>
    </w:p>
    <w:p w14:paraId="693A727B">
      <w:pPr>
        <w:pStyle w:val="12"/>
        <w:spacing w:line="500" w:lineRule="exact"/>
        <w:ind w:left="420" w:firstLine="0" w:firstLineChars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3.预算监督情况：本单位2023年预决算和绩效目标已按规定要求在政府的网站公开。成立自评小组，在规定时间完成自评工作并按时报送材料。</w:t>
      </w:r>
    </w:p>
    <w:p w14:paraId="356A2599">
      <w:pPr>
        <w:pStyle w:val="10"/>
        <w:spacing w:line="500" w:lineRule="exact"/>
        <w:ind w:firstLine="600"/>
        <w:jc w:val="left"/>
        <w:outlineLvl w:val="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七、存在的问题及原因分析</w:t>
      </w:r>
    </w:p>
    <w:p w14:paraId="7E7FFEAF">
      <w:pPr>
        <w:spacing w:line="500" w:lineRule="exact"/>
        <w:ind w:firstLine="600" w:firstLineChars="20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（一）部门整体</w:t>
      </w:r>
    </w:p>
    <w:p w14:paraId="4FF0CC54">
      <w:pPr>
        <w:pStyle w:val="12"/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预算编制细化不够，年初预算的科目设置与实际发生情况有一定的出入，导致部分目标有偏差；其主要原因：一是年初单位的收入不确定，预算做的就不准确精细；二是责任人对目标任务梳理重视不够，主管人督促检查不够。</w:t>
      </w:r>
    </w:p>
    <w:p w14:paraId="6E019847">
      <w:pPr>
        <w:spacing w:line="500" w:lineRule="exact"/>
        <w:ind w:firstLine="600" w:firstLineChars="20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（二）项目支出</w:t>
      </w:r>
    </w:p>
    <w:p w14:paraId="46DDD4FD">
      <w:pPr>
        <w:pStyle w:val="12"/>
        <w:spacing w:line="500" w:lineRule="exact"/>
        <w:ind w:firstLine="3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存在的问题：项目支出预算不精准，完成率、执行率有偏差。其原因是：临时安排项目难以估算，导致项目预算编制难度较大，对绩效管理有一定的影响。</w:t>
      </w:r>
    </w:p>
    <w:p w14:paraId="6E0EDAF7">
      <w:pPr>
        <w:pStyle w:val="12"/>
        <w:spacing w:line="500" w:lineRule="exact"/>
        <w:ind w:firstLine="30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八、下一步改进措施</w:t>
      </w:r>
    </w:p>
    <w:p w14:paraId="105E053A">
      <w:pPr>
        <w:pStyle w:val="12"/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1、细化预算编制工作，认真做好预算的编制，进一步提高预算编制的科学性、严谨性和可行性。</w:t>
      </w:r>
    </w:p>
    <w:p w14:paraId="44FC3EC2">
      <w:pPr>
        <w:pStyle w:val="12"/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2、加强财务管理，严格财务审核。</w:t>
      </w:r>
    </w:p>
    <w:p w14:paraId="3125A640">
      <w:pPr>
        <w:pStyle w:val="12"/>
        <w:spacing w:line="500" w:lineRule="exact"/>
        <w:ind w:firstLine="600" w:firstLineChars="20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3、加强项目开展进度的跟踪。开展项目绩效评价评价，确保项目绩效目标的完成。</w:t>
      </w:r>
    </w:p>
    <w:p w14:paraId="68C36DCF">
      <w:pPr>
        <w:spacing w:line="500" w:lineRule="exact"/>
        <w:ind w:firstLine="300" w:firstLineChars="100"/>
        <w:jc w:val="left"/>
        <w:outlineLvl w:val="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九、部门整体支出绩效自评结果拟应用和公开情况</w:t>
      </w:r>
    </w:p>
    <w:p w14:paraId="057F0EC3">
      <w:pPr>
        <w:spacing w:line="500" w:lineRule="exact"/>
        <w:ind w:firstLine="645"/>
        <w:jc w:val="left"/>
        <w:outlineLvl w:val="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已公开。</w:t>
      </w:r>
    </w:p>
    <w:p w14:paraId="1BB95E3C">
      <w:pPr>
        <w:spacing w:line="500" w:lineRule="exact"/>
        <w:ind w:firstLine="300" w:firstLineChars="100"/>
        <w:jc w:val="left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十、其他需要说明的情况</w:t>
      </w:r>
    </w:p>
    <w:p w14:paraId="2EAB930C">
      <w:pPr>
        <w:spacing w:afterLines="50" w:line="500" w:lineRule="exact"/>
        <w:ind w:firstLine="750" w:firstLineChars="250"/>
        <w:rPr>
          <w:rFonts w:hint="default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无</w:t>
      </w:r>
    </w:p>
    <w:p w14:paraId="1437BAAA">
      <w:pPr>
        <w:spacing w:afterLines="50" w:line="500" w:lineRule="exact"/>
        <w:rPr>
          <w:rFonts w:hint="default" w:asciiTheme="minorEastAsia" w:hAnsiTheme="minorEastAsia" w:eastAsiaTheme="minorEastAsia"/>
          <w:sz w:val="30"/>
          <w:szCs w:val="30"/>
        </w:rPr>
      </w:pPr>
    </w:p>
    <w:p w14:paraId="005477AA">
      <w:pPr>
        <w:spacing w:afterLines="50" w:line="500" w:lineRule="exact"/>
        <w:rPr>
          <w:rFonts w:hint="default" w:asciiTheme="minorEastAsia" w:hAnsiTheme="minorEastAsia" w:eastAsiaTheme="minorEastAsia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E05D6"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E91CF7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alBg+EBAADMAwAADgAAAGRycy9lMm9Eb2MueG1srVNNrtMwEN4jcQfL&#10;e5q0SK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puaP+fMCUsXfvn+7fLj1+XnV7ZM&#10;8vQhVlR1F6gOh1d+oKWZ45GCifXQgk1/4sMoT+Ker+KqAZlMh9ar9bqklKTc7BB+cX88QMQ3yluW&#10;jJoD3V4WVZzeRRxL55LUzflbbUy+QeP+ChDmGFF5BabTick4cbJw2A8Tvb1vzsSOHgV17Tx84ayn&#10;lai5oxfAmXnrSPG0PbMBs7GfDeEkHaw5cjaar3HcsmMAfegId5mpxPDyiDR3ppPGGHuTDMmhS86C&#10;TAuZtuhPP1fdP8L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qUGD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E91CF7"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5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2D5FC"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A4C15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4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kBou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rzhzwtKFX75/u/z4dfn5lT1P&#10;8vQeK6q681QXh1cw0NLMcaRgYj20waY/8WGUJ3HPV3HVEJlMh9ar9bqklKTc7BB+cX/cB4xvFFiW&#10;jJoHur0sqji9wziWziWpm4NbbUy+QeP+ChDmGFF5BabTick4cbLisB8mentozsSOHgV17SB84ayn&#10;lai5oxfAmXnrSPG0PbMRZmM/G8JJOljzyNlovo7jlh190IeOcJeZCvqXx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v9kBo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5A4C15"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4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482BA">
    <w:pPr>
      <w:pStyle w:val="5"/>
      <w:jc w:val="both"/>
      <w:rPr>
        <w:rFonts w:hint="default"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橄ポ嗠ե֠찔ㆰ"/>
  </w:docVars>
  <w:rsids>
    <w:rsidRoot w:val="00172A27"/>
    <w:rsid w:val="000A715F"/>
    <w:rsid w:val="00172A27"/>
    <w:rsid w:val="002735CC"/>
    <w:rsid w:val="002B2C9E"/>
    <w:rsid w:val="00310ACA"/>
    <w:rsid w:val="004701CB"/>
    <w:rsid w:val="004B2321"/>
    <w:rsid w:val="004E53DE"/>
    <w:rsid w:val="004F63C6"/>
    <w:rsid w:val="005A71BF"/>
    <w:rsid w:val="006302F7"/>
    <w:rsid w:val="006D252C"/>
    <w:rsid w:val="00712953"/>
    <w:rsid w:val="00715F33"/>
    <w:rsid w:val="00813277"/>
    <w:rsid w:val="0082772C"/>
    <w:rsid w:val="00894577"/>
    <w:rsid w:val="009246A2"/>
    <w:rsid w:val="00987F02"/>
    <w:rsid w:val="00B164B2"/>
    <w:rsid w:val="00B23F5C"/>
    <w:rsid w:val="00B25C41"/>
    <w:rsid w:val="00B358CD"/>
    <w:rsid w:val="00C77B48"/>
    <w:rsid w:val="00C86437"/>
    <w:rsid w:val="00CA12E4"/>
    <w:rsid w:val="00D73212"/>
    <w:rsid w:val="00DB07B9"/>
    <w:rsid w:val="00DD6140"/>
    <w:rsid w:val="00E915DB"/>
    <w:rsid w:val="00E97DCF"/>
    <w:rsid w:val="00F53FD5"/>
    <w:rsid w:val="00FA0542"/>
    <w:rsid w:val="00FC262B"/>
    <w:rsid w:val="0CCE5073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3457B5A"/>
    <w:rsid w:val="33EA0D37"/>
    <w:rsid w:val="3DFB432B"/>
    <w:rsid w:val="41A60F90"/>
    <w:rsid w:val="41BD1973"/>
    <w:rsid w:val="437042B4"/>
    <w:rsid w:val="43D25C86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C8E01AF"/>
    <w:rsid w:val="62BE6D8B"/>
    <w:rsid w:val="64E742EF"/>
    <w:rsid w:val="684B0AD7"/>
    <w:rsid w:val="75073918"/>
    <w:rsid w:val="771A18F7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9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5"/>
    <w:uiPriority w:val="0"/>
    <w:rPr>
      <w:rFonts w:ascii="Times New Roman" w:hAnsi="Times New Roman" w:eastAsia="Times New Roman"/>
      <w:kern w:val="2"/>
      <w:sz w:val="18"/>
      <w:szCs w:val="18"/>
    </w:rPr>
  </w:style>
  <w:style w:type="paragraph" w:customStyle="1" w:styleId="1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rFonts w:hint="default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00F975-67E0-4BA9-A64B-880D62DDEB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2783</Words>
  <Characters>2934</Characters>
  <Lines>21</Lines>
  <Paragraphs>6</Paragraphs>
  <TotalTime>153</TotalTime>
  <ScaleCrop>false</ScaleCrop>
  <LinksUpToDate>false</LinksUpToDate>
  <CharactersWithSpaces>2974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SEND KING黄海英</cp:lastModifiedBy>
  <cp:lastPrinted>2023-09-18T00:54:00Z</cp:lastPrinted>
  <dcterms:modified xsi:type="dcterms:W3CDTF">2024-10-23T02:28:03Z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7EA8E49729D7443691F09F57896FE97B_13</vt:lpwstr>
  </property>
</Properties>
</file>