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color w:val="auto"/>
          <w:sz w:val="32"/>
          <w:szCs w:val="32"/>
        </w:rPr>
      </w:pPr>
    </w:p>
    <w:p>
      <w:pPr>
        <w:spacing w:line="600" w:lineRule="exact"/>
        <w:rPr>
          <w:rFonts w:hint="eastAsia" w:eastAsia="黑体"/>
          <w:color w:val="auto"/>
          <w:kern w:val="0"/>
          <w:sz w:val="32"/>
          <w:szCs w:val="32"/>
        </w:rPr>
      </w:pPr>
      <w:r>
        <w:rPr>
          <w:rFonts w:eastAsia="黑体"/>
          <w:color w:val="auto"/>
          <w:kern w:val="0"/>
          <w:sz w:val="32"/>
          <w:szCs w:val="32"/>
        </w:rPr>
        <w:t xml:space="preserve"> </w:t>
      </w:r>
    </w:p>
    <w:p>
      <w:pPr>
        <w:jc w:val="center"/>
        <w:rPr>
          <w:rFonts w:eastAsia="方正小标宋_GBK"/>
          <w:color w:val="auto"/>
          <w:sz w:val="48"/>
          <w:szCs w:val="48"/>
        </w:rPr>
      </w:pPr>
      <w:r>
        <w:rPr>
          <w:rFonts w:hint="eastAsia" w:eastAsia="方正小标宋_GBK"/>
          <w:color w:val="auto"/>
          <w:sz w:val="48"/>
          <w:szCs w:val="48"/>
          <w:lang w:val="en-US" w:eastAsia="zh-CN"/>
        </w:rPr>
        <w:t>2023</w:t>
      </w:r>
      <w:r>
        <w:rPr>
          <w:rFonts w:ascii="方正小标宋_GBK" w:hAnsi="方正小标宋_GBK" w:eastAsia="方正小标宋_GBK"/>
          <w:color w:val="auto"/>
          <w:sz w:val="48"/>
          <w:szCs w:val="48"/>
        </w:rPr>
        <w:t>年度</w:t>
      </w:r>
      <w:r>
        <w:rPr>
          <w:rFonts w:hint="eastAsia" w:eastAsia="方正小标宋_GBK"/>
          <w:color w:val="auto"/>
          <w:sz w:val="48"/>
          <w:szCs w:val="48"/>
          <w:lang w:eastAsia="zh-CN"/>
        </w:rPr>
        <w:t>中共双牌县委改革与发展研究中心</w:t>
      </w:r>
      <w:r>
        <w:rPr>
          <w:rFonts w:ascii="方正小标宋_GBK" w:hAnsi="方正小标宋_GBK" w:eastAsia="方正小标宋_GBK"/>
          <w:color w:val="auto"/>
          <w:sz w:val="48"/>
          <w:szCs w:val="48"/>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eastAsia" w:ascii="Times New Roman" w:hAnsi="Times New Roman" w:eastAsia="仿宋_GB2312" w:cstheme="minorBidi"/>
          <w:sz w:val="32"/>
          <w:szCs w:val="24"/>
          <w:u w:val="single"/>
        </w:rPr>
      </w:pPr>
      <w:r>
        <w:rPr>
          <w:rFonts w:hint="eastAsia" w:ascii="Times New Roman" w:hAnsi="Times New Roman" w:eastAsia="仿宋_GB2312" w:cstheme="minorBidi"/>
          <w:sz w:val="32"/>
          <w:szCs w:val="24"/>
        </w:rPr>
        <w:t>单位名称：</w:t>
      </w:r>
      <w:r>
        <w:rPr>
          <w:rFonts w:hint="eastAsia" w:ascii="Times New Roman" w:hAnsi="Times New Roman" w:eastAsia="仿宋_GB2312" w:cstheme="minorBidi"/>
          <w:sz w:val="32"/>
          <w:szCs w:val="24"/>
          <w:u w:val="single"/>
          <w:lang w:eastAsia="zh-CN"/>
        </w:rPr>
        <w:t>中共双牌县委改革与发展</w:t>
      </w:r>
      <w:r>
        <w:rPr>
          <w:rFonts w:hint="eastAsia" w:ascii="Times New Roman" w:hAnsi="Times New Roman" w:eastAsia="仿宋_GB2312" w:cstheme="minorBidi"/>
          <w:sz w:val="32"/>
          <w:szCs w:val="24"/>
          <w:u w:val="single"/>
          <w:lang w:val="en-US" w:eastAsia="zh-CN"/>
        </w:rPr>
        <w:t>研究中心</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5</w:t>
      </w:r>
      <w:r>
        <w:rPr>
          <w:rFonts w:hint="eastAsia" w:eastAsia="楷体_GB2312"/>
          <w:sz w:val="32"/>
          <w:szCs w:val="24"/>
        </w:rPr>
        <w:t>月</w:t>
      </w:r>
      <w:r>
        <w:rPr>
          <w:rFonts w:hint="eastAsia" w:eastAsia="楷体_GB2312"/>
          <w:sz w:val="32"/>
          <w:szCs w:val="24"/>
          <w:lang w:val="en-US" w:eastAsia="zh-CN"/>
        </w:rPr>
        <w:t>9</w:t>
      </w:r>
      <w:r>
        <w:rPr>
          <w:rFonts w:hint="eastAsia" w:eastAsia="楷体_GB2312"/>
          <w:sz w:val="32"/>
          <w:szCs w:val="24"/>
        </w:rPr>
        <w:t>日</w:t>
      </w:r>
    </w:p>
    <w:p>
      <w:pPr>
        <w:spacing w:beforeLines="0" w:afterLines="0"/>
        <w:jc w:val="center"/>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hint="default" w:eastAsia="仿宋_GB2312"/>
          <w:sz w:val="32"/>
          <w:szCs w:val="24"/>
        </w:rPr>
        <w:br w:type="page"/>
      </w:r>
      <w:r>
        <w:rPr>
          <w:rFonts w:ascii="黑体" w:hAnsi="黑体" w:eastAsia="黑体"/>
          <w:color w:val="auto"/>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olor w:val="auto"/>
          <w:sz w:val="32"/>
          <w:szCs w:val="32"/>
        </w:rPr>
      </w:pPr>
      <w:r>
        <w:rPr>
          <w:rFonts w:ascii="楷体_GB2312" w:hAnsi="楷体_GB2312" w:eastAsia="楷体_GB2312"/>
          <w:color w:val="auto"/>
          <w:sz w:val="32"/>
          <w:szCs w:val="32"/>
        </w:rPr>
        <w:t>（一）部门（单位）基本情况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中共双牌县委改革与发展研究中心是县委直属正科级公益类事业机构。设办公室、党群研究室、经济研究室3个内设股室，编制数15个，目前有全额事业编制12名。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Times New Roman"/>
          <w:b/>
          <w:bCs/>
          <w:color w:val="auto"/>
          <w:sz w:val="32"/>
          <w:szCs w:val="32"/>
          <w:lang w:val="en-US" w:eastAsia="zh-CN"/>
        </w:rPr>
      </w:pPr>
      <w:r>
        <w:rPr>
          <w:rFonts w:hint="eastAsia" w:ascii="仿宋_GB2312" w:hAnsi="仿宋_GB2312" w:eastAsia="仿宋_GB2312" w:cs="Times New Roman"/>
          <w:b/>
          <w:bCs/>
          <w:color w:val="auto"/>
          <w:sz w:val="32"/>
          <w:szCs w:val="32"/>
          <w:lang w:val="en-US" w:eastAsia="zh-CN"/>
        </w:rPr>
        <w:t>单位主要工作职能：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1.围绕全县国民经济、社会发展、党的建设和改革开放中的全局性、战略性、前瞻性、长期性以及热点、难点问题进行调查研究，为县委县政府提供政策建议和咨询意见。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2.为制定中长期发展规划和区域发展政策提出建议；接受委托参与或组织对有关部门和地区拟定的发展规划进行研究和论证，提出意见和建议。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3.接受委托参与起草改革中长期实施规划、重大改革方案等，组织开展改革重大问题的政策研究和政策咨询工作。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4.接受委托组织和参与县委重大决策预案的先行研究论证工作。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5.对本县有关重大决策方案、重大决策实施情况及决策绩效实施评估，及时对决策情况进行研究反馈。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6.收集整理有关政策规定及反映各地和本地改革发展的各类资料。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7.承担县委领导同志交办的文件文稿起草工作。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8.承办县委交办的其他事项。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olor w:val="auto"/>
          <w:sz w:val="32"/>
          <w:szCs w:val="32"/>
        </w:rPr>
      </w:pPr>
      <w:r>
        <w:rPr>
          <w:rFonts w:ascii="楷体_GB2312" w:hAnsi="楷体_GB2312" w:eastAsia="楷体_GB2312"/>
          <w:color w:val="auto"/>
          <w:sz w:val="32"/>
          <w:szCs w:val="32"/>
        </w:rPr>
        <w:t>（二）部门（单位）年度整体支出绩效目标，项目支出绩效目标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2023年部门整体支出绩效目标的金额为162.66万元，其中，项目支出绩效目标金额22.27万元。</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color w:val="auto"/>
          <w:sz w:val="32"/>
          <w:szCs w:val="32"/>
        </w:rPr>
      </w:pPr>
      <w:r>
        <w:rPr>
          <w:rFonts w:ascii="黑体" w:hAnsi="黑体" w:eastAsia="黑体"/>
          <w:color w:val="auto"/>
          <w:sz w:val="32"/>
          <w:szCs w:val="32"/>
        </w:rPr>
        <w:t>二、一般公共预算支出情况</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楷体_GB2312" w:hAnsi="楷体_GB2312" w:eastAsia="楷体_GB2312"/>
          <w:color w:val="auto"/>
          <w:sz w:val="32"/>
          <w:szCs w:val="32"/>
        </w:rPr>
      </w:pPr>
      <w:r>
        <w:rPr>
          <w:rFonts w:ascii="楷体_GB2312" w:hAnsi="楷体_GB2312" w:eastAsia="楷体_GB2312"/>
          <w:color w:val="auto"/>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2023年本部门收入预算171.53万元，其中，一般公共预算拨款167.65万元。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2023年本部门一般公共预算拨款支出预算162.66万元，其中，基本支出140.39万元，占86.31%；</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Times New Roman"/>
          <w:color w:val="auto"/>
          <w:sz w:val="32"/>
          <w:szCs w:val="32"/>
          <w:lang w:val="en-US" w:eastAsia="zh-CN"/>
        </w:rPr>
      </w:pPr>
      <w:r>
        <w:rPr>
          <w:rFonts w:hint="eastAsia" w:ascii="楷体_GB2312" w:hAnsi="楷体_GB2312" w:eastAsia="楷体_GB2312" w:cs="Times New Roman"/>
          <w:color w:val="auto"/>
          <w:sz w:val="32"/>
          <w:szCs w:val="32"/>
          <w:lang w:val="en-US" w:eastAsia="zh-CN"/>
        </w:rPr>
        <w:t>（二）项目支出情况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2023年项目支出</w:t>
      </w:r>
      <w:r>
        <w:rPr>
          <w:rFonts w:hint="eastAsia" w:ascii="仿宋_GB2312" w:hAnsi="仿宋_GB2312" w:eastAsia="仿宋_GB2312" w:cs="Times New Roman"/>
          <w:color w:val="auto"/>
          <w:sz w:val="32"/>
          <w:szCs w:val="32"/>
          <w:lang w:val="en-US" w:eastAsia="zh-CN"/>
        </w:rPr>
        <w:t>22.27</w:t>
      </w:r>
      <w:r>
        <w:rPr>
          <w:rFonts w:hint="eastAsia" w:ascii="仿宋_GB2312" w:hAnsi="仿宋_GB2312" w:eastAsia="仿宋_GB2312" w:cs="Times New Roman"/>
          <w:color w:val="auto"/>
          <w:sz w:val="32"/>
          <w:szCs w:val="32"/>
          <w:lang w:val="en-US" w:eastAsia="zh-CN"/>
        </w:rPr>
        <w:t>万元，占13.69%；是指单位为完成特定行政工作任务或事业发展目标而发生的支出，主要用于课题调研、相关资料打印、商品和服务支出等支出。我单位坚持节约办事，严格控制经费支出。</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color w:val="auto"/>
          <w:sz w:val="32"/>
          <w:szCs w:val="32"/>
        </w:rPr>
      </w:pPr>
      <w:r>
        <w:rPr>
          <w:rFonts w:ascii="黑体" w:hAnsi="黑体" w:eastAsia="黑体"/>
          <w:color w:val="auto"/>
          <w:sz w:val="32"/>
          <w:szCs w:val="32"/>
        </w:rPr>
        <w:t>三、政府性基金预算支出情况</w:t>
      </w:r>
    </w:p>
    <w:p>
      <w:pPr>
        <w:keepNext w:val="0"/>
        <w:keepLines w:val="0"/>
        <w:widowControl/>
        <w:suppressLineNumbers w:val="0"/>
        <w:ind w:firstLine="640" w:firstLineChars="200"/>
        <w:jc w:val="left"/>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无</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Times New Roman"/>
          <w:color w:val="auto"/>
          <w:sz w:val="32"/>
          <w:szCs w:val="32"/>
        </w:rPr>
      </w:pPr>
      <w:r>
        <w:rPr>
          <w:rFonts w:ascii="黑体" w:hAnsi="黑体" w:eastAsia="黑体" w:cs="Times New Roman"/>
          <w:color w:val="auto"/>
          <w:sz w:val="32"/>
          <w:szCs w:val="32"/>
        </w:rPr>
        <w:t>四、国有资本经营预算支出情况</w:t>
      </w:r>
    </w:p>
    <w:p>
      <w:pPr>
        <w:keepNext w:val="0"/>
        <w:keepLines w:val="0"/>
        <w:widowControl/>
        <w:suppressLineNumbers w:val="0"/>
        <w:ind w:firstLine="640" w:firstLineChars="200"/>
        <w:jc w:val="left"/>
        <w:rPr>
          <w:rFonts w:hint="eastAsia"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无</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lang w:eastAsia="zh-CN"/>
        </w:rPr>
        <w:t>五、</w:t>
      </w:r>
      <w:r>
        <w:rPr>
          <w:rFonts w:ascii="黑体" w:hAnsi="黑体" w:eastAsia="黑体" w:cs="Times New Roman"/>
          <w:color w:val="auto"/>
          <w:sz w:val="32"/>
          <w:szCs w:val="32"/>
        </w:rPr>
        <w:t>社会保险基金预算支出情况</w:t>
      </w:r>
    </w:p>
    <w:p>
      <w:pPr>
        <w:keepNext w:val="0"/>
        <w:keepLines w:val="0"/>
        <w:widowControl/>
        <w:suppressLineNumbers w:val="0"/>
        <w:ind w:firstLine="640" w:firstLineChars="200"/>
        <w:jc w:val="left"/>
        <w:rPr>
          <w:rFonts w:hint="default"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Times New Roman"/>
          <w:color w:val="auto"/>
          <w:kern w:val="2"/>
          <w:sz w:val="32"/>
          <w:szCs w:val="32"/>
          <w:lang w:val="en-US" w:eastAsia="zh-CN" w:bidi="ar-SA"/>
        </w:rPr>
        <w:t xml:space="preserve">无 </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lang w:eastAsia="zh-CN"/>
        </w:rPr>
        <w:t>六、部门整体支出绩效情况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bookmarkStart w:id="0" w:name="_GoBack"/>
      <w:r>
        <w:rPr>
          <w:rFonts w:hint="eastAsia" w:ascii="仿宋_GB2312" w:hAnsi="仿宋_GB2312" w:eastAsia="仿宋_GB2312" w:cs="Times New Roman"/>
          <w:color w:val="auto"/>
          <w:sz w:val="32"/>
          <w:szCs w:val="32"/>
          <w:lang w:val="en-US" w:eastAsia="zh-CN"/>
        </w:rPr>
        <w:t>2023</w:t>
      </w:r>
      <w:bookmarkEnd w:id="0"/>
      <w:r>
        <w:rPr>
          <w:rFonts w:hint="eastAsia" w:ascii="仿宋_GB2312" w:hAnsi="仿宋_GB2312" w:eastAsia="仿宋_GB2312" w:cs="Times New Roman"/>
          <w:color w:val="auto"/>
          <w:sz w:val="32"/>
          <w:szCs w:val="32"/>
          <w:lang w:val="en-US" w:eastAsia="zh-CN"/>
        </w:rPr>
        <w:t>年度，本单位较好地完成了整体及项目绩效目标。主要是：1.文稿服务优质输出。全年共起草领导讲话、汇报、总结等各类文稿300余篇、200余万字。2.综合调研成果丰硕。</w:t>
      </w:r>
      <w:r>
        <w:rPr>
          <w:rFonts w:hint="eastAsia" w:ascii="仿宋_GB2312" w:eastAsia="仿宋_GB2312" w:cs="Times New Roman"/>
          <w:color w:val="auto"/>
          <w:kern w:val="2"/>
          <w:sz w:val="32"/>
          <w:szCs w:val="32"/>
          <w:u w:val="none"/>
          <w:lang w:val="en-US" w:eastAsia="zh-CN" w:bidi="ar-SA"/>
        </w:rPr>
        <w:t>全年共开展调研活动30余次，撰写了</w:t>
      </w:r>
      <w:r>
        <w:rPr>
          <w:rFonts w:hint="eastAsia" w:ascii="仿宋_GB2312" w:eastAsia="仿宋_GB2312"/>
          <w:sz w:val="32"/>
          <w:szCs w:val="32"/>
          <w:lang w:eastAsia="zh-CN"/>
        </w:rPr>
        <w:t>《双牌县文化旅游康养调研报告》</w:t>
      </w:r>
      <w:r>
        <w:rPr>
          <w:rFonts w:hint="eastAsia" w:ascii="仿宋_GB2312" w:eastAsia="仿宋_GB2312" w:cs="Times New Roman"/>
          <w:color w:val="auto"/>
          <w:kern w:val="2"/>
          <w:sz w:val="32"/>
          <w:szCs w:val="32"/>
          <w:u w:val="none"/>
          <w:lang w:val="en-US" w:eastAsia="zh-CN" w:bidi="ar-SA"/>
        </w:rPr>
        <w:t>等一批有深度、有价值的调研报告，为领导科学决策提供了重要依据，提出一批有价值、可落地的意见建议并转化为县委决策。</w:t>
      </w:r>
      <w:r>
        <w:rPr>
          <w:rFonts w:hint="eastAsia" w:ascii="仿宋_GB2312" w:hAnsi="仿宋_GB2312" w:eastAsia="仿宋_GB2312" w:cs="Times New Roman"/>
          <w:color w:val="auto"/>
          <w:sz w:val="32"/>
          <w:szCs w:val="32"/>
          <w:lang w:val="en-US" w:eastAsia="zh-CN"/>
        </w:rPr>
        <w:t>3.业务培训务实有效。</w:t>
      </w:r>
      <w:r>
        <w:rPr>
          <w:rFonts w:hint="eastAsia" w:ascii="仿宋_GB2312" w:eastAsia="仿宋_GB2312"/>
          <w:sz w:val="32"/>
          <w:szCs w:val="32"/>
          <w:u w:val="none"/>
        </w:rPr>
        <w:t>举办了高质量、高规格</w:t>
      </w:r>
      <w:r>
        <w:rPr>
          <w:rFonts w:hint="eastAsia" w:ascii="仿宋_GB2312" w:eastAsia="仿宋_GB2312"/>
          <w:sz w:val="32"/>
          <w:szCs w:val="32"/>
          <w:u w:val="none"/>
          <w:lang w:val="en-US" w:eastAsia="zh-CN"/>
        </w:rPr>
        <w:t>的</w:t>
      </w:r>
      <w:r>
        <w:rPr>
          <w:rFonts w:hint="eastAsia" w:ascii="仿宋_GB2312" w:eastAsia="仿宋_GB2312"/>
          <w:sz w:val="32"/>
          <w:szCs w:val="32"/>
          <w:u w:val="none"/>
        </w:rPr>
        <w:t>全县</w:t>
      </w:r>
      <w:r>
        <w:rPr>
          <w:rFonts w:hint="eastAsia" w:ascii="仿宋_GB2312" w:eastAsia="仿宋_GB2312"/>
          <w:sz w:val="32"/>
          <w:szCs w:val="32"/>
          <w:u w:val="none"/>
          <w:lang w:eastAsia="zh-CN"/>
        </w:rPr>
        <w:t>办公室工作业务培训班</w:t>
      </w:r>
      <w:r>
        <w:rPr>
          <w:rFonts w:hint="eastAsia" w:ascii="仿宋_GB2312" w:eastAsia="仿宋_GB2312"/>
          <w:color w:val="auto"/>
          <w:sz w:val="32"/>
          <w:szCs w:val="32"/>
          <w:u w:val="none"/>
          <w:lang w:val="en-US" w:eastAsia="zh-CN"/>
        </w:rPr>
        <w:t>，</w:t>
      </w:r>
      <w:r>
        <w:rPr>
          <w:rFonts w:hint="eastAsia" w:ascii="仿宋_GB2312" w:eastAsia="仿宋_GB2312"/>
          <w:snapToGrid w:val="0"/>
          <w:color w:val="000000"/>
          <w:sz w:val="32"/>
          <w:szCs w:val="32"/>
          <w:lang w:val="en-US" w:eastAsia="zh-CN"/>
        </w:rPr>
        <w:t>围绕</w:t>
      </w:r>
      <w:r>
        <w:rPr>
          <w:rFonts w:hint="eastAsia" w:ascii="仿宋_GB2312" w:hAnsi="仿宋_GB2312" w:eastAsia="仿宋_GB2312" w:cs="仿宋_GB2312"/>
          <w:sz w:val="32"/>
          <w:szCs w:val="32"/>
          <w:lang w:val="en-US" w:eastAsia="zh-CN"/>
        </w:rPr>
        <w:t>文稿写作、文秘值班、机要保密和档案管理等方面</w:t>
      </w:r>
      <w:r>
        <w:rPr>
          <w:rFonts w:hint="default" w:ascii="仿宋_GB2312" w:hAnsi="仿宋_GB2312" w:eastAsia="仿宋_GB2312" w:cs="仿宋_GB2312"/>
          <w:sz w:val="32"/>
          <w:szCs w:val="32"/>
          <w:lang w:val="en-US" w:eastAsia="zh-CN"/>
        </w:rPr>
        <w:t>内容</w:t>
      </w:r>
      <w:r>
        <w:rPr>
          <w:rFonts w:ascii="仿宋_GB2312" w:eastAsia="仿宋_GB2312"/>
          <w:snapToGrid w:val="0"/>
          <w:color w:val="000000"/>
          <w:sz w:val="32"/>
          <w:szCs w:val="32"/>
          <w:lang w:val="en-US" w:eastAsia="zh-CN"/>
        </w:rPr>
        <w:t>对全县</w:t>
      </w:r>
      <w:r>
        <w:rPr>
          <w:rFonts w:hint="eastAsia" w:ascii="仿宋_GB2312" w:eastAsia="仿宋_GB2312"/>
          <w:snapToGrid w:val="0"/>
          <w:color w:val="000000"/>
          <w:sz w:val="32"/>
          <w:szCs w:val="32"/>
          <w:lang w:val="en-US" w:eastAsia="zh-CN"/>
        </w:rPr>
        <w:t>办公室人员</w:t>
      </w:r>
      <w:r>
        <w:rPr>
          <w:rFonts w:ascii="仿宋_GB2312" w:eastAsia="仿宋_GB2312"/>
          <w:snapToGrid w:val="0"/>
          <w:color w:val="000000"/>
          <w:sz w:val="32"/>
          <w:szCs w:val="32"/>
          <w:lang w:val="en-US" w:eastAsia="zh-CN"/>
        </w:rPr>
        <w:t>进行了专题培训，</w:t>
      </w:r>
      <w:r>
        <w:rPr>
          <w:rFonts w:hint="eastAsia" w:ascii="仿宋_GB2312" w:eastAsia="仿宋_GB2312"/>
          <w:sz w:val="32"/>
          <w:szCs w:val="32"/>
          <w:u w:val="none"/>
        </w:rPr>
        <w:t>促进全县党办系统文稿写作核心能力及综合素质不断提升</w:t>
      </w:r>
      <w:r>
        <w:rPr>
          <w:rFonts w:hint="eastAsia" w:ascii="仿宋_GB2312" w:hAnsi="仿宋_GB2312" w:eastAsia="仿宋_GB2312" w:cs="Times New Roman"/>
          <w:color w:val="auto"/>
          <w:sz w:val="32"/>
          <w:szCs w:val="32"/>
          <w:lang w:val="en-US" w:eastAsia="zh-CN"/>
        </w:rPr>
        <w:t>。4.队伍建设不断加强。干部合理有序流动，形成了能进能出的用人机制，保持了干部队伍的旺盛生机和活力。</w:t>
      </w:r>
    </w:p>
    <w:p>
      <w:pPr>
        <w:pStyle w:val="1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Times New Roman"/>
          <w:color w:val="auto"/>
          <w:sz w:val="32"/>
          <w:szCs w:val="32"/>
          <w:lang w:eastAsia="zh-CN"/>
        </w:rPr>
      </w:pPr>
      <w:r>
        <w:rPr>
          <w:rFonts w:hint="eastAsia" w:ascii="黑体" w:hAnsi="黑体" w:eastAsia="黑体" w:cs="Times New Roman"/>
          <w:color w:val="auto"/>
          <w:sz w:val="32"/>
          <w:szCs w:val="32"/>
          <w:lang w:eastAsia="zh-CN"/>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2023年，由于我单位相关制度建设还不够完善，</w:t>
      </w:r>
      <w:r>
        <w:rPr>
          <w:rFonts w:hint="eastAsia" w:ascii="仿宋_GB2312" w:eastAsia="仿宋_GB2312"/>
          <w:color w:val="auto"/>
          <w:sz w:val="32"/>
          <w:szCs w:val="32"/>
          <w:u w:val="none"/>
        </w:rPr>
        <w:t>干部管理和决策咨询服务水平有待进一步提高，特别是主动服务、超前服务方面还存在一定差距；抓主责主业有差距，围绕</w:t>
      </w:r>
      <w:r>
        <w:rPr>
          <w:rFonts w:hint="eastAsia" w:ascii="仿宋_GB2312" w:eastAsia="仿宋_GB2312"/>
          <w:color w:val="auto"/>
          <w:sz w:val="32"/>
          <w:szCs w:val="32"/>
          <w:u w:val="none"/>
          <w:lang w:eastAsia="zh-CN"/>
        </w:rPr>
        <w:t>双牌</w:t>
      </w:r>
      <w:r>
        <w:rPr>
          <w:rFonts w:hint="eastAsia" w:ascii="仿宋_GB2312" w:eastAsia="仿宋_GB2312"/>
          <w:color w:val="auto"/>
          <w:sz w:val="32"/>
          <w:szCs w:val="32"/>
          <w:u w:val="none"/>
        </w:rPr>
        <w:t>经济社会跨越发展调查研究的针对性、前瞻性不够，调研的深度、广度有待进一步加强；从事文稿服务和调查研究人员少，有时会顾此失彼，党建和业务融合度不高</w:t>
      </w:r>
      <w:r>
        <w:rPr>
          <w:rFonts w:hint="eastAsia" w:ascii="仿宋_GB2312" w:hAnsi="仿宋_GB2312"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eastAsia="zh-CN"/>
        </w:rPr>
        <w:t>八</w:t>
      </w:r>
      <w:r>
        <w:rPr>
          <w:rFonts w:ascii="黑体" w:hAnsi="黑体" w:eastAsia="黑体"/>
          <w:color w:val="auto"/>
          <w:sz w:val="32"/>
          <w:szCs w:val="32"/>
        </w:rPr>
        <w:t>、下一步改进措施</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Times New Roman"/>
          <w:color w:val="auto"/>
          <w:sz w:val="32"/>
          <w:szCs w:val="32"/>
          <w:lang w:val="en-US" w:eastAsia="zh-CN"/>
        </w:rPr>
      </w:pPr>
      <w:r>
        <w:rPr>
          <w:rFonts w:hint="eastAsia" w:ascii="楷体_GB2312" w:hAnsi="楷体_GB2312" w:eastAsia="楷体_GB2312" w:cs="Times New Roman"/>
          <w:color w:val="auto"/>
          <w:sz w:val="32"/>
          <w:szCs w:val="32"/>
          <w:lang w:val="en-US" w:eastAsia="zh-CN"/>
        </w:rPr>
        <w:t>（一）健全财务</w:t>
      </w:r>
      <w:r>
        <w:rPr>
          <w:rFonts w:hint="default" w:ascii="楷体_GB2312" w:hAnsi="楷体_GB2312" w:eastAsia="楷体_GB2312" w:cs="Times New Roman"/>
          <w:color w:val="auto"/>
          <w:sz w:val="32"/>
          <w:szCs w:val="32"/>
          <w:lang w:val="en-US" w:eastAsia="zh-CN"/>
        </w:rPr>
        <w:t>管理制度及</w:t>
      </w:r>
      <w:r>
        <w:rPr>
          <w:rFonts w:hint="eastAsia" w:ascii="楷体_GB2312" w:hAnsi="楷体_GB2312" w:eastAsia="楷体_GB2312" w:cs="Times New Roman"/>
          <w:color w:val="auto"/>
          <w:sz w:val="32"/>
          <w:szCs w:val="32"/>
          <w:lang w:val="en-US" w:eastAsia="zh-CN"/>
        </w:rPr>
        <w:t>内部控制制度，加大对年初预算的审核。</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Times New Roman"/>
          <w:color w:val="auto"/>
          <w:sz w:val="32"/>
          <w:szCs w:val="32"/>
          <w:lang w:val="en-US" w:eastAsia="zh-CN"/>
        </w:rPr>
      </w:pPr>
      <w:r>
        <w:rPr>
          <w:rFonts w:hint="eastAsia" w:ascii="楷体_GB2312" w:hAnsi="楷体_GB2312" w:eastAsia="楷体_GB2312" w:cs="Times New Roman"/>
          <w:color w:val="auto"/>
          <w:sz w:val="32"/>
          <w:szCs w:val="32"/>
          <w:lang w:val="en-US" w:eastAsia="zh-CN"/>
        </w:rPr>
        <w:t>（二）持续加强财务人员培训与继续教育。提高财务人员的预决算编制与数据分析能力。</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Times New Roman"/>
          <w:color w:val="auto"/>
          <w:sz w:val="32"/>
          <w:szCs w:val="32"/>
          <w:lang w:val="en-US" w:eastAsia="zh-CN"/>
        </w:rPr>
      </w:pPr>
      <w:r>
        <w:rPr>
          <w:rFonts w:hint="eastAsia" w:ascii="楷体_GB2312" w:hAnsi="楷体_GB2312" w:eastAsia="楷体_GB2312" w:cs="Times New Roman"/>
          <w:color w:val="auto"/>
          <w:sz w:val="32"/>
          <w:szCs w:val="32"/>
          <w:lang w:val="en-US" w:eastAsia="zh-CN"/>
        </w:rPr>
        <w:t>（三）遵循“以公开为常态、不公开为例外”的原则，全面推进财务公开。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color w:val="auto"/>
          <w:sz w:val="32"/>
          <w:szCs w:val="32"/>
        </w:rPr>
      </w:pPr>
      <w:r>
        <w:rPr>
          <w:rFonts w:ascii="黑体" w:hAnsi="黑体" w:eastAsia="黑体"/>
          <w:color w:val="auto"/>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严格按照县财政局要求公开2023年度绩效自评报告。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lang w:val="en-US" w:eastAsia="zh-CN"/>
        </w:rPr>
        <w:t>十、其他需要说明的情况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无。</w:t>
      </w:r>
    </w:p>
    <w:p>
      <w:pPr>
        <w:spacing w:line="560" w:lineRule="exact"/>
        <w:rPr>
          <w:rFonts w:ascii="黑体" w:hAnsi="黑体" w:eastAsia="黑体" w:cs="宋体"/>
          <w:color w:val="auto"/>
          <w:kern w:val="0"/>
          <w:sz w:val="32"/>
          <w:szCs w:val="32"/>
        </w:rPr>
      </w:pPr>
      <w:r>
        <w:rPr>
          <w:rFonts w:hint="eastAsia" w:ascii="黑体" w:hAnsi="黑体" w:eastAsia="黑体" w:cs="宋体"/>
          <w:color w:val="auto"/>
          <w:kern w:val="0"/>
          <w:sz w:val="32"/>
          <w:szCs w:val="32"/>
        </w:rPr>
        <w:t>附件1</w:t>
      </w:r>
      <w:r>
        <w:rPr>
          <w:rFonts w:hint="eastAsia" w:ascii="黑体" w:hAnsi="黑体" w:eastAsia="黑体" w:cs="宋体"/>
          <w:color w:val="auto"/>
          <w:kern w:val="0"/>
          <w:sz w:val="32"/>
          <w:szCs w:val="32"/>
        </w:rPr>
        <w:tab/>
      </w:r>
      <w:r>
        <w:rPr>
          <w:rFonts w:hint="eastAsia" w:ascii="黑体" w:hAnsi="黑体" w:eastAsia="黑体" w:cs="宋体"/>
          <w:color w:val="auto"/>
          <w:kern w:val="0"/>
          <w:sz w:val="32"/>
          <w:szCs w:val="32"/>
        </w:rPr>
        <w:tab/>
      </w:r>
    </w:p>
    <w:p>
      <w:pPr>
        <w:spacing w:line="560" w:lineRule="exact"/>
        <w:jc w:val="center"/>
        <w:rPr>
          <w:rFonts w:hint="eastAsia" w:eastAsia="方正小标宋_GBK"/>
          <w:color w:val="auto"/>
          <w:kern w:val="0"/>
          <w:sz w:val="36"/>
          <w:szCs w:val="36"/>
        </w:rPr>
      </w:pPr>
      <w:r>
        <w:rPr>
          <w:rFonts w:ascii="方正小标宋_GBK" w:hAnsi="方正小标宋_GBK" w:eastAsia="方正小标宋_GBK"/>
          <w:color w:val="auto"/>
          <w:kern w:val="0"/>
          <w:sz w:val="36"/>
          <w:szCs w:val="36"/>
        </w:rPr>
        <w:t>部门整体支出绩效评价基础数据表</w:t>
      </w:r>
    </w:p>
    <w:p>
      <w:pPr>
        <w:widowControl/>
        <w:ind w:left="91"/>
        <w:jc w:val="center"/>
        <w:rPr>
          <w:rFonts w:eastAsia="仿宋_GB2312"/>
          <w:color w:val="auto"/>
          <w:kern w:val="0"/>
          <w:sz w:val="24"/>
          <w:szCs w:val="24"/>
        </w:rPr>
      </w:pPr>
      <w:r>
        <w:rPr>
          <w:rFonts w:eastAsia="仿宋_GB2312"/>
          <w:color w:val="auto"/>
          <w:kern w:val="0"/>
          <w:sz w:val="24"/>
          <w:szCs w:val="24"/>
        </w:rPr>
        <w:tab/>
      </w:r>
    </w:p>
    <w:tbl>
      <w:tblPr>
        <w:tblStyle w:val="1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color w:val="auto"/>
                <w:kern w:val="0"/>
              </w:rPr>
            </w:pPr>
            <w:r>
              <w:rPr>
                <w:rFonts w:eastAsia="仿宋_GB2312"/>
                <w:b/>
                <w:bCs/>
                <w:color w:val="auto"/>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3</w:t>
            </w:r>
            <w:r>
              <w:rPr>
                <w:rFonts w:eastAsia="仿宋_GB2312"/>
                <w:b/>
                <w:bCs/>
                <w:color w:val="auto"/>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color w:val="auto"/>
                <w:kern w:val="0"/>
              </w:rPr>
            </w:pPr>
            <w:r>
              <w:rPr>
                <w:rFonts w:eastAsia="仿宋_GB2312"/>
                <w:b/>
                <w:bCs/>
                <w:color w:val="auto"/>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15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rPr>
            </w:pPr>
            <w:r>
              <w:rPr>
                <w:rFonts w:hint="eastAsia" w:eastAsia="仿宋_GB2312"/>
                <w:color w:val="auto"/>
                <w:kern w:val="0"/>
                <w:lang w:val="en-US" w:eastAsia="zh-CN"/>
              </w:rPr>
              <w:t>12</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auto"/>
                <w:kern w:val="0"/>
                <w:lang w:val="en-US" w:eastAsia="zh-CN"/>
              </w:rPr>
            </w:pPr>
            <w:r>
              <w:rPr>
                <w:rFonts w:hint="eastAsia" w:eastAsia="仿宋_GB2312"/>
                <w:color w:val="auto"/>
                <w:kern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color w:val="auto"/>
                <w:kern w:val="0"/>
              </w:rPr>
            </w:pPr>
            <w:r>
              <w:rPr>
                <w:rFonts w:eastAsia="仿宋_GB2312"/>
                <w:b/>
                <w:bCs/>
                <w:color w:val="auto"/>
                <w:kern w:val="0"/>
              </w:rPr>
              <w:t>20</w:t>
            </w:r>
            <w:r>
              <w:rPr>
                <w:rFonts w:hint="eastAsia" w:eastAsia="仿宋_GB2312"/>
                <w:b/>
                <w:bCs/>
                <w:color w:val="auto"/>
                <w:kern w:val="0"/>
                <w:lang w:val="en-US" w:eastAsia="zh-CN"/>
              </w:rPr>
              <w:t>22</w:t>
            </w:r>
            <w:r>
              <w:rPr>
                <w:rFonts w:eastAsia="仿宋_GB2312"/>
                <w:b/>
                <w:bCs/>
                <w:color w:val="auto"/>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3</w:t>
            </w:r>
            <w:r>
              <w:rPr>
                <w:rFonts w:eastAsia="仿宋_GB2312"/>
                <w:b/>
                <w:bCs/>
                <w:color w:val="auto"/>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color w:val="auto"/>
                <w:kern w:val="0"/>
              </w:rPr>
            </w:pPr>
            <w:r>
              <w:rPr>
                <w:rFonts w:eastAsia="仿宋_GB2312"/>
                <w:b/>
                <w:bCs/>
                <w:color w:val="auto"/>
                <w:kern w:val="0"/>
              </w:rPr>
              <w:t>20</w:t>
            </w:r>
            <w:r>
              <w:rPr>
                <w:b/>
                <w:bCs/>
                <w:color w:val="auto"/>
                <w:kern w:val="0"/>
              </w:rPr>
              <w:t>2</w:t>
            </w:r>
            <w:r>
              <w:rPr>
                <w:rFonts w:hint="eastAsia"/>
                <w:b/>
                <w:bCs/>
                <w:color w:val="auto"/>
                <w:kern w:val="0"/>
                <w:lang w:val="en-US" w:eastAsia="zh-CN"/>
              </w:rPr>
              <w:t>3</w:t>
            </w:r>
            <w:r>
              <w:rPr>
                <w:rFonts w:eastAsia="仿宋_GB2312"/>
                <w:b/>
                <w:bCs/>
                <w:color w:val="auto"/>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0.98</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eastAsia" w:ascii="宋体" w:hAnsi="宋体" w:eastAsia="宋体" w:cs="宋体"/>
                <w:i w:val="0"/>
                <w:iCs w:val="0"/>
                <w:color w:val="000000"/>
                <w:kern w:val="0"/>
                <w:sz w:val="22"/>
                <w:szCs w:val="22"/>
                <w:u w:val="none"/>
                <w:lang w:val="en-US" w:eastAsia="zh-CN" w:bidi="ar"/>
              </w:rPr>
              <w:t>0.98</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rPr>
            </w:pPr>
            <w:r>
              <w:rPr>
                <w:rFonts w:hint="eastAsia" w:ascii="宋体" w:hAnsi="宋体" w:eastAsia="宋体" w:cs="宋体"/>
                <w:i w:val="0"/>
                <w:iCs w:val="0"/>
                <w:color w:val="000000"/>
                <w:kern w:val="0"/>
                <w:sz w:val="22"/>
                <w:szCs w:val="22"/>
                <w:u w:val="none"/>
                <w:lang w:val="en-US" w:eastAsia="zh-CN" w:bidi="ar"/>
              </w:rPr>
              <w:t>0.976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1</w:t>
            </w:r>
            <w:r>
              <w:rPr>
                <w:rFonts w:ascii="仿宋_GB2312" w:hAnsi="仿宋_GB2312" w:eastAsia="仿宋_GB2312"/>
                <w:color w:val="auto"/>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　</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0</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　</w:t>
            </w: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　</w:t>
            </w: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2</w:t>
            </w:r>
            <w:r>
              <w:rPr>
                <w:rFonts w:ascii="仿宋_GB2312" w:hAnsi="仿宋_GB2312" w:eastAsia="仿宋_GB2312"/>
                <w:color w:val="auto"/>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　</w:t>
            </w: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3</w:t>
            </w:r>
            <w:r>
              <w:rPr>
                <w:rFonts w:ascii="仿宋_GB2312" w:hAnsi="仿宋_GB2312" w:eastAsia="仿宋_GB2312"/>
                <w:color w:val="auto"/>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0.98</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0.98</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0.976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95</w:t>
            </w:r>
            <w:r>
              <w:rPr>
                <w:rFonts w:hint="eastAsia" w:ascii="宋体" w:hAnsi="宋体" w:eastAsia="宋体" w:cs="宋体"/>
                <w:i w:val="0"/>
                <w:iCs w:val="0"/>
                <w:color w:val="000000"/>
                <w:kern w:val="0"/>
                <w:sz w:val="22"/>
                <w:szCs w:val="22"/>
                <w:u w:val="none"/>
                <w:lang w:val="en-US" w:eastAsia="zh-CN" w:bidi="ar"/>
              </w:rPr>
              <w:t>　</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1</w:t>
            </w:r>
            <w:r>
              <w:rPr>
                <w:rFonts w:ascii="仿宋_GB2312" w:hAnsi="仿宋_GB2312" w:eastAsia="仿宋_GB2312"/>
                <w:color w:val="auto"/>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24</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22.27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2</w:t>
            </w:r>
            <w:r>
              <w:rPr>
                <w:rFonts w:ascii="仿宋_GB2312" w:hAnsi="仿宋_GB2312" w:eastAsia="仿宋_GB2312"/>
                <w:color w:val="auto"/>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color w:val="auto"/>
                <w:kern w:val="0"/>
              </w:rPr>
            </w:pPr>
            <w:r>
              <w:rPr>
                <w:rFonts w:eastAsia="仿宋_GB2312"/>
                <w:color w:val="auto"/>
                <w:kern w:val="0"/>
              </w:rPr>
              <w:t>3</w:t>
            </w:r>
            <w:r>
              <w:rPr>
                <w:rFonts w:ascii="仿宋_GB2312" w:hAnsi="仿宋_GB2312" w:eastAsia="仿宋_GB2312"/>
                <w:color w:val="auto"/>
                <w:kern w:val="0"/>
              </w:rPr>
              <w:t>、</w:t>
            </w:r>
            <w:r>
              <w:rPr>
                <w:rFonts w:ascii="仿宋_GB2312" w:hAnsi="仿宋_GB2312"/>
                <w:color w:val="auto"/>
                <w:kern w:val="0"/>
              </w:rPr>
              <w:t>本</w:t>
            </w:r>
            <w:r>
              <w:rPr>
                <w:rFonts w:eastAsia="仿宋_GB2312"/>
                <w:color w:val="auto"/>
                <w:kern w:val="0"/>
              </w:rPr>
              <w:t>级专项资金</w:t>
            </w:r>
          </w:p>
          <w:p>
            <w:pPr>
              <w:widowControl/>
              <w:ind w:firstLine="630" w:firstLineChars="300"/>
              <w:jc w:val="left"/>
              <w:rPr>
                <w:rFonts w:eastAsia="仿宋_GB2312"/>
                <w:color w:val="auto"/>
                <w:kern w:val="0"/>
              </w:rPr>
            </w:pPr>
            <w:r>
              <w:rPr>
                <w:rFonts w:eastAsia="仿宋_GB2312"/>
                <w:color w:val="auto"/>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40"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color w:val="auto"/>
                <w:kern w:val="0"/>
              </w:rPr>
            </w:pPr>
            <w:r>
              <w:rPr>
                <w:rFonts w:eastAsia="仿宋_GB2312"/>
                <w:color w:val="auto"/>
                <w:kern w:val="0"/>
              </w:rPr>
              <w:t>4</w:t>
            </w:r>
            <w:r>
              <w:rPr>
                <w:rFonts w:ascii="仿宋_GB2312" w:hAnsi="仿宋_GB2312" w:eastAsia="仿宋_GB2312"/>
                <w:color w:val="auto"/>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7</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rPr>
            </w:pPr>
            <w:r>
              <w:rPr>
                <w:rFonts w:hint="eastAsia" w:ascii="宋体" w:hAnsi="宋体" w:eastAsia="宋体" w:cs="宋体"/>
                <w:i w:val="0"/>
                <w:iCs w:val="0"/>
                <w:color w:val="000000"/>
                <w:kern w:val="0"/>
                <w:sz w:val="22"/>
                <w:szCs w:val="22"/>
                <w:u w:val="none"/>
                <w:lang w:val="en-US" w:eastAsia="zh-CN" w:bidi="ar"/>
              </w:rPr>
              <w:t>10.92</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rPr>
            </w:pPr>
            <w:r>
              <w:rPr>
                <w:rFonts w:hint="eastAsia" w:ascii="宋体" w:hAnsi="宋体" w:eastAsia="宋体" w:cs="宋体"/>
                <w:i w:val="0"/>
                <w:iCs w:val="0"/>
                <w:color w:val="000000"/>
                <w:kern w:val="0"/>
                <w:sz w:val="22"/>
                <w:szCs w:val="22"/>
                <w:u w:val="none"/>
                <w:lang w:val="en-US" w:eastAsia="zh-CN" w:bidi="ar"/>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　</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eastAsia" w:ascii="宋体" w:hAnsi="宋体" w:eastAsia="宋体" w:cs="宋体"/>
                <w:i w:val="0"/>
                <w:iCs w:val="0"/>
                <w:color w:val="000000"/>
                <w:kern w:val="0"/>
                <w:sz w:val="22"/>
                <w:szCs w:val="22"/>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　</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eastAsia" w:ascii="宋体" w:hAnsi="宋体" w:eastAsia="宋体" w:cs="宋体"/>
                <w:i w:val="0"/>
                <w:iCs w:val="0"/>
                <w:color w:val="000000"/>
                <w:kern w:val="0"/>
                <w:sz w:val="22"/>
                <w:szCs w:val="22"/>
                <w:u w:val="none"/>
                <w:lang w:val="en-US" w:eastAsia="zh-CN" w:bidi="ar"/>
              </w:rPr>
              <w:t>3.58</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eastAsia" w:ascii="宋体" w:hAnsi="宋体" w:eastAsia="宋体" w:cs="宋体"/>
                <w:i w:val="0"/>
                <w:iCs w:val="0"/>
                <w:color w:val="000000"/>
                <w:kern w:val="0"/>
                <w:sz w:val="22"/>
                <w:szCs w:val="22"/>
                <w:u w:val="none"/>
                <w:lang w:val="en-US" w:eastAsia="zh-CN" w:bidi="ar"/>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　</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rPr>
            </w:pP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8.65</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宋体" w:hAnsi="宋体" w:eastAsia="宋体" w:cs="宋体"/>
                <w:i w:val="0"/>
                <w:iCs w:val="0"/>
                <w:color w:val="000000"/>
                <w:kern w:val="0"/>
                <w:sz w:val="22"/>
                <w:szCs w:val="22"/>
                <w:u w:val="none"/>
                <w:lang w:val="en-US" w:eastAsia="zh-CN" w:bidi="ar"/>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color w:val="auto"/>
                <w:kern w:val="0"/>
                <w:lang w:eastAsia="zh-CN"/>
              </w:rPr>
            </w:pPr>
            <w:r>
              <w:rPr>
                <w:rFonts w:eastAsia="仿宋_GB2312"/>
                <w:color w:val="auto"/>
                <w:kern w:val="0"/>
              </w:rPr>
              <w:t>楼堂馆所控制情况</w:t>
            </w:r>
          </w:p>
          <w:p>
            <w:pPr>
              <w:widowControl/>
              <w:jc w:val="center"/>
              <w:rPr>
                <w:rFonts w:eastAsia="仿宋_GB2312"/>
                <w:color w:val="auto"/>
                <w:kern w:val="0"/>
              </w:rPr>
            </w:pPr>
            <w:r>
              <w:rPr>
                <w:rFonts w:eastAsia="仿宋_GB2312"/>
                <w:color w:val="auto"/>
                <w:kern w:val="0"/>
              </w:rPr>
              <w:t>（20</w:t>
            </w:r>
            <w:r>
              <w:rPr>
                <w:color w:val="auto"/>
                <w:kern w:val="0"/>
              </w:rPr>
              <w:t>2</w:t>
            </w:r>
            <w:r>
              <w:rPr>
                <w:rFonts w:hint="eastAsia"/>
                <w:color w:val="auto"/>
                <w:kern w:val="0"/>
                <w:lang w:val="en-US" w:eastAsia="zh-CN"/>
              </w:rPr>
              <w:t>1</w:t>
            </w:r>
            <w:r>
              <w:rPr>
                <w:rFonts w:eastAsia="仿宋_GB2312"/>
                <w:color w:val="auto"/>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color w:val="auto"/>
                <w:kern w:val="0"/>
                <w:lang w:eastAsia="zh-CN"/>
              </w:rPr>
            </w:pPr>
            <w:r>
              <w:rPr>
                <w:rFonts w:eastAsia="仿宋_GB2312"/>
                <w:bCs/>
                <w:color w:val="auto"/>
                <w:kern w:val="0"/>
              </w:rPr>
              <w:t>批复规模</w:t>
            </w:r>
          </w:p>
          <w:p>
            <w:pPr>
              <w:widowControl/>
              <w:spacing w:line="240" w:lineRule="exact"/>
              <w:jc w:val="center"/>
              <w:rPr>
                <w:rFonts w:eastAsia="仿宋_GB2312"/>
                <w:bCs/>
                <w:color w:val="auto"/>
                <w:kern w:val="0"/>
              </w:rPr>
            </w:pPr>
            <w:r>
              <w:rPr>
                <w:rFonts w:eastAsia="仿宋_GB2312"/>
                <w:bCs/>
                <w:color w:val="auto"/>
                <w:kern w:val="0"/>
              </w:rPr>
              <w:t>（</w:t>
            </w:r>
            <w:r>
              <w:rPr>
                <w:rFonts w:eastAsia="Batang"/>
                <w:bCs/>
                <w:color w:val="auto"/>
                <w:kern w:val="0"/>
              </w:rPr>
              <w:t>㎡</w:t>
            </w:r>
            <w:r>
              <w:rPr>
                <w:rFonts w:eastAsia="仿宋_GB2312"/>
                <w:bCs/>
                <w:color w:val="auto"/>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color w:val="auto"/>
                <w:kern w:val="0"/>
              </w:rPr>
            </w:pPr>
            <w:r>
              <w:rPr>
                <w:rFonts w:eastAsia="仿宋_GB2312"/>
                <w:bCs/>
                <w:color w:val="auto"/>
                <w:kern w:val="0"/>
              </w:rPr>
              <w:t>实际规模（</w:t>
            </w:r>
            <w:r>
              <w:rPr>
                <w:rFonts w:eastAsia="Batang"/>
                <w:bCs/>
                <w:color w:val="auto"/>
                <w:kern w:val="0"/>
              </w:rPr>
              <w:t>㎡</w:t>
            </w:r>
            <w:r>
              <w:rPr>
                <w:rFonts w:eastAsia="仿宋_GB2312"/>
                <w:bCs/>
                <w:color w:val="auto"/>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color w:val="auto"/>
                <w:kern w:val="0"/>
              </w:rPr>
            </w:pPr>
            <w:r>
              <w:rPr>
                <w:rFonts w:eastAsia="仿宋_GB2312"/>
                <w:bCs/>
                <w:color w:val="auto"/>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color w:val="auto"/>
                <w:kern w:val="0"/>
              </w:rPr>
            </w:pPr>
            <w:r>
              <w:rPr>
                <w:rFonts w:eastAsia="仿宋_GB2312"/>
                <w:bCs/>
                <w:color w:val="auto"/>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color w:val="auto"/>
                <w:kern w:val="0"/>
              </w:rPr>
            </w:pPr>
            <w:r>
              <w:rPr>
                <w:rFonts w:eastAsia="仿宋_GB2312"/>
                <w:bCs/>
                <w:color w:val="auto"/>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color w:val="auto"/>
                <w:kern w:val="0"/>
              </w:rPr>
            </w:pPr>
            <w:r>
              <w:rPr>
                <w:rFonts w:eastAsia="仿宋_GB2312"/>
                <w:bCs/>
                <w:color w:val="auto"/>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　</w:t>
            </w:r>
          </w:p>
        </w:tc>
        <w:tc>
          <w:tcPr>
            <w:tcW w:w="84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w:t>
            </w:r>
          </w:p>
        </w:tc>
        <w:tc>
          <w:tcPr>
            <w:tcW w:w="112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w:t>
            </w:r>
          </w:p>
        </w:tc>
        <w:tc>
          <w:tcPr>
            <w:tcW w:w="1111"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w:t>
            </w:r>
          </w:p>
        </w:tc>
        <w:tc>
          <w:tcPr>
            <w:tcW w:w="96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w:t>
            </w:r>
          </w:p>
        </w:tc>
        <w:tc>
          <w:tcPr>
            <w:tcW w:w="86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spacing w:line="240" w:lineRule="auto"/>
              <w:jc w:val="left"/>
              <w:rPr>
                <w:rFonts w:eastAsia="仿宋_GB2312"/>
                <w:color w:val="auto"/>
                <w:kern w:val="0"/>
              </w:rPr>
            </w:pPr>
            <w:r>
              <w:rPr>
                <w:rFonts w:hint="eastAsia" w:eastAsia="仿宋_GB2312"/>
                <w:color w:val="auto"/>
                <w:kern w:val="0"/>
                <w:lang w:val="en-US" w:eastAsia="zh-CN"/>
              </w:rPr>
              <w:t>1、</w:t>
            </w:r>
            <w:r>
              <w:rPr>
                <w:rFonts w:eastAsia="仿宋_GB2312"/>
                <w:color w:val="auto"/>
                <w:kern w:val="0"/>
                <w:lang w:val="en-US" w:eastAsia="zh-CN"/>
              </w:rPr>
              <w:t>严格预算执行和预算管理，严格控制人员编制和“三公经费”使用，规范管理经费使用</w:t>
            </w:r>
            <w:r>
              <w:rPr>
                <w:rFonts w:hint="eastAsia" w:eastAsia="仿宋_GB2312"/>
                <w:color w:val="auto"/>
                <w:kern w:val="0"/>
                <w:lang w:val="en-US" w:eastAsia="zh-CN"/>
              </w:rPr>
              <w:t>，</w:t>
            </w:r>
            <w:r>
              <w:rPr>
                <w:rFonts w:eastAsia="仿宋_GB2312"/>
                <w:color w:val="auto"/>
                <w:kern w:val="0"/>
                <w:lang w:val="en-US" w:eastAsia="zh-CN"/>
              </w:rPr>
              <w:t>确保各项支出符合规定。</w:t>
            </w:r>
          </w:p>
          <w:p>
            <w:pPr>
              <w:widowControl/>
              <w:spacing w:line="240" w:lineRule="auto"/>
              <w:jc w:val="left"/>
              <w:rPr>
                <w:rFonts w:eastAsia="仿宋_GB2312"/>
                <w:color w:val="auto"/>
                <w:kern w:val="0"/>
              </w:rPr>
            </w:pPr>
            <w:r>
              <w:rPr>
                <w:rFonts w:hint="eastAsia" w:eastAsia="仿宋_GB2312"/>
                <w:color w:val="auto"/>
                <w:kern w:val="0"/>
                <w:lang w:val="en-US" w:eastAsia="zh-CN"/>
              </w:rPr>
              <w:t>2、</w:t>
            </w:r>
            <w:r>
              <w:rPr>
                <w:rFonts w:hint="eastAsia" w:eastAsia="仿宋_GB2312"/>
                <w:color w:val="auto"/>
                <w:kern w:val="0"/>
                <w:lang w:eastAsia="zh-CN"/>
              </w:rPr>
              <w:t>健全完善推行行为节约、绿色办公的举措，推进无纸化办公。</w:t>
            </w:r>
          </w:p>
        </w:tc>
      </w:tr>
    </w:tbl>
    <w:p>
      <w:pPr>
        <w:spacing w:line="360" w:lineRule="exact"/>
        <w:rPr>
          <w:rFonts w:ascii="仿宋_GB2312" w:hAnsi="仿宋_GB2312" w:eastAsia="仿宋_GB2312"/>
          <w:color w:val="auto"/>
          <w:kern w:val="0"/>
          <w:sz w:val="22"/>
          <w:szCs w:val="22"/>
        </w:rPr>
      </w:pPr>
      <w:r>
        <w:rPr>
          <w:rFonts w:ascii="仿宋_GB2312" w:hAnsi="仿宋_GB2312" w:eastAsia="仿宋_GB2312"/>
          <w:color w:val="auto"/>
          <w:kern w:val="0"/>
          <w:sz w:val="22"/>
          <w:szCs w:val="22"/>
        </w:rPr>
        <w:t>说明：</w:t>
      </w:r>
      <w:r>
        <w:rPr>
          <w:rFonts w:eastAsia="仿宋_GB2312"/>
          <w:color w:val="auto"/>
          <w:kern w:val="0"/>
          <w:sz w:val="22"/>
          <w:szCs w:val="22"/>
        </w:rPr>
        <w:t>“</w:t>
      </w:r>
      <w:r>
        <w:rPr>
          <w:rFonts w:ascii="仿宋_GB2312" w:hAnsi="仿宋_GB2312" w:eastAsia="仿宋_GB2312"/>
          <w:color w:val="auto"/>
          <w:kern w:val="0"/>
          <w:sz w:val="22"/>
          <w:szCs w:val="22"/>
        </w:rPr>
        <w:t>项目支出</w:t>
      </w:r>
      <w:r>
        <w:rPr>
          <w:rFonts w:eastAsia="仿宋_GB2312"/>
          <w:color w:val="auto"/>
          <w:kern w:val="0"/>
          <w:sz w:val="22"/>
          <w:szCs w:val="22"/>
        </w:rPr>
        <w:t>”</w:t>
      </w:r>
      <w:r>
        <w:rPr>
          <w:rFonts w:ascii="仿宋_GB2312" w:hAnsi="仿宋_GB2312" w:eastAsia="仿宋_GB2312"/>
          <w:color w:val="auto"/>
          <w:kern w:val="0"/>
          <w:sz w:val="22"/>
          <w:szCs w:val="22"/>
        </w:rPr>
        <w:t>需要填报基本支出以外的所有项目支出情况，</w:t>
      </w:r>
      <w:r>
        <w:rPr>
          <w:rFonts w:eastAsia="仿宋_GB2312"/>
          <w:color w:val="auto"/>
          <w:kern w:val="0"/>
          <w:sz w:val="22"/>
          <w:szCs w:val="22"/>
        </w:rPr>
        <w:t>“</w:t>
      </w:r>
      <w:r>
        <w:rPr>
          <w:rFonts w:ascii="仿宋_GB2312" w:hAnsi="仿宋_GB2312" w:eastAsia="仿宋_GB2312"/>
          <w:color w:val="auto"/>
          <w:kern w:val="0"/>
          <w:sz w:val="22"/>
          <w:szCs w:val="22"/>
        </w:rPr>
        <w:t>公用经费</w:t>
      </w:r>
      <w:r>
        <w:rPr>
          <w:rFonts w:eastAsia="仿宋_GB2312"/>
          <w:color w:val="auto"/>
          <w:kern w:val="0"/>
          <w:sz w:val="22"/>
          <w:szCs w:val="22"/>
        </w:rPr>
        <w:t>”</w:t>
      </w:r>
      <w:r>
        <w:rPr>
          <w:rFonts w:ascii="仿宋_GB2312" w:hAnsi="仿宋_GB2312" w:eastAsia="仿宋_GB2312"/>
          <w:color w:val="auto"/>
          <w:kern w:val="0"/>
          <w:sz w:val="22"/>
          <w:szCs w:val="22"/>
        </w:rPr>
        <w:t>填报基本支出中的一般商品和服务支出。</w:t>
      </w:r>
    </w:p>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val="en-US" w:eastAsia="zh-CN"/>
        </w:rPr>
        <w:t xml:space="preserve">  </w:t>
      </w:r>
      <w:r>
        <w:rPr>
          <w:rFonts w:hint="default" w:ascii="仿宋_GB2312" w:hAnsi="仿宋_GB2312"/>
          <w:kern w:val="0"/>
        </w:rPr>
        <w:t xml:space="preserve">  </w:t>
      </w:r>
      <w:r>
        <w:rPr>
          <w:rFonts w:ascii="仿宋_GB2312" w:hAnsi="仿宋_GB2312"/>
          <w:kern w:val="0"/>
        </w:rPr>
        <w:t>联系电话：</w:t>
      </w:r>
      <w:r>
        <w:rPr>
          <w:rFonts w:hint="default" w:ascii="仿宋_GB2312" w:hAnsi="仿宋_GB2312"/>
          <w:kern w:val="0"/>
        </w:rPr>
        <w:t xml:space="preserve">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2024.03.10</w:t>
      </w:r>
      <w:r>
        <w:rPr>
          <w:rFonts w:hint="default"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单位负责人签字：</w:t>
      </w:r>
    </w:p>
    <w:p>
      <w:pPr>
        <w:spacing w:line="560" w:lineRule="exact"/>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附件2</w:t>
      </w:r>
    </w:p>
    <w:p>
      <w:pPr>
        <w:widowControl/>
        <w:jc w:val="center"/>
        <w:rPr>
          <w:rFonts w:hint="eastAsia" w:eastAsia="方正小标宋_GBK"/>
          <w:color w:val="auto"/>
          <w:kern w:val="0"/>
          <w:sz w:val="36"/>
          <w:szCs w:val="36"/>
        </w:rPr>
      </w:pPr>
      <w:r>
        <w:rPr>
          <w:rFonts w:ascii="方正小标宋_GBK" w:hAnsi="方正小标宋_GBK" w:eastAsia="方正小标宋_GBK"/>
          <w:color w:val="auto"/>
          <w:kern w:val="0"/>
          <w:sz w:val="36"/>
          <w:szCs w:val="36"/>
        </w:rPr>
        <w:t>部门整体支出绩效自评表</w:t>
      </w:r>
    </w:p>
    <w:p>
      <w:pPr>
        <w:widowControl/>
        <w:jc w:val="center"/>
        <w:rPr>
          <w:rFonts w:eastAsia="仿宋_GB2312"/>
          <w:color w:val="auto"/>
          <w:kern w:val="0"/>
        </w:rPr>
      </w:pPr>
      <w:r>
        <w:rPr>
          <w:rFonts w:ascii="仿宋_GB2312" w:hAnsi="仿宋_GB2312" w:eastAsia="仿宋_GB2312"/>
          <w:color w:val="auto"/>
          <w:kern w:val="0"/>
        </w:rPr>
        <w:t>（</w:t>
      </w:r>
      <w:r>
        <w:rPr>
          <w:rFonts w:hint="eastAsia" w:eastAsia="仿宋_GB2312"/>
          <w:color w:val="auto"/>
          <w:kern w:val="0"/>
          <w:lang w:val="en-US" w:eastAsia="zh-CN"/>
        </w:rPr>
        <w:t>2023</w:t>
      </w:r>
      <w:r>
        <w:rPr>
          <w:rFonts w:ascii="仿宋_GB2312" w:hAnsi="仿宋_GB2312" w:eastAsia="仿宋_GB2312"/>
          <w:color w:val="auto"/>
          <w:kern w:val="0"/>
        </w:rPr>
        <w:t>年度）</w:t>
      </w:r>
    </w:p>
    <w:tbl>
      <w:tblPr>
        <w:tblStyle w:val="12"/>
        <w:tblW w:w="11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26"/>
        <w:gridCol w:w="1695"/>
        <w:gridCol w:w="1163"/>
        <w:gridCol w:w="787"/>
        <w:gridCol w:w="573"/>
        <w:gridCol w:w="522"/>
        <w:gridCol w:w="839"/>
        <w:gridCol w:w="211"/>
        <w:gridCol w:w="659"/>
        <w:gridCol w:w="197"/>
        <w:gridCol w:w="553"/>
        <w:gridCol w:w="414"/>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75" w:type="dxa"/>
            <w:tcBorders>
              <w:tl2br w:val="nil"/>
              <w:tr2bl w:val="nil"/>
            </w:tcBorders>
            <w:noWrap w:val="0"/>
            <w:vAlign w:val="center"/>
          </w:tcPr>
          <w:p>
            <w:pPr>
              <w:widowControl/>
              <w:jc w:val="left"/>
              <w:rPr>
                <w:rFonts w:eastAsia="仿宋_GB2312"/>
                <w:color w:val="auto"/>
                <w:kern w:val="0"/>
              </w:rPr>
            </w:pPr>
            <w:r>
              <w:rPr>
                <w:rFonts w:eastAsia="仿宋_GB2312"/>
                <w:color w:val="auto"/>
                <w:kern w:val="0"/>
              </w:rPr>
              <w:t>省级预算部门名称</w:t>
            </w:r>
          </w:p>
        </w:tc>
        <w:tc>
          <w:tcPr>
            <w:tcW w:w="10107" w:type="dxa"/>
            <w:gridSpan w:val="13"/>
            <w:tcBorders>
              <w:tl2br w:val="nil"/>
              <w:tr2bl w:val="nil"/>
            </w:tcBorders>
            <w:noWrap w:val="0"/>
            <w:vAlign w:val="center"/>
          </w:tcPr>
          <w:p>
            <w:pPr>
              <w:widowControl/>
              <w:jc w:val="center"/>
              <w:rPr>
                <w:rFonts w:eastAsia="仿宋_GB2312"/>
                <w:color w:val="auto"/>
                <w:kern w:val="0"/>
              </w:rPr>
            </w:pPr>
            <w:r>
              <w:rPr>
                <w:rFonts w:hint="eastAsia" w:ascii="仿宋_GB2312" w:hAnsi="仿宋_GB2312"/>
                <w:color w:val="auto"/>
                <w:kern w:val="0"/>
                <w:lang w:eastAsia="zh-CN"/>
              </w:rPr>
              <w:t>中共双牌县委改革与发展</w:t>
            </w:r>
            <w:r>
              <w:rPr>
                <w:rFonts w:hint="eastAsia" w:ascii="仿宋_GB2312" w:hAnsi="仿宋_GB2312"/>
                <w:color w:val="auto"/>
                <w:kern w:val="0"/>
                <w:lang w:val="en-US" w:eastAsia="zh-CN"/>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75" w:type="dxa"/>
            <w:vMerge w:val="restart"/>
            <w:tcBorders>
              <w:tl2br w:val="nil"/>
              <w:tr2bl w:val="nil"/>
            </w:tcBorders>
            <w:noWrap w:val="0"/>
            <w:vAlign w:val="center"/>
          </w:tcPr>
          <w:p>
            <w:pPr>
              <w:widowControl/>
              <w:jc w:val="center"/>
              <w:rPr>
                <w:rFonts w:eastAsia="仿宋_GB2312"/>
                <w:color w:val="auto"/>
                <w:kern w:val="0"/>
              </w:rPr>
            </w:pPr>
            <w:r>
              <w:rPr>
                <w:rFonts w:eastAsia="仿宋_GB2312"/>
                <w:color w:val="auto"/>
                <w:kern w:val="0"/>
              </w:rPr>
              <w:t>年度预</w:t>
            </w:r>
          </w:p>
          <w:p>
            <w:pPr>
              <w:widowControl/>
              <w:jc w:val="center"/>
              <w:rPr>
                <w:rFonts w:hint="eastAsia" w:eastAsia="仿宋_GB2312"/>
                <w:color w:val="auto"/>
                <w:kern w:val="0"/>
                <w:lang w:eastAsia="zh-CN"/>
              </w:rPr>
            </w:pPr>
            <w:r>
              <w:rPr>
                <w:rFonts w:eastAsia="仿宋_GB2312"/>
                <w:color w:val="auto"/>
                <w:kern w:val="0"/>
              </w:rPr>
              <w:t>算申请</w:t>
            </w:r>
          </w:p>
          <w:p>
            <w:pPr>
              <w:widowControl/>
              <w:jc w:val="center"/>
              <w:rPr>
                <w:rFonts w:eastAsia="仿宋_GB2312"/>
                <w:color w:val="auto"/>
                <w:kern w:val="0"/>
              </w:rPr>
            </w:pPr>
            <w:r>
              <w:rPr>
                <w:rFonts w:eastAsia="仿宋_GB2312"/>
                <w:color w:val="auto"/>
                <w:kern w:val="0"/>
              </w:rPr>
              <w:t>（万元）</w:t>
            </w:r>
          </w:p>
        </w:tc>
        <w:tc>
          <w:tcPr>
            <w:tcW w:w="3021" w:type="dxa"/>
            <w:gridSpan w:val="2"/>
            <w:tcBorders>
              <w:tl2br w:val="nil"/>
              <w:tr2bl w:val="nil"/>
            </w:tcBorders>
            <w:noWrap w:val="0"/>
            <w:vAlign w:val="center"/>
          </w:tcPr>
          <w:p>
            <w:pPr>
              <w:jc w:val="center"/>
              <w:rPr>
                <w:rFonts w:eastAsia="仿宋_GB2312"/>
                <w:color w:val="auto"/>
              </w:rPr>
            </w:pPr>
          </w:p>
        </w:tc>
        <w:tc>
          <w:tcPr>
            <w:tcW w:w="1163" w:type="dxa"/>
            <w:tcBorders>
              <w:tl2br w:val="nil"/>
              <w:tr2bl w:val="nil"/>
            </w:tcBorders>
            <w:noWrap w:val="0"/>
            <w:vAlign w:val="center"/>
          </w:tcPr>
          <w:p>
            <w:pPr>
              <w:jc w:val="center"/>
              <w:rPr>
                <w:rFonts w:eastAsia="仿宋_GB2312"/>
                <w:color w:val="auto"/>
              </w:rPr>
            </w:pPr>
            <w:r>
              <w:rPr>
                <w:rFonts w:eastAsia="仿宋_GB2312"/>
                <w:color w:val="auto"/>
              </w:rPr>
              <w:t>年初预算数</w:t>
            </w:r>
          </w:p>
        </w:tc>
        <w:tc>
          <w:tcPr>
            <w:tcW w:w="1360" w:type="dxa"/>
            <w:gridSpan w:val="2"/>
            <w:tcBorders>
              <w:tl2br w:val="nil"/>
              <w:tr2bl w:val="nil"/>
            </w:tcBorders>
            <w:noWrap w:val="0"/>
            <w:vAlign w:val="center"/>
          </w:tcPr>
          <w:p>
            <w:pPr>
              <w:jc w:val="center"/>
              <w:rPr>
                <w:rFonts w:eastAsia="仿宋_GB2312"/>
                <w:color w:val="auto"/>
              </w:rPr>
            </w:pPr>
            <w:r>
              <w:rPr>
                <w:rFonts w:eastAsia="仿宋_GB2312"/>
                <w:color w:val="auto"/>
              </w:rPr>
              <w:t>全年预算数</w:t>
            </w:r>
          </w:p>
        </w:tc>
        <w:tc>
          <w:tcPr>
            <w:tcW w:w="1361" w:type="dxa"/>
            <w:gridSpan w:val="2"/>
            <w:tcBorders>
              <w:tl2br w:val="nil"/>
              <w:tr2bl w:val="nil"/>
            </w:tcBorders>
            <w:noWrap w:val="0"/>
            <w:vAlign w:val="center"/>
          </w:tcPr>
          <w:p>
            <w:pPr>
              <w:jc w:val="center"/>
              <w:rPr>
                <w:rFonts w:eastAsia="仿宋_GB2312"/>
                <w:color w:val="auto"/>
              </w:rPr>
            </w:pPr>
            <w:r>
              <w:rPr>
                <w:rFonts w:eastAsia="仿宋_GB2312"/>
                <w:color w:val="auto"/>
              </w:rPr>
              <w:t>全年执行数</w:t>
            </w:r>
          </w:p>
        </w:tc>
        <w:tc>
          <w:tcPr>
            <w:tcW w:w="1067" w:type="dxa"/>
            <w:gridSpan w:val="3"/>
            <w:tcBorders>
              <w:tl2br w:val="nil"/>
              <w:tr2bl w:val="nil"/>
            </w:tcBorders>
            <w:noWrap w:val="0"/>
            <w:vAlign w:val="center"/>
          </w:tcPr>
          <w:p>
            <w:pPr>
              <w:jc w:val="center"/>
              <w:rPr>
                <w:rFonts w:eastAsia="仿宋_GB2312"/>
                <w:color w:val="auto"/>
              </w:rPr>
            </w:pPr>
            <w:r>
              <w:rPr>
                <w:rFonts w:eastAsia="仿宋_GB2312"/>
                <w:color w:val="auto"/>
              </w:rPr>
              <w:t>分值</w:t>
            </w:r>
          </w:p>
        </w:tc>
        <w:tc>
          <w:tcPr>
            <w:tcW w:w="967" w:type="dxa"/>
            <w:gridSpan w:val="2"/>
            <w:tcBorders>
              <w:tl2br w:val="nil"/>
              <w:tr2bl w:val="nil"/>
            </w:tcBorders>
            <w:noWrap w:val="0"/>
            <w:vAlign w:val="center"/>
          </w:tcPr>
          <w:p>
            <w:pPr>
              <w:jc w:val="center"/>
              <w:rPr>
                <w:rFonts w:eastAsia="仿宋_GB2312"/>
                <w:color w:val="auto"/>
              </w:rPr>
            </w:pPr>
            <w:r>
              <w:rPr>
                <w:rFonts w:eastAsia="仿宋_GB2312"/>
                <w:color w:val="auto"/>
              </w:rPr>
              <w:t>执行率</w:t>
            </w:r>
          </w:p>
        </w:tc>
        <w:tc>
          <w:tcPr>
            <w:tcW w:w="1168" w:type="dxa"/>
            <w:tcBorders>
              <w:tl2br w:val="nil"/>
              <w:tr2bl w:val="nil"/>
            </w:tcBorders>
            <w:noWrap w:val="0"/>
            <w:vAlign w:val="center"/>
          </w:tcPr>
          <w:p>
            <w:pPr>
              <w:jc w:val="center"/>
              <w:rPr>
                <w:rFonts w:eastAsia="仿宋_GB2312"/>
                <w:color w:val="auto"/>
              </w:rPr>
            </w:pPr>
            <w:r>
              <w:rPr>
                <w:rFonts w:eastAsia="仿宋_GB2312"/>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3021" w:type="dxa"/>
            <w:gridSpan w:val="2"/>
            <w:tcBorders>
              <w:tl2br w:val="nil"/>
              <w:tr2bl w:val="nil"/>
            </w:tcBorders>
            <w:noWrap w:val="0"/>
            <w:vAlign w:val="center"/>
          </w:tcPr>
          <w:p>
            <w:pPr>
              <w:jc w:val="center"/>
              <w:rPr>
                <w:rFonts w:eastAsia="仿宋_GB2312"/>
                <w:color w:val="auto"/>
              </w:rPr>
            </w:pPr>
            <w:r>
              <w:rPr>
                <w:rFonts w:eastAsia="仿宋_GB2312"/>
                <w:color w:val="auto"/>
                <w:kern w:val="0"/>
              </w:rPr>
              <w:t>年度资金总额</w:t>
            </w:r>
          </w:p>
        </w:tc>
        <w:tc>
          <w:tcPr>
            <w:tcW w:w="1163" w:type="dxa"/>
            <w:tcBorders>
              <w:tl2br w:val="nil"/>
              <w:tr2bl w:val="nil"/>
            </w:tcBorders>
            <w:noWrap w:val="0"/>
            <w:vAlign w:val="center"/>
          </w:tcPr>
          <w:p>
            <w:pPr>
              <w:keepNext w:val="0"/>
              <w:keepLines w:val="0"/>
              <w:widowControl/>
              <w:suppressLineNumbers w:val="0"/>
              <w:jc w:val="center"/>
              <w:textAlignment w:val="center"/>
              <w:rPr>
                <w:rFonts w:eastAsia="仿宋_GB2312"/>
                <w:color w:val="auto"/>
              </w:rPr>
            </w:pPr>
            <w:r>
              <w:rPr>
                <w:rFonts w:hint="default" w:ascii="Times New Roman" w:hAnsi="Times New Roman" w:eastAsia="宋体" w:cs="Times New Roman"/>
                <w:i w:val="0"/>
                <w:iCs w:val="0"/>
                <w:color w:val="000000"/>
                <w:kern w:val="0"/>
                <w:sz w:val="20"/>
                <w:szCs w:val="20"/>
                <w:u w:val="none"/>
                <w:lang w:val="en-US" w:eastAsia="zh-CN" w:bidi="ar"/>
              </w:rPr>
              <w:t>141.67</w:t>
            </w:r>
          </w:p>
        </w:tc>
        <w:tc>
          <w:tcPr>
            <w:tcW w:w="1360" w:type="dxa"/>
            <w:gridSpan w:val="2"/>
            <w:tcBorders>
              <w:tl2br w:val="nil"/>
              <w:tr2bl w:val="nil"/>
            </w:tcBorders>
            <w:noWrap w:val="0"/>
            <w:vAlign w:val="center"/>
          </w:tcPr>
          <w:p>
            <w:pPr>
              <w:keepNext w:val="0"/>
              <w:keepLines w:val="0"/>
              <w:widowControl/>
              <w:suppressLineNumbers w:val="0"/>
              <w:jc w:val="center"/>
              <w:textAlignment w:val="center"/>
              <w:rPr>
                <w:rFonts w:hint="default" w:eastAsia="仿宋_GB2312"/>
                <w:color w:val="auto"/>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171.53</w:t>
            </w:r>
          </w:p>
        </w:tc>
        <w:tc>
          <w:tcPr>
            <w:tcW w:w="1361" w:type="dxa"/>
            <w:gridSpan w:val="2"/>
            <w:tcBorders>
              <w:tl2br w:val="nil"/>
              <w:tr2bl w:val="nil"/>
            </w:tcBorders>
            <w:noWrap w:val="0"/>
            <w:vAlign w:val="center"/>
          </w:tcPr>
          <w:p>
            <w:pPr>
              <w:keepNext w:val="0"/>
              <w:keepLines w:val="0"/>
              <w:widowControl/>
              <w:suppressLineNumbers w:val="0"/>
              <w:jc w:val="center"/>
              <w:textAlignment w:val="center"/>
              <w:rPr>
                <w:rFonts w:hint="eastAsia" w:eastAsia="仿宋_GB2312"/>
                <w:color w:val="auto"/>
                <w:kern w:val="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162.66</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eastAsia="仿宋_GB2312"/>
                <w:color w:val="auto"/>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67" w:type="dxa"/>
            <w:gridSpan w:val="2"/>
            <w:tcBorders>
              <w:tl2br w:val="nil"/>
              <w:tr2bl w:val="nil"/>
            </w:tcBorders>
            <w:noWrap w:val="0"/>
            <w:vAlign w:val="center"/>
          </w:tcPr>
          <w:p>
            <w:pPr>
              <w:keepNext w:val="0"/>
              <w:keepLines w:val="0"/>
              <w:widowControl/>
              <w:suppressLineNumbers w:val="0"/>
              <w:jc w:val="center"/>
              <w:textAlignment w:val="center"/>
              <w:rPr>
                <w:rFonts w:hint="eastAsia" w:eastAsia="仿宋_GB2312"/>
                <w:color w:val="auto"/>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94.00%</w:t>
            </w:r>
          </w:p>
        </w:tc>
        <w:tc>
          <w:tcPr>
            <w:tcW w:w="1168" w:type="dxa"/>
            <w:tcBorders>
              <w:tl2br w:val="nil"/>
              <w:tr2bl w:val="nil"/>
            </w:tcBorders>
            <w:noWrap w:val="0"/>
            <w:vAlign w:val="center"/>
          </w:tcPr>
          <w:p>
            <w:pPr>
              <w:keepNext w:val="0"/>
              <w:keepLines w:val="0"/>
              <w:widowControl/>
              <w:suppressLineNumbers w:val="0"/>
              <w:jc w:val="center"/>
              <w:textAlignment w:val="center"/>
              <w:rPr>
                <w:rFonts w:hint="eastAsia" w:eastAsia="仿宋_GB2312"/>
                <w:color w:val="auto"/>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6066" w:type="dxa"/>
            <w:gridSpan w:val="6"/>
            <w:tcBorders>
              <w:tl2br w:val="nil"/>
              <w:tr2bl w:val="nil"/>
            </w:tcBorders>
            <w:noWrap w:val="0"/>
            <w:vAlign w:val="center"/>
          </w:tcPr>
          <w:p>
            <w:pPr>
              <w:widowControl/>
              <w:jc w:val="left"/>
              <w:rPr>
                <w:rFonts w:eastAsia="仿宋_GB2312"/>
                <w:color w:val="auto"/>
                <w:kern w:val="0"/>
              </w:rPr>
            </w:pPr>
            <w:r>
              <w:rPr>
                <w:rFonts w:eastAsia="仿宋_GB2312"/>
                <w:color w:val="auto"/>
                <w:kern w:val="0"/>
              </w:rPr>
              <w:t>按收入性质分：</w:t>
            </w:r>
            <w:r>
              <w:rPr>
                <w:rFonts w:hint="default" w:ascii="Times New Roman" w:hAnsi="Times New Roman" w:eastAsia="宋体" w:cs="Times New Roman"/>
                <w:i w:val="0"/>
                <w:iCs w:val="0"/>
                <w:color w:val="000000"/>
                <w:kern w:val="0"/>
                <w:sz w:val="20"/>
                <w:szCs w:val="20"/>
                <w:u w:val="none"/>
                <w:lang w:val="en-US" w:eastAsia="zh-CN" w:bidi="ar"/>
              </w:rPr>
              <w:t>171.53</w:t>
            </w:r>
            <w:r>
              <w:rPr>
                <w:rFonts w:eastAsia="仿宋_GB2312"/>
                <w:color w:val="auto"/>
                <w:kern w:val="0"/>
              </w:rPr>
              <w:t>万元</w:t>
            </w:r>
          </w:p>
        </w:tc>
        <w:tc>
          <w:tcPr>
            <w:tcW w:w="4041" w:type="dxa"/>
            <w:gridSpan w:val="7"/>
            <w:tcBorders>
              <w:tl2br w:val="nil"/>
              <w:tr2bl w:val="nil"/>
            </w:tcBorders>
            <w:noWrap w:val="0"/>
            <w:vAlign w:val="center"/>
          </w:tcPr>
          <w:p>
            <w:pPr>
              <w:widowControl/>
              <w:jc w:val="left"/>
              <w:rPr>
                <w:rFonts w:eastAsia="仿宋_GB2312"/>
                <w:color w:val="auto"/>
                <w:kern w:val="0"/>
              </w:rPr>
            </w:pPr>
            <w:r>
              <w:rPr>
                <w:rFonts w:eastAsia="仿宋_GB2312"/>
                <w:color w:val="auto"/>
                <w:kern w:val="0"/>
              </w:rPr>
              <w:t>按支出性质分：</w:t>
            </w:r>
            <w:r>
              <w:rPr>
                <w:rFonts w:hint="default" w:ascii="Times New Roman" w:hAnsi="Times New Roman" w:eastAsia="宋体" w:cs="Times New Roman"/>
                <w:i w:val="0"/>
                <w:iCs w:val="0"/>
                <w:color w:val="000000"/>
                <w:kern w:val="0"/>
                <w:sz w:val="20"/>
                <w:szCs w:val="20"/>
                <w:u w:val="none"/>
                <w:lang w:val="en-US" w:eastAsia="zh-CN" w:bidi="ar"/>
              </w:rPr>
              <w:t>162.66</w:t>
            </w:r>
            <w:r>
              <w:rPr>
                <w:rFonts w:eastAsia="仿宋_GB2312"/>
                <w:color w:val="auto"/>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6066" w:type="dxa"/>
            <w:gridSpan w:val="6"/>
            <w:tcBorders>
              <w:tl2br w:val="nil"/>
              <w:tr2bl w:val="nil"/>
            </w:tcBorders>
            <w:noWrap w:val="0"/>
            <w:vAlign w:val="center"/>
          </w:tcPr>
          <w:p>
            <w:pPr>
              <w:widowControl/>
              <w:jc w:val="left"/>
              <w:rPr>
                <w:rFonts w:eastAsia="仿宋_GB2312"/>
                <w:color w:val="auto"/>
                <w:kern w:val="0"/>
              </w:rPr>
            </w:pPr>
            <w:r>
              <w:rPr>
                <w:rFonts w:eastAsia="仿宋_GB2312"/>
                <w:color w:val="auto"/>
                <w:kern w:val="0"/>
              </w:rPr>
              <w:t xml:space="preserve">  其中：  一般公共预算：</w:t>
            </w:r>
            <w:r>
              <w:rPr>
                <w:rFonts w:hint="eastAsia" w:eastAsia="仿宋_GB2312"/>
                <w:color w:val="auto"/>
                <w:kern w:val="0"/>
                <w:lang w:val="en-US" w:eastAsia="zh-CN"/>
              </w:rPr>
              <w:t>167.65</w:t>
            </w:r>
            <w:r>
              <w:rPr>
                <w:rFonts w:eastAsia="仿宋_GB2312"/>
                <w:color w:val="auto"/>
                <w:kern w:val="0"/>
              </w:rPr>
              <w:t>万元</w:t>
            </w:r>
          </w:p>
        </w:tc>
        <w:tc>
          <w:tcPr>
            <w:tcW w:w="4041" w:type="dxa"/>
            <w:gridSpan w:val="7"/>
            <w:tcBorders>
              <w:tl2br w:val="nil"/>
              <w:tr2bl w:val="nil"/>
            </w:tcBorders>
            <w:noWrap w:val="0"/>
            <w:vAlign w:val="center"/>
          </w:tcPr>
          <w:p>
            <w:pPr>
              <w:widowControl/>
              <w:jc w:val="left"/>
              <w:rPr>
                <w:rFonts w:hint="default" w:eastAsia="仿宋_GB2312"/>
                <w:color w:val="auto"/>
                <w:kern w:val="0"/>
                <w:lang w:val="en-US" w:eastAsia="zh-CN"/>
              </w:rPr>
            </w:pPr>
            <w:r>
              <w:rPr>
                <w:rFonts w:eastAsia="仿宋_GB2312"/>
                <w:color w:val="auto"/>
                <w:kern w:val="0"/>
              </w:rPr>
              <w:t>其中：基本支出：</w:t>
            </w:r>
            <w:r>
              <w:rPr>
                <w:rFonts w:hint="eastAsia" w:eastAsia="仿宋_GB2312"/>
                <w:color w:val="auto"/>
                <w:kern w:val="0"/>
                <w:lang w:val="en-US" w:eastAsia="zh-CN"/>
              </w:rPr>
              <w:t>140.39</w:t>
            </w:r>
            <w:r>
              <w:rPr>
                <w:rFonts w:eastAsia="仿宋_GB2312"/>
                <w:color w:val="auto"/>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6066" w:type="dxa"/>
            <w:gridSpan w:val="6"/>
            <w:tcBorders>
              <w:tl2br w:val="nil"/>
              <w:tr2bl w:val="nil"/>
            </w:tcBorders>
            <w:noWrap w:val="0"/>
            <w:vAlign w:val="center"/>
          </w:tcPr>
          <w:p>
            <w:pPr>
              <w:widowControl/>
              <w:ind w:firstLine="840" w:firstLineChars="400"/>
              <w:jc w:val="left"/>
              <w:rPr>
                <w:rFonts w:eastAsia="仿宋_GB2312"/>
                <w:color w:val="auto"/>
                <w:kern w:val="0"/>
              </w:rPr>
            </w:pPr>
            <w:r>
              <w:rPr>
                <w:rFonts w:eastAsia="仿宋_GB2312"/>
                <w:color w:val="auto"/>
                <w:kern w:val="0"/>
              </w:rPr>
              <w:t>政府性基金拨款：</w:t>
            </w:r>
            <w:r>
              <w:rPr>
                <w:rFonts w:hint="eastAsia" w:eastAsia="仿宋_GB2312"/>
                <w:color w:val="auto"/>
                <w:kern w:val="0"/>
                <w:lang w:val="en-US" w:eastAsia="zh-CN"/>
              </w:rPr>
              <w:t>0</w:t>
            </w:r>
            <w:r>
              <w:rPr>
                <w:rFonts w:eastAsia="仿宋_GB2312"/>
                <w:color w:val="auto"/>
                <w:kern w:val="0"/>
              </w:rPr>
              <w:t>万元</w:t>
            </w:r>
          </w:p>
        </w:tc>
        <w:tc>
          <w:tcPr>
            <w:tcW w:w="4041" w:type="dxa"/>
            <w:gridSpan w:val="7"/>
            <w:tcBorders>
              <w:tl2br w:val="nil"/>
              <w:tr2bl w:val="nil"/>
            </w:tcBorders>
            <w:noWrap w:val="0"/>
            <w:vAlign w:val="center"/>
          </w:tcPr>
          <w:p>
            <w:pPr>
              <w:widowControl/>
              <w:ind w:firstLine="630" w:firstLineChars="300"/>
              <w:jc w:val="left"/>
              <w:rPr>
                <w:rFonts w:eastAsia="仿宋_GB2312"/>
                <w:color w:val="auto"/>
                <w:kern w:val="0"/>
              </w:rPr>
            </w:pPr>
            <w:r>
              <w:rPr>
                <w:rFonts w:eastAsia="仿宋_GB2312"/>
                <w:color w:val="auto"/>
                <w:kern w:val="0"/>
              </w:rPr>
              <w:t>项目支出：</w:t>
            </w:r>
            <w:r>
              <w:rPr>
                <w:rFonts w:hint="default" w:eastAsia="仿宋_GB2312"/>
                <w:color w:val="auto"/>
                <w:kern w:val="0"/>
                <w:lang w:val="en-US" w:eastAsia="zh-CN"/>
              </w:rPr>
              <w:t>22.27</w:t>
            </w:r>
            <w:r>
              <w:rPr>
                <w:rFonts w:eastAsia="仿宋_GB2312"/>
                <w:color w:val="auto"/>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6066" w:type="dxa"/>
            <w:gridSpan w:val="6"/>
            <w:tcBorders>
              <w:tl2br w:val="nil"/>
              <w:tr2bl w:val="nil"/>
            </w:tcBorders>
            <w:noWrap w:val="0"/>
            <w:vAlign w:val="center"/>
          </w:tcPr>
          <w:p>
            <w:pPr>
              <w:widowControl/>
              <w:jc w:val="left"/>
              <w:rPr>
                <w:rFonts w:eastAsia="仿宋_GB2312"/>
                <w:color w:val="auto"/>
                <w:kern w:val="0"/>
              </w:rPr>
            </w:pPr>
            <w:r>
              <w:rPr>
                <w:rFonts w:eastAsia="仿宋_GB2312"/>
                <w:color w:val="auto"/>
                <w:kern w:val="0"/>
              </w:rPr>
              <w:t>纳入专户管理的非税收入拨款：</w:t>
            </w:r>
            <w:r>
              <w:rPr>
                <w:rFonts w:hint="eastAsia" w:eastAsia="仿宋_GB2312"/>
                <w:color w:val="auto"/>
                <w:kern w:val="0"/>
                <w:lang w:val="en-US" w:eastAsia="zh-CN"/>
              </w:rPr>
              <w:t>0</w:t>
            </w:r>
            <w:r>
              <w:rPr>
                <w:rFonts w:eastAsia="仿宋_GB2312"/>
                <w:color w:val="auto"/>
                <w:kern w:val="0"/>
              </w:rPr>
              <w:t>万元</w:t>
            </w:r>
          </w:p>
        </w:tc>
        <w:tc>
          <w:tcPr>
            <w:tcW w:w="4041" w:type="dxa"/>
            <w:gridSpan w:val="7"/>
            <w:tcBorders>
              <w:tl2br w:val="nil"/>
              <w:tr2bl w:val="nil"/>
            </w:tcBorders>
            <w:noWrap w:val="0"/>
            <w:vAlign w:val="center"/>
          </w:tcPr>
          <w:p>
            <w:pPr>
              <w:widowControl/>
              <w:jc w:val="left"/>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6066" w:type="dxa"/>
            <w:gridSpan w:val="6"/>
            <w:tcBorders>
              <w:tl2br w:val="nil"/>
              <w:tr2bl w:val="nil"/>
            </w:tcBorders>
            <w:noWrap w:val="0"/>
            <w:vAlign w:val="center"/>
          </w:tcPr>
          <w:p>
            <w:pPr>
              <w:widowControl/>
              <w:ind w:firstLine="1470" w:firstLineChars="700"/>
              <w:jc w:val="left"/>
              <w:rPr>
                <w:rFonts w:eastAsia="仿宋_GB2312"/>
                <w:color w:val="auto"/>
                <w:kern w:val="0"/>
              </w:rPr>
            </w:pPr>
            <w:r>
              <w:rPr>
                <w:rFonts w:eastAsia="仿宋_GB2312"/>
                <w:color w:val="auto"/>
                <w:kern w:val="0"/>
              </w:rPr>
              <w:t>其他资金：</w:t>
            </w:r>
            <w:r>
              <w:rPr>
                <w:rFonts w:hint="eastAsia" w:eastAsia="仿宋_GB2312"/>
                <w:color w:val="auto"/>
                <w:kern w:val="0"/>
                <w:lang w:val="en-US" w:eastAsia="zh-CN"/>
              </w:rPr>
              <w:t>3.87</w:t>
            </w:r>
            <w:r>
              <w:rPr>
                <w:rFonts w:eastAsia="仿宋_GB2312"/>
                <w:color w:val="auto"/>
                <w:kern w:val="0"/>
              </w:rPr>
              <w:t>万元</w:t>
            </w:r>
          </w:p>
        </w:tc>
        <w:tc>
          <w:tcPr>
            <w:tcW w:w="4041" w:type="dxa"/>
            <w:gridSpan w:val="7"/>
            <w:tcBorders>
              <w:tl2br w:val="nil"/>
              <w:tr2bl w:val="nil"/>
            </w:tcBorders>
            <w:noWrap w:val="0"/>
            <w:vAlign w:val="center"/>
          </w:tcPr>
          <w:p>
            <w:pPr>
              <w:widowControl/>
              <w:jc w:val="left"/>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restart"/>
            <w:tcBorders>
              <w:tl2br w:val="nil"/>
              <w:tr2bl w:val="nil"/>
            </w:tcBorders>
            <w:noWrap w:val="0"/>
            <w:vAlign w:val="center"/>
          </w:tcPr>
          <w:p>
            <w:pPr>
              <w:widowControl/>
              <w:jc w:val="center"/>
              <w:rPr>
                <w:rFonts w:eastAsia="仿宋_GB2312"/>
                <w:color w:val="auto"/>
                <w:kern w:val="0"/>
              </w:rPr>
            </w:pPr>
            <w:r>
              <w:rPr>
                <w:rFonts w:eastAsia="仿宋_GB2312"/>
                <w:color w:val="auto"/>
                <w:kern w:val="0"/>
              </w:rPr>
              <w:t>年度总体目标</w:t>
            </w:r>
          </w:p>
        </w:tc>
        <w:tc>
          <w:tcPr>
            <w:tcW w:w="6066" w:type="dxa"/>
            <w:gridSpan w:val="6"/>
            <w:tcBorders>
              <w:tl2br w:val="nil"/>
              <w:tr2bl w:val="nil"/>
            </w:tcBorders>
            <w:noWrap w:val="0"/>
            <w:vAlign w:val="center"/>
          </w:tcPr>
          <w:p>
            <w:pPr>
              <w:widowControl/>
              <w:jc w:val="center"/>
              <w:rPr>
                <w:rFonts w:eastAsia="仿宋_GB2312"/>
                <w:color w:val="auto"/>
                <w:kern w:val="0"/>
              </w:rPr>
            </w:pPr>
            <w:r>
              <w:rPr>
                <w:rFonts w:eastAsia="仿宋_GB2312"/>
                <w:color w:val="auto"/>
                <w:kern w:val="0"/>
              </w:rPr>
              <w:t>预期目标</w:t>
            </w:r>
          </w:p>
        </w:tc>
        <w:tc>
          <w:tcPr>
            <w:tcW w:w="4041" w:type="dxa"/>
            <w:gridSpan w:val="7"/>
            <w:tcBorders>
              <w:tl2br w:val="nil"/>
              <w:tr2bl w:val="nil"/>
            </w:tcBorders>
            <w:noWrap w:val="0"/>
            <w:vAlign w:val="center"/>
          </w:tcPr>
          <w:p>
            <w:pPr>
              <w:widowControl/>
              <w:jc w:val="center"/>
              <w:rPr>
                <w:rFonts w:eastAsia="仿宋_GB2312"/>
                <w:color w:val="auto"/>
                <w:kern w:val="0"/>
              </w:rPr>
            </w:pPr>
            <w:r>
              <w:rPr>
                <w:rFonts w:eastAsia="仿宋_GB2312"/>
                <w:color w:val="auto"/>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6066" w:type="dxa"/>
            <w:gridSpan w:val="6"/>
            <w:tcBorders>
              <w:tl2br w:val="nil"/>
              <w:tr2bl w:val="nil"/>
            </w:tcBorders>
            <w:noWrap w:val="0"/>
            <w:vAlign w:val="center"/>
          </w:tcPr>
          <w:p>
            <w:pPr>
              <w:widowControl/>
              <w:jc w:val="left"/>
              <w:rPr>
                <w:rFonts w:eastAsia="仿宋_GB2312"/>
                <w:color w:val="auto"/>
                <w:kern w:val="0"/>
              </w:rPr>
            </w:pPr>
            <w:r>
              <w:rPr>
                <w:rFonts w:hint="eastAsia" w:eastAsia="仿宋_GB2312"/>
                <w:color w:val="auto"/>
                <w:kern w:val="0"/>
                <w:lang w:val="en-US" w:eastAsia="zh-CN"/>
              </w:rPr>
              <w:t>围绕县委总体工作部署，开展政策研究和课题调研为县委决策提供参谋服务。</w:t>
            </w:r>
          </w:p>
        </w:tc>
        <w:tc>
          <w:tcPr>
            <w:tcW w:w="4041" w:type="dxa"/>
            <w:gridSpan w:val="7"/>
            <w:tcBorders>
              <w:tl2br w:val="nil"/>
              <w:tr2bl w:val="nil"/>
            </w:tcBorders>
            <w:noWrap w:val="0"/>
            <w:vAlign w:val="center"/>
          </w:tcPr>
          <w:p>
            <w:pPr>
              <w:widowControl/>
              <w:jc w:val="left"/>
              <w:rPr>
                <w:rFonts w:eastAsia="仿宋_GB2312"/>
                <w:color w:val="auto"/>
                <w:kern w:val="0"/>
              </w:rPr>
            </w:pPr>
            <w:r>
              <w:rPr>
                <w:rFonts w:hint="eastAsia" w:eastAsia="仿宋_GB2312"/>
                <w:color w:val="auto"/>
                <w:kern w:val="0"/>
                <w:szCs w:val="21"/>
                <w:lang w:eastAsia="zh-CN"/>
              </w:rPr>
              <w:t>较好地完成了年度总体目标任务，预算成本把控严格，各项指标达标。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5" w:type="dxa"/>
            <w:vMerge w:val="restart"/>
            <w:tcBorders>
              <w:tl2br w:val="nil"/>
              <w:tr2bl w:val="nil"/>
            </w:tcBorders>
            <w:noWrap w:val="0"/>
            <w:vAlign w:val="center"/>
          </w:tcPr>
          <w:p>
            <w:pPr>
              <w:widowControl/>
              <w:jc w:val="center"/>
              <w:rPr>
                <w:rFonts w:eastAsia="仿宋_GB2312"/>
                <w:color w:val="auto"/>
                <w:kern w:val="0"/>
              </w:rPr>
            </w:pPr>
            <w:r>
              <w:rPr>
                <w:rFonts w:eastAsia="仿宋_GB2312"/>
                <w:color w:val="auto"/>
                <w:kern w:val="0"/>
              </w:rPr>
              <w:t>绩</w:t>
            </w:r>
          </w:p>
          <w:p>
            <w:pPr>
              <w:widowControl/>
              <w:jc w:val="center"/>
              <w:rPr>
                <w:rFonts w:eastAsia="仿宋_GB2312"/>
                <w:color w:val="auto"/>
                <w:kern w:val="0"/>
              </w:rPr>
            </w:pPr>
            <w:r>
              <w:rPr>
                <w:rFonts w:eastAsia="仿宋_GB2312"/>
                <w:color w:val="auto"/>
                <w:kern w:val="0"/>
              </w:rPr>
              <w:t>效</w:t>
            </w:r>
          </w:p>
          <w:p>
            <w:pPr>
              <w:widowControl/>
              <w:jc w:val="center"/>
              <w:rPr>
                <w:rFonts w:eastAsia="仿宋_GB2312"/>
                <w:color w:val="auto"/>
                <w:kern w:val="0"/>
              </w:rPr>
            </w:pPr>
            <w:r>
              <w:rPr>
                <w:rFonts w:eastAsia="仿宋_GB2312"/>
                <w:color w:val="auto"/>
                <w:kern w:val="0"/>
              </w:rPr>
              <w:t>指</w:t>
            </w:r>
          </w:p>
          <w:p>
            <w:pPr>
              <w:widowControl/>
              <w:jc w:val="center"/>
              <w:rPr>
                <w:rFonts w:eastAsia="仿宋_GB2312"/>
                <w:color w:val="auto"/>
                <w:kern w:val="0"/>
              </w:rPr>
            </w:pPr>
            <w:r>
              <w:rPr>
                <w:rFonts w:eastAsia="仿宋_GB2312"/>
                <w:color w:val="auto"/>
                <w:kern w:val="0"/>
              </w:rPr>
              <w:t>标</w:t>
            </w:r>
          </w:p>
        </w:tc>
        <w:tc>
          <w:tcPr>
            <w:tcW w:w="1326" w:type="dxa"/>
            <w:tcBorders>
              <w:tl2br w:val="nil"/>
              <w:tr2bl w:val="nil"/>
            </w:tcBorders>
            <w:noWrap w:val="0"/>
            <w:vAlign w:val="center"/>
          </w:tcPr>
          <w:p>
            <w:pPr>
              <w:widowControl/>
              <w:spacing w:line="240" w:lineRule="exact"/>
              <w:jc w:val="center"/>
              <w:rPr>
                <w:rFonts w:eastAsia="仿宋_GB2312"/>
                <w:color w:val="auto"/>
                <w:kern w:val="0"/>
              </w:rPr>
            </w:pPr>
            <w:r>
              <w:rPr>
                <w:rFonts w:eastAsia="仿宋_GB2312"/>
                <w:color w:val="auto"/>
                <w:kern w:val="0"/>
              </w:rPr>
              <w:t>一级指标</w:t>
            </w:r>
          </w:p>
        </w:tc>
        <w:tc>
          <w:tcPr>
            <w:tcW w:w="1695" w:type="dxa"/>
            <w:tcBorders>
              <w:tl2br w:val="nil"/>
              <w:tr2bl w:val="nil"/>
            </w:tcBorders>
            <w:noWrap w:val="0"/>
            <w:vAlign w:val="center"/>
          </w:tcPr>
          <w:p>
            <w:pPr>
              <w:widowControl/>
              <w:spacing w:line="240" w:lineRule="exact"/>
              <w:jc w:val="center"/>
              <w:rPr>
                <w:rFonts w:eastAsia="仿宋_GB2312"/>
                <w:color w:val="auto"/>
                <w:kern w:val="0"/>
              </w:rPr>
            </w:pPr>
            <w:r>
              <w:rPr>
                <w:rFonts w:eastAsia="仿宋_GB2312"/>
                <w:color w:val="auto"/>
                <w:kern w:val="0"/>
              </w:rPr>
              <w:t>二级指标</w:t>
            </w:r>
          </w:p>
        </w:tc>
        <w:tc>
          <w:tcPr>
            <w:tcW w:w="1950" w:type="dxa"/>
            <w:gridSpan w:val="2"/>
            <w:tcBorders>
              <w:tl2br w:val="nil"/>
              <w:tr2bl w:val="nil"/>
            </w:tcBorders>
            <w:noWrap w:val="0"/>
            <w:vAlign w:val="center"/>
          </w:tcPr>
          <w:p>
            <w:pPr>
              <w:widowControl/>
              <w:spacing w:line="240" w:lineRule="exact"/>
              <w:jc w:val="center"/>
              <w:rPr>
                <w:rFonts w:eastAsia="仿宋_GB2312"/>
                <w:color w:val="auto"/>
                <w:kern w:val="0"/>
              </w:rPr>
            </w:pPr>
            <w:r>
              <w:rPr>
                <w:rFonts w:eastAsia="仿宋_GB2312"/>
                <w:color w:val="auto"/>
                <w:kern w:val="0"/>
              </w:rPr>
              <w:t>三级指标</w:t>
            </w:r>
          </w:p>
        </w:tc>
        <w:tc>
          <w:tcPr>
            <w:tcW w:w="1095" w:type="dxa"/>
            <w:gridSpan w:val="2"/>
            <w:tcBorders>
              <w:tl2br w:val="nil"/>
              <w:tr2bl w:val="nil"/>
            </w:tcBorders>
            <w:noWrap w:val="0"/>
            <w:vAlign w:val="center"/>
          </w:tcPr>
          <w:p>
            <w:pPr>
              <w:widowControl/>
              <w:spacing w:line="240" w:lineRule="exact"/>
              <w:jc w:val="center"/>
              <w:rPr>
                <w:rFonts w:ascii="仿宋_GB2312" w:hAnsi="仿宋_GB2312"/>
                <w:color w:val="auto"/>
                <w:kern w:val="0"/>
              </w:rPr>
            </w:pPr>
            <w:r>
              <w:rPr>
                <w:rFonts w:eastAsia="仿宋_GB2312"/>
                <w:color w:val="auto"/>
                <w:kern w:val="0"/>
              </w:rPr>
              <w:t>年度</w:t>
            </w:r>
          </w:p>
          <w:p>
            <w:pPr>
              <w:widowControl/>
              <w:spacing w:line="240" w:lineRule="exact"/>
              <w:jc w:val="center"/>
              <w:rPr>
                <w:rFonts w:eastAsia="仿宋_GB2312"/>
                <w:color w:val="auto"/>
                <w:kern w:val="0"/>
              </w:rPr>
            </w:pPr>
            <w:r>
              <w:rPr>
                <w:rFonts w:eastAsia="仿宋_GB2312"/>
                <w:color w:val="auto"/>
                <w:kern w:val="0"/>
              </w:rPr>
              <w:t>指标值</w:t>
            </w:r>
          </w:p>
        </w:tc>
        <w:tc>
          <w:tcPr>
            <w:tcW w:w="1050" w:type="dxa"/>
            <w:gridSpan w:val="2"/>
            <w:tcBorders>
              <w:tl2br w:val="nil"/>
              <w:tr2bl w:val="nil"/>
            </w:tcBorders>
            <w:noWrap w:val="0"/>
            <w:vAlign w:val="center"/>
          </w:tcPr>
          <w:p>
            <w:pPr>
              <w:widowControl/>
              <w:spacing w:line="240" w:lineRule="exact"/>
              <w:jc w:val="center"/>
              <w:rPr>
                <w:rFonts w:ascii="仿宋_GB2312" w:hAnsi="仿宋_GB2312"/>
                <w:color w:val="auto"/>
                <w:kern w:val="0"/>
              </w:rPr>
            </w:pPr>
            <w:r>
              <w:rPr>
                <w:rFonts w:eastAsia="仿宋_GB2312"/>
                <w:color w:val="auto"/>
                <w:kern w:val="0"/>
              </w:rPr>
              <w:t>实际</w:t>
            </w:r>
          </w:p>
          <w:p>
            <w:pPr>
              <w:widowControl/>
              <w:spacing w:line="240" w:lineRule="exact"/>
              <w:jc w:val="center"/>
              <w:rPr>
                <w:rFonts w:eastAsia="仿宋_GB2312"/>
                <w:color w:val="auto"/>
                <w:kern w:val="0"/>
              </w:rPr>
            </w:pPr>
            <w:r>
              <w:rPr>
                <w:rFonts w:eastAsia="仿宋_GB2312"/>
                <w:color w:val="auto"/>
                <w:kern w:val="0"/>
              </w:rPr>
              <w:t>完成值</w:t>
            </w:r>
          </w:p>
        </w:tc>
        <w:tc>
          <w:tcPr>
            <w:tcW w:w="659" w:type="dxa"/>
            <w:tcBorders>
              <w:tl2br w:val="nil"/>
              <w:tr2bl w:val="nil"/>
            </w:tcBorders>
            <w:noWrap w:val="0"/>
            <w:vAlign w:val="center"/>
          </w:tcPr>
          <w:p>
            <w:pPr>
              <w:widowControl/>
              <w:spacing w:line="240" w:lineRule="exact"/>
              <w:jc w:val="center"/>
              <w:rPr>
                <w:rFonts w:eastAsia="仿宋_GB2312"/>
                <w:color w:val="auto"/>
                <w:kern w:val="0"/>
              </w:rPr>
            </w:pPr>
            <w:r>
              <w:rPr>
                <w:rFonts w:eastAsia="仿宋_GB2312"/>
                <w:color w:val="auto"/>
                <w:kern w:val="0"/>
              </w:rPr>
              <w:t>分值</w:t>
            </w:r>
          </w:p>
        </w:tc>
        <w:tc>
          <w:tcPr>
            <w:tcW w:w="750" w:type="dxa"/>
            <w:gridSpan w:val="2"/>
            <w:tcBorders>
              <w:tl2br w:val="nil"/>
              <w:tr2bl w:val="nil"/>
            </w:tcBorders>
            <w:noWrap w:val="0"/>
            <w:vAlign w:val="center"/>
          </w:tcPr>
          <w:p>
            <w:pPr>
              <w:widowControl/>
              <w:spacing w:line="240" w:lineRule="exact"/>
              <w:jc w:val="center"/>
              <w:rPr>
                <w:rFonts w:eastAsia="仿宋_GB2312"/>
                <w:color w:val="auto"/>
                <w:kern w:val="0"/>
              </w:rPr>
            </w:pPr>
            <w:r>
              <w:rPr>
                <w:rFonts w:eastAsia="仿宋_GB2312"/>
                <w:color w:val="auto"/>
                <w:kern w:val="0"/>
              </w:rPr>
              <w:t>得分</w:t>
            </w:r>
          </w:p>
        </w:tc>
        <w:tc>
          <w:tcPr>
            <w:tcW w:w="1582" w:type="dxa"/>
            <w:gridSpan w:val="2"/>
            <w:tcBorders>
              <w:tl2br w:val="nil"/>
              <w:tr2bl w:val="nil"/>
            </w:tcBorders>
            <w:noWrap w:val="0"/>
            <w:vAlign w:val="center"/>
          </w:tcPr>
          <w:p>
            <w:pPr>
              <w:widowControl/>
              <w:spacing w:line="240" w:lineRule="exact"/>
              <w:jc w:val="center"/>
              <w:rPr>
                <w:rFonts w:eastAsia="仿宋_GB2312"/>
                <w:color w:val="auto"/>
                <w:kern w:val="0"/>
              </w:rPr>
            </w:pPr>
            <w:r>
              <w:rPr>
                <w:rFonts w:eastAsia="仿宋_GB2312"/>
                <w:color w:val="auto"/>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1326" w:type="dxa"/>
            <w:vMerge w:val="restart"/>
            <w:tcBorders>
              <w:tl2br w:val="nil"/>
              <w:tr2bl w:val="nil"/>
            </w:tcBorders>
            <w:noWrap w:val="0"/>
            <w:vAlign w:val="center"/>
          </w:tcPr>
          <w:p>
            <w:pPr>
              <w:widowControl/>
              <w:jc w:val="center"/>
              <w:rPr>
                <w:rFonts w:eastAsia="仿宋_GB2312"/>
                <w:color w:val="auto"/>
                <w:kern w:val="0"/>
              </w:rPr>
            </w:pPr>
            <w:r>
              <w:rPr>
                <w:rFonts w:eastAsia="仿宋_GB2312"/>
                <w:color w:val="auto"/>
                <w:kern w:val="0"/>
              </w:rPr>
              <w:t>产出指标</w:t>
            </w:r>
          </w:p>
          <w:p>
            <w:pPr>
              <w:widowControl/>
              <w:jc w:val="center"/>
              <w:rPr>
                <w:rFonts w:eastAsia="仿宋_GB2312"/>
                <w:color w:val="auto"/>
                <w:kern w:val="0"/>
              </w:rPr>
            </w:pPr>
            <w:r>
              <w:rPr>
                <w:rFonts w:eastAsia="仿宋_GB2312"/>
                <w:color w:val="auto"/>
                <w:kern w:val="0"/>
              </w:rPr>
              <w:t>(</w:t>
            </w:r>
            <w:r>
              <w:rPr>
                <w:rFonts w:hint="eastAsia" w:eastAsia="仿宋_GB2312"/>
                <w:color w:val="auto"/>
                <w:kern w:val="0"/>
                <w:lang w:val="en-US" w:eastAsia="zh-CN"/>
              </w:rPr>
              <w:t>40</w:t>
            </w:r>
            <w:r>
              <w:rPr>
                <w:rFonts w:ascii="仿宋_GB2312" w:hAnsi="仿宋_GB2312" w:eastAsia="仿宋_GB2312"/>
                <w:color w:val="auto"/>
                <w:kern w:val="0"/>
              </w:rPr>
              <w:t>分</w:t>
            </w:r>
            <w:r>
              <w:rPr>
                <w:rFonts w:eastAsia="仿宋_GB2312"/>
                <w:color w:val="auto"/>
                <w:kern w:val="0"/>
              </w:rPr>
              <w:t>)</w:t>
            </w:r>
          </w:p>
        </w:tc>
        <w:tc>
          <w:tcPr>
            <w:tcW w:w="1695" w:type="dxa"/>
            <w:tcBorders>
              <w:tl2br w:val="nil"/>
              <w:tr2bl w:val="nil"/>
            </w:tcBorders>
            <w:noWrap w:val="0"/>
            <w:vAlign w:val="center"/>
          </w:tcPr>
          <w:p>
            <w:pPr>
              <w:widowControl/>
              <w:jc w:val="center"/>
              <w:rPr>
                <w:rFonts w:eastAsia="仿宋_GB2312"/>
                <w:color w:val="auto"/>
                <w:kern w:val="0"/>
              </w:rPr>
            </w:pPr>
            <w:r>
              <w:rPr>
                <w:rFonts w:ascii="仿宋_GB2312" w:hAnsi="仿宋_GB2312"/>
                <w:color w:val="000000"/>
                <w:kern w:val="0"/>
              </w:rPr>
              <w:t>数量指标</w:t>
            </w:r>
          </w:p>
        </w:tc>
        <w:tc>
          <w:tcPr>
            <w:tcW w:w="1950" w:type="dxa"/>
            <w:gridSpan w:val="2"/>
            <w:tcBorders>
              <w:tl2br w:val="nil"/>
              <w:tr2bl w:val="nil"/>
            </w:tcBorders>
            <w:noWrap w:val="0"/>
            <w:vAlign w:val="center"/>
          </w:tcPr>
          <w:p>
            <w:pPr>
              <w:widowControl/>
              <w:jc w:val="center"/>
              <w:rPr>
                <w:rFonts w:ascii="Times New Roman" w:hAnsi="Times New Roman" w:eastAsia="仿宋_GB2312" w:cs="Times New Roman"/>
                <w:color w:val="auto"/>
                <w:kern w:val="0"/>
              </w:rPr>
            </w:pPr>
            <w:r>
              <w:rPr>
                <w:rFonts w:hint="eastAsia" w:ascii="Times New Roman" w:hAnsi="Times New Roman" w:eastAsia="仿宋_GB2312" w:cs="Times New Roman"/>
                <w:color w:val="auto"/>
                <w:kern w:val="0"/>
                <w:lang w:val="en-US" w:eastAsia="zh-CN"/>
              </w:rPr>
              <w:t>文稿服务优质输出</w:t>
            </w:r>
          </w:p>
        </w:tc>
        <w:tc>
          <w:tcPr>
            <w:tcW w:w="1095" w:type="dxa"/>
            <w:gridSpan w:val="2"/>
            <w:tcBorders>
              <w:tl2br w:val="nil"/>
              <w:tr2bl w:val="nil"/>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微软雅黑" w:hAnsi="微软雅黑" w:eastAsia="微软雅黑" w:cs="微软雅黑"/>
                <w:i w:val="0"/>
                <w:iCs w:val="0"/>
                <w:color w:val="000000"/>
                <w:kern w:val="0"/>
                <w:sz w:val="20"/>
                <w:szCs w:val="20"/>
                <w:u w:val="none"/>
                <w:lang w:val="en-US" w:eastAsia="zh-CN" w:bidi="ar"/>
              </w:rPr>
              <w:t>200</w:t>
            </w:r>
            <w:r>
              <w:rPr>
                <w:rFonts w:hint="eastAsia" w:ascii="仿宋_GB2312" w:hAnsi="宋体" w:eastAsia="仿宋_GB2312" w:cs="仿宋_GB2312"/>
                <w:i w:val="0"/>
                <w:iCs w:val="0"/>
                <w:color w:val="000000"/>
                <w:kern w:val="0"/>
                <w:sz w:val="20"/>
                <w:szCs w:val="20"/>
                <w:u w:val="none"/>
                <w:lang w:val="en-US" w:eastAsia="zh-CN" w:bidi="ar"/>
              </w:rPr>
              <w:t>篇</w:t>
            </w:r>
          </w:p>
        </w:tc>
        <w:tc>
          <w:tcPr>
            <w:tcW w:w="1050" w:type="dxa"/>
            <w:gridSpan w:val="2"/>
            <w:tcBorders>
              <w:tl2br w:val="nil"/>
              <w:tr2bl w:val="nil"/>
            </w:tcBorders>
            <w:noWrap w:val="0"/>
            <w:vAlign w:val="center"/>
          </w:tcPr>
          <w:p>
            <w:pPr>
              <w:keepNext w:val="0"/>
              <w:keepLines w:val="0"/>
              <w:widowControl/>
              <w:suppressLineNumbers w:val="0"/>
              <w:jc w:val="center"/>
              <w:textAlignment w:val="center"/>
              <w:rPr>
                <w:rFonts w:eastAsia="仿宋_GB2312"/>
                <w:color w:val="auto"/>
                <w:kern w:val="0"/>
              </w:rPr>
            </w:pPr>
            <w:r>
              <w:rPr>
                <w:rFonts w:hint="eastAsia" w:ascii="微软雅黑" w:hAnsi="微软雅黑" w:eastAsia="微软雅黑" w:cs="微软雅黑"/>
                <w:i w:val="0"/>
                <w:iCs w:val="0"/>
                <w:color w:val="000000"/>
                <w:kern w:val="0"/>
                <w:sz w:val="20"/>
                <w:szCs w:val="20"/>
                <w:u w:val="none"/>
                <w:lang w:val="en-US" w:eastAsia="zh-CN" w:bidi="ar"/>
              </w:rPr>
              <w:t>≥300</w:t>
            </w:r>
            <w:r>
              <w:rPr>
                <w:rFonts w:hint="eastAsia" w:ascii="仿宋_GB2312" w:hAnsi="宋体" w:eastAsia="仿宋_GB2312" w:cs="仿宋_GB2312"/>
                <w:i w:val="0"/>
                <w:iCs w:val="0"/>
                <w:color w:val="000000"/>
                <w:kern w:val="0"/>
                <w:sz w:val="20"/>
                <w:szCs w:val="20"/>
                <w:u w:val="none"/>
                <w:lang w:val="en-US" w:eastAsia="zh-CN" w:bidi="ar"/>
              </w:rPr>
              <w:t>篇</w:t>
            </w:r>
          </w:p>
        </w:tc>
        <w:tc>
          <w:tcPr>
            <w:tcW w:w="659" w:type="dxa"/>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50" w:type="dxa"/>
            <w:gridSpan w:val="2"/>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1582" w:type="dxa"/>
            <w:gridSpan w:val="2"/>
            <w:tcBorders>
              <w:tl2br w:val="nil"/>
              <w:tr2bl w:val="nil"/>
            </w:tcBorders>
            <w:noWrap w:val="0"/>
            <w:vAlign w:val="center"/>
          </w:tcPr>
          <w:p>
            <w:pPr>
              <w:widowControl/>
              <w:jc w:val="both"/>
              <w:rPr>
                <w:rFonts w:hint="eastAsia" w:ascii="宋体" w:hAnsi="Times New Roman" w:eastAsia="宋体" w:cs="Times New Roman"/>
                <w:color w:val="auto"/>
                <w:kern w:val="0"/>
                <w:sz w:val="18"/>
                <w:szCs w:val="18"/>
                <w:lang w:val="en-US" w:eastAsia="zh-CN"/>
              </w:rPr>
            </w:pPr>
            <w:r>
              <w:rPr>
                <w:rFonts w:hint="eastAsia" w:ascii="宋体" w:hAnsi="Times New Roman" w:eastAsia="宋体" w:cs="Times New Roman"/>
                <w:color w:val="auto"/>
                <w:kern w:val="0"/>
                <w:sz w:val="18"/>
                <w:szCs w:val="18"/>
                <w:lang w:val="en-US" w:eastAsia="zh-CN"/>
              </w:rPr>
              <w:t>文稿服务质量有待继续提高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1326" w:type="dxa"/>
            <w:vMerge w:val="continue"/>
            <w:tcBorders>
              <w:tl2br w:val="nil"/>
              <w:tr2bl w:val="nil"/>
            </w:tcBorders>
            <w:noWrap w:val="0"/>
            <w:vAlign w:val="center"/>
          </w:tcPr>
          <w:p>
            <w:pPr>
              <w:widowControl/>
              <w:jc w:val="left"/>
              <w:rPr>
                <w:rFonts w:eastAsia="仿宋_GB2312"/>
                <w:color w:val="auto"/>
                <w:kern w:val="0"/>
              </w:rPr>
            </w:pPr>
          </w:p>
        </w:tc>
        <w:tc>
          <w:tcPr>
            <w:tcW w:w="1695" w:type="dxa"/>
            <w:tcBorders>
              <w:tl2br w:val="nil"/>
              <w:tr2bl w:val="nil"/>
            </w:tcBorders>
            <w:noWrap w:val="0"/>
            <w:vAlign w:val="center"/>
          </w:tcPr>
          <w:p>
            <w:pPr>
              <w:widowControl/>
              <w:jc w:val="center"/>
              <w:rPr>
                <w:rFonts w:eastAsia="仿宋_GB2312"/>
                <w:color w:val="auto"/>
                <w:kern w:val="0"/>
              </w:rPr>
            </w:pPr>
            <w:r>
              <w:rPr>
                <w:rFonts w:eastAsia="仿宋_GB2312"/>
                <w:color w:val="auto"/>
                <w:kern w:val="0"/>
              </w:rPr>
              <w:t>质量指标</w:t>
            </w:r>
          </w:p>
        </w:tc>
        <w:tc>
          <w:tcPr>
            <w:tcW w:w="195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综合调研成果丰硕</w:t>
            </w:r>
          </w:p>
        </w:tc>
        <w:tc>
          <w:tcPr>
            <w:tcW w:w="1095" w:type="dxa"/>
            <w:gridSpan w:val="2"/>
            <w:tcBorders>
              <w:tl2br w:val="nil"/>
              <w:tr2bl w:val="nil"/>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eastAsia" w:ascii="微软雅黑" w:hAnsi="微软雅黑" w:eastAsia="微软雅黑" w:cs="微软雅黑"/>
                <w:i w:val="0"/>
                <w:iCs w:val="0"/>
                <w:color w:val="000000"/>
                <w:kern w:val="0"/>
                <w:sz w:val="20"/>
                <w:szCs w:val="20"/>
                <w:u w:val="none"/>
                <w:lang w:val="en-US" w:eastAsia="zh-CN" w:bidi="ar"/>
              </w:rPr>
              <w:t>4</w:t>
            </w:r>
            <w:r>
              <w:rPr>
                <w:rFonts w:hint="eastAsia" w:ascii="仿宋_GB2312" w:hAnsi="宋体" w:eastAsia="仿宋_GB2312" w:cs="仿宋_GB2312"/>
                <w:i w:val="0"/>
                <w:iCs w:val="0"/>
                <w:color w:val="000000"/>
                <w:kern w:val="0"/>
                <w:sz w:val="20"/>
                <w:szCs w:val="20"/>
                <w:u w:val="none"/>
                <w:lang w:val="en-US" w:eastAsia="zh-CN" w:bidi="ar"/>
              </w:rPr>
              <w:t>篇</w:t>
            </w:r>
          </w:p>
        </w:tc>
        <w:tc>
          <w:tcPr>
            <w:tcW w:w="1050" w:type="dxa"/>
            <w:gridSpan w:val="2"/>
            <w:tcBorders>
              <w:tl2br w:val="nil"/>
              <w:tr2bl w:val="nil"/>
            </w:tcBorders>
            <w:noWrap w:val="0"/>
            <w:vAlign w:val="center"/>
          </w:tcPr>
          <w:p>
            <w:pPr>
              <w:keepNext w:val="0"/>
              <w:keepLines w:val="0"/>
              <w:widowControl/>
              <w:suppressLineNumbers w:val="0"/>
              <w:jc w:val="center"/>
              <w:textAlignment w:val="center"/>
              <w:rPr>
                <w:rFonts w:hint="default" w:eastAsia="仿宋_GB2312"/>
                <w:color w:val="auto"/>
                <w:kern w:val="0"/>
                <w:sz w:val="21"/>
                <w:szCs w:val="21"/>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≥4</w:t>
            </w:r>
            <w:r>
              <w:rPr>
                <w:rFonts w:hint="eastAsia" w:ascii="仿宋_GB2312" w:hAnsi="宋体" w:eastAsia="仿宋_GB2312" w:cs="仿宋_GB2312"/>
                <w:i w:val="0"/>
                <w:iCs w:val="0"/>
                <w:color w:val="000000"/>
                <w:kern w:val="0"/>
                <w:sz w:val="20"/>
                <w:szCs w:val="20"/>
                <w:u w:val="none"/>
                <w:lang w:val="en-US" w:eastAsia="zh-CN" w:bidi="ar"/>
              </w:rPr>
              <w:t>篇</w:t>
            </w:r>
          </w:p>
        </w:tc>
        <w:tc>
          <w:tcPr>
            <w:tcW w:w="659" w:type="dxa"/>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w:t>
            </w:r>
          </w:p>
        </w:tc>
        <w:tc>
          <w:tcPr>
            <w:tcW w:w="750" w:type="dxa"/>
            <w:gridSpan w:val="2"/>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582" w:type="dxa"/>
            <w:gridSpan w:val="2"/>
            <w:tcBorders>
              <w:tl2br w:val="nil"/>
              <w:tr2bl w:val="nil"/>
            </w:tcBorders>
            <w:noWrap w:val="0"/>
            <w:vAlign w:val="center"/>
          </w:tcPr>
          <w:p>
            <w:pPr>
              <w:widowControl/>
              <w:jc w:val="both"/>
              <w:rPr>
                <w:rFonts w:hint="eastAsia" w:eastAsia="仿宋_GB2312"/>
                <w:color w:val="auto"/>
                <w:kern w:val="0"/>
                <w:lang w:val="en-US" w:eastAsia="zh-CN"/>
              </w:rPr>
            </w:pPr>
            <w:r>
              <w:rPr>
                <w:rFonts w:hint="eastAsia" w:ascii="宋体" w:cs="Times New Roman"/>
                <w:color w:val="auto"/>
                <w:kern w:val="0"/>
                <w:sz w:val="18"/>
                <w:szCs w:val="18"/>
                <w:lang w:val="en-US" w:eastAsia="zh-CN"/>
              </w:rPr>
              <w:t>外出调研不够，需深入开展调研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1326" w:type="dxa"/>
            <w:vMerge w:val="continue"/>
            <w:tcBorders>
              <w:tl2br w:val="nil"/>
              <w:tr2bl w:val="nil"/>
            </w:tcBorders>
            <w:noWrap w:val="0"/>
            <w:vAlign w:val="center"/>
          </w:tcPr>
          <w:p>
            <w:pPr>
              <w:widowControl/>
              <w:jc w:val="left"/>
              <w:rPr>
                <w:rFonts w:eastAsia="仿宋_GB2312"/>
                <w:color w:val="auto"/>
                <w:kern w:val="0"/>
              </w:rPr>
            </w:pPr>
          </w:p>
        </w:tc>
        <w:tc>
          <w:tcPr>
            <w:tcW w:w="1695" w:type="dxa"/>
            <w:tcBorders>
              <w:tl2br w:val="nil"/>
              <w:tr2bl w:val="nil"/>
            </w:tcBorders>
            <w:noWrap w:val="0"/>
            <w:vAlign w:val="center"/>
          </w:tcPr>
          <w:p>
            <w:pPr>
              <w:widowControl/>
              <w:jc w:val="center"/>
              <w:rPr>
                <w:rFonts w:eastAsia="仿宋_GB2312"/>
                <w:color w:val="auto"/>
                <w:kern w:val="0"/>
              </w:rPr>
            </w:pPr>
            <w:r>
              <w:rPr>
                <w:rFonts w:eastAsia="仿宋_GB2312"/>
                <w:color w:val="auto"/>
                <w:kern w:val="0"/>
              </w:rPr>
              <w:t>时效指标</w:t>
            </w:r>
          </w:p>
        </w:tc>
        <w:tc>
          <w:tcPr>
            <w:tcW w:w="1950" w:type="dxa"/>
            <w:gridSpan w:val="2"/>
            <w:tcBorders>
              <w:tl2br w:val="nil"/>
              <w:tr2bl w:val="nil"/>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完成支出及时率</w:t>
            </w:r>
          </w:p>
        </w:tc>
        <w:tc>
          <w:tcPr>
            <w:tcW w:w="1095" w:type="dxa"/>
            <w:gridSpan w:val="2"/>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50" w:type="dxa"/>
            <w:gridSpan w:val="2"/>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59" w:type="dxa"/>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50" w:type="dxa"/>
            <w:gridSpan w:val="2"/>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582" w:type="dxa"/>
            <w:gridSpan w:val="2"/>
            <w:tcBorders>
              <w:tl2br w:val="nil"/>
              <w:tr2bl w:val="nil"/>
            </w:tcBorders>
            <w:noWrap w:val="0"/>
            <w:vAlign w:val="center"/>
          </w:tcPr>
          <w:p>
            <w:pPr>
              <w:widowControl/>
              <w:jc w:val="left"/>
              <w:rPr>
                <w:rFonts w:eastAsia="仿宋_GB2312"/>
                <w:color w:val="auto"/>
                <w:kern w:val="0"/>
              </w:rPr>
            </w:pPr>
            <w:r>
              <w:rPr>
                <w:rFonts w:eastAsia="仿宋_GB2312"/>
                <w:color w:val="auto"/>
                <w:kern w:val="0"/>
              </w:rPr>
              <w:t>　</w:t>
            </w:r>
          </w:p>
          <w:p>
            <w:pPr>
              <w:widowControl/>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1326" w:type="dxa"/>
            <w:vMerge w:val="restart"/>
            <w:noWrap w:val="0"/>
            <w:vAlign w:val="center"/>
          </w:tcPr>
          <w:p>
            <w:pPr>
              <w:widowControl/>
              <w:jc w:val="center"/>
              <w:rPr>
                <w:rFonts w:ascii="Times New Roman" w:hAnsi="Times New Roman" w:eastAsia="仿宋_GB2312" w:cs="Times New Roman"/>
                <w:color w:val="auto"/>
                <w:kern w:val="0"/>
              </w:rPr>
            </w:pPr>
            <w:r>
              <w:rPr>
                <w:rFonts w:ascii="Times New Roman" w:hAnsi="Times New Roman" w:eastAsia="仿宋_GB2312" w:cs="Times New Roman"/>
                <w:color w:val="auto"/>
                <w:kern w:val="0"/>
              </w:rPr>
              <w:t>效益指标</w:t>
            </w:r>
          </w:p>
          <w:p>
            <w:pPr>
              <w:widowControl/>
              <w:jc w:val="center"/>
              <w:rPr>
                <w:rFonts w:ascii="Times New Roman" w:hAnsi="Times New Roman" w:eastAsia="仿宋_GB2312" w:cs="Times New Roman"/>
                <w:color w:val="auto"/>
                <w:kern w:val="0"/>
              </w:rPr>
            </w:pPr>
            <w:r>
              <w:rPr>
                <w:rFonts w:ascii="Times New Roman" w:hAnsi="Times New Roman" w:eastAsia="仿宋_GB2312" w:cs="Times New Roman"/>
                <w:color w:val="auto"/>
                <w:kern w:val="0"/>
              </w:rPr>
              <w:t xml:space="preserve">（30分） </w:t>
            </w:r>
          </w:p>
        </w:tc>
        <w:tc>
          <w:tcPr>
            <w:tcW w:w="1695" w:type="dxa"/>
            <w:noWrap w:val="0"/>
            <w:vAlign w:val="center"/>
          </w:tcPr>
          <w:p>
            <w:pPr>
              <w:widowControl/>
              <w:jc w:val="center"/>
              <w:rPr>
                <w:rFonts w:eastAsia="仿宋_GB2312"/>
                <w:color w:val="auto"/>
                <w:kern w:val="0"/>
              </w:rPr>
            </w:pPr>
            <w:r>
              <w:rPr>
                <w:rFonts w:eastAsia="仿宋_GB2312"/>
                <w:color w:val="auto"/>
                <w:kern w:val="0"/>
              </w:rPr>
              <w:t>经济效益指标</w:t>
            </w:r>
          </w:p>
        </w:tc>
        <w:tc>
          <w:tcPr>
            <w:tcW w:w="1950" w:type="dxa"/>
            <w:gridSpan w:val="2"/>
            <w:noWrap w:val="0"/>
            <w:vAlign w:val="center"/>
          </w:tcPr>
          <w:p>
            <w:pPr>
              <w:widowControl/>
              <w:jc w:val="center"/>
              <w:rPr>
                <w:rFonts w:hint="default"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促进县域经济社会发展</w:t>
            </w:r>
          </w:p>
        </w:tc>
        <w:tc>
          <w:tcPr>
            <w:tcW w:w="1095" w:type="dxa"/>
            <w:gridSpan w:val="2"/>
            <w:noWrap w:val="0"/>
            <w:vAlign w:val="center"/>
          </w:tcPr>
          <w:p>
            <w:pPr>
              <w:keepNext w:val="0"/>
              <w:keepLines w:val="0"/>
              <w:widowControl/>
              <w:suppressLineNumbers w:val="0"/>
              <w:jc w:val="center"/>
              <w:textAlignment w:val="center"/>
              <w:rPr>
                <w:rFonts w:hint="default" w:ascii="宋体"/>
                <w:color w:val="auto"/>
                <w:kern w:val="0"/>
                <w:lang w:val="en-US" w:eastAsia="zh-CN"/>
              </w:rPr>
            </w:pPr>
            <w:r>
              <w:rPr>
                <w:rFonts w:hint="eastAsia" w:ascii="仿宋_GB2312" w:hAnsi="宋体" w:eastAsia="仿宋_GB2312" w:cs="仿宋_GB2312"/>
                <w:i w:val="0"/>
                <w:iCs w:val="0"/>
                <w:color w:val="000000"/>
                <w:kern w:val="0"/>
                <w:sz w:val="20"/>
                <w:szCs w:val="20"/>
                <w:u w:val="none"/>
                <w:lang w:val="en-US" w:eastAsia="zh-CN" w:bidi="ar"/>
              </w:rPr>
              <w:t>成效明显</w:t>
            </w:r>
          </w:p>
        </w:tc>
        <w:tc>
          <w:tcPr>
            <w:tcW w:w="1050"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olor w:val="auto"/>
                <w:kern w:val="0"/>
                <w:lang w:val="en-US" w:eastAsia="zh-CN"/>
              </w:rPr>
            </w:pPr>
            <w:r>
              <w:rPr>
                <w:rFonts w:hint="eastAsia" w:ascii="仿宋_GB2312" w:hAnsi="宋体" w:eastAsia="仿宋_GB2312" w:cs="仿宋_GB2312"/>
                <w:i w:val="0"/>
                <w:iCs w:val="0"/>
                <w:color w:val="000000"/>
                <w:kern w:val="0"/>
                <w:sz w:val="20"/>
                <w:szCs w:val="20"/>
                <w:u w:val="none"/>
                <w:lang w:val="en-US" w:eastAsia="zh-CN" w:bidi="ar"/>
              </w:rPr>
              <w:t>成效明显</w:t>
            </w:r>
          </w:p>
        </w:tc>
        <w:tc>
          <w:tcPr>
            <w:tcW w:w="659" w:type="dxa"/>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750" w:type="dxa"/>
            <w:gridSpan w:val="2"/>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1582" w:type="dxa"/>
            <w:gridSpan w:val="2"/>
            <w:tcBorders>
              <w:tl2br w:val="nil"/>
              <w:tr2bl w:val="nil"/>
            </w:tcBorders>
            <w:noWrap w:val="0"/>
            <w:vAlign w:val="center"/>
          </w:tcPr>
          <w:p>
            <w:pPr>
              <w:widowControl/>
              <w:jc w:val="both"/>
              <w:rPr>
                <w:rFonts w:ascii="Times New Roman" w:hAnsi="Times New Roman" w:eastAsia="仿宋_GB2312"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1326" w:type="dxa"/>
            <w:vMerge w:val="continue"/>
            <w:tcBorders>
              <w:tl2br w:val="nil"/>
              <w:tr2bl w:val="nil"/>
            </w:tcBorders>
            <w:noWrap w:val="0"/>
            <w:vAlign w:val="center"/>
          </w:tcPr>
          <w:p>
            <w:pPr>
              <w:widowControl/>
              <w:jc w:val="left"/>
              <w:rPr>
                <w:rFonts w:eastAsia="仿宋_GB2312"/>
                <w:color w:val="auto"/>
                <w:kern w:val="0"/>
              </w:rPr>
            </w:pPr>
          </w:p>
        </w:tc>
        <w:tc>
          <w:tcPr>
            <w:tcW w:w="1695" w:type="dxa"/>
            <w:tcBorders>
              <w:tl2br w:val="nil"/>
              <w:tr2bl w:val="nil"/>
            </w:tcBorders>
            <w:noWrap w:val="0"/>
            <w:vAlign w:val="center"/>
          </w:tcPr>
          <w:p>
            <w:pPr>
              <w:widowControl/>
              <w:jc w:val="center"/>
              <w:rPr>
                <w:rFonts w:eastAsia="仿宋_GB2312"/>
                <w:color w:val="auto"/>
                <w:kern w:val="0"/>
              </w:rPr>
            </w:pPr>
            <w:r>
              <w:rPr>
                <w:rFonts w:eastAsia="仿宋_GB2312"/>
                <w:color w:val="auto"/>
                <w:kern w:val="0"/>
              </w:rPr>
              <w:t>社会效益指标</w:t>
            </w:r>
          </w:p>
        </w:tc>
        <w:tc>
          <w:tcPr>
            <w:tcW w:w="1950" w:type="dxa"/>
            <w:gridSpan w:val="2"/>
            <w:tcBorders>
              <w:tl2br w:val="nil"/>
              <w:tr2bl w:val="nil"/>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促进取得良好社会效益</w:t>
            </w:r>
          </w:p>
        </w:tc>
        <w:tc>
          <w:tcPr>
            <w:tcW w:w="1095"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olor w:val="auto"/>
                <w:kern w:val="0"/>
                <w:lang w:val="en-US" w:eastAsia="zh-CN"/>
              </w:rPr>
            </w:pPr>
            <w:r>
              <w:rPr>
                <w:rFonts w:hint="eastAsia" w:ascii="仿宋_GB2312" w:hAnsi="宋体" w:eastAsia="仿宋_GB2312" w:cs="仿宋_GB2312"/>
                <w:i w:val="0"/>
                <w:iCs w:val="0"/>
                <w:color w:val="000000"/>
                <w:kern w:val="0"/>
                <w:sz w:val="20"/>
                <w:szCs w:val="20"/>
                <w:u w:val="none"/>
                <w:lang w:val="en-US" w:eastAsia="zh-CN" w:bidi="ar"/>
              </w:rPr>
              <w:t>成效明显</w:t>
            </w:r>
          </w:p>
        </w:tc>
        <w:tc>
          <w:tcPr>
            <w:tcW w:w="1050"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color w:val="auto"/>
                <w:kern w:val="0"/>
                <w:lang w:val="en-US" w:eastAsia="zh-CN"/>
              </w:rPr>
            </w:pPr>
            <w:r>
              <w:rPr>
                <w:rFonts w:hint="eastAsia" w:ascii="仿宋_GB2312" w:hAnsi="宋体" w:eastAsia="仿宋_GB2312" w:cs="仿宋_GB2312"/>
                <w:i w:val="0"/>
                <w:iCs w:val="0"/>
                <w:color w:val="000000"/>
                <w:kern w:val="0"/>
                <w:sz w:val="20"/>
                <w:szCs w:val="20"/>
                <w:u w:val="none"/>
                <w:lang w:val="en-US" w:eastAsia="zh-CN" w:bidi="ar"/>
              </w:rPr>
              <w:t>成效明显</w:t>
            </w:r>
          </w:p>
        </w:tc>
        <w:tc>
          <w:tcPr>
            <w:tcW w:w="659" w:type="dxa"/>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750" w:type="dxa"/>
            <w:gridSpan w:val="2"/>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582" w:type="dxa"/>
            <w:gridSpan w:val="2"/>
            <w:tcBorders>
              <w:tl2br w:val="nil"/>
              <w:tr2bl w:val="nil"/>
            </w:tcBorders>
            <w:noWrap w:val="0"/>
            <w:vAlign w:val="center"/>
          </w:tcPr>
          <w:p>
            <w:pPr>
              <w:widowControl/>
              <w:jc w:val="both"/>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1326" w:type="dxa"/>
            <w:vMerge w:val="continue"/>
            <w:tcBorders>
              <w:tl2br w:val="nil"/>
              <w:tr2bl w:val="nil"/>
            </w:tcBorders>
            <w:noWrap w:val="0"/>
            <w:vAlign w:val="center"/>
          </w:tcPr>
          <w:p>
            <w:pPr>
              <w:widowControl/>
              <w:jc w:val="left"/>
              <w:rPr>
                <w:rFonts w:eastAsia="仿宋_GB2312"/>
                <w:color w:val="auto"/>
                <w:kern w:val="0"/>
              </w:rPr>
            </w:pPr>
          </w:p>
        </w:tc>
        <w:tc>
          <w:tcPr>
            <w:tcW w:w="1695" w:type="dxa"/>
            <w:tcBorders>
              <w:tl2br w:val="nil"/>
              <w:tr2bl w:val="nil"/>
            </w:tcBorders>
            <w:noWrap w:val="0"/>
            <w:vAlign w:val="center"/>
          </w:tcPr>
          <w:p>
            <w:pPr>
              <w:widowControl/>
              <w:jc w:val="center"/>
              <w:rPr>
                <w:rFonts w:eastAsia="仿宋_GB2312"/>
                <w:color w:val="auto"/>
                <w:kern w:val="0"/>
              </w:rPr>
            </w:pPr>
            <w:r>
              <w:rPr>
                <w:rFonts w:eastAsia="仿宋_GB2312"/>
                <w:color w:val="auto"/>
                <w:kern w:val="0"/>
              </w:rPr>
              <w:t>生态效益指标</w:t>
            </w:r>
          </w:p>
        </w:tc>
        <w:tc>
          <w:tcPr>
            <w:tcW w:w="1950" w:type="dxa"/>
            <w:gridSpan w:val="2"/>
            <w:tcBorders>
              <w:tl2br w:val="nil"/>
              <w:tr2bl w:val="nil"/>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绿色办公</w:t>
            </w:r>
          </w:p>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绿色采购</w:t>
            </w:r>
          </w:p>
        </w:tc>
        <w:tc>
          <w:tcPr>
            <w:tcW w:w="1095" w:type="dxa"/>
            <w:gridSpan w:val="2"/>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eastAsia" w:ascii="仿宋_GB2312" w:hAnsi="宋体" w:eastAsia="仿宋_GB2312" w:cs="仿宋_GB2312"/>
                <w:i w:val="0"/>
                <w:iCs w:val="0"/>
                <w:color w:val="000000"/>
                <w:kern w:val="0"/>
                <w:sz w:val="20"/>
                <w:szCs w:val="20"/>
                <w:u w:val="none"/>
                <w:lang w:val="en-US" w:eastAsia="zh-CN" w:bidi="ar"/>
              </w:rPr>
              <w:t>节约水电、办公耗材</w:t>
            </w:r>
          </w:p>
        </w:tc>
        <w:tc>
          <w:tcPr>
            <w:tcW w:w="1050" w:type="dxa"/>
            <w:gridSpan w:val="2"/>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eastAsia" w:ascii="仿宋_GB2312" w:hAnsi="宋体" w:eastAsia="仿宋_GB2312" w:cs="仿宋_GB2312"/>
                <w:i w:val="0"/>
                <w:iCs w:val="0"/>
                <w:color w:val="000000"/>
                <w:kern w:val="0"/>
                <w:sz w:val="20"/>
                <w:szCs w:val="20"/>
                <w:u w:val="none"/>
                <w:lang w:val="en-US" w:eastAsia="zh-CN" w:bidi="ar"/>
              </w:rPr>
              <w:t>节约水电、办公耗材</w:t>
            </w:r>
          </w:p>
        </w:tc>
        <w:tc>
          <w:tcPr>
            <w:tcW w:w="659" w:type="dxa"/>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750" w:type="dxa"/>
            <w:gridSpan w:val="2"/>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582" w:type="dxa"/>
            <w:gridSpan w:val="2"/>
            <w:tcBorders>
              <w:tl2br w:val="nil"/>
              <w:tr2bl w:val="nil"/>
            </w:tcBorders>
            <w:noWrap w:val="0"/>
            <w:vAlign w:val="center"/>
          </w:tcPr>
          <w:p>
            <w:pPr>
              <w:widowControl/>
              <w:jc w:val="left"/>
              <w:rPr>
                <w:rFonts w:eastAsia="仿宋_GB2312"/>
                <w:color w:val="auto"/>
                <w:kern w:val="0"/>
              </w:rPr>
            </w:pPr>
            <w:r>
              <w:rPr>
                <w:rFonts w:eastAsia="仿宋_GB2312"/>
                <w:color w:val="auto"/>
                <w:kern w:val="0"/>
              </w:rPr>
              <w:t>　</w:t>
            </w:r>
          </w:p>
          <w:p>
            <w:pPr>
              <w:widowControl/>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1326" w:type="dxa"/>
            <w:vMerge w:val="continue"/>
            <w:tcBorders>
              <w:tl2br w:val="nil"/>
              <w:tr2bl w:val="nil"/>
            </w:tcBorders>
            <w:noWrap w:val="0"/>
            <w:vAlign w:val="center"/>
          </w:tcPr>
          <w:p>
            <w:pPr>
              <w:widowControl/>
              <w:jc w:val="left"/>
              <w:rPr>
                <w:rFonts w:eastAsia="仿宋_GB2312"/>
                <w:color w:val="auto"/>
                <w:kern w:val="0"/>
              </w:rPr>
            </w:pPr>
          </w:p>
        </w:tc>
        <w:tc>
          <w:tcPr>
            <w:tcW w:w="1695" w:type="dxa"/>
            <w:tcBorders>
              <w:tl2br w:val="nil"/>
              <w:tr2bl w:val="nil"/>
            </w:tcBorders>
            <w:noWrap w:val="0"/>
            <w:vAlign w:val="center"/>
          </w:tcPr>
          <w:p>
            <w:pPr>
              <w:widowControl/>
              <w:jc w:val="center"/>
              <w:rPr>
                <w:rFonts w:eastAsia="仿宋_GB2312"/>
                <w:color w:val="auto"/>
                <w:kern w:val="0"/>
              </w:rPr>
            </w:pPr>
            <w:r>
              <w:rPr>
                <w:rFonts w:eastAsia="仿宋_GB2312"/>
                <w:color w:val="auto"/>
                <w:kern w:val="0"/>
              </w:rPr>
              <w:t>可持续影响指标</w:t>
            </w:r>
          </w:p>
        </w:tc>
        <w:tc>
          <w:tcPr>
            <w:tcW w:w="1950" w:type="dxa"/>
            <w:gridSpan w:val="2"/>
            <w:tcBorders>
              <w:tl2br w:val="nil"/>
              <w:tr2bl w:val="nil"/>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干部培育长效机制健全性</w:t>
            </w:r>
          </w:p>
        </w:tc>
        <w:tc>
          <w:tcPr>
            <w:tcW w:w="1095" w:type="dxa"/>
            <w:gridSpan w:val="2"/>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明显</w:t>
            </w:r>
          </w:p>
          <w:p>
            <w:pPr>
              <w:keepNext w:val="0"/>
              <w:keepLines w:val="0"/>
              <w:widowControl/>
              <w:suppressLineNumbers w:val="0"/>
              <w:jc w:val="center"/>
              <w:textAlignment w:val="center"/>
              <w:rPr>
                <w:rFonts w:hint="default" w:ascii="宋体"/>
                <w:color w:val="auto"/>
                <w:kern w:val="0"/>
                <w:lang w:val="en-US" w:eastAsia="zh-CN"/>
              </w:rPr>
            </w:pPr>
            <w:r>
              <w:rPr>
                <w:rFonts w:hint="eastAsia" w:ascii="仿宋_GB2312" w:hAnsi="宋体" w:eastAsia="仿宋_GB2312" w:cs="仿宋_GB2312"/>
                <w:i w:val="0"/>
                <w:iCs w:val="0"/>
                <w:color w:val="000000"/>
                <w:kern w:val="0"/>
                <w:sz w:val="20"/>
                <w:szCs w:val="20"/>
                <w:u w:val="none"/>
                <w:lang w:val="en-US" w:eastAsia="zh-CN" w:bidi="ar"/>
              </w:rPr>
              <w:t>提高</w:t>
            </w:r>
          </w:p>
        </w:tc>
        <w:tc>
          <w:tcPr>
            <w:tcW w:w="1050" w:type="dxa"/>
            <w:gridSpan w:val="2"/>
            <w:tcBorders>
              <w:tl2br w:val="nil"/>
              <w:tr2bl w:val="nil"/>
            </w:tcBorders>
            <w:noWrap w:val="0"/>
            <w:vAlign w:val="center"/>
          </w:tcPr>
          <w:p>
            <w:pPr>
              <w:keepNext w:val="0"/>
              <w:keepLines w:val="0"/>
              <w:widowControl/>
              <w:suppressLineNumbers w:val="0"/>
              <w:jc w:val="center"/>
              <w:textAlignment w:val="center"/>
              <w:rPr>
                <w:rFonts w:hint="default" w:ascii="宋体"/>
                <w:color w:val="auto"/>
                <w:kern w:val="0"/>
                <w:lang w:val="en-US" w:eastAsia="zh-CN"/>
              </w:rPr>
            </w:pPr>
            <w:r>
              <w:rPr>
                <w:rFonts w:hint="eastAsia" w:ascii="仿宋_GB2312" w:hAnsi="宋体" w:eastAsia="仿宋_GB2312" w:cs="仿宋_GB2312"/>
                <w:i w:val="0"/>
                <w:iCs w:val="0"/>
                <w:color w:val="000000"/>
                <w:kern w:val="0"/>
                <w:sz w:val="20"/>
                <w:szCs w:val="20"/>
                <w:u w:val="none"/>
                <w:lang w:val="en-US" w:eastAsia="zh-CN" w:bidi="ar"/>
              </w:rPr>
              <w:t>明显提高</w:t>
            </w:r>
          </w:p>
        </w:tc>
        <w:tc>
          <w:tcPr>
            <w:tcW w:w="659" w:type="dxa"/>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750" w:type="dxa"/>
            <w:gridSpan w:val="2"/>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w:t>
            </w:r>
          </w:p>
        </w:tc>
        <w:tc>
          <w:tcPr>
            <w:tcW w:w="1582" w:type="dxa"/>
            <w:gridSpan w:val="2"/>
            <w:tcBorders>
              <w:tl2br w:val="nil"/>
              <w:tr2bl w:val="nil"/>
            </w:tcBorders>
            <w:noWrap w:val="0"/>
            <w:vAlign w:val="center"/>
          </w:tcPr>
          <w:p>
            <w:pPr>
              <w:widowControl/>
              <w:jc w:val="both"/>
              <w:rPr>
                <w:rFonts w:hint="eastAsia" w:ascii="宋体" w:hAnsi="Times New Roman" w:eastAsia="宋体" w:cs="Times New Roman"/>
                <w:color w:val="auto"/>
                <w:kern w:val="0"/>
                <w:sz w:val="18"/>
                <w:szCs w:val="18"/>
                <w:lang w:val="en-US" w:eastAsia="zh-CN"/>
              </w:rPr>
            </w:pPr>
            <w:r>
              <w:rPr>
                <w:rFonts w:hint="eastAsia" w:ascii="宋体" w:hAnsi="Times New Roman" w:eastAsia="宋体" w:cs="Times New Roman"/>
                <w:color w:val="auto"/>
                <w:kern w:val="0"/>
                <w:sz w:val="16"/>
                <w:szCs w:val="16"/>
                <w:lang w:val="en-US" w:eastAsia="zh-CN"/>
              </w:rPr>
              <w:t>传帮带机制待完善助力提升干部成长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5" w:type="dxa"/>
            <w:vMerge w:val="continue"/>
            <w:tcBorders>
              <w:tl2br w:val="nil"/>
              <w:tr2bl w:val="nil"/>
            </w:tcBorders>
            <w:noWrap w:val="0"/>
            <w:vAlign w:val="center"/>
          </w:tcPr>
          <w:p>
            <w:pPr>
              <w:widowControl/>
              <w:jc w:val="left"/>
              <w:rPr>
                <w:rFonts w:eastAsia="仿宋_GB2312"/>
                <w:color w:val="auto"/>
                <w:kern w:val="0"/>
              </w:rPr>
            </w:pPr>
          </w:p>
        </w:tc>
        <w:tc>
          <w:tcPr>
            <w:tcW w:w="1326" w:type="dxa"/>
            <w:tcBorders>
              <w:tl2br w:val="nil"/>
              <w:tr2bl w:val="nil"/>
            </w:tcBorders>
            <w:noWrap w:val="0"/>
            <w:vAlign w:val="center"/>
          </w:tcPr>
          <w:p>
            <w:pPr>
              <w:widowControl/>
              <w:jc w:val="center"/>
              <w:rPr>
                <w:rFonts w:eastAsia="仿宋_GB2312"/>
                <w:color w:val="auto"/>
                <w:kern w:val="0"/>
              </w:rPr>
            </w:pPr>
            <w:r>
              <w:rPr>
                <w:rFonts w:eastAsia="仿宋_GB2312"/>
                <w:color w:val="auto"/>
                <w:kern w:val="0"/>
              </w:rPr>
              <w:t>满意度指标</w:t>
            </w:r>
          </w:p>
          <w:p>
            <w:pPr>
              <w:widowControl/>
              <w:jc w:val="center"/>
              <w:rPr>
                <w:rFonts w:eastAsia="仿宋_GB2312"/>
                <w:color w:val="auto"/>
                <w:kern w:val="0"/>
              </w:rPr>
            </w:pPr>
            <w:r>
              <w:rPr>
                <w:rFonts w:eastAsia="仿宋_GB2312"/>
                <w:color w:val="auto"/>
                <w:kern w:val="0"/>
              </w:rPr>
              <w:t>（10</w:t>
            </w:r>
            <w:r>
              <w:rPr>
                <w:rFonts w:ascii="仿宋_GB2312" w:hAnsi="仿宋_GB2312" w:eastAsia="仿宋_GB2312"/>
                <w:color w:val="auto"/>
                <w:kern w:val="0"/>
              </w:rPr>
              <w:t>分）</w:t>
            </w:r>
          </w:p>
        </w:tc>
        <w:tc>
          <w:tcPr>
            <w:tcW w:w="1695" w:type="dxa"/>
            <w:tcBorders>
              <w:tl2br w:val="nil"/>
              <w:tr2bl w:val="nil"/>
            </w:tcBorders>
            <w:noWrap w:val="0"/>
            <w:vAlign w:val="center"/>
          </w:tcPr>
          <w:p>
            <w:pPr>
              <w:widowControl/>
              <w:jc w:val="center"/>
              <w:rPr>
                <w:rFonts w:eastAsia="仿宋_GB2312"/>
                <w:color w:val="auto"/>
                <w:kern w:val="0"/>
              </w:rPr>
            </w:pPr>
            <w:r>
              <w:rPr>
                <w:rFonts w:eastAsia="仿宋_GB2312"/>
                <w:color w:val="auto"/>
                <w:kern w:val="0"/>
              </w:rPr>
              <w:t>服务对象</w:t>
            </w:r>
          </w:p>
          <w:p>
            <w:pPr>
              <w:widowControl/>
              <w:jc w:val="center"/>
              <w:rPr>
                <w:rFonts w:eastAsia="仿宋_GB2312"/>
                <w:color w:val="auto"/>
                <w:kern w:val="0"/>
              </w:rPr>
            </w:pPr>
            <w:r>
              <w:rPr>
                <w:rFonts w:eastAsia="仿宋_GB2312"/>
                <w:color w:val="auto"/>
                <w:kern w:val="0"/>
              </w:rPr>
              <w:t>满意度指标</w:t>
            </w:r>
          </w:p>
        </w:tc>
        <w:tc>
          <w:tcPr>
            <w:tcW w:w="1950" w:type="dxa"/>
            <w:gridSpan w:val="2"/>
            <w:tcBorders>
              <w:tl2br w:val="nil"/>
              <w:tr2bl w:val="nil"/>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服务对象满意度</w:t>
            </w:r>
          </w:p>
        </w:tc>
        <w:tc>
          <w:tcPr>
            <w:tcW w:w="1095" w:type="dxa"/>
            <w:gridSpan w:val="2"/>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95%</w:t>
            </w:r>
          </w:p>
        </w:tc>
        <w:tc>
          <w:tcPr>
            <w:tcW w:w="1050" w:type="dxa"/>
            <w:gridSpan w:val="2"/>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96%</w:t>
            </w:r>
          </w:p>
        </w:tc>
        <w:tc>
          <w:tcPr>
            <w:tcW w:w="659" w:type="dxa"/>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50" w:type="dxa"/>
            <w:gridSpan w:val="2"/>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582" w:type="dxa"/>
            <w:gridSpan w:val="2"/>
            <w:tcBorders>
              <w:tl2br w:val="nil"/>
              <w:tr2bl w:val="nil"/>
            </w:tcBorders>
            <w:noWrap w:val="0"/>
            <w:vAlign w:val="center"/>
          </w:tcPr>
          <w:p>
            <w:pPr>
              <w:widowControl/>
              <w:jc w:val="left"/>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75" w:type="dxa"/>
            <w:vMerge w:val="continue"/>
            <w:tcBorders>
              <w:tl2br w:val="nil"/>
              <w:tr2bl w:val="nil"/>
            </w:tcBorders>
            <w:noWrap w:val="0"/>
            <w:vAlign w:val="center"/>
          </w:tcPr>
          <w:p>
            <w:pPr>
              <w:jc w:val="center"/>
              <w:rPr>
                <w:color w:val="auto"/>
              </w:rPr>
            </w:pPr>
          </w:p>
        </w:tc>
        <w:tc>
          <w:tcPr>
            <w:tcW w:w="1326" w:type="dxa"/>
            <w:tcBorders>
              <w:tl2br w:val="nil"/>
              <w:tr2bl w:val="nil"/>
            </w:tcBorders>
            <w:noWrap w:val="0"/>
            <w:vAlign w:val="center"/>
          </w:tcPr>
          <w:p>
            <w:pPr>
              <w:widowControl/>
              <w:jc w:val="center"/>
              <w:rPr>
                <w:rFonts w:eastAsia="仿宋_GB2312"/>
                <w:color w:val="auto"/>
                <w:kern w:val="0"/>
              </w:rPr>
            </w:pPr>
            <w:r>
              <w:rPr>
                <w:rFonts w:hint="eastAsia" w:eastAsia="仿宋_GB2312"/>
                <w:color w:val="auto"/>
                <w:kern w:val="0"/>
                <w:lang w:eastAsia="zh-CN"/>
              </w:rPr>
              <w:t>成本</w:t>
            </w:r>
            <w:r>
              <w:rPr>
                <w:rFonts w:eastAsia="仿宋_GB2312"/>
                <w:color w:val="auto"/>
                <w:kern w:val="0"/>
              </w:rPr>
              <w:t>指标</w:t>
            </w:r>
          </w:p>
          <w:p>
            <w:pPr>
              <w:jc w:val="center"/>
              <w:rPr>
                <w:color w:val="auto"/>
              </w:rPr>
            </w:pPr>
            <w:r>
              <w:rPr>
                <w:rFonts w:eastAsia="仿宋_GB2312"/>
                <w:color w:val="auto"/>
                <w:kern w:val="0"/>
              </w:rPr>
              <w:t>（10</w:t>
            </w:r>
            <w:r>
              <w:rPr>
                <w:rFonts w:ascii="仿宋_GB2312" w:hAnsi="仿宋_GB2312" w:eastAsia="仿宋_GB2312"/>
                <w:color w:val="auto"/>
                <w:kern w:val="0"/>
              </w:rPr>
              <w:t>分）</w:t>
            </w:r>
          </w:p>
        </w:tc>
        <w:tc>
          <w:tcPr>
            <w:tcW w:w="1695" w:type="dxa"/>
            <w:tcBorders>
              <w:tl2br w:val="nil"/>
              <w:tr2bl w:val="nil"/>
            </w:tcBorders>
            <w:noWrap w:val="0"/>
            <w:vAlign w:val="center"/>
          </w:tcPr>
          <w:p>
            <w:pPr>
              <w:jc w:val="center"/>
              <w:rPr>
                <w:color w:val="auto"/>
              </w:rPr>
            </w:pPr>
            <w:r>
              <w:rPr>
                <w:rFonts w:hint="eastAsia" w:ascii="Times New Roman" w:hAnsi="Times New Roman" w:eastAsia="仿宋_GB2312" w:cs="Times New Roman"/>
                <w:color w:val="auto"/>
                <w:kern w:val="0"/>
              </w:rPr>
              <w:t>经济成本指标</w:t>
            </w:r>
          </w:p>
        </w:tc>
        <w:tc>
          <w:tcPr>
            <w:tcW w:w="1950" w:type="dxa"/>
            <w:gridSpan w:val="2"/>
            <w:tcBorders>
              <w:tl2br w:val="nil"/>
              <w:tr2bl w:val="nil"/>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调研经费控制率</w:t>
            </w:r>
          </w:p>
        </w:tc>
        <w:tc>
          <w:tcPr>
            <w:tcW w:w="1095" w:type="dxa"/>
            <w:gridSpan w:val="2"/>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1050" w:type="dxa"/>
            <w:gridSpan w:val="2"/>
            <w:tcBorders>
              <w:tl2br w:val="nil"/>
              <w:tr2bl w:val="nil"/>
            </w:tcBorders>
            <w:noWrap w:val="0"/>
            <w:vAlign w:val="center"/>
          </w:tcPr>
          <w:p>
            <w:pPr>
              <w:widowControl/>
              <w:jc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659" w:type="dxa"/>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50" w:type="dxa"/>
            <w:gridSpan w:val="2"/>
            <w:tcBorders>
              <w:tl2br w:val="nil"/>
              <w:tr2bl w:val="nil"/>
            </w:tcBorders>
            <w:noWrap w:val="0"/>
            <w:vAlign w:val="center"/>
          </w:tcPr>
          <w:p>
            <w:pPr>
              <w:widowControl/>
              <w:jc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582" w:type="dxa"/>
            <w:gridSpan w:val="2"/>
            <w:tcBorders>
              <w:tl2br w:val="nil"/>
              <w:tr2bl w:val="nil"/>
            </w:tcBorders>
            <w:noWrap w:val="0"/>
            <w:vAlign w:val="center"/>
          </w:tcPr>
          <w:p>
            <w:pPr>
              <w:jc w:val="center"/>
              <w:rPr>
                <w:rFonts w:hint="eastAsia" w:ascii="仿宋_GB2312" w:hAnsi="仿宋_GB2312" w:eastAsia="宋体" w:cs="Times New Roman"/>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1" w:type="dxa"/>
            <w:gridSpan w:val="9"/>
            <w:tcBorders>
              <w:tl2br w:val="nil"/>
              <w:tr2bl w:val="nil"/>
            </w:tcBorders>
            <w:noWrap w:val="0"/>
            <w:vAlign w:val="center"/>
          </w:tcPr>
          <w:p>
            <w:pPr>
              <w:widowControl/>
              <w:jc w:val="center"/>
              <w:rPr>
                <w:rFonts w:eastAsia="仿宋_GB2312"/>
                <w:color w:val="auto"/>
                <w:kern w:val="0"/>
              </w:rPr>
            </w:pPr>
            <w:r>
              <w:rPr>
                <w:rFonts w:eastAsia="仿宋_GB2312"/>
                <w:color w:val="auto"/>
                <w:kern w:val="0"/>
              </w:rPr>
              <w:t>总分</w:t>
            </w:r>
          </w:p>
        </w:tc>
        <w:tc>
          <w:tcPr>
            <w:tcW w:w="659" w:type="dxa"/>
            <w:tcBorders>
              <w:tl2br w:val="nil"/>
              <w:tr2bl w:val="nil"/>
            </w:tcBorders>
            <w:noWrap w:val="0"/>
            <w:vAlign w:val="center"/>
          </w:tcPr>
          <w:p>
            <w:pPr>
              <w:widowControl/>
              <w:jc w:val="center"/>
              <w:rPr>
                <w:rFonts w:eastAsia="仿宋_GB2312"/>
                <w:color w:val="auto"/>
                <w:kern w:val="0"/>
              </w:rPr>
            </w:pPr>
            <w:r>
              <w:rPr>
                <w:rFonts w:eastAsia="仿宋_GB2312"/>
                <w:color w:val="auto"/>
                <w:kern w:val="0"/>
              </w:rPr>
              <w:t>100</w:t>
            </w:r>
          </w:p>
        </w:tc>
        <w:tc>
          <w:tcPr>
            <w:tcW w:w="75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96.4</w:t>
            </w:r>
          </w:p>
        </w:tc>
        <w:tc>
          <w:tcPr>
            <w:tcW w:w="1582" w:type="dxa"/>
            <w:gridSpan w:val="2"/>
            <w:tcBorders>
              <w:tl2br w:val="nil"/>
              <w:tr2bl w:val="nil"/>
            </w:tcBorders>
            <w:noWrap w:val="0"/>
            <w:vAlign w:val="center"/>
          </w:tcPr>
          <w:p>
            <w:pPr>
              <w:widowControl/>
              <w:jc w:val="left"/>
              <w:rPr>
                <w:rFonts w:eastAsia="仿宋_GB2312"/>
                <w:color w:val="auto"/>
                <w:kern w:val="0"/>
              </w:rPr>
            </w:pPr>
            <w:r>
              <w:rPr>
                <w:rFonts w:eastAsia="仿宋_GB2312"/>
                <w:color w:val="auto"/>
                <w:kern w:val="0"/>
              </w:rPr>
              <w:t>　</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val="en-US" w:eastAsia="zh-CN"/>
        </w:rPr>
        <w:t xml:space="preserve">  </w:t>
      </w:r>
      <w:r>
        <w:rPr>
          <w:rFonts w:hint="default" w:ascii="仿宋_GB2312" w:hAnsi="仿宋_GB2312"/>
          <w:kern w:val="0"/>
        </w:rPr>
        <w:t xml:space="preserve">  </w:t>
      </w:r>
      <w:r>
        <w:rPr>
          <w:rFonts w:ascii="仿宋_GB2312" w:hAnsi="仿宋_GB2312"/>
          <w:kern w:val="0"/>
        </w:rPr>
        <w:t>联系电话：</w:t>
      </w:r>
      <w:r>
        <w:rPr>
          <w:rFonts w:hint="default" w:ascii="仿宋_GB2312" w:hAnsi="仿宋_GB2312"/>
          <w:kern w:val="0"/>
        </w:rPr>
        <w:t xml:space="preserve">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 xml:space="preserve">2024.05.09  </w:t>
      </w:r>
      <w:r>
        <w:rPr>
          <w:rFonts w:ascii="仿宋_GB2312" w:hAnsi="仿宋_GB2312"/>
          <w:kern w:val="0"/>
        </w:rPr>
        <w:t>单位负责人签字：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附件3</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olor w:val="auto"/>
          <w:kern w:val="0"/>
          <w:sz w:val="36"/>
          <w:szCs w:val="36"/>
        </w:rPr>
      </w:pPr>
      <w:r>
        <w:rPr>
          <w:rFonts w:ascii="方正小标宋_GBK" w:hAnsi="方正小标宋_GBK" w:eastAsia="方正小标宋_GBK"/>
          <w:color w:val="auto"/>
          <w:kern w:val="0"/>
          <w:sz w:val="36"/>
          <w:szCs w:val="36"/>
        </w:rPr>
        <w:t>项目支出绩效自评表</w:t>
      </w:r>
    </w:p>
    <w:p>
      <w:pPr>
        <w:widowControl/>
        <w:spacing w:line="300" w:lineRule="exact"/>
        <w:jc w:val="center"/>
        <w:rPr>
          <w:rFonts w:eastAsia="仿宋_GB2312"/>
          <w:color w:val="auto"/>
          <w:kern w:val="0"/>
        </w:rPr>
      </w:pPr>
      <w:r>
        <w:rPr>
          <w:rFonts w:ascii="仿宋_GB2312" w:hAnsi="仿宋_GB2312" w:eastAsia="仿宋_GB2312"/>
          <w:color w:val="auto"/>
          <w:kern w:val="0"/>
        </w:rPr>
        <w:t>（</w:t>
      </w:r>
      <w:r>
        <w:rPr>
          <w:rFonts w:hint="eastAsia" w:eastAsia="仿宋_GB2312"/>
          <w:color w:val="auto"/>
          <w:kern w:val="0"/>
          <w:lang w:val="en-US" w:eastAsia="zh-CN"/>
        </w:rPr>
        <w:t>2023</w:t>
      </w:r>
      <w:r>
        <w:rPr>
          <w:rFonts w:ascii="仿宋_GB2312" w:hAnsi="仿宋_GB2312" w:eastAsia="仿宋_GB2312"/>
          <w:color w:val="auto"/>
          <w:kern w:val="0"/>
        </w:rPr>
        <w:t>年度）</w:t>
      </w:r>
    </w:p>
    <w:tbl>
      <w:tblPr>
        <w:tblStyle w:val="12"/>
        <w:tblW w:w="11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00"/>
        <w:gridCol w:w="1665"/>
        <w:gridCol w:w="1258"/>
        <w:gridCol w:w="658"/>
        <w:gridCol w:w="852"/>
        <w:gridCol w:w="1182"/>
        <w:gridCol w:w="716"/>
        <w:gridCol w:w="734"/>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项目支</w:t>
            </w:r>
          </w:p>
          <w:p>
            <w:pPr>
              <w:widowControl/>
              <w:spacing w:line="300" w:lineRule="exact"/>
              <w:jc w:val="center"/>
              <w:rPr>
                <w:rFonts w:eastAsia="仿宋_GB2312"/>
                <w:color w:val="auto"/>
                <w:kern w:val="0"/>
              </w:rPr>
            </w:pPr>
            <w:r>
              <w:rPr>
                <w:rFonts w:eastAsia="仿宋_GB2312"/>
                <w:color w:val="auto"/>
                <w:kern w:val="0"/>
              </w:rPr>
              <w:t>出名称</w:t>
            </w:r>
          </w:p>
        </w:tc>
        <w:tc>
          <w:tcPr>
            <w:tcW w:w="9988" w:type="dxa"/>
            <w:gridSpan w:val="9"/>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ascii="Times New Roman" w:hAnsi="Times New Roman" w:eastAsia="仿宋_GB2312" w:cs="Times New Roman"/>
                <w:color w:val="auto"/>
                <w:kern w:val="0"/>
                <w:lang w:eastAsia="zh-CN"/>
              </w:rPr>
              <w:t>改革发展研究专项费用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主管</w:t>
            </w:r>
            <w:r>
              <w:rPr>
                <w:rFonts w:hint="eastAsia" w:eastAsia="仿宋_GB2312"/>
                <w:color w:val="auto"/>
                <w:kern w:val="0"/>
                <w:lang w:eastAsia="zh-CN"/>
              </w:rPr>
              <w:t>部</w:t>
            </w:r>
            <w:r>
              <w:rPr>
                <w:rFonts w:eastAsia="仿宋_GB2312"/>
                <w:color w:val="auto"/>
                <w:kern w:val="0"/>
              </w:rPr>
              <w:t>门</w:t>
            </w: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实施单位</w:t>
            </w:r>
          </w:p>
        </w:tc>
        <w:tc>
          <w:tcPr>
            <w:tcW w:w="3073"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hint="eastAsia" w:ascii="Times New Roman" w:hAnsi="Times New Roman" w:eastAsia="仿宋_GB2312" w:cs="Times New Roman"/>
                <w:color w:val="auto"/>
                <w:kern w:val="0"/>
                <w:lang w:eastAsia="zh-CN"/>
              </w:rPr>
              <w:t>县委改革与发展</w:t>
            </w:r>
            <w:r>
              <w:rPr>
                <w:rFonts w:hint="eastAsia" w:ascii="Times New Roman" w:hAnsi="Times New Roman" w:eastAsia="仿宋_GB2312" w:cs="Times New Roman"/>
                <w:color w:val="auto"/>
                <w:kern w:val="0"/>
                <w:lang w:val="en-US" w:eastAsia="zh-CN"/>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eastAsia="zh-CN"/>
              </w:rPr>
            </w:pPr>
            <w:r>
              <w:rPr>
                <w:rFonts w:eastAsia="仿宋_GB2312"/>
                <w:color w:val="auto"/>
                <w:kern w:val="0"/>
              </w:rPr>
              <w:t>项目资金</w:t>
            </w:r>
          </w:p>
          <w:p>
            <w:pPr>
              <w:widowControl/>
              <w:spacing w:line="300" w:lineRule="exact"/>
              <w:jc w:val="center"/>
              <w:rPr>
                <w:rFonts w:eastAsia="仿宋_GB2312"/>
                <w:color w:val="auto"/>
                <w:kern w:val="0"/>
              </w:rPr>
            </w:pPr>
            <w:r>
              <w:rPr>
                <w:rFonts w:eastAsia="仿宋_GB2312"/>
                <w:color w:val="auto"/>
                <w:kern w:val="0"/>
              </w:rPr>
              <w:t>（万元）</w:t>
            </w: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年初预算数</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全年预算数</w:t>
            </w:r>
          </w:p>
        </w:tc>
        <w:tc>
          <w:tcPr>
            <w:tcW w:w="1182" w:type="dxa"/>
            <w:tcBorders>
              <w:top w:val="single" w:color="auto" w:sz="4" w:space="0"/>
              <w:left w:val="nil"/>
              <w:bottom w:val="single" w:color="auto" w:sz="4" w:space="0"/>
              <w:right w:val="single" w:color="auto" w:sz="4" w:space="0"/>
            </w:tcBorders>
            <w:noWrap w:val="0"/>
            <w:vAlign w:val="center"/>
          </w:tcPr>
          <w:p>
            <w:pPr>
              <w:spacing w:line="300" w:lineRule="exact"/>
              <w:jc w:val="both"/>
              <w:rPr>
                <w:rFonts w:eastAsia="仿宋_GB2312"/>
                <w:color w:val="auto"/>
              </w:rPr>
            </w:pPr>
            <w:r>
              <w:rPr>
                <w:rFonts w:eastAsia="仿宋_GB2312"/>
                <w:color w:val="auto"/>
                <w:sz w:val="20"/>
                <w:szCs w:val="20"/>
              </w:rPr>
              <w:t>全年执行数</w:t>
            </w:r>
          </w:p>
        </w:tc>
        <w:tc>
          <w:tcPr>
            <w:tcW w:w="71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分值</w:t>
            </w:r>
          </w:p>
        </w:tc>
        <w:tc>
          <w:tcPr>
            <w:tcW w:w="7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执行率</w:t>
            </w:r>
          </w:p>
        </w:tc>
        <w:tc>
          <w:tcPr>
            <w:tcW w:w="162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xml:space="preserve">年度资金总额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rPr>
              <w:t>14.5</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rPr>
              <w:t>14.5</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rPr>
              <w:t>13.57</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10</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93%</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xml:space="preserve">其中：当年财政拨款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color w:val="auto"/>
                <w:kern w:val="0"/>
              </w:rPr>
            </w:pPr>
            <w:r>
              <w:rPr>
                <w:rFonts w:hint="eastAsia"/>
              </w:rPr>
              <w:t>14.5</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rPr>
              <w:t>14.5</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rPr>
              <w:t>13.57</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 xml:space="preserve">上年结转资金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Times New Roman" w:hAnsi="Times New Roman" w:eastAsia="仿宋_GB2312" w:cs="Times New Roman"/>
                <w:color w:val="auto"/>
                <w:kern w:val="0"/>
                <w:lang w:val="en-US" w:eastAsia="zh-CN"/>
              </w:rPr>
            </w:pPr>
            <w:r>
              <w:rPr>
                <w:rFonts w:hint="eastAsia" w:eastAsia="仿宋_GB2312" w:cs="Times New Roman"/>
                <w:color w:val="auto"/>
                <w:kern w:val="0"/>
                <w:lang w:val="en-US" w:eastAsia="zh-CN"/>
              </w:rPr>
              <w:t>0</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s="Times New Roman"/>
                <w:color w:val="auto"/>
                <w:kern w:val="0"/>
                <w:lang w:val="en-US" w:eastAsia="zh-CN"/>
              </w:rPr>
            </w:pPr>
            <w:r>
              <w:rPr>
                <w:rFonts w:hint="eastAsia" w:eastAsia="仿宋_GB2312" w:cs="Times New Roman"/>
                <w:color w:val="auto"/>
                <w:kern w:val="0"/>
                <w:lang w:val="en-US" w:eastAsia="zh-CN"/>
              </w:rPr>
              <w:t>0</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其他资金</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eastAsia="仿宋_GB2312" w:cs="Times New Roman"/>
                <w:color w:val="auto"/>
                <w:kern w:val="0"/>
                <w:lang w:val="en-US" w:eastAsia="zh-CN"/>
              </w:rPr>
              <w:t>0</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年度总体目标</w:t>
            </w: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预期目标</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both"/>
              <w:rPr>
                <w:rFonts w:eastAsia="仿宋_GB2312"/>
                <w:color w:val="auto"/>
                <w:kern w:val="0"/>
              </w:rPr>
            </w:pPr>
            <w:r>
              <w:rPr>
                <w:rFonts w:hint="eastAsia" w:eastAsia="仿宋_GB2312"/>
                <w:color w:val="auto"/>
                <w:kern w:val="0"/>
                <w:lang w:val="en-US" w:eastAsia="zh-CN"/>
              </w:rPr>
              <w:t>围绕县委总体工作部署，开展政策研究和课题调研为县委决策提供参谋服务。</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hint="eastAsia" w:eastAsia="仿宋_GB2312"/>
                <w:color w:val="auto"/>
                <w:kern w:val="0"/>
                <w:szCs w:val="21"/>
                <w:lang w:eastAsia="zh-CN"/>
              </w:rPr>
              <w:t>较好地完成了年度总体目标任务，</w:t>
            </w:r>
            <w:r>
              <w:rPr>
                <w:rFonts w:hint="eastAsia" w:eastAsia="仿宋_GB2312"/>
                <w:color w:val="auto"/>
                <w:kern w:val="0"/>
                <w:szCs w:val="21"/>
                <w:lang w:val="en-US" w:eastAsia="zh-CN"/>
              </w:rPr>
              <w:t>较好</w:t>
            </w:r>
            <w:r>
              <w:rPr>
                <w:rFonts w:hint="eastAsia" w:eastAsia="仿宋_GB2312"/>
                <w:color w:val="auto"/>
                <w:kern w:val="0"/>
                <w:lang w:val="en-US" w:eastAsia="zh-CN"/>
              </w:rPr>
              <w:t>发挥了以文辅政、以参辅政作用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绩</w:t>
            </w:r>
          </w:p>
          <w:p>
            <w:pPr>
              <w:widowControl/>
              <w:spacing w:line="300" w:lineRule="exact"/>
              <w:jc w:val="center"/>
              <w:rPr>
                <w:rFonts w:eastAsia="仿宋_GB2312"/>
                <w:color w:val="auto"/>
                <w:kern w:val="0"/>
              </w:rPr>
            </w:pPr>
            <w:r>
              <w:rPr>
                <w:rFonts w:eastAsia="仿宋_GB2312"/>
                <w:color w:val="auto"/>
                <w:kern w:val="0"/>
              </w:rPr>
              <w:t>效</w:t>
            </w:r>
          </w:p>
          <w:p>
            <w:pPr>
              <w:widowControl/>
              <w:spacing w:line="300" w:lineRule="exact"/>
              <w:jc w:val="center"/>
              <w:rPr>
                <w:rFonts w:eastAsia="仿宋_GB2312"/>
                <w:color w:val="auto"/>
                <w:kern w:val="0"/>
              </w:rPr>
            </w:pPr>
            <w:r>
              <w:rPr>
                <w:rFonts w:eastAsia="仿宋_GB2312"/>
                <w:color w:val="auto"/>
                <w:kern w:val="0"/>
              </w:rPr>
              <w:t>指</w:t>
            </w:r>
          </w:p>
          <w:p>
            <w:pPr>
              <w:widowControl/>
              <w:spacing w:line="300" w:lineRule="exact"/>
              <w:jc w:val="center"/>
              <w:rPr>
                <w:rFonts w:eastAsia="仿宋_GB2312"/>
                <w:color w:val="auto"/>
                <w:kern w:val="0"/>
              </w:rPr>
            </w:pPr>
            <w:r>
              <w:rPr>
                <w:rFonts w:eastAsia="仿宋_GB2312"/>
                <w:color w:val="auto"/>
                <w:kern w:val="0"/>
              </w:rPr>
              <w:t>标</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一级指标</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二级指标</w:t>
            </w:r>
          </w:p>
        </w:tc>
        <w:tc>
          <w:tcPr>
            <w:tcW w:w="191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三级指标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color w:val="auto"/>
                <w:kern w:val="0"/>
              </w:rPr>
            </w:pPr>
            <w:r>
              <w:rPr>
                <w:rFonts w:eastAsia="仿宋_GB2312"/>
                <w:color w:val="auto"/>
                <w:kern w:val="0"/>
              </w:rPr>
              <w:t>年度</w:t>
            </w:r>
          </w:p>
          <w:p>
            <w:pPr>
              <w:widowControl/>
              <w:spacing w:line="300" w:lineRule="exact"/>
              <w:jc w:val="both"/>
              <w:rPr>
                <w:rFonts w:eastAsia="仿宋_GB2312"/>
                <w:color w:val="auto"/>
                <w:kern w:val="0"/>
              </w:rPr>
            </w:pPr>
            <w:r>
              <w:rPr>
                <w:rFonts w:eastAsia="仿宋_GB2312"/>
                <w:color w:val="auto"/>
                <w:kern w:val="0"/>
              </w:rPr>
              <w:t>指标值</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color w:val="auto"/>
                <w:kern w:val="0"/>
              </w:rPr>
            </w:pPr>
            <w:r>
              <w:rPr>
                <w:rFonts w:eastAsia="仿宋_GB2312"/>
                <w:color w:val="auto"/>
                <w:kern w:val="0"/>
              </w:rPr>
              <w:t>实际</w:t>
            </w:r>
          </w:p>
          <w:p>
            <w:pPr>
              <w:widowControl/>
              <w:spacing w:line="300" w:lineRule="exact"/>
              <w:jc w:val="center"/>
              <w:rPr>
                <w:rFonts w:eastAsia="仿宋_GB2312"/>
                <w:color w:val="auto"/>
                <w:kern w:val="0"/>
              </w:rPr>
            </w:pPr>
            <w:r>
              <w:rPr>
                <w:rFonts w:eastAsia="仿宋_GB2312"/>
                <w:color w:val="auto"/>
                <w:kern w:val="0"/>
              </w:rPr>
              <w:t>完成值</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分值</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得分</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产出指标</w:t>
            </w:r>
          </w:p>
          <w:p>
            <w:pPr>
              <w:widowControl/>
              <w:jc w:val="center"/>
              <w:rPr>
                <w:rFonts w:eastAsia="仿宋_GB2312"/>
                <w:color w:val="auto"/>
                <w:kern w:val="0"/>
              </w:rPr>
            </w:pPr>
            <w:r>
              <w:rPr>
                <w:rFonts w:eastAsia="仿宋_GB2312"/>
                <w:color w:val="auto"/>
                <w:kern w:val="0"/>
              </w:rPr>
              <w:t>(</w:t>
            </w:r>
            <w:r>
              <w:rPr>
                <w:rFonts w:hint="eastAsia" w:eastAsia="仿宋_GB2312"/>
                <w:color w:val="auto"/>
                <w:kern w:val="0"/>
                <w:lang w:val="en-US" w:eastAsia="zh-CN"/>
              </w:rPr>
              <w:t>40</w:t>
            </w:r>
            <w:r>
              <w:rPr>
                <w:rFonts w:ascii="仿宋_GB2312" w:hAnsi="仿宋_GB2312" w:eastAsia="仿宋_GB2312"/>
                <w:color w:val="auto"/>
                <w:kern w:val="0"/>
              </w:rPr>
              <w:t>分</w:t>
            </w:r>
            <w:r>
              <w:rPr>
                <w:rFonts w:eastAsia="仿宋_GB2312"/>
                <w:color w:val="auto"/>
                <w:kern w:val="0"/>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ascii="仿宋_GB2312" w:hAnsi="仿宋_GB2312"/>
                <w:color w:val="000000"/>
                <w:kern w:val="0"/>
              </w:rPr>
              <w:t>数量指标</w:t>
            </w:r>
          </w:p>
        </w:tc>
        <w:tc>
          <w:tcPr>
            <w:tcW w:w="19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发表调研理论文章</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5</w:t>
            </w:r>
            <w:r>
              <w:rPr>
                <w:rFonts w:hint="default" w:ascii="Times New Roman" w:hAnsi="Times New Roman" w:eastAsia="仿宋_GB2312" w:cs="Times New Roman"/>
                <w:color w:val="auto"/>
                <w:kern w:val="0"/>
                <w:lang w:val="en-US" w:eastAsia="zh-CN"/>
              </w:rPr>
              <w:t>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4</w:t>
            </w:r>
            <w:r>
              <w:rPr>
                <w:rFonts w:hint="default" w:ascii="Times New Roman" w:hAnsi="Times New Roman" w:eastAsia="仿宋_GB2312" w:cs="Times New Roman"/>
                <w:color w:val="auto"/>
                <w:kern w:val="0"/>
                <w:lang w:val="en-US" w:eastAsia="zh-CN"/>
              </w:rPr>
              <w:t>篇</w:t>
            </w:r>
          </w:p>
        </w:tc>
        <w:tc>
          <w:tcPr>
            <w:tcW w:w="716"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rPr>
            </w:pPr>
            <w:r>
              <w:rPr>
                <w:rFonts w:hint="default" w:ascii="微软雅黑" w:hAnsi="微软雅黑" w:eastAsia="微软雅黑" w:cs="微软雅黑"/>
                <w:i w:val="0"/>
                <w:iCs w:val="0"/>
                <w:color w:val="000000"/>
                <w:kern w:val="0"/>
                <w:sz w:val="20"/>
                <w:szCs w:val="20"/>
                <w:u w:val="none"/>
                <w:lang w:val="en-US" w:eastAsia="zh-CN" w:bidi="ar"/>
              </w:rPr>
              <w:t>10</w:t>
            </w:r>
          </w:p>
        </w:tc>
        <w:tc>
          <w:tcPr>
            <w:tcW w:w="734"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9.00</w:t>
            </w:r>
          </w:p>
        </w:tc>
        <w:tc>
          <w:tcPr>
            <w:tcW w:w="1623" w:type="dxa"/>
            <w:tcBorders>
              <w:top w:val="single" w:color="auto" w:sz="4" w:space="0"/>
              <w:left w:val="nil"/>
              <w:right w:val="single" w:color="auto" w:sz="4" w:space="0"/>
            </w:tcBorders>
            <w:noWrap w:val="0"/>
            <w:vAlign w:val="center"/>
          </w:tcPr>
          <w:p>
            <w:pPr>
              <w:keepNext w:val="0"/>
              <w:keepLines w:val="0"/>
              <w:widowControl/>
              <w:suppressLineNumbers w:val="0"/>
              <w:jc w:val="left"/>
              <w:textAlignment w:val="center"/>
              <w:rPr>
                <w:rFonts w:hint="eastAsia" w:ascii="宋体" w:hAnsi="Times New Roman" w:eastAsia="宋体" w:cs="Times New Roman"/>
                <w:color w:val="auto"/>
                <w:kern w:val="0"/>
                <w:sz w:val="16"/>
                <w:szCs w:val="16"/>
                <w:lang w:val="en-US" w:eastAsia="zh-CN"/>
              </w:rPr>
            </w:pPr>
            <w:r>
              <w:rPr>
                <w:rFonts w:hint="default" w:ascii="宋体" w:hAnsi="Times New Roman" w:eastAsia="宋体" w:cs="Times New Roman"/>
                <w:color w:val="auto"/>
                <w:kern w:val="0"/>
                <w:sz w:val="16"/>
                <w:szCs w:val="16"/>
                <w:lang w:val="en-US" w:eastAsia="zh-CN"/>
              </w:rPr>
              <w:t>文章</w:t>
            </w:r>
            <w:r>
              <w:rPr>
                <w:rFonts w:hint="eastAsia" w:ascii="宋体" w:hAnsi="Times New Roman" w:eastAsia="宋体" w:cs="Times New Roman"/>
                <w:color w:val="auto"/>
                <w:kern w:val="0"/>
                <w:sz w:val="16"/>
                <w:szCs w:val="16"/>
                <w:lang w:val="en-US" w:eastAsia="zh-CN"/>
              </w:rPr>
              <w:t>数量</w:t>
            </w:r>
            <w:r>
              <w:rPr>
                <w:rFonts w:hint="default" w:ascii="宋体" w:hAnsi="Times New Roman" w:eastAsia="宋体" w:cs="Times New Roman"/>
                <w:color w:val="auto"/>
                <w:kern w:val="0"/>
                <w:sz w:val="16"/>
                <w:szCs w:val="16"/>
                <w:lang w:val="en-US" w:eastAsia="zh-CN"/>
              </w:rPr>
              <w:t>有待提高，加强写作培训。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质量指标</w:t>
            </w:r>
          </w:p>
        </w:tc>
        <w:tc>
          <w:tcPr>
            <w:tcW w:w="19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总结推介特色亮点工作的成效</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1182"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716"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20</w:t>
            </w:r>
          </w:p>
        </w:tc>
        <w:tc>
          <w:tcPr>
            <w:tcW w:w="734"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19.00</w:t>
            </w:r>
          </w:p>
        </w:tc>
        <w:tc>
          <w:tcPr>
            <w:tcW w:w="1623" w:type="dxa"/>
            <w:tcBorders>
              <w:top w:val="single" w:color="auto" w:sz="4" w:space="0"/>
              <w:left w:val="nil"/>
              <w:right w:val="single" w:color="auto" w:sz="4" w:space="0"/>
            </w:tcBorders>
            <w:noWrap w:val="0"/>
            <w:vAlign w:val="center"/>
          </w:tcPr>
          <w:p>
            <w:pPr>
              <w:keepNext w:val="0"/>
              <w:keepLines w:val="0"/>
              <w:widowControl/>
              <w:suppressLineNumbers w:val="0"/>
              <w:jc w:val="left"/>
              <w:textAlignment w:val="center"/>
              <w:rPr>
                <w:rFonts w:hint="eastAsia" w:ascii="宋体" w:hAnsi="Times New Roman" w:eastAsia="宋体" w:cs="Times New Roman"/>
                <w:color w:val="auto"/>
                <w:kern w:val="0"/>
                <w:sz w:val="16"/>
                <w:szCs w:val="16"/>
                <w:lang w:val="en-US" w:eastAsia="zh-CN"/>
              </w:rPr>
            </w:pPr>
            <w:r>
              <w:rPr>
                <w:rFonts w:hint="default" w:ascii="宋体" w:hAnsi="Times New Roman" w:eastAsia="宋体" w:cs="Times New Roman"/>
                <w:color w:val="auto"/>
                <w:kern w:val="0"/>
                <w:sz w:val="16"/>
                <w:szCs w:val="16"/>
                <w:lang w:val="en-US" w:eastAsia="zh-CN"/>
              </w:rPr>
              <w:t>推介经验效果需增强，加强学习交流。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16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时效指标</w:t>
            </w:r>
          </w:p>
        </w:tc>
        <w:tc>
          <w:tcPr>
            <w:tcW w:w="191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支出完成及时率</w:t>
            </w:r>
          </w:p>
        </w:tc>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100%</w:t>
            </w:r>
          </w:p>
        </w:tc>
        <w:tc>
          <w:tcPr>
            <w:tcW w:w="118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100%</w:t>
            </w:r>
          </w:p>
        </w:tc>
        <w:tc>
          <w:tcPr>
            <w:tcW w:w="716"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10</w:t>
            </w:r>
          </w:p>
        </w:tc>
        <w:tc>
          <w:tcPr>
            <w:tcW w:w="734"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10.00</w:t>
            </w:r>
          </w:p>
        </w:tc>
        <w:tc>
          <w:tcPr>
            <w:tcW w:w="1623" w:type="dxa"/>
            <w:vMerge w:val="restart"/>
            <w:tcBorders>
              <w:top w:val="single" w:color="auto" w:sz="4" w:space="0"/>
              <w:left w:val="nil"/>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9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w:t>
            </w: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716" w:type="dxa"/>
            <w:vMerge w:val="continue"/>
            <w:tcBorders>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vMerge w:val="continue"/>
            <w:tcBorders>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623" w:type="dxa"/>
            <w:vMerge w:val="continue"/>
            <w:tcBorders>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9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w:t>
            </w:r>
          </w:p>
        </w:tc>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w:t>
            </w:r>
          </w:p>
        </w:tc>
        <w:tc>
          <w:tcPr>
            <w:tcW w:w="11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w:t>
            </w:r>
          </w:p>
        </w:tc>
        <w:tc>
          <w:tcPr>
            <w:tcW w:w="716" w:type="dxa"/>
            <w:vMerge w:val="continue"/>
            <w:tcBorders>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vMerge w:val="continue"/>
            <w:tcBorders>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623" w:type="dxa"/>
            <w:vMerge w:val="continue"/>
            <w:tcBorders>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auto"/>
                <w:kern w:val="0"/>
              </w:rPr>
            </w:pPr>
            <w:r>
              <w:rPr>
                <w:rFonts w:ascii="Times New Roman" w:hAnsi="Times New Roman" w:eastAsia="仿宋_GB2312" w:cs="Times New Roman"/>
                <w:color w:val="auto"/>
                <w:kern w:val="0"/>
              </w:rPr>
              <w:t>效益指标</w:t>
            </w:r>
          </w:p>
          <w:p>
            <w:pPr>
              <w:widowControl/>
              <w:jc w:val="center"/>
              <w:rPr>
                <w:rFonts w:eastAsia="仿宋_GB2312"/>
                <w:color w:val="auto"/>
                <w:kern w:val="0"/>
              </w:rPr>
            </w:pPr>
            <w:r>
              <w:rPr>
                <w:rFonts w:ascii="Times New Roman" w:hAnsi="Times New Roman" w:eastAsia="仿宋_GB2312" w:cs="Times New Roman"/>
                <w:color w:val="auto"/>
                <w:kern w:val="0"/>
              </w:rPr>
              <w:t xml:space="preserve">（30分） </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经济效益指标</w:t>
            </w:r>
          </w:p>
        </w:tc>
        <w:tc>
          <w:tcPr>
            <w:tcW w:w="19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助推全县经济发展</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716"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w:t>
            </w:r>
          </w:p>
        </w:tc>
        <w:tc>
          <w:tcPr>
            <w:tcW w:w="734"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9.00</w:t>
            </w:r>
          </w:p>
        </w:tc>
        <w:tc>
          <w:tcPr>
            <w:tcW w:w="1623"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社会效益指标</w:t>
            </w:r>
          </w:p>
        </w:tc>
        <w:tc>
          <w:tcPr>
            <w:tcW w:w="19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助推社会民生事业发展</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716"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6</w:t>
            </w:r>
          </w:p>
        </w:tc>
        <w:tc>
          <w:tcPr>
            <w:tcW w:w="734"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6.00</w:t>
            </w:r>
          </w:p>
        </w:tc>
        <w:tc>
          <w:tcPr>
            <w:tcW w:w="1623" w:type="dxa"/>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生态效益指标</w:t>
            </w:r>
          </w:p>
        </w:tc>
        <w:tc>
          <w:tcPr>
            <w:tcW w:w="19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绿色办公、绿色采购</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716"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6</w:t>
            </w:r>
          </w:p>
        </w:tc>
        <w:tc>
          <w:tcPr>
            <w:tcW w:w="734"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eastAsia="仿宋_GB2312"/>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6.00</w:t>
            </w:r>
          </w:p>
        </w:tc>
        <w:tc>
          <w:tcPr>
            <w:tcW w:w="1623" w:type="dxa"/>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可持续影响</w:t>
            </w:r>
          </w:p>
          <w:p>
            <w:pPr>
              <w:widowControl/>
              <w:jc w:val="center"/>
              <w:rPr>
                <w:rFonts w:eastAsia="仿宋_GB2312"/>
                <w:color w:val="auto"/>
                <w:kern w:val="0"/>
              </w:rPr>
            </w:pPr>
            <w:r>
              <w:rPr>
                <w:rFonts w:eastAsia="仿宋_GB2312"/>
                <w:color w:val="auto"/>
                <w:kern w:val="0"/>
              </w:rPr>
              <w:t>指标</w:t>
            </w:r>
          </w:p>
        </w:tc>
        <w:tc>
          <w:tcPr>
            <w:tcW w:w="1916" w:type="dxa"/>
            <w:gridSpan w:val="2"/>
            <w:tcBorders>
              <w:top w:val="single" w:color="auto" w:sz="4" w:space="0"/>
              <w:left w:val="nil"/>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干部能力提升力度</w:t>
            </w:r>
          </w:p>
        </w:tc>
        <w:tc>
          <w:tcPr>
            <w:tcW w:w="852" w:type="dxa"/>
            <w:tcBorders>
              <w:top w:val="single" w:color="auto" w:sz="4" w:space="0"/>
              <w:left w:val="nil"/>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1182" w:type="dxa"/>
            <w:tcBorders>
              <w:top w:val="single" w:color="auto" w:sz="4" w:space="0"/>
              <w:left w:val="nil"/>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716"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w:t>
            </w:r>
          </w:p>
        </w:tc>
        <w:tc>
          <w:tcPr>
            <w:tcW w:w="734" w:type="dxa"/>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9.00</w:t>
            </w:r>
          </w:p>
        </w:tc>
        <w:tc>
          <w:tcPr>
            <w:tcW w:w="1623" w:type="dxa"/>
            <w:tcBorders>
              <w:top w:val="single" w:color="auto" w:sz="4" w:space="0"/>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满意度指标</w:t>
            </w:r>
          </w:p>
          <w:p>
            <w:pPr>
              <w:widowControl/>
              <w:jc w:val="center"/>
              <w:rPr>
                <w:rFonts w:eastAsia="仿宋_GB2312"/>
                <w:color w:val="auto"/>
                <w:kern w:val="0"/>
              </w:rPr>
            </w:pPr>
            <w:r>
              <w:rPr>
                <w:rFonts w:eastAsia="仿宋_GB2312"/>
                <w:color w:val="auto"/>
                <w:kern w:val="0"/>
              </w:rPr>
              <w:t>（10</w:t>
            </w:r>
            <w:r>
              <w:rPr>
                <w:rFonts w:ascii="仿宋_GB2312" w:hAnsi="仿宋_GB2312" w:eastAsia="仿宋_GB2312"/>
                <w:color w:val="auto"/>
                <w:kern w:val="0"/>
              </w:rPr>
              <w:t>分）</w:t>
            </w:r>
          </w:p>
        </w:tc>
        <w:tc>
          <w:tcPr>
            <w:tcW w:w="1665"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服务对象</w:t>
            </w:r>
          </w:p>
          <w:p>
            <w:pPr>
              <w:widowControl/>
              <w:jc w:val="center"/>
              <w:rPr>
                <w:rFonts w:eastAsia="仿宋_GB2312"/>
                <w:color w:val="auto"/>
                <w:kern w:val="0"/>
              </w:rPr>
            </w:pPr>
            <w:r>
              <w:rPr>
                <w:rFonts w:eastAsia="仿宋_GB2312"/>
                <w:color w:val="auto"/>
                <w:kern w:val="0"/>
              </w:rPr>
              <w:t>满意度指标</w:t>
            </w:r>
          </w:p>
        </w:tc>
        <w:tc>
          <w:tcPr>
            <w:tcW w:w="1916"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服务对象满意度</w:t>
            </w:r>
          </w:p>
        </w:tc>
        <w:tc>
          <w:tcPr>
            <w:tcW w:w="85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95%</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96%</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10.00</w:t>
            </w:r>
          </w:p>
        </w:tc>
        <w:tc>
          <w:tcPr>
            <w:tcW w:w="1623" w:type="dxa"/>
            <w:tcBorders>
              <w:top w:val="single" w:color="auto" w:sz="4" w:space="0"/>
              <w:left w:val="nil"/>
              <w:right w:val="single" w:color="auto" w:sz="4" w:space="0"/>
            </w:tcBorders>
            <w:noWrap w:val="0"/>
            <w:vAlign w:val="center"/>
          </w:tcPr>
          <w:p>
            <w:pPr>
              <w:jc w:val="center"/>
              <w:rPr>
                <w:rFonts w:hint="default" w:eastAsia="仿宋_GB2312"/>
                <w:color w:val="auto"/>
                <w:kern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hint="eastAsia" w:eastAsia="仿宋_GB2312"/>
                <w:color w:val="auto"/>
                <w:kern w:val="0"/>
                <w:lang w:eastAsia="zh-CN"/>
              </w:rPr>
              <w:t>成本</w:t>
            </w:r>
            <w:r>
              <w:rPr>
                <w:rFonts w:eastAsia="仿宋_GB2312"/>
                <w:color w:val="auto"/>
                <w:kern w:val="0"/>
              </w:rPr>
              <w:t>指标</w:t>
            </w:r>
          </w:p>
          <w:p>
            <w:pPr>
              <w:jc w:val="center"/>
              <w:rPr>
                <w:rFonts w:eastAsia="仿宋_GB2312"/>
                <w:color w:val="auto"/>
                <w:kern w:val="0"/>
              </w:rPr>
            </w:pPr>
            <w:r>
              <w:rPr>
                <w:rFonts w:eastAsia="仿宋_GB2312"/>
                <w:color w:val="auto"/>
                <w:kern w:val="0"/>
              </w:rPr>
              <w:t>（10</w:t>
            </w:r>
            <w:r>
              <w:rPr>
                <w:rFonts w:ascii="仿宋_GB2312" w:hAnsi="仿宋_GB2312" w:eastAsia="仿宋_GB2312"/>
                <w:color w:val="auto"/>
                <w:kern w:val="0"/>
              </w:rPr>
              <w:t>分）</w:t>
            </w:r>
          </w:p>
        </w:tc>
        <w:tc>
          <w:tcPr>
            <w:tcW w:w="1665" w:type="dxa"/>
            <w:tcBorders>
              <w:top w:val="nil"/>
              <w:left w:val="nil"/>
              <w:bottom w:val="single" w:color="auto" w:sz="4" w:space="0"/>
              <w:right w:val="single" w:color="auto" w:sz="4" w:space="0"/>
            </w:tcBorders>
            <w:noWrap w:val="0"/>
            <w:vAlign w:val="center"/>
          </w:tcPr>
          <w:p>
            <w:pPr>
              <w:jc w:val="center"/>
              <w:rPr>
                <w:rFonts w:eastAsia="仿宋_GB2312"/>
                <w:color w:val="auto"/>
                <w:kern w:val="0"/>
              </w:rPr>
            </w:pPr>
            <w:r>
              <w:rPr>
                <w:rFonts w:hint="eastAsia" w:ascii="Times New Roman" w:hAnsi="Times New Roman" w:eastAsia="仿宋_GB2312" w:cs="Times New Roman"/>
                <w:color w:val="auto"/>
                <w:kern w:val="0"/>
              </w:rPr>
              <w:t>经济成本指标</w:t>
            </w:r>
          </w:p>
        </w:tc>
        <w:tc>
          <w:tcPr>
            <w:tcW w:w="1916"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完成目标支出</w:t>
            </w:r>
          </w:p>
        </w:tc>
        <w:tc>
          <w:tcPr>
            <w:tcW w:w="85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14.5</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13.57</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9.36</w:t>
            </w:r>
          </w:p>
        </w:tc>
        <w:tc>
          <w:tcPr>
            <w:tcW w:w="1623" w:type="dxa"/>
            <w:tcBorders>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eastAsia="仿宋_GB2312"/>
                <w:color w:val="auto"/>
                <w:kern w:val="0"/>
              </w:rPr>
            </w:pPr>
            <w:r>
              <w:rPr>
                <w:rFonts w:hint="default" w:ascii="宋体" w:hAnsi="Times New Roman" w:eastAsia="宋体" w:cs="Times New Roman"/>
                <w:color w:val="auto"/>
                <w:kern w:val="0"/>
                <w:sz w:val="16"/>
                <w:szCs w:val="16"/>
                <w:lang w:val="en-US" w:eastAsia="zh-CN"/>
              </w:rPr>
              <w:t>项目支出进度较慢，加强预算数据编制。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总分</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96.66</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val="en-US" w:eastAsia="zh-CN"/>
        </w:rPr>
        <w:t xml:space="preserve">  </w:t>
      </w:r>
      <w:r>
        <w:rPr>
          <w:rFonts w:hint="default" w:ascii="仿宋_GB2312" w:hAnsi="仿宋_GB2312"/>
          <w:kern w:val="0"/>
        </w:rPr>
        <w:t xml:space="preserve">  </w:t>
      </w:r>
      <w:r>
        <w:rPr>
          <w:rFonts w:ascii="仿宋_GB2312" w:hAnsi="仿宋_GB2312"/>
          <w:kern w:val="0"/>
        </w:rPr>
        <w:t>联系电话：</w:t>
      </w:r>
      <w:r>
        <w:rPr>
          <w:rFonts w:hint="default" w:ascii="仿宋_GB2312" w:hAnsi="仿宋_GB2312"/>
          <w:kern w:val="0"/>
        </w:rPr>
        <w:t xml:space="preserve">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 xml:space="preserve">2024.05.09  </w:t>
      </w:r>
      <w:r>
        <w:rPr>
          <w:rFonts w:ascii="仿宋_GB2312" w:hAnsi="仿宋_GB2312"/>
          <w:kern w:val="0"/>
        </w:rPr>
        <w:t>单位负责人签字：</w:t>
      </w:r>
    </w:p>
    <w:p>
      <w:pPr>
        <w:widowControl/>
        <w:jc w:val="left"/>
        <w:rPr>
          <w:rFonts w:hint="eastAsia" w:ascii="仿宋_GB2312" w:hAnsi="仿宋_GB2312" w:eastAsia="宋体"/>
          <w:kern w:val="0"/>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rPr>
        <w:t>附件</w:t>
      </w:r>
      <w:r>
        <w:rPr>
          <w:rFonts w:hint="eastAsia" w:ascii="黑体" w:hAnsi="黑体" w:eastAsia="黑体" w:cs="宋体"/>
          <w:color w:val="auto"/>
          <w:kern w:val="0"/>
          <w:sz w:val="32"/>
          <w:szCs w:val="32"/>
          <w:lang w:val="en-US" w:eastAsia="zh-CN"/>
        </w:rPr>
        <w:t>4</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olor w:val="auto"/>
          <w:kern w:val="0"/>
          <w:sz w:val="36"/>
          <w:szCs w:val="36"/>
        </w:rPr>
      </w:pPr>
      <w:r>
        <w:rPr>
          <w:rFonts w:ascii="方正小标宋_GBK" w:hAnsi="方正小标宋_GBK" w:eastAsia="方正小标宋_GBK"/>
          <w:color w:val="auto"/>
          <w:kern w:val="0"/>
          <w:sz w:val="36"/>
          <w:szCs w:val="36"/>
        </w:rPr>
        <w:t>项目支出绩效自评表</w:t>
      </w:r>
    </w:p>
    <w:p>
      <w:pPr>
        <w:widowControl/>
        <w:spacing w:line="300" w:lineRule="exact"/>
        <w:jc w:val="center"/>
        <w:rPr>
          <w:rFonts w:eastAsia="仿宋_GB2312"/>
          <w:color w:val="auto"/>
          <w:kern w:val="0"/>
        </w:rPr>
      </w:pPr>
      <w:r>
        <w:rPr>
          <w:rFonts w:ascii="仿宋_GB2312" w:hAnsi="仿宋_GB2312" w:eastAsia="仿宋_GB2312"/>
          <w:color w:val="auto"/>
          <w:kern w:val="0"/>
        </w:rPr>
        <w:t>（</w:t>
      </w:r>
      <w:r>
        <w:rPr>
          <w:rFonts w:hint="eastAsia" w:eastAsia="仿宋_GB2312"/>
          <w:color w:val="auto"/>
          <w:kern w:val="0"/>
          <w:lang w:val="en-US" w:eastAsia="zh-CN"/>
        </w:rPr>
        <w:t>2023</w:t>
      </w:r>
      <w:r>
        <w:rPr>
          <w:rFonts w:ascii="仿宋_GB2312" w:hAnsi="仿宋_GB2312" w:eastAsia="仿宋_GB2312"/>
          <w:color w:val="auto"/>
          <w:kern w:val="0"/>
        </w:rPr>
        <w:t>年度）</w:t>
      </w:r>
    </w:p>
    <w:tbl>
      <w:tblPr>
        <w:tblStyle w:val="12"/>
        <w:tblW w:w="11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00"/>
        <w:gridCol w:w="1665"/>
        <w:gridCol w:w="1258"/>
        <w:gridCol w:w="658"/>
        <w:gridCol w:w="852"/>
        <w:gridCol w:w="1182"/>
        <w:gridCol w:w="716"/>
        <w:gridCol w:w="734"/>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项目支</w:t>
            </w:r>
          </w:p>
          <w:p>
            <w:pPr>
              <w:widowControl/>
              <w:spacing w:line="300" w:lineRule="exact"/>
              <w:jc w:val="center"/>
              <w:rPr>
                <w:rFonts w:eastAsia="仿宋_GB2312"/>
                <w:color w:val="auto"/>
                <w:kern w:val="0"/>
              </w:rPr>
            </w:pPr>
            <w:r>
              <w:rPr>
                <w:rFonts w:eastAsia="仿宋_GB2312"/>
                <w:color w:val="auto"/>
                <w:kern w:val="0"/>
              </w:rPr>
              <w:t>出名称</w:t>
            </w:r>
          </w:p>
        </w:tc>
        <w:tc>
          <w:tcPr>
            <w:tcW w:w="9988" w:type="dxa"/>
            <w:gridSpan w:val="9"/>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ascii="Times New Roman" w:hAnsi="Times New Roman" w:eastAsia="仿宋_GB2312" w:cs="Times New Roman"/>
                <w:color w:val="auto"/>
                <w:kern w:val="0"/>
                <w:lang w:eastAsia="zh-CN"/>
              </w:rPr>
              <w:t>双牌县文稿写作培训班工作经费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主管</w:t>
            </w:r>
            <w:r>
              <w:rPr>
                <w:rFonts w:hint="eastAsia" w:eastAsia="仿宋_GB2312"/>
                <w:color w:val="auto"/>
                <w:kern w:val="0"/>
                <w:lang w:eastAsia="zh-CN"/>
              </w:rPr>
              <w:t>部</w:t>
            </w:r>
            <w:r>
              <w:rPr>
                <w:rFonts w:eastAsia="仿宋_GB2312"/>
                <w:color w:val="auto"/>
                <w:kern w:val="0"/>
              </w:rPr>
              <w:t>门</w:t>
            </w: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实施单位</w:t>
            </w:r>
          </w:p>
        </w:tc>
        <w:tc>
          <w:tcPr>
            <w:tcW w:w="3073"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hint="eastAsia" w:ascii="Times New Roman" w:hAnsi="Times New Roman" w:eastAsia="仿宋_GB2312" w:cs="Times New Roman"/>
                <w:color w:val="auto"/>
                <w:kern w:val="0"/>
                <w:lang w:eastAsia="zh-CN"/>
              </w:rPr>
              <w:t>县委改革与发展</w:t>
            </w:r>
            <w:r>
              <w:rPr>
                <w:rFonts w:hint="eastAsia" w:ascii="Times New Roman" w:hAnsi="Times New Roman" w:eastAsia="仿宋_GB2312" w:cs="Times New Roman"/>
                <w:color w:val="auto"/>
                <w:kern w:val="0"/>
                <w:lang w:val="en-US" w:eastAsia="zh-CN"/>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eastAsia="zh-CN"/>
              </w:rPr>
            </w:pPr>
            <w:r>
              <w:rPr>
                <w:rFonts w:eastAsia="仿宋_GB2312"/>
                <w:color w:val="auto"/>
                <w:kern w:val="0"/>
              </w:rPr>
              <w:t>项目资金</w:t>
            </w:r>
          </w:p>
          <w:p>
            <w:pPr>
              <w:widowControl/>
              <w:spacing w:line="300" w:lineRule="exact"/>
              <w:jc w:val="center"/>
              <w:rPr>
                <w:rFonts w:eastAsia="仿宋_GB2312"/>
                <w:color w:val="auto"/>
                <w:kern w:val="0"/>
              </w:rPr>
            </w:pPr>
            <w:r>
              <w:rPr>
                <w:rFonts w:eastAsia="仿宋_GB2312"/>
                <w:color w:val="auto"/>
                <w:kern w:val="0"/>
              </w:rPr>
              <w:t>（万元）</w:t>
            </w: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年初预算数</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全年预算数</w:t>
            </w:r>
          </w:p>
        </w:tc>
        <w:tc>
          <w:tcPr>
            <w:tcW w:w="1182" w:type="dxa"/>
            <w:tcBorders>
              <w:top w:val="single" w:color="auto" w:sz="4" w:space="0"/>
              <w:left w:val="nil"/>
              <w:bottom w:val="single" w:color="auto" w:sz="4" w:space="0"/>
              <w:right w:val="single" w:color="auto" w:sz="4" w:space="0"/>
            </w:tcBorders>
            <w:noWrap w:val="0"/>
            <w:vAlign w:val="center"/>
          </w:tcPr>
          <w:p>
            <w:pPr>
              <w:spacing w:line="300" w:lineRule="exact"/>
              <w:jc w:val="both"/>
              <w:rPr>
                <w:rFonts w:eastAsia="仿宋_GB2312"/>
                <w:color w:val="auto"/>
              </w:rPr>
            </w:pPr>
            <w:r>
              <w:rPr>
                <w:rFonts w:eastAsia="仿宋_GB2312"/>
                <w:color w:val="auto"/>
                <w:sz w:val="20"/>
                <w:szCs w:val="20"/>
              </w:rPr>
              <w:t>全年执行数</w:t>
            </w:r>
          </w:p>
        </w:tc>
        <w:tc>
          <w:tcPr>
            <w:tcW w:w="71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分值</w:t>
            </w:r>
          </w:p>
        </w:tc>
        <w:tc>
          <w:tcPr>
            <w:tcW w:w="7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执行率</w:t>
            </w:r>
          </w:p>
        </w:tc>
        <w:tc>
          <w:tcPr>
            <w:tcW w:w="162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xml:space="preserve">年度资金总额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rPr>
              <w:t>6.5</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rPr>
              <w:t>6.5</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rPr>
              <w:t>5.7</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10</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87%</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xml:space="preserve">其中：当年财政拨款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color w:val="auto"/>
                <w:kern w:val="0"/>
              </w:rPr>
            </w:pPr>
            <w:r>
              <w:rPr>
                <w:rFonts w:hint="eastAsia"/>
              </w:rPr>
              <w:t>6.5</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rPr>
              <w:t>6.5</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rPr>
              <w:t>5.7</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 xml:space="preserve">上年结转资金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Times New Roman" w:hAnsi="Times New Roman" w:eastAsia="仿宋_GB2312" w:cs="Times New Roman"/>
                <w:color w:val="auto"/>
                <w:kern w:val="0"/>
                <w:lang w:val="en-US" w:eastAsia="zh-CN"/>
              </w:rPr>
            </w:pPr>
            <w:r>
              <w:rPr>
                <w:rFonts w:hint="eastAsia" w:eastAsia="仿宋_GB2312" w:cs="Times New Roman"/>
                <w:color w:val="auto"/>
                <w:kern w:val="0"/>
                <w:lang w:val="en-US" w:eastAsia="zh-CN"/>
              </w:rPr>
              <w:t>0</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s="Times New Roman"/>
                <w:color w:val="auto"/>
                <w:kern w:val="0"/>
                <w:lang w:val="en-US" w:eastAsia="zh-CN"/>
              </w:rPr>
            </w:pPr>
            <w:r>
              <w:rPr>
                <w:rFonts w:hint="eastAsia" w:eastAsia="仿宋_GB2312" w:cs="Times New Roman"/>
                <w:color w:val="auto"/>
                <w:kern w:val="0"/>
                <w:lang w:val="en-US" w:eastAsia="zh-CN"/>
              </w:rPr>
              <w:t>0</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其他资金</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eastAsia="仿宋_GB2312" w:cs="Times New Roman"/>
                <w:color w:val="auto"/>
                <w:kern w:val="0"/>
                <w:lang w:val="en-US" w:eastAsia="zh-CN"/>
              </w:rPr>
              <w:t>0</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年度总体目标</w:t>
            </w: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预期目标</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both"/>
              <w:rPr>
                <w:rFonts w:eastAsia="仿宋_GB2312"/>
                <w:color w:val="auto"/>
                <w:kern w:val="0"/>
              </w:rPr>
            </w:pPr>
            <w:r>
              <w:rPr>
                <w:rFonts w:hint="eastAsia" w:eastAsia="仿宋_GB2312"/>
                <w:color w:val="auto"/>
                <w:kern w:val="0"/>
                <w:lang w:val="en-US" w:eastAsia="zh-CN"/>
              </w:rPr>
              <w:t>围绕县委总体工作部署，开展政策研究和课题调研为县委决策提供参谋服务。</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hint="eastAsia" w:eastAsia="仿宋_GB2312"/>
                <w:color w:val="auto"/>
                <w:kern w:val="0"/>
                <w:szCs w:val="21"/>
                <w:lang w:eastAsia="zh-CN"/>
              </w:rPr>
              <w:t>较好地完成了年度总体目标任务，</w:t>
            </w:r>
            <w:r>
              <w:rPr>
                <w:rFonts w:hint="eastAsia" w:eastAsia="仿宋_GB2312"/>
                <w:color w:val="auto"/>
                <w:kern w:val="0"/>
                <w:szCs w:val="21"/>
                <w:lang w:val="en-US" w:eastAsia="zh-CN"/>
              </w:rPr>
              <w:t>较好</w:t>
            </w:r>
            <w:r>
              <w:rPr>
                <w:rFonts w:hint="eastAsia" w:eastAsia="仿宋_GB2312"/>
                <w:color w:val="auto"/>
                <w:kern w:val="0"/>
                <w:lang w:val="en-US" w:eastAsia="zh-CN"/>
              </w:rPr>
              <w:t>发挥了以文辅政、以参辅政作用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绩</w:t>
            </w:r>
          </w:p>
          <w:p>
            <w:pPr>
              <w:widowControl/>
              <w:spacing w:line="300" w:lineRule="exact"/>
              <w:jc w:val="center"/>
              <w:rPr>
                <w:rFonts w:eastAsia="仿宋_GB2312"/>
                <w:color w:val="auto"/>
                <w:kern w:val="0"/>
              </w:rPr>
            </w:pPr>
            <w:r>
              <w:rPr>
                <w:rFonts w:eastAsia="仿宋_GB2312"/>
                <w:color w:val="auto"/>
                <w:kern w:val="0"/>
              </w:rPr>
              <w:t>效</w:t>
            </w:r>
          </w:p>
          <w:p>
            <w:pPr>
              <w:widowControl/>
              <w:spacing w:line="300" w:lineRule="exact"/>
              <w:jc w:val="center"/>
              <w:rPr>
                <w:rFonts w:eastAsia="仿宋_GB2312"/>
                <w:color w:val="auto"/>
                <w:kern w:val="0"/>
              </w:rPr>
            </w:pPr>
            <w:r>
              <w:rPr>
                <w:rFonts w:eastAsia="仿宋_GB2312"/>
                <w:color w:val="auto"/>
                <w:kern w:val="0"/>
              </w:rPr>
              <w:t>指</w:t>
            </w:r>
          </w:p>
          <w:p>
            <w:pPr>
              <w:widowControl/>
              <w:spacing w:line="300" w:lineRule="exact"/>
              <w:jc w:val="center"/>
              <w:rPr>
                <w:rFonts w:eastAsia="仿宋_GB2312"/>
                <w:color w:val="auto"/>
                <w:kern w:val="0"/>
              </w:rPr>
            </w:pPr>
            <w:r>
              <w:rPr>
                <w:rFonts w:eastAsia="仿宋_GB2312"/>
                <w:color w:val="auto"/>
                <w:kern w:val="0"/>
              </w:rPr>
              <w:t>标</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一级指标</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二级指标</w:t>
            </w:r>
          </w:p>
        </w:tc>
        <w:tc>
          <w:tcPr>
            <w:tcW w:w="191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三级指标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color w:val="auto"/>
                <w:kern w:val="0"/>
              </w:rPr>
            </w:pPr>
            <w:r>
              <w:rPr>
                <w:rFonts w:eastAsia="仿宋_GB2312"/>
                <w:color w:val="auto"/>
                <w:kern w:val="0"/>
              </w:rPr>
              <w:t>年度</w:t>
            </w:r>
          </w:p>
          <w:p>
            <w:pPr>
              <w:widowControl/>
              <w:spacing w:line="300" w:lineRule="exact"/>
              <w:jc w:val="both"/>
              <w:rPr>
                <w:rFonts w:eastAsia="仿宋_GB2312"/>
                <w:color w:val="auto"/>
                <w:kern w:val="0"/>
              </w:rPr>
            </w:pPr>
            <w:r>
              <w:rPr>
                <w:rFonts w:eastAsia="仿宋_GB2312"/>
                <w:color w:val="auto"/>
                <w:kern w:val="0"/>
              </w:rPr>
              <w:t>指标值</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color w:val="auto"/>
                <w:kern w:val="0"/>
              </w:rPr>
            </w:pPr>
            <w:r>
              <w:rPr>
                <w:rFonts w:eastAsia="仿宋_GB2312"/>
                <w:color w:val="auto"/>
                <w:kern w:val="0"/>
              </w:rPr>
              <w:t>实际</w:t>
            </w:r>
          </w:p>
          <w:p>
            <w:pPr>
              <w:widowControl/>
              <w:spacing w:line="300" w:lineRule="exact"/>
              <w:jc w:val="center"/>
              <w:rPr>
                <w:rFonts w:eastAsia="仿宋_GB2312"/>
                <w:color w:val="auto"/>
                <w:kern w:val="0"/>
              </w:rPr>
            </w:pPr>
            <w:r>
              <w:rPr>
                <w:rFonts w:eastAsia="仿宋_GB2312"/>
                <w:color w:val="auto"/>
                <w:kern w:val="0"/>
              </w:rPr>
              <w:t>完成值</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分值</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得分</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auto"/>
                <w:kern w:val="0"/>
              </w:rPr>
            </w:pPr>
            <w:r>
              <w:rPr>
                <w:rFonts w:hint="eastAsia" w:ascii="Times New Roman" w:hAnsi="Times New Roman" w:eastAsia="仿宋_GB2312" w:cs="Times New Roman"/>
                <w:color w:val="auto"/>
                <w:kern w:val="0"/>
                <w:lang w:eastAsia="zh-CN"/>
              </w:rPr>
              <w:t>产出</w:t>
            </w:r>
            <w:r>
              <w:rPr>
                <w:rFonts w:ascii="Times New Roman" w:hAnsi="Times New Roman" w:eastAsia="仿宋_GB2312" w:cs="Times New Roman"/>
                <w:color w:val="auto"/>
                <w:kern w:val="0"/>
              </w:rPr>
              <w:t>指标</w:t>
            </w:r>
          </w:p>
          <w:p>
            <w:pPr>
              <w:widowControl/>
              <w:jc w:val="center"/>
              <w:rPr>
                <w:rFonts w:ascii="Times New Roman" w:hAnsi="Times New Roman" w:eastAsia="仿宋_GB2312" w:cs="Times New Roman"/>
                <w:color w:val="auto"/>
                <w:kern w:val="0"/>
              </w:rPr>
            </w:pPr>
            <w:r>
              <w:rPr>
                <w:rFonts w:ascii="Times New Roman" w:hAnsi="Times New Roman" w:eastAsia="仿宋_GB2312" w:cs="Times New Roman"/>
                <w:color w:val="auto"/>
                <w:kern w:val="0"/>
              </w:rPr>
              <w:t>（</w:t>
            </w:r>
            <w:r>
              <w:rPr>
                <w:rFonts w:hint="eastAsia" w:ascii="Times New Roman" w:hAnsi="Times New Roman" w:eastAsia="仿宋_GB2312" w:cs="Times New Roman"/>
                <w:color w:val="auto"/>
                <w:kern w:val="0"/>
                <w:lang w:val="en-US" w:eastAsia="zh-CN"/>
              </w:rPr>
              <w:t>40</w:t>
            </w:r>
            <w:r>
              <w:rPr>
                <w:rFonts w:ascii="Times New Roman" w:hAnsi="Times New Roman" w:eastAsia="仿宋_GB2312" w:cs="Times New Roman"/>
                <w:color w:val="auto"/>
                <w:kern w:val="0"/>
              </w:rPr>
              <w:t xml:space="preserve">分） </w:t>
            </w:r>
          </w:p>
        </w:tc>
        <w:tc>
          <w:tcPr>
            <w:tcW w:w="166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时效指标</w:t>
            </w:r>
          </w:p>
        </w:tc>
        <w:tc>
          <w:tcPr>
            <w:tcW w:w="1916"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支出完成及时率</w:t>
            </w:r>
          </w:p>
        </w:tc>
        <w:tc>
          <w:tcPr>
            <w:tcW w:w="85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100%</w:t>
            </w:r>
          </w:p>
        </w:tc>
        <w:tc>
          <w:tcPr>
            <w:tcW w:w="118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100%</w:t>
            </w:r>
          </w:p>
        </w:tc>
        <w:tc>
          <w:tcPr>
            <w:tcW w:w="716"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eastAsia" w:ascii="微软雅黑" w:hAnsi="微软雅黑" w:eastAsia="微软雅黑" w:cs="微软雅黑"/>
                <w:i w:val="0"/>
                <w:iCs w:val="0"/>
                <w:color w:val="000000"/>
                <w:kern w:val="0"/>
                <w:sz w:val="20"/>
                <w:szCs w:val="20"/>
                <w:u w:val="none"/>
                <w:lang w:val="en-US" w:eastAsia="zh-CN" w:bidi="ar"/>
              </w:rPr>
              <w:t>40</w:t>
            </w:r>
          </w:p>
        </w:tc>
        <w:tc>
          <w:tcPr>
            <w:tcW w:w="734"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eastAsia" w:ascii="微软雅黑" w:hAnsi="微软雅黑" w:eastAsia="微软雅黑" w:cs="微软雅黑"/>
                <w:i w:val="0"/>
                <w:iCs w:val="0"/>
                <w:color w:val="000000"/>
                <w:kern w:val="0"/>
                <w:sz w:val="20"/>
                <w:szCs w:val="20"/>
                <w:u w:val="none"/>
                <w:lang w:val="en-US" w:eastAsia="zh-CN" w:bidi="ar"/>
              </w:rPr>
              <w:t>40</w:t>
            </w:r>
            <w:r>
              <w:rPr>
                <w:rFonts w:hint="default" w:ascii="微软雅黑" w:hAnsi="微软雅黑" w:eastAsia="微软雅黑" w:cs="微软雅黑"/>
                <w:i w:val="0"/>
                <w:iCs w:val="0"/>
                <w:color w:val="000000"/>
                <w:kern w:val="0"/>
                <w:sz w:val="20"/>
                <w:szCs w:val="20"/>
                <w:u w:val="none"/>
                <w:lang w:val="en-US" w:eastAsia="zh-CN" w:bidi="ar"/>
              </w:rPr>
              <w:t>.00</w:t>
            </w:r>
          </w:p>
        </w:tc>
        <w:tc>
          <w:tcPr>
            <w:tcW w:w="1623" w:type="dxa"/>
            <w:vMerge w:val="restart"/>
            <w:tcBorders>
              <w:top w:val="single" w:color="auto" w:sz="4" w:space="0"/>
              <w:left w:val="nil"/>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66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916"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w:t>
            </w:r>
          </w:p>
        </w:tc>
        <w:tc>
          <w:tcPr>
            <w:tcW w:w="85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8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716" w:type="dxa"/>
            <w:vMerge w:val="continue"/>
            <w:tcBorders>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vMerge w:val="continue"/>
            <w:tcBorders>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623" w:type="dxa"/>
            <w:vMerge w:val="continue"/>
            <w:tcBorders>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auto"/>
                <w:kern w:val="0"/>
              </w:rPr>
            </w:pPr>
            <w:r>
              <w:rPr>
                <w:rFonts w:ascii="Times New Roman" w:hAnsi="Times New Roman" w:eastAsia="仿宋_GB2312" w:cs="Times New Roman"/>
                <w:color w:val="auto"/>
                <w:kern w:val="0"/>
              </w:rPr>
              <w:t>效益指标</w:t>
            </w:r>
          </w:p>
          <w:p>
            <w:pPr>
              <w:widowControl/>
              <w:jc w:val="center"/>
              <w:rPr>
                <w:rFonts w:eastAsia="仿宋_GB2312"/>
                <w:color w:val="auto"/>
                <w:kern w:val="0"/>
              </w:rPr>
            </w:pPr>
            <w:r>
              <w:rPr>
                <w:rFonts w:ascii="Times New Roman" w:hAnsi="Times New Roman" w:eastAsia="仿宋_GB2312" w:cs="Times New Roman"/>
                <w:color w:val="auto"/>
                <w:kern w:val="0"/>
              </w:rPr>
              <w:t xml:space="preserve">（30分） </w:t>
            </w:r>
          </w:p>
        </w:tc>
        <w:tc>
          <w:tcPr>
            <w:tcW w:w="166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可持续影响</w:t>
            </w:r>
          </w:p>
          <w:p>
            <w:pPr>
              <w:widowControl/>
              <w:jc w:val="center"/>
              <w:rPr>
                <w:rFonts w:eastAsia="仿宋_GB2312"/>
                <w:color w:val="auto"/>
                <w:kern w:val="0"/>
              </w:rPr>
            </w:pPr>
            <w:r>
              <w:rPr>
                <w:rFonts w:eastAsia="仿宋_GB2312"/>
                <w:color w:val="auto"/>
                <w:kern w:val="0"/>
              </w:rPr>
              <w:t>指标</w:t>
            </w:r>
          </w:p>
        </w:tc>
        <w:tc>
          <w:tcPr>
            <w:tcW w:w="1916"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提升干部的公文</w:t>
            </w:r>
          </w:p>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写作水平</w:t>
            </w:r>
          </w:p>
        </w:tc>
        <w:tc>
          <w:tcPr>
            <w:tcW w:w="85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提高</w:t>
            </w:r>
          </w:p>
        </w:tc>
        <w:tc>
          <w:tcPr>
            <w:tcW w:w="118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提高</w:t>
            </w:r>
          </w:p>
        </w:tc>
        <w:tc>
          <w:tcPr>
            <w:tcW w:w="716" w:type="dxa"/>
            <w:vMerge w:val="restart"/>
            <w:tcBorders>
              <w:left w:val="nil"/>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30</w:t>
            </w:r>
          </w:p>
        </w:tc>
        <w:tc>
          <w:tcPr>
            <w:tcW w:w="734" w:type="dxa"/>
            <w:vMerge w:val="restart"/>
            <w:tcBorders>
              <w:left w:val="nil"/>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28.00</w:t>
            </w:r>
          </w:p>
        </w:tc>
        <w:tc>
          <w:tcPr>
            <w:tcW w:w="1623" w:type="dxa"/>
            <w:vMerge w:val="restart"/>
            <w:tcBorders>
              <w:left w:val="nil"/>
              <w:right w:val="single" w:color="auto" w:sz="4" w:space="0"/>
            </w:tcBorders>
            <w:noWrap w:val="0"/>
            <w:vAlign w:val="center"/>
          </w:tcPr>
          <w:p>
            <w:pPr>
              <w:keepNext w:val="0"/>
              <w:keepLines w:val="0"/>
              <w:widowControl/>
              <w:suppressLineNumbers w:val="0"/>
              <w:jc w:val="left"/>
              <w:textAlignment w:val="center"/>
              <w:rPr>
                <w:rFonts w:hint="default" w:ascii="宋体" w:hAnsi="Times New Roman" w:eastAsia="宋体" w:cs="Times New Roman"/>
                <w:color w:val="auto"/>
                <w:kern w:val="0"/>
                <w:sz w:val="18"/>
                <w:szCs w:val="18"/>
                <w:lang w:val="en-US" w:eastAsia="zh-CN"/>
              </w:rPr>
            </w:pPr>
            <w:r>
              <w:rPr>
                <w:rFonts w:hint="eastAsia" w:ascii="宋体" w:hAnsi="Times New Roman" w:eastAsia="宋体" w:cs="Times New Roman"/>
                <w:color w:val="auto"/>
                <w:kern w:val="0"/>
                <w:sz w:val="18"/>
                <w:szCs w:val="18"/>
                <w:lang w:val="en-US" w:eastAsia="zh-CN"/>
              </w:rPr>
              <w:t>写作水平有待提高，加强学习培训。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1665" w:type="dxa"/>
            <w:vMerge w:val="continue"/>
            <w:tcBorders>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可持续影响</w:t>
            </w:r>
          </w:p>
          <w:p>
            <w:pPr>
              <w:widowControl/>
              <w:jc w:val="center"/>
              <w:rPr>
                <w:rFonts w:eastAsia="仿宋_GB2312"/>
                <w:color w:val="auto"/>
                <w:kern w:val="0"/>
              </w:rPr>
            </w:pPr>
            <w:r>
              <w:rPr>
                <w:rFonts w:eastAsia="仿宋_GB2312"/>
                <w:color w:val="auto"/>
                <w:kern w:val="0"/>
              </w:rPr>
              <w:t>指标</w:t>
            </w:r>
          </w:p>
        </w:tc>
        <w:tc>
          <w:tcPr>
            <w:tcW w:w="1916" w:type="dxa"/>
            <w:gridSpan w:val="2"/>
            <w:vMerge w:val="continue"/>
            <w:tcBorders>
              <w:left w:val="nil"/>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干部能力提升力度</w:t>
            </w:r>
          </w:p>
        </w:tc>
        <w:tc>
          <w:tcPr>
            <w:tcW w:w="852" w:type="dxa"/>
            <w:vMerge w:val="continue"/>
            <w:tcBorders>
              <w:left w:val="nil"/>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1182" w:type="dxa"/>
            <w:vMerge w:val="continue"/>
            <w:tcBorders>
              <w:left w:val="nil"/>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716" w:type="dxa"/>
            <w:vMerge w:val="continue"/>
            <w:tcBorders>
              <w:left w:val="nil"/>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w:t>
            </w:r>
          </w:p>
        </w:tc>
        <w:tc>
          <w:tcPr>
            <w:tcW w:w="734" w:type="dxa"/>
            <w:vMerge w:val="continue"/>
            <w:tcBorders>
              <w:left w:val="nil"/>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9.00</w:t>
            </w:r>
          </w:p>
        </w:tc>
        <w:tc>
          <w:tcPr>
            <w:tcW w:w="1623" w:type="dxa"/>
            <w:vMerge w:val="continue"/>
            <w:tcBorders>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满意度指标</w:t>
            </w:r>
          </w:p>
          <w:p>
            <w:pPr>
              <w:widowControl/>
              <w:jc w:val="center"/>
              <w:rPr>
                <w:rFonts w:eastAsia="仿宋_GB2312"/>
                <w:color w:val="auto"/>
                <w:kern w:val="0"/>
              </w:rPr>
            </w:pPr>
            <w:r>
              <w:rPr>
                <w:rFonts w:eastAsia="仿宋_GB2312"/>
                <w:color w:val="auto"/>
                <w:kern w:val="0"/>
              </w:rPr>
              <w:t>（10</w:t>
            </w:r>
            <w:r>
              <w:rPr>
                <w:rFonts w:ascii="仿宋_GB2312" w:hAnsi="仿宋_GB2312" w:eastAsia="仿宋_GB2312"/>
                <w:color w:val="auto"/>
                <w:kern w:val="0"/>
              </w:rPr>
              <w:t>分）</w:t>
            </w:r>
          </w:p>
        </w:tc>
        <w:tc>
          <w:tcPr>
            <w:tcW w:w="1665"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服务对象</w:t>
            </w:r>
          </w:p>
          <w:p>
            <w:pPr>
              <w:widowControl/>
              <w:jc w:val="center"/>
              <w:rPr>
                <w:rFonts w:eastAsia="仿宋_GB2312"/>
                <w:color w:val="auto"/>
                <w:kern w:val="0"/>
              </w:rPr>
            </w:pPr>
            <w:r>
              <w:rPr>
                <w:rFonts w:eastAsia="仿宋_GB2312"/>
                <w:color w:val="auto"/>
                <w:kern w:val="0"/>
              </w:rPr>
              <w:t>满意度指标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服务对象满意度</w:t>
            </w:r>
          </w:p>
        </w:tc>
        <w:tc>
          <w:tcPr>
            <w:tcW w:w="85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95%</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98%</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10.00</w:t>
            </w:r>
          </w:p>
        </w:tc>
        <w:tc>
          <w:tcPr>
            <w:tcW w:w="1623" w:type="dxa"/>
            <w:tcBorders>
              <w:top w:val="single" w:color="auto" w:sz="4" w:space="0"/>
              <w:left w:val="nil"/>
              <w:right w:val="single" w:color="auto" w:sz="4" w:space="0"/>
            </w:tcBorders>
            <w:noWrap w:val="0"/>
            <w:vAlign w:val="center"/>
          </w:tcPr>
          <w:p>
            <w:pPr>
              <w:jc w:val="center"/>
              <w:rPr>
                <w:rFonts w:hint="default" w:eastAsia="仿宋_GB2312"/>
                <w:color w:val="auto"/>
                <w:kern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hint="eastAsia" w:eastAsia="仿宋_GB2312"/>
                <w:color w:val="auto"/>
                <w:kern w:val="0"/>
                <w:lang w:eastAsia="zh-CN"/>
              </w:rPr>
              <w:t>成本</w:t>
            </w:r>
            <w:r>
              <w:rPr>
                <w:rFonts w:eastAsia="仿宋_GB2312"/>
                <w:color w:val="auto"/>
                <w:kern w:val="0"/>
              </w:rPr>
              <w:t>指标</w:t>
            </w:r>
          </w:p>
          <w:p>
            <w:pPr>
              <w:jc w:val="center"/>
              <w:rPr>
                <w:rFonts w:eastAsia="仿宋_GB2312"/>
                <w:color w:val="auto"/>
                <w:kern w:val="0"/>
              </w:rPr>
            </w:pPr>
            <w:r>
              <w:rPr>
                <w:rFonts w:eastAsia="仿宋_GB2312"/>
                <w:color w:val="auto"/>
                <w:kern w:val="0"/>
              </w:rPr>
              <w:t>（10</w:t>
            </w:r>
            <w:r>
              <w:rPr>
                <w:rFonts w:ascii="仿宋_GB2312" w:hAnsi="仿宋_GB2312" w:eastAsia="仿宋_GB2312"/>
                <w:color w:val="auto"/>
                <w:kern w:val="0"/>
              </w:rPr>
              <w:t>分）</w:t>
            </w:r>
          </w:p>
        </w:tc>
        <w:tc>
          <w:tcPr>
            <w:tcW w:w="1665" w:type="dxa"/>
            <w:tcBorders>
              <w:top w:val="nil"/>
              <w:left w:val="nil"/>
              <w:bottom w:val="single" w:color="auto" w:sz="4" w:space="0"/>
              <w:right w:val="single" w:color="auto" w:sz="4" w:space="0"/>
            </w:tcBorders>
            <w:noWrap w:val="0"/>
            <w:vAlign w:val="center"/>
          </w:tcPr>
          <w:p>
            <w:pPr>
              <w:jc w:val="center"/>
              <w:rPr>
                <w:rFonts w:eastAsia="仿宋_GB2312"/>
                <w:color w:val="auto"/>
                <w:kern w:val="0"/>
              </w:rPr>
            </w:pPr>
            <w:r>
              <w:rPr>
                <w:rFonts w:hint="eastAsia" w:ascii="Times New Roman" w:hAnsi="Times New Roman" w:eastAsia="仿宋_GB2312" w:cs="Times New Roman"/>
                <w:color w:val="auto"/>
                <w:kern w:val="0"/>
              </w:rPr>
              <w:t>经济成本指标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专班工作经费支出</w:t>
            </w:r>
          </w:p>
        </w:tc>
        <w:tc>
          <w:tcPr>
            <w:tcW w:w="85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6.5</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5.7</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9.50</w:t>
            </w:r>
          </w:p>
        </w:tc>
        <w:tc>
          <w:tcPr>
            <w:tcW w:w="1623" w:type="dxa"/>
            <w:tcBorders>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eastAsia="仿宋_GB2312"/>
                <w:color w:val="auto"/>
                <w:kern w:val="0"/>
                <w:sz w:val="22"/>
                <w:szCs w:val="22"/>
              </w:rPr>
            </w:pPr>
            <w:r>
              <w:rPr>
                <w:rFonts w:hint="default" w:ascii="宋体" w:hAnsi="Times New Roman" w:eastAsia="宋体" w:cs="Times New Roman"/>
                <w:color w:val="auto"/>
                <w:kern w:val="0"/>
                <w:sz w:val="18"/>
                <w:szCs w:val="18"/>
                <w:lang w:val="en-US" w:eastAsia="zh-CN"/>
              </w:rPr>
              <w:t>支出进度缓慢，加强预算编制。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总分</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96.20</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val="en-US" w:eastAsia="zh-CN"/>
        </w:rPr>
        <w:t xml:space="preserve">  </w:t>
      </w:r>
      <w:r>
        <w:rPr>
          <w:rFonts w:hint="default" w:ascii="仿宋_GB2312" w:hAnsi="仿宋_GB2312"/>
          <w:kern w:val="0"/>
        </w:rPr>
        <w:t xml:space="preserve">  </w:t>
      </w:r>
      <w:r>
        <w:rPr>
          <w:rFonts w:ascii="仿宋_GB2312" w:hAnsi="仿宋_GB2312"/>
          <w:kern w:val="0"/>
        </w:rPr>
        <w:t>联系电话：</w:t>
      </w:r>
      <w:r>
        <w:rPr>
          <w:rFonts w:hint="default" w:ascii="仿宋_GB2312" w:hAnsi="仿宋_GB2312"/>
          <w:kern w:val="0"/>
        </w:rPr>
        <w:t xml:space="preserve">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 xml:space="preserve">2024.05.09  </w:t>
      </w:r>
      <w:r>
        <w:rPr>
          <w:rFonts w:ascii="仿宋_GB2312" w:hAnsi="仿宋_GB2312"/>
          <w:kern w:val="0"/>
        </w:rPr>
        <w:t>单位负责人签字：</w:t>
      </w:r>
    </w:p>
    <w:p>
      <w:pPr>
        <w:widowControl/>
        <w:jc w:val="left"/>
        <w:rPr>
          <w:rFonts w:hint="eastAsia" w:ascii="仿宋_GB2312" w:hAnsi="仿宋_GB2312" w:eastAsia="宋体"/>
          <w:kern w:val="0"/>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lang w:eastAsia="zh-CN"/>
        </w:rPr>
      </w:pPr>
      <w:r>
        <w:rPr>
          <w:rFonts w:hint="eastAsia" w:ascii="黑体" w:hAnsi="黑体" w:eastAsia="黑体" w:cs="宋体"/>
          <w:color w:val="auto"/>
          <w:kern w:val="0"/>
          <w:sz w:val="32"/>
          <w:szCs w:val="32"/>
        </w:rPr>
        <w:t>附件</w:t>
      </w:r>
      <w:r>
        <w:rPr>
          <w:rFonts w:hint="eastAsia" w:ascii="黑体" w:hAnsi="黑体" w:eastAsia="黑体" w:cs="宋体"/>
          <w:color w:val="auto"/>
          <w:kern w:val="0"/>
          <w:sz w:val="32"/>
          <w:szCs w:val="32"/>
          <w:lang w:val="en-US" w:eastAsia="zh-CN"/>
        </w:rPr>
        <w:t>5</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olor w:val="auto"/>
          <w:kern w:val="0"/>
          <w:sz w:val="36"/>
          <w:szCs w:val="36"/>
        </w:rPr>
      </w:pPr>
      <w:r>
        <w:rPr>
          <w:rFonts w:ascii="方正小标宋_GBK" w:hAnsi="方正小标宋_GBK" w:eastAsia="方正小标宋_GBK"/>
          <w:color w:val="auto"/>
          <w:kern w:val="0"/>
          <w:sz w:val="36"/>
          <w:szCs w:val="36"/>
        </w:rPr>
        <w:t>项目支出绩效自评表</w:t>
      </w:r>
    </w:p>
    <w:p>
      <w:pPr>
        <w:widowControl/>
        <w:spacing w:line="300" w:lineRule="exact"/>
        <w:jc w:val="center"/>
        <w:rPr>
          <w:rFonts w:eastAsia="仿宋_GB2312"/>
          <w:color w:val="auto"/>
          <w:kern w:val="0"/>
        </w:rPr>
      </w:pPr>
      <w:r>
        <w:rPr>
          <w:rFonts w:ascii="仿宋_GB2312" w:hAnsi="仿宋_GB2312" w:eastAsia="仿宋_GB2312"/>
          <w:color w:val="auto"/>
          <w:kern w:val="0"/>
        </w:rPr>
        <w:t>（</w:t>
      </w:r>
      <w:r>
        <w:rPr>
          <w:rFonts w:hint="eastAsia" w:eastAsia="仿宋_GB2312"/>
          <w:color w:val="auto"/>
          <w:kern w:val="0"/>
          <w:lang w:val="en-US" w:eastAsia="zh-CN"/>
        </w:rPr>
        <w:t>2023</w:t>
      </w:r>
      <w:r>
        <w:rPr>
          <w:rFonts w:ascii="仿宋_GB2312" w:hAnsi="仿宋_GB2312" w:eastAsia="仿宋_GB2312"/>
          <w:color w:val="auto"/>
          <w:kern w:val="0"/>
        </w:rPr>
        <w:t>年度）</w:t>
      </w:r>
    </w:p>
    <w:tbl>
      <w:tblPr>
        <w:tblStyle w:val="12"/>
        <w:tblW w:w="11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00"/>
        <w:gridCol w:w="1665"/>
        <w:gridCol w:w="1258"/>
        <w:gridCol w:w="658"/>
        <w:gridCol w:w="852"/>
        <w:gridCol w:w="1182"/>
        <w:gridCol w:w="716"/>
        <w:gridCol w:w="734"/>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项目支</w:t>
            </w:r>
          </w:p>
          <w:p>
            <w:pPr>
              <w:widowControl/>
              <w:spacing w:line="300" w:lineRule="exact"/>
              <w:jc w:val="center"/>
              <w:rPr>
                <w:rFonts w:eastAsia="仿宋_GB2312"/>
                <w:color w:val="auto"/>
                <w:kern w:val="0"/>
              </w:rPr>
            </w:pPr>
            <w:r>
              <w:rPr>
                <w:rFonts w:eastAsia="仿宋_GB2312"/>
                <w:color w:val="auto"/>
                <w:kern w:val="0"/>
              </w:rPr>
              <w:t>出名称</w:t>
            </w:r>
          </w:p>
        </w:tc>
        <w:tc>
          <w:tcPr>
            <w:tcW w:w="9988" w:type="dxa"/>
            <w:gridSpan w:val="9"/>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ascii="Times New Roman" w:hAnsi="Times New Roman" w:eastAsia="仿宋_GB2312" w:cs="Times New Roman"/>
                <w:color w:val="auto"/>
                <w:kern w:val="0"/>
                <w:lang w:eastAsia="zh-CN"/>
              </w:rPr>
              <w:t>重大事项报告工作经费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主管</w:t>
            </w:r>
            <w:r>
              <w:rPr>
                <w:rFonts w:hint="eastAsia" w:eastAsia="仿宋_GB2312"/>
                <w:color w:val="auto"/>
                <w:kern w:val="0"/>
                <w:lang w:eastAsia="zh-CN"/>
              </w:rPr>
              <w:t>部</w:t>
            </w:r>
            <w:r>
              <w:rPr>
                <w:rFonts w:eastAsia="仿宋_GB2312"/>
                <w:color w:val="auto"/>
                <w:kern w:val="0"/>
              </w:rPr>
              <w:t>门</w:t>
            </w: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实施单位</w:t>
            </w:r>
          </w:p>
        </w:tc>
        <w:tc>
          <w:tcPr>
            <w:tcW w:w="3073"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hint="eastAsia" w:ascii="Times New Roman" w:hAnsi="Times New Roman" w:eastAsia="仿宋_GB2312" w:cs="Times New Roman"/>
                <w:color w:val="auto"/>
                <w:kern w:val="0"/>
                <w:lang w:eastAsia="zh-CN"/>
              </w:rPr>
              <w:t>县委改革与发展</w:t>
            </w:r>
            <w:r>
              <w:rPr>
                <w:rFonts w:hint="eastAsia" w:ascii="Times New Roman" w:hAnsi="Times New Roman" w:eastAsia="仿宋_GB2312" w:cs="Times New Roman"/>
                <w:color w:val="auto"/>
                <w:kern w:val="0"/>
                <w:lang w:val="en-US" w:eastAsia="zh-CN"/>
              </w:rPr>
              <w:t>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eastAsia="zh-CN"/>
              </w:rPr>
            </w:pPr>
            <w:r>
              <w:rPr>
                <w:rFonts w:eastAsia="仿宋_GB2312"/>
                <w:color w:val="auto"/>
                <w:kern w:val="0"/>
              </w:rPr>
              <w:t>项目资金</w:t>
            </w:r>
          </w:p>
          <w:p>
            <w:pPr>
              <w:widowControl/>
              <w:spacing w:line="300" w:lineRule="exact"/>
              <w:jc w:val="center"/>
              <w:rPr>
                <w:rFonts w:eastAsia="仿宋_GB2312"/>
                <w:color w:val="auto"/>
                <w:kern w:val="0"/>
              </w:rPr>
            </w:pPr>
            <w:r>
              <w:rPr>
                <w:rFonts w:eastAsia="仿宋_GB2312"/>
                <w:color w:val="auto"/>
                <w:kern w:val="0"/>
              </w:rPr>
              <w:t>（万元）</w:t>
            </w: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年初预算数</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全年预算数</w:t>
            </w:r>
          </w:p>
        </w:tc>
        <w:tc>
          <w:tcPr>
            <w:tcW w:w="1182" w:type="dxa"/>
            <w:tcBorders>
              <w:top w:val="single" w:color="auto" w:sz="4" w:space="0"/>
              <w:left w:val="nil"/>
              <w:bottom w:val="single" w:color="auto" w:sz="4" w:space="0"/>
              <w:right w:val="single" w:color="auto" w:sz="4" w:space="0"/>
            </w:tcBorders>
            <w:noWrap w:val="0"/>
            <w:vAlign w:val="center"/>
          </w:tcPr>
          <w:p>
            <w:pPr>
              <w:spacing w:line="300" w:lineRule="exact"/>
              <w:jc w:val="both"/>
              <w:rPr>
                <w:rFonts w:eastAsia="仿宋_GB2312"/>
                <w:color w:val="auto"/>
              </w:rPr>
            </w:pPr>
            <w:r>
              <w:rPr>
                <w:rFonts w:eastAsia="仿宋_GB2312"/>
                <w:color w:val="auto"/>
                <w:sz w:val="20"/>
                <w:szCs w:val="20"/>
              </w:rPr>
              <w:t>全年执行数</w:t>
            </w:r>
          </w:p>
        </w:tc>
        <w:tc>
          <w:tcPr>
            <w:tcW w:w="71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分值</w:t>
            </w:r>
          </w:p>
        </w:tc>
        <w:tc>
          <w:tcPr>
            <w:tcW w:w="7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执行率</w:t>
            </w:r>
          </w:p>
        </w:tc>
        <w:tc>
          <w:tcPr>
            <w:tcW w:w="162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color w:val="auto"/>
              </w:rPr>
            </w:pPr>
            <w:r>
              <w:rPr>
                <w:rFonts w:eastAsia="仿宋_GB2312"/>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xml:space="preserve">年度资金总额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3</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eastAsia="仿宋_GB2312"/>
                <w:color w:val="auto"/>
                <w:kern w:val="0"/>
                <w:lang w:val="en-US" w:eastAsia="zh-CN"/>
              </w:rPr>
              <w:t>3</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olor w:val="auto"/>
                <w:kern w:val="0"/>
                <w:lang w:val="en-US" w:eastAsia="zh-CN"/>
              </w:rPr>
              <w:t>3</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10</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100%</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auto"/>
                <w:kern w:val="0"/>
                <w:lang w:val="en-US" w:eastAsia="zh-CN"/>
              </w:rPr>
            </w:pPr>
            <w:r>
              <w:rPr>
                <w:rFonts w:hint="eastAsia" w:eastAsia="仿宋_GB2312"/>
                <w:color w:val="auto"/>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xml:space="preserve">其中：当年财政拨款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Times New Roman" w:hAnsi="Times New Roman" w:eastAsia="仿宋_GB2312" w:cs="Times New Roman"/>
                <w:color w:val="auto"/>
                <w:kern w:val="0"/>
              </w:rPr>
            </w:pPr>
            <w:r>
              <w:rPr>
                <w:rFonts w:hint="eastAsia" w:eastAsia="仿宋_GB2312"/>
                <w:color w:val="auto"/>
                <w:kern w:val="0"/>
                <w:lang w:val="en-US" w:eastAsia="zh-CN"/>
              </w:rPr>
              <w:t>3</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eastAsia="仿宋_GB2312"/>
                <w:color w:val="auto"/>
                <w:kern w:val="0"/>
                <w:lang w:val="en-US" w:eastAsia="zh-CN"/>
              </w:rPr>
              <w:t>3</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olor w:val="auto"/>
                <w:kern w:val="0"/>
                <w:lang w:val="en-US" w:eastAsia="zh-CN"/>
              </w:rPr>
              <w:t>3</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 xml:space="preserve">上年结转资金 </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Times New Roman" w:hAnsi="Times New Roman" w:eastAsia="仿宋_GB2312" w:cs="Times New Roman"/>
                <w:color w:val="auto"/>
                <w:kern w:val="0"/>
                <w:lang w:val="en-US" w:eastAsia="zh-CN"/>
              </w:rPr>
            </w:pPr>
            <w:r>
              <w:rPr>
                <w:rFonts w:hint="eastAsia" w:eastAsia="仿宋_GB2312" w:cs="Times New Roman"/>
                <w:color w:val="auto"/>
                <w:kern w:val="0"/>
                <w:lang w:val="en-US" w:eastAsia="zh-CN"/>
              </w:rPr>
              <w:t>0</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s="Times New Roman"/>
                <w:color w:val="auto"/>
                <w:kern w:val="0"/>
                <w:lang w:val="en-US" w:eastAsia="zh-CN"/>
              </w:rPr>
            </w:pPr>
            <w:r>
              <w:rPr>
                <w:rFonts w:hint="eastAsia" w:eastAsia="仿宋_GB2312" w:cs="Times New Roman"/>
                <w:color w:val="auto"/>
                <w:kern w:val="0"/>
                <w:lang w:val="en-US" w:eastAsia="zh-CN"/>
              </w:rPr>
              <w:t>0</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296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auto"/>
                <w:kern w:val="0"/>
              </w:rPr>
            </w:pPr>
            <w:r>
              <w:rPr>
                <w:rFonts w:eastAsia="仿宋_GB2312"/>
                <w:color w:val="auto"/>
                <w:kern w:val="0"/>
              </w:rPr>
              <w:t>其他资金</w:t>
            </w:r>
          </w:p>
        </w:tc>
        <w:tc>
          <w:tcPr>
            <w:tcW w:w="12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auto"/>
                <w:kern w:val="0"/>
                <w:lang w:val="en-US" w:eastAsia="zh-CN"/>
              </w:rPr>
            </w:pPr>
            <w:r>
              <w:rPr>
                <w:rFonts w:hint="eastAsia" w:eastAsia="仿宋_GB2312" w:cs="Times New Roman"/>
                <w:color w:val="auto"/>
                <w:kern w:val="0"/>
                <w:lang w:val="en-US" w:eastAsia="zh-CN"/>
              </w:rPr>
              <w:t>0</w:t>
            </w:r>
          </w:p>
        </w:tc>
        <w:tc>
          <w:tcPr>
            <w:tcW w:w="151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118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hint="eastAsia" w:eastAsia="仿宋_GB2312" w:cs="Times New Roman"/>
                <w:color w:val="auto"/>
                <w:kern w:val="0"/>
                <w:lang w:val="en-US" w:eastAsia="zh-CN"/>
              </w:rPr>
              <w:t>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年度总体目标</w:t>
            </w: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预期目标</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5733" w:type="dxa"/>
            <w:gridSpan w:val="5"/>
            <w:tcBorders>
              <w:top w:val="single" w:color="auto" w:sz="4" w:space="0"/>
              <w:left w:val="nil"/>
              <w:bottom w:val="single" w:color="auto" w:sz="4" w:space="0"/>
              <w:right w:val="single" w:color="auto" w:sz="4" w:space="0"/>
            </w:tcBorders>
            <w:noWrap w:val="0"/>
            <w:vAlign w:val="center"/>
          </w:tcPr>
          <w:p>
            <w:pPr>
              <w:widowControl/>
              <w:spacing w:line="300" w:lineRule="exact"/>
              <w:jc w:val="both"/>
              <w:rPr>
                <w:rFonts w:eastAsia="仿宋_GB2312"/>
                <w:color w:val="auto"/>
                <w:kern w:val="0"/>
              </w:rPr>
            </w:pPr>
            <w:r>
              <w:rPr>
                <w:rFonts w:hint="default" w:ascii="Times New Roman" w:hAnsi="Times New Roman" w:eastAsia="仿宋_GB2312" w:cs="Times New Roman"/>
                <w:color w:val="auto"/>
                <w:kern w:val="0"/>
                <w:lang w:val="en-US" w:eastAsia="zh-CN"/>
              </w:rPr>
              <w:t>为确保重大事项报告工作顺利推进，争取在今年的考核中再创佳绩。</w:t>
            </w:r>
          </w:p>
        </w:tc>
        <w:tc>
          <w:tcPr>
            <w:tcW w:w="4255"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both"/>
              <w:rPr>
                <w:rFonts w:eastAsia="仿宋_GB2312"/>
                <w:color w:val="auto"/>
                <w:kern w:val="0"/>
              </w:rPr>
            </w:pPr>
            <w:r>
              <w:rPr>
                <w:rFonts w:hint="default" w:ascii="Times New Roman" w:hAnsi="Times New Roman" w:eastAsia="仿宋_GB2312" w:cs="Times New Roman"/>
                <w:color w:val="auto"/>
                <w:kern w:val="0"/>
                <w:lang w:val="en-US" w:eastAsia="zh-CN"/>
              </w:rPr>
              <w:t>加强与市相关部门的工作对接，顺利推进重大事项报告工作。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绩</w:t>
            </w:r>
          </w:p>
          <w:p>
            <w:pPr>
              <w:widowControl/>
              <w:spacing w:line="300" w:lineRule="exact"/>
              <w:jc w:val="center"/>
              <w:rPr>
                <w:rFonts w:eastAsia="仿宋_GB2312"/>
                <w:color w:val="auto"/>
                <w:kern w:val="0"/>
              </w:rPr>
            </w:pPr>
            <w:r>
              <w:rPr>
                <w:rFonts w:eastAsia="仿宋_GB2312"/>
                <w:color w:val="auto"/>
                <w:kern w:val="0"/>
              </w:rPr>
              <w:t>效</w:t>
            </w:r>
          </w:p>
          <w:p>
            <w:pPr>
              <w:widowControl/>
              <w:spacing w:line="300" w:lineRule="exact"/>
              <w:jc w:val="center"/>
              <w:rPr>
                <w:rFonts w:eastAsia="仿宋_GB2312"/>
                <w:color w:val="auto"/>
                <w:kern w:val="0"/>
              </w:rPr>
            </w:pPr>
            <w:r>
              <w:rPr>
                <w:rFonts w:eastAsia="仿宋_GB2312"/>
                <w:color w:val="auto"/>
                <w:kern w:val="0"/>
              </w:rPr>
              <w:t>指</w:t>
            </w:r>
          </w:p>
          <w:p>
            <w:pPr>
              <w:widowControl/>
              <w:spacing w:line="300" w:lineRule="exact"/>
              <w:jc w:val="center"/>
              <w:rPr>
                <w:rFonts w:eastAsia="仿宋_GB2312"/>
                <w:color w:val="auto"/>
                <w:kern w:val="0"/>
              </w:rPr>
            </w:pPr>
            <w:r>
              <w:rPr>
                <w:rFonts w:eastAsia="仿宋_GB2312"/>
                <w:color w:val="auto"/>
                <w:kern w:val="0"/>
              </w:rPr>
              <w:t>标</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一级指标</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二级指标</w:t>
            </w:r>
          </w:p>
        </w:tc>
        <w:tc>
          <w:tcPr>
            <w:tcW w:w="191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三级指标</w:t>
            </w:r>
          </w:p>
        </w:tc>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color w:val="auto"/>
                <w:kern w:val="0"/>
              </w:rPr>
            </w:pPr>
            <w:r>
              <w:rPr>
                <w:rFonts w:eastAsia="仿宋_GB2312"/>
                <w:color w:val="auto"/>
                <w:kern w:val="0"/>
              </w:rPr>
              <w:t>年度</w:t>
            </w:r>
          </w:p>
          <w:p>
            <w:pPr>
              <w:widowControl/>
              <w:spacing w:line="300" w:lineRule="exact"/>
              <w:jc w:val="both"/>
              <w:rPr>
                <w:rFonts w:eastAsia="仿宋_GB2312"/>
                <w:color w:val="auto"/>
                <w:kern w:val="0"/>
              </w:rPr>
            </w:pPr>
            <w:r>
              <w:rPr>
                <w:rFonts w:eastAsia="仿宋_GB2312"/>
                <w:color w:val="auto"/>
                <w:kern w:val="0"/>
              </w:rPr>
              <w:t>指标值</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color w:val="auto"/>
                <w:kern w:val="0"/>
              </w:rPr>
            </w:pPr>
            <w:r>
              <w:rPr>
                <w:rFonts w:eastAsia="仿宋_GB2312"/>
                <w:color w:val="auto"/>
                <w:kern w:val="0"/>
              </w:rPr>
              <w:t>实际</w:t>
            </w:r>
          </w:p>
          <w:p>
            <w:pPr>
              <w:widowControl/>
              <w:spacing w:line="300" w:lineRule="exact"/>
              <w:jc w:val="center"/>
              <w:rPr>
                <w:rFonts w:eastAsia="仿宋_GB2312"/>
                <w:color w:val="auto"/>
                <w:kern w:val="0"/>
              </w:rPr>
            </w:pPr>
            <w:r>
              <w:rPr>
                <w:rFonts w:eastAsia="仿宋_GB2312"/>
                <w:color w:val="auto"/>
                <w:kern w:val="0"/>
              </w:rPr>
              <w:t>完成值</w:t>
            </w:r>
          </w:p>
        </w:tc>
        <w:tc>
          <w:tcPr>
            <w:tcW w:w="71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分值</w:t>
            </w:r>
          </w:p>
        </w:tc>
        <w:tc>
          <w:tcPr>
            <w:tcW w:w="7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得分</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auto"/>
                <w:kern w:val="0"/>
              </w:rPr>
            </w:pPr>
            <w:r>
              <w:rPr>
                <w:rFonts w:hint="eastAsia" w:ascii="Times New Roman" w:hAnsi="Times New Roman" w:eastAsia="仿宋_GB2312" w:cs="Times New Roman"/>
                <w:color w:val="auto"/>
                <w:kern w:val="0"/>
                <w:lang w:eastAsia="zh-CN"/>
              </w:rPr>
              <w:t>产出</w:t>
            </w:r>
            <w:r>
              <w:rPr>
                <w:rFonts w:ascii="Times New Roman" w:hAnsi="Times New Roman" w:eastAsia="仿宋_GB2312" w:cs="Times New Roman"/>
                <w:color w:val="auto"/>
                <w:kern w:val="0"/>
              </w:rPr>
              <w:t>指标</w:t>
            </w:r>
          </w:p>
          <w:p>
            <w:pPr>
              <w:widowControl/>
              <w:jc w:val="center"/>
              <w:rPr>
                <w:rFonts w:ascii="Times New Roman" w:hAnsi="Times New Roman" w:eastAsia="仿宋_GB2312" w:cs="Times New Roman"/>
                <w:color w:val="auto"/>
                <w:kern w:val="0"/>
              </w:rPr>
            </w:pPr>
            <w:r>
              <w:rPr>
                <w:rFonts w:ascii="Times New Roman" w:hAnsi="Times New Roman" w:eastAsia="仿宋_GB2312" w:cs="Times New Roman"/>
                <w:color w:val="auto"/>
                <w:kern w:val="0"/>
              </w:rPr>
              <w:t>（</w:t>
            </w:r>
            <w:r>
              <w:rPr>
                <w:rFonts w:hint="eastAsia" w:ascii="Times New Roman" w:hAnsi="Times New Roman" w:eastAsia="仿宋_GB2312" w:cs="Times New Roman"/>
                <w:color w:val="auto"/>
                <w:kern w:val="0"/>
                <w:lang w:val="en-US" w:eastAsia="zh-CN"/>
              </w:rPr>
              <w:t>40</w:t>
            </w:r>
            <w:r>
              <w:rPr>
                <w:rFonts w:ascii="Times New Roman" w:hAnsi="Times New Roman" w:eastAsia="仿宋_GB2312" w:cs="Times New Roman"/>
                <w:color w:val="auto"/>
                <w:kern w:val="0"/>
              </w:rPr>
              <w:t xml:space="preserve">分） </w:t>
            </w:r>
          </w:p>
        </w:tc>
        <w:tc>
          <w:tcPr>
            <w:tcW w:w="166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时效指标</w:t>
            </w:r>
          </w:p>
        </w:tc>
        <w:tc>
          <w:tcPr>
            <w:tcW w:w="1916"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支出完成及时率</w:t>
            </w:r>
          </w:p>
        </w:tc>
        <w:tc>
          <w:tcPr>
            <w:tcW w:w="85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100%</w:t>
            </w:r>
          </w:p>
        </w:tc>
        <w:tc>
          <w:tcPr>
            <w:tcW w:w="1182"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100%</w:t>
            </w:r>
          </w:p>
        </w:tc>
        <w:tc>
          <w:tcPr>
            <w:tcW w:w="716"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eastAsia" w:ascii="微软雅黑" w:hAnsi="微软雅黑" w:eastAsia="微软雅黑" w:cs="微软雅黑"/>
                <w:i w:val="0"/>
                <w:iCs w:val="0"/>
                <w:color w:val="000000"/>
                <w:kern w:val="0"/>
                <w:sz w:val="20"/>
                <w:szCs w:val="20"/>
                <w:u w:val="none"/>
                <w:lang w:val="en-US" w:eastAsia="zh-CN" w:bidi="ar"/>
              </w:rPr>
              <w:t>40</w:t>
            </w:r>
          </w:p>
        </w:tc>
        <w:tc>
          <w:tcPr>
            <w:tcW w:w="734" w:type="dxa"/>
            <w:vMerge w:val="restart"/>
            <w:tcBorders>
              <w:top w:val="single" w:color="auto" w:sz="4" w:space="0"/>
              <w:left w:val="nil"/>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0"/>
                <w:lang w:val="en-US" w:eastAsia="zh-CN"/>
              </w:rPr>
            </w:pPr>
            <w:r>
              <w:rPr>
                <w:rFonts w:hint="eastAsia" w:ascii="微软雅黑" w:hAnsi="微软雅黑" w:eastAsia="微软雅黑" w:cs="微软雅黑"/>
                <w:i w:val="0"/>
                <w:iCs w:val="0"/>
                <w:color w:val="000000"/>
                <w:kern w:val="0"/>
                <w:sz w:val="20"/>
                <w:szCs w:val="20"/>
                <w:u w:val="none"/>
                <w:lang w:val="en-US" w:eastAsia="zh-CN" w:bidi="ar"/>
              </w:rPr>
              <w:t>40</w:t>
            </w:r>
            <w:r>
              <w:rPr>
                <w:rFonts w:hint="default" w:ascii="微软雅黑" w:hAnsi="微软雅黑" w:eastAsia="微软雅黑" w:cs="微软雅黑"/>
                <w:i w:val="0"/>
                <w:iCs w:val="0"/>
                <w:color w:val="000000"/>
                <w:kern w:val="0"/>
                <w:sz w:val="20"/>
                <w:szCs w:val="20"/>
                <w:u w:val="none"/>
                <w:lang w:val="en-US" w:eastAsia="zh-CN" w:bidi="ar"/>
              </w:rPr>
              <w:t>.00</w:t>
            </w:r>
          </w:p>
        </w:tc>
        <w:tc>
          <w:tcPr>
            <w:tcW w:w="1623" w:type="dxa"/>
            <w:vMerge w:val="restart"/>
            <w:tcBorders>
              <w:top w:val="single" w:color="auto" w:sz="4" w:space="0"/>
              <w:left w:val="nil"/>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665"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916"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eastAsia" w:ascii="Times New Roman" w:hAnsi="Times New Roman" w:eastAsia="仿宋_GB2312" w:cs="Times New Roman"/>
                <w:color w:val="auto"/>
                <w:kern w:val="0"/>
                <w:lang w:val="en-US" w:eastAsia="zh-CN"/>
              </w:rPr>
              <w:t>……</w:t>
            </w:r>
          </w:p>
        </w:tc>
        <w:tc>
          <w:tcPr>
            <w:tcW w:w="85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182"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716" w:type="dxa"/>
            <w:vMerge w:val="continue"/>
            <w:tcBorders>
              <w:left w:val="nil"/>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p>
        </w:tc>
        <w:tc>
          <w:tcPr>
            <w:tcW w:w="734" w:type="dxa"/>
            <w:vMerge w:val="continue"/>
            <w:tcBorders>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c>
          <w:tcPr>
            <w:tcW w:w="1623" w:type="dxa"/>
            <w:vMerge w:val="continue"/>
            <w:tcBorders>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auto"/>
                <w:kern w:val="0"/>
              </w:rPr>
            </w:pPr>
            <w:r>
              <w:rPr>
                <w:rFonts w:ascii="Times New Roman" w:hAnsi="Times New Roman" w:eastAsia="仿宋_GB2312" w:cs="Times New Roman"/>
                <w:color w:val="auto"/>
                <w:kern w:val="0"/>
              </w:rPr>
              <w:t>效益指标</w:t>
            </w:r>
          </w:p>
          <w:p>
            <w:pPr>
              <w:widowControl/>
              <w:jc w:val="center"/>
              <w:rPr>
                <w:rFonts w:eastAsia="仿宋_GB2312"/>
                <w:color w:val="auto"/>
                <w:kern w:val="0"/>
              </w:rPr>
            </w:pPr>
            <w:r>
              <w:rPr>
                <w:rFonts w:ascii="Times New Roman" w:hAnsi="Times New Roman" w:eastAsia="仿宋_GB2312" w:cs="Times New Roman"/>
                <w:color w:val="auto"/>
                <w:kern w:val="0"/>
              </w:rPr>
              <w:t xml:space="preserve">（30分） </w:t>
            </w:r>
          </w:p>
        </w:tc>
        <w:tc>
          <w:tcPr>
            <w:tcW w:w="166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可持续影响</w:t>
            </w:r>
          </w:p>
          <w:p>
            <w:pPr>
              <w:widowControl/>
              <w:jc w:val="center"/>
              <w:rPr>
                <w:rFonts w:eastAsia="仿宋_GB2312"/>
                <w:color w:val="auto"/>
                <w:kern w:val="0"/>
              </w:rPr>
            </w:pPr>
            <w:r>
              <w:rPr>
                <w:rFonts w:eastAsia="仿宋_GB2312"/>
                <w:color w:val="auto"/>
                <w:kern w:val="0"/>
              </w:rPr>
              <w:t>指标</w:t>
            </w:r>
          </w:p>
        </w:tc>
        <w:tc>
          <w:tcPr>
            <w:tcW w:w="1916"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全县重大事项报告工作规范化水平</w:t>
            </w:r>
          </w:p>
        </w:tc>
        <w:tc>
          <w:tcPr>
            <w:tcW w:w="85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提高</w:t>
            </w:r>
          </w:p>
        </w:tc>
        <w:tc>
          <w:tcPr>
            <w:tcW w:w="118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提高</w:t>
            </w:r>
          </w:p>
        </w:tc>
        <w:tc>
          <w:tcPr>
            <w:tcW w:w="716" w:type="dxa"/>
            <w:vMerge w:val="restart"/>
            <w:tcBorders>
              <w:left w:val="nil"/>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30</w:t>
            </w:r>
          </w:p>
        </w:tc>
        <w:tc>
          <w:tcPr>
            <w:tcW w:w="734" w:type="dxa"/>
            <w:vMerge w:val="restart"/>
            <w:tcBorders>
              <w:left w:val="nil"/>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28.00</w:t>
            </w:r>
          </w:p>
        </w:tc>
        <w:tc>
          <w:tcPr>
            <w:tcW w:w="1623" w:type="dxa"/>
            <w:vMerge w:val="restart"/>
            <w:tcBorders>
              <w:left w:val="nil"/>
              <w:right w:val="single" w:color="auto" w:sz="4" w:space="0"/>
            </w:tcBorders>
            <w:noWrap w:val="0"/>
            <w:vAlign w:val="center"/>
          </w:tcPr>
          <w:p>
            <w:pPr>
              <w:keepNext w:val="0"/>
              <w:keepLines w:val="0"/>
              <w:widowControl/>
              <w:suppressLineNumbers w:val="0"/>
              <w:jc w:val="left"/>
              <w:textAlignment w:val="center"/>
              <w:rPr>
                <w:rFonts w:hint="default" w:ascii="宋体" w:hAnsi="Times New Roman" w:eastAsia="宋体" w:cs="Times New Roman"/>
                <w:color w:val="auto"/>
                <w:kern w:val="0"/>
                <w:sz w:val="18"/>
                <w:szCs w:val="18"/>
                <w:lang w:val="en-US" w:eastAsia="zh-CN"/>
              </w:rPr>
            </w:pPr>
            <w:r>
              <w:rPr>
                <w:rFonts w:hint="default" w:ascii="宋体" w:hAnsi="Times New Roman" w:eastAsia="宋体" w:cs="Times New Roman"/>
                <w:color w:val="auto"/>
                <w:kern w:val="0"/>
                <w:sz w:val="18"/>
                <w:szCs w:val="18"/>
                <w:lang w:val="en-US" w:eastAsia="zh-CN"/>
              </w:rPr>
              <w:t>规范化水平有待提高，加强培训。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auto"/>
                <w:kern w:val="0"/>
              </w:rPr>
            </w:pPr>
          </w:p>
        </w:tc>
        <w:tc>
          <w:tcPr>
            <w:tcW w:w="1665" w:type="dxa"/>
            <w:vMerge w:val="continue"/>
            <w:tcBorders>
              <w:left w:val="single" w:color="auto" w:sz="4" w:space="0"/>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可持续影响</w:t>
            </w:r>
          </w:p>
          <w:p>
            <w:pPr>
              <w:widowControl/>
              <w:jc w:val="center"/>
              <w:rPr>
                <w:rFonts w:eastAsia="仿宋_GB2312"/>
                <w:color w:val="auto"/>
                <w:kern w:val="0"/>
              </w:rPr>
            </w:pPr>
            <w:r>
              <w:rPr>
                <w:rFonts w:eastAsia="仿宋_GB2312"/>
                <w:color w:val="auto"/>
                <w:kern w:val="0"/>
              </w:rPr>
              <w:t>指标</w:t>
            </w:r>
          </w:p>
        </w:tc>
        <w:tc>
          <w:tcPr>
            <w:tcW w:w="1916" w:type="dxa"/>
            <w:gridSpan w:val="2"/>
            <w:vMerge w:val="continue"/>
            <w:tcBorders>
              <w:left w:val="nil"/>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干部能力提升力度</w:t>
            </w:r>
          </w:p>
        </w:tc>
        <w:tc>
          <w:tcPr>
            <w:tcW w:w="852" w:type="dxa"/>
            <w:vMerge w:val="continue"/>
            <w:tcBorders>
              <w:left w:val="nil"/>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1182" w:type="dxa"/>
            <w:vMerge w:val="continue"/>
            <w:tcBorders>
              <w:left w:val="nil"/>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增强</w:t>
            </w:r>
          </w:p>
        </w:tc>
        <w:tc>
          <w:tcPr>
            <w:tcW w:w="716" w:type="dxa"/>
            <w:vMerge w:val="continue"/>
            <w:tcBorders>
              <w:left w:val="nil"/>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w:t>
            </w:r>
          </w:p>
        </w:tc>
        <w:tc>
          <w:tcPr>
            <w:tcW w:w="734" w:type="dxa"/>
            <w:vMerge w:val="continue"/>
            <w:tcBorders>
              <w:left w:val="nil"/>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eastAsia="zh-CN"/>
              </w:rPr>
            </w:pPr>
            <w:r>
              <w:rPr>
                <w:rFonts w:hint="default" w:ascii="微软雅黑" w:hAnsi="微软雅黑" w:eastAsia="微软雅黑" w:cs="微软雅黑"/>
                <w:i w:val="0"/>
                <w:iCs w:val="0"/>
                <w:color w:val="000000"/>
                <w:kern w:val="0"/>
                <w:sz w:val="20"/>
                <w:szCs w:val="20"/>
                <w:u w:val="none"/>
                <w:lang w:val="en-US" w:eastAsia="zh-CN" w:bidi="ar"/>
              </w:rPr>
              <w:t>9.00</w:t>
            </w:r>
          </w:p>
        </w:tc>
        <w:tc>
          <w:tcPr>
            <w:tcW w:w="1623" w:type="dxa"/>
            <w:vMerge w:val="continue"/>
            <w:tcBorders>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满意度指标</w:t>
            </w:r>
          </w:p>
          <w:p>
            <w:pPr>
              <w:widowControl/>
              <w:jc w:val="center"/>
              <w:rPr>
                <w:rFonts w:eastAsia="仿宋_GB2312"/>
                <w:color w:val="auto"/>
                <w:kern w:val="0"/>
              </w:rPr>
            </w:pPr>
            <w:r>
              <w:rPr>
                <w:rFonts w:eastAsia="仿宋_GB2312"/>
                <w:color w:val="auto"/>
                <w:kern w:val="0"/>
              </w:rPr>
              <w:t>（10</w:t>
            </w:r>
            <w:r>
              <w:rPr>
                <w:rFonts w:ascii="仿宋_GB2312" w:hAnsi="仿宋_GB2312" w:eastAsia="仿宋_GB2312"/>
                <w:color w:val="auto"/>
                <w:kern w:val="0"/>
              </w:rPr>
              <w:t>分）</w:t>
            </w:r>
          </w:p>
        </w:tc>
        <w:tc>
          <w:tcPr>
            <w:tcW w:w="1665" w:type="dxa"/>
            <w:tcBorders>
              <w:top w:val="nil"/>
              <w:left w:val="nil"/>
              <w:bottom w:val="single" w:color="auto" w:sz="4" w:space="0"/>
              <w:right w:val="single" w:color="auto" w:sz="4" w:space="0"/>
            </w:tcBorders>
            <w:noWrap w:val="0"/>
            <w:vAlign w:val="center"/>
          </w:tcPr>
          <w:p>
            <w:pPr>
              <w:widowControl/>
              <w:jc w:val="center"/>
              <w:rPr>
                <w:rFonts w:eastAsia="仿宋_GB2312"/>
                <w:color w:val="auto"/>
                <w:kern w:val="0"/>
              </w:rPr>
            </w:pPr>
            <w:r>
              <w:rPr>
                <w:rFonts w:eastAsia="仿宋_GB2312"/>
                <w:color w:val="auto"/>
                <w:kern w:val="0"/>
              </w:rPr>
              <w:t>服务对象</w:t>
            </w:r>
          </w:p>
          <w:p>
            <w:pPr>
              <w:widowControl/>
              <w:jc w:val="center"/>
              <w:rPr>
                <w:rFonts w:eastAsia="仿宋_GB2312"/>
                <w:color w:val="auto"/>
                <w:kern w:val="0"/>
              </w:rPr>
            </w:pPr>
            <w:r>
              <w:rPr>
                <w:rFonts w:eastAsia="仿宋_GB2312"/>
                <w:color w:val="auto"/>
                <w:kern w:val="0"/>
              </w:rPr>
              <w:t>满意度指标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服务对象满意度</w:t>
            </w:r>
          </w:p>
        </w:tc>
        <w:tc>
          <w:tcPr>
            <w:tcW w:w="85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95%</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≥95%</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10.00</w:t>
            </w:r>
          </w:p>
        </w:tc>
        <w:tc>
          <w:tcPr>
            <w:tcW w:w="1623" w:type="dxa"/>
            <w:tcBorders>
              <w:top w:val="single" w:color="auto" w:sz="4" w:space="0"/>
              <w:left w:val="nil"/>
              <w:right w:val="single" w:color="auto" w:sz="4" w:space="0"/>
            </w:tcBorders>
            <w:noWrap w:val="0"/>
            <w:vAlign w:val="center"/>
          </w:tcPr>
          <w:p>
            <w:pPr>
              <w:jc w:val="center"/>
              <w:rPr>
                <w:rFonts w:hint="default" w:eastAsia="仿宋_GB2312"/>
                <w:color w:val="auto"/>
                <w:kern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1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auto"/>
                <w:kern w:val="0"/>
              </w:rPr>
            </w:pP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auto"/>
                <w:kern w:val="0"/>
              </w:rPr>
            </w:pPr>
            <w:r>
              <w:rPr>
                <w:rFonts w:hint="eastAsia" w:eastAsia="仿宋_GB2312"/>
                <w:color w:val="auto"/>
                <w:kern w:val="0"/>
                <w:lang w:eastAsia="zh-CN"/>
              </w:rPr>
              <w:t>成本</w:t>
            </w:r>
            <w:r>
              <w:rPr>
                <w:rFonts w:eastAsia="仿宋_GB2312"/>
                <w:color w:val="auto"/>
                <w:kern w:val="0"/>
              </w:rPr>
              <w:t>指标</w:t>
            </w:r>
          </w:p>
          <w:p>
            <w:pPr>
              <w:jc w:val="center"/>
              <w:rPr>
                <w:rFonts w:eastAsia="仿宋_GB2312"/>
                <w:color w:val="auto"/>
                <w:kern w:val="0"/>
              </w:rPr>
            </w:pPr>
            <w:r>
              <w:rPr>
                <w:rFonts w:eastAsia="仿宋_GB2312"/>
                <w:color w:val="auto"/>
                <w:kern w:val="0"/>
              </w:rPr>
              <w:t>（10</w:t>
            </w:r>
            <w:r>
              <w:rPr>
                <w:rFonts w:ascii="仿宋_GB2312" w:hAnsi="仿宋_GB2312" w:eastAsia="仿宋_GB2312"/>
                <w:color w:val="auto"/>
                <w:kern w:val="0"/>
              </w:rPr>
              <w:t>分）</w:t>
            </w:r>
          </w:p>
        </w:tc>
        <w:tc>
          <w:tcPr>
            <w:tcW w:w="1665" w:type="dxa"/>
            <w:tcBorders>
              <w:top w:val="nil"/>
              <w:left w:val="nil"/>
              <w:bottom w:val="single" w:color="auto" w:sz="4" w:space="0"/>
              <w:right w:val="single" w:color="auto" w:sz="4" w:space="0"/>
            </w:tcBorders>
            <w:noWrap w:val="0"/>
            <w:vAlign w:val="center"/>
          </w:tcPr>
          <w:p>
            <w:pPr>
              <w:jc w:val="center"/>
              <w:rPr>
                <w:rFonts w:eastAsia="仿宋_GB2312"/>
                <w:color w:val="auto"/>
                <w:kern w:val="0"/>
              </w:rPr>
            </w:pPr>
            <w:r>
              <w:rPr>
                <w:rFonts w:hint="eastAsia" w:ascii="Times New Roman" w:hAnsi="Times New Roman" w:eastAsia="仿宋_GB2312" w:cs="Times New Roman"/>
                <w:color w:val="auto"/>
                <w:kern w:val="0"/>
              </w:rPr>
              <w:t>经济成本指标</w:t>
            </w:r>
          </w:p>
        </w:tc>
        <w:tc>
          <w:tcPr>
            <w:tcW w:w="19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lang w:val="en-US" w:eastAsia="zh-CN"/>
              </w:rPr>
            </w:pPr>
            <w:r>
              <w:rPr>
                <w:rFonts w:hint="default" w:ascii="Times New Roman" w:hAnsi="Times New Roman" w:eastAsia="仿宋_GB2312" w:cs="Times New Roman"/>
                <w:color w:val="auto"/>
                <w:kern w:val="0"/>
                <w:lang w:val="en-US" w:eastAsia="zh-CN"/>
              </w:rPr>
              <w:t>重大事项报告工作经费支出</w:t>
            </w:r>
          </w:p>
        </w:tc>
        <w:tc>
          <w:tcPr>
            <w:tcW w:w="85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3</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default" w:ascii="微软雅黑" w:hAnsi="微软雅黑" w:eastAsia="微软雅黑" w:cs="微软雅黑"/>
                <w:i w:val="0"/>
                <w:iCs w:val="0"/>
                <w:color w:val="000000"/>
                <w:kern w:val="0"/>
                <w:sz w:val="20"/>
                <w:szCs w:val="20"/>
                <w:u w:val="none"/>
                <w:lang w:val="en-US" w:eastAsia="zh-CN" w:bidi="ar"/>
              </w:rPr>
              <w:t>3</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仿宋_GB2312"/>
                <w:color w:val="auto"/>
                <w:kern w:val="0"/>
                <w:lang w:val="en-US"/>
              </w:rPr>
            </w:pPr>
            <w:r>
              <w:rPr>
                <w:rFonts w:hint="default" w:ascii="微软雅黑" w:hAnsi="微软雅黑" w:eastAsia="微软雅黑" w:cs="微软雅黑"/>
                <w:i w:val="0"/>
                <w:iCs w:val="0"/>
                <w:color w:val="000000"/>
                <w:kern w:val="0"/>
                <w:sz w:val="20"/>
                <w:szCs w:val="20"/>
                <w:u w:val="none"/>
                <w:lang w:val="en-US" w:eastAsia="zh-CN" w:bidi="ar"/>
              </w:rPr>
              <w:t>10</w:t>
            </w:r>
          </w:p>
        </w:tc>
        <w:tc>
          <w:tcPr>
            <w:tcW w:w="1623" w:type="dxa"/>
            <w:tcBorders>
              <w:left w:val="nil"/>
              <w:bottom w:val="single" w:color="auto" w:sz="4" w:space="0"/>
              <w:right w:val="single" w:color="auto" w:sz="4" w:space="0"/>
            </w:tcBorders>
            <w:noWrap w:val="0"/>
            <w:vAlign w:val="center"/>
          </w:tcPr>
          <w:p>
            <w:pPr>
              <w:jc w:val="center"/>
              <w:rPr>
                <w:rFonts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3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auto"/>
                <w:kern w:val="0"/>
              </w:rPr>
            </w:pPr>
            <w:r>
              <w:rPr>
                <w:rFonts w:eastAsia="仿宋_GB2312"/>
                <w:color w:val="auto"/>
                <w:kern w:val="0"/>
              </w:rPr>
              <w:t>总分</w:t>
            </w:r>
          </w:p>
        </w:tc>
        <w:tc>
          <w:tcPr>
            <w:tcW w:w="7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仿宋_GB2312"/>
                <w:color w:val="auto"/>
                <w:kern w:val="0"/>
              </w:rPr>
            </w:pPr>
            <w:r>
              <w:rPr>
                <w:rFonts w:hint="default" w:ascii="微软雅黑" w:hAnsi="微软雅黑" w:eastAsia="微软雅黑" w:cs="微软雅黑"/>
                <w:i w:val="0"/>
                <w:iCs w:val="0"/>
                <w:color w:val="000000"/>
                <w:kern w:val="0"/>
                <w:sz w:val="20"/>
                <w:szCs w:val="20"/>
                <w:u w:val="none"/>
                <w:lang w:val="en-US" w:eastAsia="zh-CN" w:bidi="ar"/>
              </w:rPr>
              <w:t>100</w:t>
            </w:r>
          </w:p>
        </w:tc>
        <w:tc>
          <w:tcPr>
            <w:tcW w:w="7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0"/>
                <w:lang w:val="en-US" w:eastAsia="zh-CN"/>
              </w:rPr>
            </w:pPr>
            <w:r>
              <w:rPr>
                <w:rFonts w:hint="eastAsia" w:ascii="微软雅黑" w:hAnsi="微软雅黑" w:eastAsia="微软雅黑" w:cs="微软雅黑"/>
                <w:i w:val="0"/>
                <w:iCs w:val="0"/>
                <w:color w:val="000000"/>
                <w:kern w:val="0"/>
                <w:sz w:val="20"/>
                <w:szCs w:val="20"/>
                <w:u w:val="none"/>
                <w:lang w:val="en-US" w:eastAsia="zh-CN" w:bidi="ar"/>
              </w:rPr>
              <w:t>98</w:t>
            </w:r>
          </w:p>
        </w:tc>
        <w:tc>
          <w:tcPr>
            <w:tcW w:w="162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auto"/>
                <w:kern w:val="0"/>
              </w:rPr>
            </w:pPr>
            <w:r>
              <w:rPr>
                <w:rFonts w:eastAsia="仿宋_GB2312"/>
                <w:color w:val="auto"/>
                <w:kern w:val="0"/>
              </w:rPr>
              <w:t>　</w:t>
            </w:r>
          </w:p>
        </w:tc>
      </w:tr>
    </w:tbl>
    <w:p>
      <w:pPr>
        <w:widowControl/>
        <w:jc w:val="left"/>
        <w:rPr>
          <w:rFonts w:hint="eastAsia" w:ascii="仿宋_GB2312" w:hAnsi="仿宋_GB2312" w:eastAsia="宋体"/>
          <w:kern w:val="0"/>
          <w:lang w:eastAsia="zh-CN"/>
        </w:rPr>
      </w:pPr>
      <w:r>
        <w:rPr>
          <w:rFonts w:ascii="仿宋_GB2312" w:hAnsi="仿宋_GB2312"/>
          <w:kern w:val="0"/>
        </w:rPr>
        <w:t>填表人：</w:t>
      </w:r>
      <w:r>
        <w:rPr>
          <w:rFonts w:hint="eastAsia" w:ascii="仿宋_GB2312" w:hAnsi="仿宋_GB2312"/>
          <w:kern w:val="0"/>
          <w:lang w:val="en-US" w:eastAsia="zh-CN"/>
        </w:rPr>
        <w:t xml:space="preserve">  </w:t>
      </w:r>
      <w:r>
        <w:rPr>
          <w:rFonts w:hint="default" w:ascii="仿宋_GB2312" w:hAnsi="仿宋_GB2312"/>
          <w:kern w:val="0"/>
        </w:rPr>
        <w:t xml:space="preserve">  </w:t>
      </w:r>
      <w:r>
        <w:rPr>
          <w:rFonts w:ascii="仿宋_GB2312" w:hAnsi="仿宋_GB2312"/>
          <w:kern w:val="0"/>
        </w:rPr>
        <w:t>联系电话：</w:t>
      </w:r>
      <w:r>
        <w:rPr>
          <w:rFonts w:hint="default" w:ascii="仿宋_GB2312" w:hAnsi="仿宋_GB2312"/>
          <w:kern w:val="0"/>
        </w:rPr>
        <w:t xml:space="preserve">07467721003 </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 xml:space="preserve">2024.05.09  </w:t>
      </w:r>
      <w:r>
        <w:rPr>
          <w:rFonts w:ascii="仿宋_GB2312" w:hAnsi="仿宋_GB2312"/>
          <w:kern w:val="0"/>
        </w:rPr>
        <w:t>单位负责人签字：</w:t>
      </w:r>
    </w:p>
    <w:p>
      <w:pPr>
        <w:widowControl/>
        <w:jc w:val="left"/>
        <w:rPr>
          <w:rFonts w:hint="eastAsia" w:ascii="仿宋_GB2312" w:hAnsi="仿宋_GB2312" w:eastAsia="宋体"/>
          <w:kern w:val="0"/>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宋体"/>
          <w:color w:val="auto"/>
          <w:kern w:val="0"/>
          <w:sz w:val="32"/>
          <w:szCs w:val="32"/>
        </w:rPr>
      </w:pPr>
    </w:p>
    <w:p>
      <w:pPr>
        <w:widowControl/>
        <w:jc w:val="left"/>
        <w:rPr>
          <w:rFonts w:hint="eastAsia"/>
          <w:lang w:eastAsia="zh-CN"/>
        </w:rPr>
      </w:pPr>
    </w:p>
    <w:sectPr>
      <w:headerReference r:id="rId4" w:type="first"/>
      <w:footerReference r:id="rId7" w:type="first"/>
      <w:footerReference r:id="rId5" w:type="default"/>
      <w:headerReference r:id="rId3" w:type="even"/>
      <w:footerReference r:id="rId6" w:type="even"/>
      <w:pgSz w:w="11906" w:h="16838"/>
      <w:pgMar w:top="1440" w:right="1701" w:bottom="1292" w:left="170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Batang">
    <w:altName w:val="Noto Serif CJK JP SemiBold"/>
    <w:panose1 w:val="02030600000101010101"/>
    <w:charset w:val="00"/>
    <w:family w:val="roman"/>
    <w:pitch w:val="default"/>
    <w:sig w:usb0="00000000" w:usb1="00000000" w:usb2="00000030" w:usb3="00000000" w:csb0="4008009F" w:csb1="DFD70000"/>
  </w:font>
  <w:font w:name="Noto Serif CJK JP SemiBold">
    <w:panose1 w:val="02020600000000000000"/>
    <w:charset w:val="86"/>
    <w:family w:val="auto"/>
    <w:pitch w:val="default"/>
    <w:sig w:usb0="30000083" w:usb1="2BDF3C10" w:usb2="00000016" w:usb3="00000000" w:csb0="602E0107" w:csb1="00000000"/>
  </w:font>
  <w:font w:name="仿宋">
    <w:panose1 w:val="02010609060101010101"/>
    <w:charset w:val="86"/>
    <w:family w:val="auto"/>
    <w:pitch w:val="default"/>
    <w:sig w:usb0="800002BF" w:usb1="38CF7CFA"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YzE2YzljMWQzYjY3MmZlOWE3ZDMxOWUwODk1Y2QifQ=="/>
  </w:docVars>
  <w:rsids>
    <w:rsidRoot w:val="004B1197"/>
    <w:rsid w:val="00000CE7"/>
    <w:rsid w:val="000217A3"/>
    <w:rsid w:val="0003201E"/>
    <w:rsid w:val="000338F9"/>
    <w:rsid w:val="000407B3"/>
    <w:rsid w:val="0005006A"/>
    <w:rsid w:val="000503ED"/>
    <w:rsid w:val="00051DFC"/>
    <w:rsid w:val="00054ADD"/>
    <w:rsid w:val="00060AFE"/>
    <w:rsid w:val="00081E08"/>
    <w:rsid w:val="0008594E"/>
    <w:rsid w:val="0008662E"/>
    <w:rsid w:val="00091F78"/>
    <w:rsid w:val="00092094"/>
    <w:rsid w:val="000A3419"/>
    <w:rsid w:val="000A42B5"/>
    <w:rsid w:val="000C2479"/>
    <w:rsid w:val="000D522F"/>
    <w:rsid w:val="000D67BF"/>
    <w:rsid w:val="000E4A08"/>
    <w:rsid w:val="00102EDC"/>
    <w:rsid w:val="001152E9"/>
    <w:rsid w:val="001207D2"/>
    <w:rsid w:val="00122E0B"/>
    <w:rsid w:val="001409A3"/>
    <w:rsid w:val="001573BB"/>
    <w:rsid w:val="0016512C"/>
    <w:rsid w:val="001678A9"/>
    <w:rsid w:val="00172B76"/>
    <w:rsid w:val="00173ECA"/>
    <w:rsid w:val="00186EBC"/>
    <w:rsid w:val="00196509"/>
    <w:rsid w:val="00197637"/>
    <w:rsid w:val="001A3A16"/>
    <w:rsid w:val="001A7ADE"/>
    <w:rsid w:val="001A7CA9"/>
    <w:rsid w:val="001B1C4F"/>
    <w:rsid w:val="001B1E7B"/>
    <w:rsid w:val="001C4DC7"/>
    <w:rsid w:val="001C500A"/>
    <w:rsid w:val="001C6330"/>
    <w:rsid w:val="001D5290"/>
    <w:rsid w:val="001F0100"/>
    <w:rsid w:val="001F31D0"/>
    <w:rsid w:val="0020660E"/>
    <w:rsid w:val="00212C29"/>
    <w:rsid w:val="002325E9"/>
    <w:rsid w:val="002476C5"/>
    <w:rsid w:val="00253CCB"/>
    <w:rsid w:val="00267CAD"/>
    <w:rsid w:val="00280B52"/>
    <w:rsid w:val="00280F7B"/>
    <w:rsid w:val="002832F5"/>
    <w:rsid w:val="00297DEC"/>
    <w:rsid w:val="002A1F09"/>
    <w:rsid w:val="002B6CB4"/>
    <w:rsid w:val="002C1828"/>
    <w:rsid w:val="002D3094"/>
    <w:rsid w:val="002E69D4"/>
    <w:rsid w:val="00303CC5"/>
    <w:rsid w:val="00331F3F"/>
    <w:rsid w:val="003346B2"/>
    <w:rsid w:val="00334E3C"/>
    <w:rsid w:val="00340006"/>
    <w:rsid w:val="00351956"/>
    <w:rsid w:val="00351F39"/>
    <w:rsid w:val="00354F1A"/>
    <w:rsid w:val="0038639A"/>
    <w:rsid w:val="0039578E"/>
    <w:rsid w:val="003A20A6"/>
    <w:rsid w:val="003B1ADB"/>
    <w:rsid w:val="003D6E1B"/>
    <w:rsid w:val="003E539D"/>
    <w:rsid w:val="003E6B85"/>
    <w:rsid w:val="003F6980"/>
    <w:rsid w:val="004074F1"/>
    <w:rsid w:val="0041042A"/>
    <w:rsid w:val="00416A19"/>
    <w:rsid w:val="00461B0F"/>
    <w:rsid w:val="00464E9A"/>
    <w:rsid w:val="004660A2"/>
    <w:rsid w:val="0046639F"/>
    <w:rsid w:val="00476B6F"/>
    <w:rsid w:val="004821BF"/>
    <w:rsid w:val="00483BD6"/>
    <w:rsid w:val="00485C8A"/>
    <w:rsid w:val="004B1197"/>
    <w:rsid w:val="004B1C33"/>
    <w:rsid w:val="004B4583"/>
    <w:rsid w:val="004D2526"/>
    <w:rsid w:val="004E30C5"/>
    <w:rsid w:val="004E7554"/>
    <w:rsid w:val="004F0BD6"/>
    <w:rsid w:val="004F3066"/>
    <w:rsid w:val="004F601C"/>
    <w:rsid w:val="00513F3F"/>
    <w:rsid w:val="005225EA"/>
    <w:rsid w:val="00532412"/>
    <w:rsid w:val="005374D5"/>
    <w:rsid w:val="005438C6"/>
    <w:rsid w:val="005506AF"/>
    <w:rsid w:val="00572CB3"/>
    <w:rsid w:val="0059099E"/>
    <w:rsid w:val="005A0C0B"/>
    <w:rsid w:val="005A1167"/>
    <w:rsid w:val="005A7EBF"/>
    <w:rsid w:val="005B0282"/>
    <w:rsid w:val="005B0995"/>
    <w:rsid w:val="005B26E0"/>
    <w:rsid w:val="005B549B"/>
    <w:rsid w:val="005B5D89"/>
    <w:rsid w:val="0060780D"/>
    <w:rsid w:val="0061583A"/>
    <w:rsid w:val="00616464"/>
    <w:rsid w:val="006264B4"/>
    <w:rsid w:val="00640CD6"/>
    <w:rsid w:val="006513EF"/>
    <w:rsid w:val="006526E9"/>
    <w:rsid w:val="00652C42"/>
    <w:rsid w:val="00653196"/>
    <w:rsid w:val="00657D63"/>
    <w:rsid w:val="00673C6A"/>
    <w:rsid w:val="0068608E"/>
    <w:rsid w:val="0069550D"/>
    <w:rsid w:val="006B301F"/>
    <w:rsid w:val="006B7065"/>
    <w:rsid w:val="006C0227"/>
    <w:rsid w:val="006C5813"/>
    <w:rsid w:val="006C5C52"/>
    <w:rsid w:val="006D5298"/>
    <w:rsid w:val="006E1F09"/>
    <w:rsid w:val="006F26F8"/>
    <w:rsid w:val="00700963"/>
    <w:rsid w:val="007011E3"/>
    <w:rsid w:val="00706ABF"/>
    <w:rsid w:val="00716A68"/>
    <w:rsid w:val="007200E1"/>
    <w:rsid w:val="007209AF"/>
    <w:rsid w:val="0073790F"/>
    <w:rsid w:val="00747591"/>
    <w:rsid w:val="0077595F"/>
    <w:rsid w:val="00791949"/>
    <w:rsid w:val="007A7198"/>
    <w:rsid w:val="007B2BA9"/>
    <w:rsid w:val="007C4F4A"/>
    <w:rsid w:val="007D51E1"/>
    <w:rsid w:val="007E69B1"/>
    <w:rsid w:val="007F6139"/>
    <w:rsid w:val="0080002A"/>
    <w:rsid w:val="00801DD2"/>
    <w:rsid w:val="00812F8D"/>
    <w:rsid w:val="0081649A"/>
    <w:rsid w:val="008240C4"/>
    <w:rsid w:val="008266A0"/>
    <w:rsid w:val="00826839"/>
    <w:rsid w:val="00850052"/>
    <w:rsid w:val="00866B24"/>
    <w:rsid w:val="008712BD"/>
    <w:rsid w:val="00871910"/>
    <w:rsid w:val="00886532"/>
    <w:rsid w:val="008A5EE5"/>
    <w:rsid w:val="008A66E2"/>
    <w:rsid w:val="008C6929"/>
    <w:rsid w:val="008D746A"/>
    <w:rsid w:val="008D7A3D"/>
    <w:rsid w:val="008E4DC6"/>
    <w:rsid w:val="008F10ED"/>
    <w:rsid w:val="008F3EDA"/>
    <w:rsid w:val="00900DF9"/>
    <w:rsid w:val="00907EDD"/>
    <w:rsid w:val="009125E9"/>
    <w:rsid w:val="00914B11"/>
    <w:rsid w:val="00914BFB"/>
    <w:rsid w:val="009157B9"/>
    <w:rsid w:val="00916F6A"/>
    <w:rsid w:val="00917D44"/>
    <w:rsid w:val="009267D5"/>
    <w:rsid w:val="00926B21"/>
    <w:rsid w:val="00927C95"/>
    <w:rsid w:val="0093261C"/>
    <w:rsid w:val="009354B8"/>
    <w:rsid w:val="0094581C"/>
    <w:rsid w:val="0095097B"/>
    <w:rsid w:val="00951047"/>
    <w:rsid w:val="009543B5"/>
    <w:rsid w:val="0095489F"/>
    <w:rsid w:val="009717EC"/>
    <w:rsid w:val="0097227C"/>
    <w:rsid w:val="00995D6A"/>
    <w:rsid w:val="0099631E"/>
    <w:rsid w:val="009A3270"/>
    <w:rsid w:val="009A5A79"/>
    <w:rsid w:val="009B520A"/>
    <w:rsid w:val="009D421E"/>
    <w:rsid w:val="009D559E"/>
    <w:rsid w:val="009D65F7"/>
    <w:rsid w:val="009F49EA"/>
    <w:rsid w:val="00A245F0"/>
    <w:rsid w:val="00A32453"/>
    <w:rsid w:val="00A37843"/>
    <w:rsid w:val="00A473D0"/>
    <w:rsid w:val="00A541FC"/>
    <w:rsid w:val="00A62787"/>
    <w:rsid w:val="00A64595"/>
    <w:rsid w:val="00A75CB8"/>
    <w:rsid w:val="00A821A9"/>
    <w:rsid w:val="00A96867"/>
    <w:rsid w:val="00AA6E26"/>
    <w:rsid w:val="00AB0501"/>
    <w:rsid w:val="00AB3242"/>
    <w:rsid w:val="00AB5C0D"/>
    <w:rsid w:val="00AC25E3"/>
    <w:rsid w:val="00AC382E"/>
    <w:rsid w:val="00AC7365"/>
    <w:rsid w:val="00AD5589"/>
    <w:rsid w:val="00AE4515"/>
    <w:rsid w:val="00B1194C"/>
    <w:rsid w:val="00B119E1"/>
    <w:rsid w:val="00B16640"/>
    <w:rsid w:val="00B2017B"/>
    <w:rsid w:val="00B22AAF"/>
    <w:rsid w:val="00B31EFA"/>
    <w:rsid w:val="00B365B9"/>
    <w:rsid w:val="00B376D4"/>
    <w:rsid w:val="00B46800"/>
    <w:rsid w:val="00B50767"/>
    <w:rsid w:val="00B56853"/>
    <w:rsid w:val="00B60E59"/>
    <w:rsid w:val="00B65FF2"/>
    <w:rsid w:val="00B666A0"/>
    <w:rsid w:val="00B67B4D"/>
    <w:rsid w:val="00B750E4"/>
    <w:rsid w:val="00B92D90"/>
    <w:rsid w:val="00B974B1"/>
    <w:rsid w:val="00BA25FA"/>
    <w:rsid w:val="00BA2A8F"/>
    <w:rsid w:val="00BA3605"/>
    <w:rsid w:val="00BA4E37"/>
    <w:rsid w:val="00BB7294"/>
    <w:rsid w:val="00BC099F"/>
    <w:rsid w:val="00BD0581"/>
    <w:rsid w:val="00BD1FAE"/>
    <w:rsid w:val="00BD2625"/>
    <w:rsid w:val="00BD42E6"/>
    <w:rsid w:val="00BD4C3B"/>
    <w:rsid w:val="00BE355D"/>
    <w:rsid w:val="00BF06B3"/>
    <w:rsid w:val="00BF098F"/>
    <w:rsid w:val="00C13D8E"/>
    <w:rsid w:val="00C1779B"/>
    <w:rsid w:val="00C21353"/>
    <w:rsid w:val="00C27912"/>
    <w:rsid w:val="00C27F10"/>
    <w:rsid w:val="00C31395"/>
    <w:rsid w:val="00C54803"/>
    <w:rsid w:val="00C5516B"/>
    <w:rsid w:val="00C61F14"/>
    <w:rsid w:val="00C62ED1"/>
    <w:rsid w:val="00C65787"/>
    <w:rsid w:val="00C65918"/>
    <w:rsid w:val="00C85497"/>
    <w:rsid w:val="00C92837"/>
    <w:rsid w:val="00C93931"/>
    <w:rsid w:val="00CA1194"/>
    <w:rsid w:val="00CB1715"/>
    <w:rsid w:val="00CC3481"/>
    <w:rsid w:val="00CF58B3"/>
    <w:rsid w:val="00D00139"/>
    <w:rsid w:val="00D01814"/>
    <w:rsid w:val="00D03C59"/>
    <w:rsid w:val="00D32FD1"/>
    <w:rsid w:val="00D47EAE"/>
    <w:rsid w:val="00D52FF1"/>
    <w:rsid w:val="00D551E5"/>
    <w:rsid w:val="00D708E3"/>
    <w:rsid w:val="00D74DA1"/>
    <w:rsid w:val="00D75A43"/>
    <w:rsid w:val="00D82106"/>
    <w:rsid w:val="00D8584D"/>
    <w:rsid w:val="00D96E43"/>
    <w:rsid w:val="00DA477E"/>
    <w:rsid w:val="00DA618B"/>
    <w:rsid w:val="00DB2452"/>
    <w:rsid w:val="00DB4193"/>
    <w:rsid w:val="00DB7476"/>
    <w:rsid w:val="00DC121E"/>
    <w:rsid w:val="00DC22C4"/>
    <w:rsid w:val="00DF09CF"/>
    <w:rsid w:val="00DF124F"/>
    <w:rsid w:val="00DF27AE"/>
    <w:rsid w:val="00E12F68"/>
    <w:rsid w:val="00E17DD4"/>
    <w:rsid w:val="00E20E7C"/>
    <w:rsid w:val="00E27B0F"/>
    <w:rsid w:val="00E43AA1"/>
    <w:rsid w:val="00E47DFC"/>
    <w:rsid w:val="00E51937"/>
    <w:rsid w:val="00E572F0"/>
    <w:rsid w:val="00E90B11"/>
    <w:rsid w:val="00E9305B"/>
    <w:rsid w:val="00E956FD"/>
    <w:rsid w:val="00EB4406"/>
    <w:rsid w:val="00EC0EE8"/>
    <w:rsid w:val="00EC4BEB"/>
    <w:rsid w:val="00EC7C12"/>
    <w:rsid w:val="00ED125F"/>
    <w:rsid w:val="00ED3ADD"/>
    <w:rsid w:val="00F129F4"/>
    <w:rsid w:val="00F131A9"/>
    <w:rsid w:val="00F21833"/>
    <w:rsid w:val="00F21CCA"/>
    <w:rsid w:val="00F400EC"/>
    <w:rsid w:val="00F435A4"/>
    <w:rsid w:val="00F47327"/>
    <w:rsid w:val="00F5162E"/>
    <w:rsid w:val="00F55834"/>
    <w:rsid w:val="00F56D79"/>
    <w:rsid w:val="00F66CD9"/>
    <w:rsid w:val="00F7565B"/>
    <w:rsid w:val="00F75895"/>
    <w:rsid w:val="00F83FED"/>
    <w:rsid w:val="00F86B44"/>
    <w:rsid w:val="00F9272D"/>
    <w:rsid w:val="00F97F78"/>
    <w:rsid w:val="00FA3B0F"/>
    <w:rsid w:val="00FB789B"/>
    <w:rsid w:val="00FB7B74"/>
    <w:rsid w:val="00FC70D7"/>
    <w:rsid w:val="00FD4714"/>
    <w:rsid w:val="00FE1042"/>
    <w:rsid w:val="00FE40A3"/>
    <w:rsid w:val="07FCE01E"/>
    <w:rsid w:val="0B3D39AE"/>
    <w:rsid w:val="10921CFF"/>
    <w:rsid w:val="133F7FD4"/>
    <w:rsid w:val="13B762D9"/>
    <w:rsid w:val="17CE3138"/>
    <w:rsid w:val="1D574949"/>
    <w:rsid w:val="1ED5304F"/>
    <w:rsid w:val="1FFF1CD4"/>
    <w:rsid w:val="226F758D"/>
    <w:rsid w:val="25DD0A65"/>
    <w:rsid w:val="28824CC0"/>
    <w:rsid w:val="2A310517"/>
    <w:rsid w:val="2DEFED42"/>
    <w:rsid w:val="2E293030"/>
    <w:rsid w:val="2E6708BD"/>
    <w:rsid w:val="2FA9E901"/>
    <w:rsid w:val="31CB7699"/>
    <w:rsid w:val="3A1F6490"/>
    <w:rsid w:val="3FB22576"/>
    <w:rsid w:val="3FFFE5D2"/>
    <w:rsid w:val="45596441"/>
    <w:rsid w:val="47731186"/>
    <w:rsid w:val="4DC4528E"/>
    <w:rsid w:val="50ED627E"/>
    <w:rsid w:val="546F7990"/>
    <w:rsid w:val="57D66790"/>
    <w:rsid w:val="59FF1428"/>
    <w:rsid w:val="5E7FE284"/>
    <w:rsid w:val="616B106E"/>
    <w:rsid w:val="664F3294"/>
    <w:rsid w:val="6BF9948E"/>
    <w:rsid w:val="6E4E423B"/>
    <w:rsid w:val="6FD3130F"/>
    <w:rsid w:val="6FDCCFE5"/>
    <w:rsid w:val="712D4EBF"/>
    <w:rsid w:val="741D2E4E"/>
    <w:rsid w:val="767F3226"/>
    <w:rsid w:val="77F38935"/>
    <w:rsid w:val="7A8A9F82"/>
    <w:rsid w:val="7BFFA391"/>
    <w:rsid w:val="7C6F1414"/>
    <w:rsid w:val="7CE2E69D"/>
    <w:rsid w:val="7DBF7F34"/>
    <w:rsid w:val="7E0F5845"/>
    <w:rsid w:val="7E7FEB2C"/>
    <w:rsid w:val="7EDB43A7"/>
    <w:rsid w:val="7EE78EEE"/>
    <w:rsid w:val="7FACA245"/>
    <w:rsid w:val="967B94E0"/>
    <w:rsid w:val="A4DB2FF1"/>
    <w:rsid w:val="B9D2E2FC"/>
    <w:rsid w:val="BFB11012"/>
    <w:rsid w:val="BFF5F09C"/>
    <w:rsid w:val="BFF703E4"/>
    <w:rsid w:val="C6E78A13"/>
    <w:rsid w:val="CE6E978D"/>
    <w:rsid w:val="D34F108F"/>
    <w:rsid w:val="D66FE7ED"/>
    <w:rsid w:val="DC59E78F"/>
    <w:rsid w:val="DD3EA0B0"/>
    <w:rsid w:val="DD672802"/>
    <w:rsid w:val="DDBFEEF8"/>
    <w:rsid w:val="DDF2AC46"/>
    <w:rsid w:val="DDFB1AD6"/>
    <w:rsid w:val="DF7F496A"/>
    <w:rsid w:val="E0FF91B5"/>
    <w:rsid w:val="EFDF65C2"/>
    <w:rsid w:val="EFFF2EDB"/>
    <w:rsid w:val="F3DD1889"/>
    <w:rsid w:val="F7BD4DF1"/>
    <w:rsid w:val="F7DD14E0"/>
    <w:rsid w:val="F7E52515"/>
    <w:rsid w:val="FBDF1F99"/>
    <w:rsid w:val="FCA7A6DC"/>
    <w:rsid w:val="FCDF87CD"/>
    <w:rsid w:val="FDDD624C"/>
    <w:rsid w:val="FEFFF68C"/>
    <w:rsid w:val="FF9F99D4"/>
    <w:rsid w:val="FFBB5F6E"/>
    <w:rsid w:val="FFE2C4AB"/>
    <w:rsid w:val="FFF4E509"/>
    <w:rsid w:val="FFFF63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ind w:firstLine="664"/>
    </w:pPr>
  </w:style>
  <w:style w:type="paragraph" w:styleId="11">
    <w:name w:val="Body Text First Indent 2"/>
    <w:basedOn w:val="5"/>
    <w:qFormat/>
    <w:uiPriority w:val="0"/>
    <w:pPr>
      <w:spacing w:before="100" w:beforeAutospacing="1"/>
      <w:ind w:left="0" w:firstLine="420" w:firstLineChars="200"/>
    </w:pPr>
  </w:style>
  <w:style w:type="character" w:styleId="14">
    <w:name w:val="page number"/>
    <w:basedOn w:val="13"/>
    <w:qFormat/>
    <w:uiPriority w:val="0"/>
  </w:style>
  <w:style w:type="character" w:styleId="15">
    <w:name w:val="Emphasis"/>
    <w:basedOn w:val="13"/>
    <w:qFormat/>
    <w:uiPriority w:val="0"/>
    <w:rPr>
      <w:i/>
    </w:rPr>
  </w:style>
  <w:style w:type="paragraph" w:customStyle="1" w:styleId="16">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Microsoft</Company>
  <Pages>9</Pages>
  <Words>2908</Words>
  <Characters>3339</Characters>
  <Lines>33</Lines>
  <Paragraphs>9</Paragraphs>
  <TotalTime>2</TotalTime>
  <ScaleCrop>false</ScaleCrop>
  <LinksUpToDate>false</LinksUpToDate>
  <CharactersWithSpaces>3574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2021-05-17T22:14:00Z</dcterms:created>
  <dc:creator>Users</dc:creator>
  <cp:lastModifiedBy>kylin</cp:lastModifiedBy>
  <cp:lastPrinted>2022-06-12T17:27:00Z</cp:lastPrinted>
  <dcterms:modified xsi:type="dcterms:W3CDTF">2024-05-10T17:43:35Z</dcterms:modified>
  <dc:title>双财绩〔2021〕2号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4A4E01C1BEDC4932B83F2F44885F978E</vt:lpwstr>
  </property>
</Properties>
</file>