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双牌县司法局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both"/>
        <w:rPr>
          <w:rFonts w:hint="default" w:eastAsia="黑体"/>
          <w:sz w:val="32"/>
          <w:szCs w:val="24"/>
        </w:rPr>
      </w:pPr>
    </w:p>
    <w:p>
      <w:pPr>
        <w:pStyle w:val="5"/>
        <w:rPr>
          <w:rFonts w:hint="default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双牌县司法局</w:t>
      </w:r>
      <w:r>
        <w:rPr>
          <w:rFonts w:hint="eastAsia" w:eastAsia="仿宋_GB2312"/>
          <w:sz w:val="32"/>
          <w:szCs w:val="24"/>
          <w:u w:val="single"/>
        </w:rPr>
        <w:t xml:space="preserve">    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5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widowControl/>
        <w:spacing w:line="580" w:lineRule="atLeast"/>
        <w:ind w:firstLine="64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1、</w:t>
      </w:r>
      <w:r>
        <w:rPr>
          <w:rFonts w:hint="eastAsia" w:ascii="仿宋_GB2312" w:eastAsia="仿宋_GB2312"/>
          <w:sz w:val="28"/>
          <w:szCs w:val="28"/>
        </w:rPr>
        <w:t>单位主要职责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0" w:firstLineChars="10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（1）承担全面依法治县重大问题的政策研究，协调有关方面提出全面依法治县中长期规划建议，负责有关重大决策部署督察工作。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0" w:firstLineChars="10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（2）指导全县规范性文件管理有关工作，承担县政府规范性文件送审稿的合法性审查工作，承办县政府及其部门规范性文件的登记工作。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0" w:firstLineChars="10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（3）承担统筹推进法治政府建设的责任。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0" w:firstLineChars="10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（4）承担统筹规划全县法治社会建设的责任。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0" w:firstLineChars="10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（5）指导、管理社区矫正工作。指导刑满释放人员帮教安置工作。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0" w:firstLineChars="10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（6）负责拟订公共法律服务体系建设规划并指导实施，统筹和布局城乡、区域法律服务资源。指导、监督律师、法律援助、司法鉴定、公证和基层法律服务管理工作。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0" w:firstLineChars="10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（7）负责全县法治对外合作工作。组织开展法治对外合作交流。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0" w:firstLineChars="10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（8）负责本系统服装、警车和信息化管理工作，做好本系统财务、装备、设施、场所等保障工作。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0" w:firstLineChars="10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（9）规划、协调、指导法治人才队伍建设相关工作。抓好本系统队伍建设。负责本系统警务管理和警务督察工作。</w:t>
      </w:r>
    </w:p>
    <w:p>
      <w:pPr>
        <w:pStyle w:val="2"/>
        <w:ind w:firstLine="280" w:firstLineChars="100"/>
        <w:rPr>
          <w:rFonts w:hint="eastAsia" w:ascii="仿宋_GB2312" w:hAnsi="仿宋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（10）完成县委、县政府交办的其他任务</w:t>
      </w:r>
      <w:r>
        <w:rPr>
          <w:rFonts w:hint="eastAsia" w:ascii="仿宋_GB2312" w:hAnsi="仿宋" w:eastAsia="仿宋_GB2312" w:cs="Times New Roman"/>
          <w:sz w:val="28"/>
          <w:szCs w:val="28"/>
          <w:lang w:eastAsia="zh-CN"/>
        </w:rPr>
        <w:t>。</w:t>
      </w:r>
    </w:p>
    <w:p>
      <w:pPr>
        <w:widowControl/>
        <w:spacing w:line="580" w:lineRule="atLeast"/>
        <w:ind w:firstLine="640" w:firstLineChars="200"/>
        <w:rPr>
          <w:rFonts w:hint="eastAsia" w:ascii="仿宋_GB2312" w:hAnsi="Times New Roman" w:eastAsia="仿宋_GB2312"/>
          <w:sz w:val="32"/>
          <w:szCs w:val="24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2、机构、人员构成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_GB2312" w:hAnsi="仿宋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根据编委核定，我局内设股室12个，全部纳入202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sz w:val="28"/>
          <w:szCs w:val="28"/>
        </w:rPr>
        <w:t>年部门预算编制范围。 </w:t>
      </w:r>
      <w:r>
        <w:rPr>
          <w:rFonts w:hint="eastAsia" w:ascii="仿宋_GB2312" w:hAnsi="仿宋" w:eastAsia="仿宋_GB2312" w:cs="Times New Roman"/>
          <w:sz w:val="28"/>
          <w:szCs w:val="28"/>
        </w:rPr>
        <w:br w:type="textWrapping"/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" w:eastAsia="仿宋_GB2312" w:cs="Times New Roman"/>
          <w:sz w:val="28"/>
          <w:szCs w:val="28"/>
        </w:rPr>
        <w:t>内设股室分别是办公室（加挂信息中心）、法治调研与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sz w:val="28"/>
          <w:szCs w:val="28"/>
        </w:rPr>
        <w:t>督察股、公共法律服务管理股、社区矫正管理股（县社区矫正管理局）、行政复议与应诉股（县政府行政复议办公室）、行政执法协调监督股、规范性文件管理股、法律事务服务股、普法与依法治理股、人民参与和促进法治股（人民陪审员和人民监督员选任管理办公室）、装备财务保障股、政工室</w:t>
      </w:r>
      <w:r>
        <w:rPr>
          <w:rFonts w:hint="eastAsia" w:ascii="仿宋_GB2312" w:hAnsi="仿宋" w:eastAsia="仿宋_GB2312" w:cs="Times New Roman"/>
          <w:sz w:val="28"/>
          <w:szCs w:val="28"/>
          <w:lang w:eastAsia="zh-CN"/>
        </w:rPr>
        <w:t>。</w:t>
      </w:r>
    </w:p>
    <w:p>
      <w:pPr>
        <w:pStyle w:val="7"/>
        <w:rPr>
          <w:rFonts w:hint="eastAsia" w:ascii="仿宋_GB2312" w:hAnsi="Calibri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202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z w:val="28"/>
          <w:szCs w:val="28"/>
        </w:rPr>
        <w:t>年本单位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编制总人数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75人，实际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年末</w:t>
      </w:r>
      <w:r>
        <w:rPr>
          <w:rFonts w:hint="eastAsia" w:ascii="仿宋_GB2312" w:hAnsi="Calibri" w:eastAsia="仿宋_GB2312" w:cs="Times New Roman"/>
          <w:sz w:val="28"/>
          <w:szCs w:val="28"/>
        </w:rPr>
        <w:t>实有人数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62</w:t>
      </w:r>
      <w:r>
        <w:rPr>
          <w:rFonts w:hint="eastAsia" w:ascii="仿宋_GB2312" w:hAnsi="Calibri" w:eastAsia="仿宋_GB2312" w:cs="Times New Roman"/>
          <w:sz w:val="28"/>
          <w:szCs w:val="28"/>
        </w:rPr>
        <w:t>人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。</w:t>
      </w:r>
    </w:p>
    <w:p>
      <w:pPr>
        <w:spacing w:line="600" w:lineRule="exact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3、2023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年度整体支出绩效目标，项目支出绩效目标</w:t>
      </w:r>
    </w:p>
    <w:p>
      <w:pPr>
        <w:spacing w:line="600" w:lineRule="exact"/>
        <w:rPr>
          <w:rFonts w:hint="eastAsia" w:ascii="宋体" w:eastAsia="宋体" w:cs="宋体"/>
          <w:color w:val="000000"/>
          <w:sz w:val="32"/>
          <w:szCs w:val="32"/>
          <w:lang w:bidi="ar-SA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2023年部门整体支出绩效目标的金额为1017.15万元，其中，项目支出绩效目标金额183.5万元。</w:t>
      </w:r>
    </w:p>
    <w:p>
      <w:pPr>
        <w:pStyle w:val="12"/>
        <w:spacing w:beforeLines="0" w:afterLines="0" w:line="570" w:lineRule="exact"/>
        <w:ind w:left="0" w:leftChars="0" w:firstLine="0" w:firstLineChars="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12"/>
        <w:spacing w:beforeLines="0" w:afterLines="0" w:line="570" w:lineRule="exact"/>
        <w:ind w:firstLine="640"/>
        <w:outlineLvl w:val="1"/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（一）基本支出情况</w:t>
      </w:r>
    </w:p>
    <w:p>
      <w:pPr>
        <w:pStyle w:val="7"/>
        <w:rPr>
          <w:rFonts w:hint="default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2023年本部门基本支出预算数833.65 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12"/>
        <w:numPr>
          <w:ilvl w:val="0"/>
          <w:numId w:val="2"/>
        </w:numPr>
        <w:spacing w:beforeLines="0" w:afterLines="0" w:line="570" w:lineRule="exact"/>
        <w:ind w:firstLine="640"/>
        <w:outlineLvl w:val="1"/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项目支出情况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2023年本部门项目支出预算 183.5万元，主要是部门为完成特定行政工作任务或事业发展目标而发生的支出，包括有专项业务费、基本建设支出等。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我单位无政府性基金预算支出情况。</w:t>
      </w:r>
    </w:p>
    <w:p>
      <w:pPr>
        <w:pStyle w:val="12"/>
        <w:spacing w:beforeLines="0" w:afterLines="0" w:line="570" w:lineRule="exact"/>
        <w:ind w:left="0" w:leftChars="0" w:firstLine="0" w:firstLine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</w:p>
    <w:p>
      <w:pPr>
        <w:pStyle w:val="12"/>
        <w:spacing w:beforeLines="0" w:afterLines="0" w:line="570" w:lineRule="exact"/>
        <w:ind w:left="0" w:leftChars="0" w:firstLine="0" w:firstLine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</w:p>
    <w:p>
      <w:pPr>
        <w:pStyle w:val="12"/>
        <w:numPr>
          <w:ilvl w:val="0"/>
          <w:numId w:val="3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firstLine="960" w:firstLineChars="30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12"/>
        <w:numPr>
          <w:ilvl w:val="0"/>
          <w:numId w:val="3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firstLine="960" w:firstLineChars="30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锚定2035年法治建设远景目标，充分发挥依法治县办职能作用,推进法治双牌、法治政府、法治社会一体化建设。</w:t>
      </w:r>
    </w:p>
    <w:p>
      <w:pPr>
        <w:numPr>
          <w:ilvl w:val="0"/>
          <w:numId w:val="4"/>
        </w:numPr>
        <w:wordWrap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eastAsia="zh-CN"/>
        </w:rPr>
        <w:t>深入学习贯彻习近平新时代中国特色社会主义思想，强化政治引领，抓好党的建设。</w:t>
      </w: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一是稳固提升“不忘初心、牢记使命”“党史学习教育”和政法队伍教育整顿等成果。切实引导党员干部增强“四个意识”、坚决“四个自信”、坚决做到“两个维护”，始终确保党的各项方针政策在司法行政部门落地见效，取得实实在在的成果；二是党的创新理论学习走深走实。落实好党组“第一议题”要求，抓好党组理论学习中心组制度，举行党组中心组理论学习14次，研讨交流4次，领导干部讲党课6次；三是严格落实“主题党日”“三会一课”党建制度。组织学习党章党规，结合“一月一课一实践”开展各类党日活动，主动下沉社区提供法律咨询、公证法援服务；四是精准运用监视执纪“四种形态”，组织观看警示教育片4次，传达学习典型案例6次，开展新任职、新入职干部任前廉政谈话2批15人次，处理违纪党员1人；五是强化绩效考核评价机制，加大干部轮岗交流，年内提拔聘用干部16人次，招聘引进工作人员9人，有效促进工作开展，提升干部工作活力。</w:t>
      </w:r>
    </w:p>
    <w:p>
      <w:pPr>
        <w:pStyle w:val="2"/>
        <w:rPr>
          <w:rFonts w:hint="eastAsia"/>
          <w:lang w:val="en-US" w:eastAsia="zh-CN"/>
        </w:rPr>
      </w:pPr>
    </w:p>
    <w:p>
      <w:pPr>
        <w:wordWrap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eastAsia="zh-CN"/>
        </w:rPr>
        <w:t>（二）围绕中央、省委、市委、县委要求，扎实开展“走找想促”和第二阶段主题教育活动。</w:t>
      </w: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一是自2023年6月开展“走找想促”大兴调查研究活动以来，局党组制发了《双牌县司法局大兴调查研究工作方案》，局党组成员领衔开展专题调查研究，上报调研信息53件；二是自2023年9月份开展第二阶段主题教育活动以来，局党组始终坚持学习贯彻习近平新时代中国特色社会主义思想，不分阶段不分时间，一以贯之，有力促使全县司法行政工作更好更向上的发展。</w:t>
      </w:r>
    </w:p>
    <w:p>
      <w:pPr>
        <w:wordWrap w:val="0"/>
        <w:topLinePunct/>
        <w:spacing w:line="560" w:lineRule="exact"/>
        <w:ind w:firstLine="640" w:firstLineChars="200"/>
        <w:contextualSpacing/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eastAsia="zh-CN"/>
        </w:rPr>
        <w:t>（三）全面依法治县工作推进有序，法治政府建设获得长足发展。</w:t>
      </w: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一</w:t>
      </w: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是召开了县委全面依法治县委员会2023年第一次会议，4名党政主要负责人在会议上进行了现场述法，进一步推动落实党政主要负责人履行推进法治建设第一责任人职责。将习近平法治思想和宪法纳入了各级党委（党组）理论中心组学习计划和县委党校教育培训课程；二是依法治县工作纳入绩效考核内容，法治建设督察纳入全县大督察范围和县委巡察内容。2023年度开展了2次法治建设实地督察，开展交通安全和运输执法领域突出问题专项整治工作，全县11个乡镇成立法治建设议事协调机构；三是行政执法协调与监督、规范性文件审查工作开展效果凸显。全县已有28个单位855名工作人员取得行政执法资格，并对市场监督管理局、城管局、交通局等重点执法领域开展了行政执法案卷检查；2023年5月底，全县56件行政规范性文件全部录入行政规范性文件数据库；四是2023年全县共收到行政复议申请30件，审结28件，本年度全县行政机关负责人出庭应诉率达到100%；五是双牌县人民政府法律顾问共参加政府常务会议38次，全程参与全县重点专项的法律事务，较好的完成了《法律顾问服务合同》约定事项及政府领导指派专项涉法工作。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pStyle w:val="12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pStyle w:val="6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548" w:firstLineChars="196"/>
        <w:jc w:val="both"/>
        <w:textAlignment w:val="baseline"/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1、专项资金少，资金压力大。经费缺口日益增大，现在经费全部投入都只能完成基本的工作目标。</w:t>
      </w:r>
    </w:p>
    <w:p>
      <w:pPr>
        <w:ind w:firstLine="560" w:firstLineChars="200"/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2、固定资产管理工作有待提高。</w:t>
      </w:r>
    </w:p>
    <w:p>
      <w:pPr>
        <w:ind w:firstLine="560" w:firstLineChars="200"/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3、内部财务管理制度有待完善。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rPr>
          <w:rFonts w:hint="eastAsia" w:ascii="仿宋_GB2312" w:hAnsi="仿宋_GB2312" w:eastAsia="仿宋_GB2312" w:cs="Times New Roman"/>
          <w:kern w:val="2"/>
          <w:sz w:val="32"/>
          <w:szCs w:val="21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4、人员严重缺编与工作任务繁重矛盾日益突出。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pStyle w:val="6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48" w:firstLineChars="196"/>
        <w:jc w:val="both"/>
        <w:textAlignment w:val="baseline"/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1.细化预算编制工作，认真做好预算的编制。进一步加强内设机构的预算管理意识，严格按照预算编制的相关制度和要求进行预算编制。</w:t>
      </w:r>
    </w:p>
    <w:p>
      <w:pPr>
        <w:pStyle w:val="6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48" w:firstLineChars="196"/>
        <w:jc w:val="both"/>
        <w:textAlignment w:val="baseline"/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2.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>
      <w:pPr>
        <w:pStyle w:val="6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48" w:firstLineChars="196"/>
        <w:jc w:val="both"/>
        <w:textAlignment w:val="baseline"/>
        <w:rPr>
          <w:rFonts w:hint="default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3.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  <w:lang w:val="en-US" w:eastAsia="zh-CN"/>
        </w:rPr>
      </w:pPr>
      <w:r>
        <w:rPr>
          <w:rFonts w:hint="eastAsia" w:eastAsia="黑体"/>
          <w:sz w:val="32"/>
          <w:szCs w:val="24"/>
          <w:lang w:val="en-US" w:eastAsia="zh-CN"/>
        </w:rPr>
        <w:t xml:space="preserve">                   </w:t>
      </w: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暂无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9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86.27%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99.6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72.4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99.2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31.7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28.7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270.43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189.18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</w:rPr>
              <w:t>183.5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其他司法支出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124.78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89.18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公共法律服务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普法宣传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基层司法业务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129.78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72.4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99.2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压缩非正常开支，厉行节减节约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文海娟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填报日期：</w:t>
      </w: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 xml:space="preserve">2024.05.06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7723477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单位负责人签字：</w:t>
      </w: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黄毅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9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双牌县司法局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1017.15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1017.15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1017.15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1017.15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833.65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1017.15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数量指标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1017.15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1017.15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质量指标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100%完成各项任务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100%完成各项任务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成本指标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严格执行财务管理制度，合理安排资金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厉行节约，压缩非正常性开支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时效指标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1-12月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1年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质量指标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100%完成各项任务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100%完成各项任务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成本指标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压缩各项开支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按年初预算执行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时效指标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全年完成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2023年1月-12月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调解矛盾纠纷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着力解决群众最急最忧最盼问题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调解矛盾纠纷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免费发放普法宣传资料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深入群众开展各种法治宣传教育活动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免费发放普法宣传资料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坚持桥枫经验，维持社会稳定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开展走访排查，通过“事理+法理+情理”化解重大矛盾纠纷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坚持桥枫经验，维持社会稳定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法治政府建设纵深推进，推进全面依法治县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把法治政府建设放在全县高度来推进，为经济社会持续健康发展保驾护航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法治政府建设纵深推进，推进全面依法治县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社会公众或服务对象满意度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zh-CN" w:eastAsia="zh-CN" w:bidi="ar-SA"/>
              </w:rPr>
              <w:t>执法规范化和法律服务质量进一步提升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群众满意率达到100%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220" w:hanging="220" w:hangingChars="100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文海娟</w:t>
      </w:r>
      <w:r>
        <w:rPr>
          <w:rFonts w:hint="eastAsia" w:eastAsia="仿宋_GB2312"/>
          <w:sz w:val="22"/>
          <w:szCs w:val="24"/>
        </w:rPr>
        <w:t xml:space="preserve">     填报日期：</w:t>
      </w:r>
      <w:r>
        <w:rPr>
          <w:rFonts w:hint="eastAsia" w:eastAsia="仿宋_GB2312"/>
          <w:sz w:val="22"/>
          <w:szCs w:val="24"/>
          <w:lang w:val="en-US" w:eastAsia="zh-CN"/>
        </w:rPr>
        <w:t>2024.5.06</w:t>
      </w:r>
      <w:r>
        <w:rPr>
          <w:rFonts w:hint="eastAsia" w:eastAsia="仿宋_GB2312"/>
          <w:sz w:val="22"/>
          <w:szCs w:val="24"/>
        </w:rPr>
        <w:t xml:space="preserve">       </w:t>
      </w:r>
      <w:r>
        <w:rPr>
          <w:rFonts w:hint="default" w:eastAsia="仿宋_GB2312"/>
          <w:sz w:val="22"/>
          <w:szCs w:val="24"/>
        </w:rPr>
        <w:t xml:space="preserve">   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eastAsia="仿宋_GB2312"/>
          <w:sz w:val="22"/>
          <w:szCs w:val="24"/>
          <w:lang w:val="en-US" w:eastAsia="zh-CN"/>
        </w:rPr>
        <w:t>7723477</w:t>
      </w:r>
      <w:r>
        <w:rPr>
          <w:rFonts w:hint="eastAsia" w:eastAsia="仿宋_GB2312"/>
          <w:sz w:val="22"/>
          <w:szCs w:val="24"/>
        </w:rPr>
        <w:t xml:space="preserve">        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           </w:t>
      </w:r>
      <w:r>
        <w:rPr>
          <w:rFonts w:hint="eastAsia" w:eastAsia="仿宋_GB2312"/>
          <w:sz w:val="22"/>
          <w:szCs w:val="24"/>
        </w:rPr>
        <w:t>单位负责人签字：</w:t>
      </w:r>
      <w:r>
        <w:rPr>
          <w:rFonts w:hint="eastAsia" w:eastAsia="仿宋_GB2312"/>
          <w:sz w:val="22"/>
          <w:szCs w:val="24"/>
          <w:lang w:eastAsia="zh-CN"/>
        </w:rPr>
        <w:t>黄毅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2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992"/>
        <w:gridCol w:w="56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7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专项工作经费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县司法局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锚定2035年法治建设远景目标，充分发挥依法治县办职能作用,推进法治双牌、法治政府、法治社会一体化建设。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项目经费使用合理，按时支出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基本完成业务工作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暂无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暂无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57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暂无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文海娟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2024.5.06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7723477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黄毅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9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专项工作经费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双牌县司法局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双牌县司法局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183.5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183.5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183.5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183.5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183.5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183.5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183.5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100%完成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5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项目经费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183.5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183.5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1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全面推进依法治县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100%完成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筑牢底线，加大平安建设力度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100%　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100%完成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5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5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年初预算完成100%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强力推进法治宣传，提高全民法律意识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全年完成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10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调解矛盾纠纷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坚持枫桥经验，维护社会稳定。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zh-CN" w:eastAsia="zh-CN" w:bidi="ar-SA"/>
              </w:rPr>
              <w:t>免费发放普法宣传资料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zh-CN" w:eastAsia="zh-CN" w:bidi="ar-SA"/>
              </w:rPr>
              <w:t>执法规范化和法律服务质量进一步提升。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100%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100%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10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10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eastAsiaTheme="minorEastAsia"/>
          <w:sz w:val="22"/>
          <w:szCs w:val="24"/>
          <w:lang w:eastAsia="zh-CN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文海娟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2024.5.06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7723477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黄毅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司法局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9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11"/>
        <w:gridCol w:w="1311"/>
        <w:gridCol w:w="1313"/>
        <w:gridCol w:w="1537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廖锦琳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副局长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18942585002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文海娟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会计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19174639530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IT1Yvb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gUL1b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B7911C"/>
    <w:multiLevelType w:val="singleLevel"/>
    <w:tmpl w:val="91B7911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6C6576F"/>
    <w:multiLevelType w:val="singleLevel"/>
    <w:tmpl w:val="B6C6576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BB55CA9"/>
    <w:multiLevelType w:val="singleLevel"/>
    <w:tmpl w:val="FBB55CA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NTgwMTQ4NGVlNTk2ZmIzNjAyZTEwYmU5NjhjMjgifQ=="/>
  </w:docVars>
  <w:rsids>
    <w:rsidRoot w:val="00172A27"/>
    <w:rsid w:val="0CCE5073"/>
    <w:rsid w:val="0D556D8D"/>
    <w:rsid w:val="101F3C57"/>
    <w:rsid w:val="105E064F"/>
    <w:rsid w:val="10E13FE7"/>
    <w:rsid w:val="154B3473"/>
    <w:rsid w:val="15B02F86"/>
    <w:rsid w:val="1BCE59A7"/>
    <w:rsid w:val="1D5E5630"/>
    <w:rsid w:val="1F9C1D8C"/>
    <w:rsid w:val="20BA3D5C"/>
    <w:rsid w:val="20FE29CD"/>
    <w:rsid w:val="213827F6"/>
    <w:rsid w:val="222F006A"/>
    <w:rsid w:val="24756501"/>
    <w:rsid w:val="2AF82401"/>
    <w:rsid w:val="2CE9215A"/>
    <w:rsid w:val="31EF3498"/>
    <w:rsid w:val="33457B5A"/>
    <w:rsid w:val="33EA0D37"/>
    <w:rsid w:val="3DFB432B"/>
    <w:rsid w:val="41A60F90"/>
    <w:rsid w:val="437042B4"/>
    <w:rsid w:val="43D25C86"/>
    <w:rsid w:val="47FF7E2A"/>
    <w:rsid w:val="4A7E5437"/>
    <w:rsid w:val="4B490F32"/>
    <w:rsid w:val="4B564457"/>
    <w:rsid w:val="4C575977"/>
    <w:rsid w:val="4DF30F3A"/>
    <w:rsid w:val="4E7A16A4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89169C"/>
    <w:rsid w:val="5AAD3A38"/>
    <w:rsid w:val="5ABA52A9"/>
    <w:rsid w:val="5C8E01AF"/>
    <w:rsid w:val="62BE6D8B"/>
    <w:rsid w:val="64E742EF"/>
    <w:rsid w:val="684B0AD7"/>
    <w:rsid w:val="6899612A"/>
    <w:rsid w:val="6E351362"/>
    <w:rsid w:val="75073918"/>
    <w:rsid w:val="771A18F7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header"/>
    <w:basedOn w:val="1"/>
    <w:next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6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7">
    <w:name w:val="Body Text First Indent"/>
    <w:basedOn w:val="2"/>
    <w:next w:val="2"/>
    <w:qFormat/>
    <w:uiPriority w:val="0"/>
    <w:pPr>
      <w:ind w:firstLine="420" w:firstLineChars="100"/>
    </w:pPr>
  </w:style>
  <w:style w:type="paragraph" w:styleId="8">
    <w:name w:val="Body Text First Indent 2"/>
    <w:basedOn w:val="4"/>
    <w:qFormat/>
    <w:uiPriority w:val="0"/>
    <w:pPr>
      <w:spacing w:before="100" w:beforeAutospacing="1"/>
      <w:ind w:left="0" w:firstLine="420" w:firstLineChars="200"/>
    </w:pPr>
  </w:style>
  <w:style w:type="paragraph" w:customStyle="1" w:styleId="11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2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3785</Words>
  <Characters>3927</Characters>
  <Lines>0</Lines>
  <Paragraphs>0</Paragraphs>
  <TotalTime>1</TotalTime>
  <ScaleCrop>false</ScaleCrop>
  <LinksUpToDate>false</LinksUpToDate>
  <CharactersWithSpaces>4427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Administrator</cp:lastModifiedBy>
  <dcterms:modified xsi:type="dcterms:W3CDTF">2024-05-24T02:28:40Z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C05C0A58C1B94E6DA3F69BCC80938D65_11</vt:lpwstr>
  </property>
</Properties>
</file>