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F4C68">
      <w:pPr>
        <w:keepNext w:val="0"/>
        <w:keepLines w:val="0"/>
        <w:pageBreakBefore w:val="0"/>
        <w:kinsoku/>
        <w:wordWrap/>
        <w:overflowPunct/>
        <w:topLinePunct w:val="0"/>
        <w:bidi w:val="0"/>
        <w:adjustRightInd/>
        <w:snapToGrid/>
        <w:spacing w:after="120" w:afterLines="50" w:line="596" w:lineRule="exact"/>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3117ABFF">
      <w:pPr>
        <w:keepNext w:val="0"/>
        <w:keepLines w:val="0"/>
        <w:pageBreakBefore w:val="0"/>
        <w:kinsoku/>
        <w:wordWrap/>
        <w:overflowPunct/>
        <w:topLinePunct w:val="0"/>
        <w:bidi w:val="0"/>
        <w:adjustRightInd/>
        <w:snapToGrid/>
        <w:spacing w:after="120" w:afterLines="50" w:line="596" w:lineRule="exact"/>
        <w:ind w:left="0" w:leftChars="0"/>
        <w:jc w:val="center"/>
        <w:textAlignment w:val="auto"/>
        <w:rPr>
          <w:rFonts w:ascii="Times New Roman" w:hAnsi="Times New Roman" w:eastAsia="方正小标宋_GBK"/>
          <w:sz w:val="36"/>
          <w:szCs w:val="36"/>
        </w:rPr>
      </w:pPr>
      <w:r>
        <w:rPr>
          <w:rFonts w:ascii="Times New Roman" w:hAnsi="Times New Roman" w:eastAsia="方正小标宋_GBK"/>
          <w:sz w:val="36"/>
          <w:szCs w:val="36"/>
        </w:rPr>
        <w:t>项目支出绩效运行监控表</w:t>
      </w:r>
    </w:p>
    <w:p w14:paraId="73F0B851">
      <w:pPr>
        <w:keepNext w:val="0"/>
        <w:keepLines w:val="0"/>
        <w:pageBreakBefore w:val="0"/>
        <w:tabs>
          <w:tab w:val="left" w:pos="386"/>
        </w:tabs>
        <w:kinsoku/>
        <w:wordWrap/>
        <w:overflowPunct/>
        <w:topLinePunct w:val="0"/>
        <w:bidi w:val="0"/>
        <w:adjustRightInd/>
        <w:snapToGrid/>
        <w:spacing w:after="120" w:afterLines="50" w:line="200" w:lineRule="exact"/>
        <w:ind w:left="0" w:leftChars="0" w:right="23" w:firstLine="200" w:firstLineChars="100"/>
        <w:jc w:val="left"/>
        <w:textAlignment w:val="auto"/>
        <w:rPr>
          <w:rFonts w:ascii="Times New Roman" w:hAnsi="Times New Roman" w:eastAsia="仿宋_GB2312"/>
          <w:sz w:val="20"/>
          <w:szCs w:val="36"/>
        </w:rPr>
      </w:pPr>
      <w:r>
        <w:rPr>
          <w:rFonts w:ascii="Times New Roman" w:hAnsi="Times New Roman" w:eastAsia="仿宋_GB2312"/>
          <w:sz w:val="20"/>
          <w:szCs w:val="36"/>
        </w:rPr>
        <w:t>填报单位（盖章）：                                               填报人及联系电话：</w:t>
      </w:r>
      <w:r>
        <w:rPr>
          <w:rFonts w:hint="eastAsia" w:eastAsia="仿宋_GB2312"/>
          <w:sz w:val="20"/>
          <w:szCs w:val="36"/>
          <w:lang w:eastAsia="zh-CN"/>
        </w:rPr>
        <w:t>邱爱英</w:t>
      </w:r>
      <w:r>
        <w:rPr>
          <w:rFonts w:hint="eastAsia" w:eastAsia="仿宋_GB2312"/>
          <w:sz w:val="20"/>
          <w:szCs w:val="36"/>
          <w:lang w:val="en-US" w:eastAsia="zh-CN"/>
        </w:rPr>
        <w:t>15874687121</w:t>
      </w:r>
      <w:r>
        <w:rPr>
          <w:rFonts w:ascii="Times New Roman" w:hAnsi="Times New Roman" w:eastAsia="仿宋_GB2312"/>
          <w:sz w:val="20"/>
          <w:szCs w:val="36"/>
        </w:rPr>
        <w:t xml:space="preserve">                填报日期：</w:t>
      </w:r>
      <w:r>
        <w:rPr>
          <w:rFonts w:hint="eastAsia" w:eastAsia="仿宋_GB2312"/>
          <w:sz w:val="20"/>
          <w:szCs w:val="36"/>
          <w:lang w:val="en-US" w:eastAsia="zh-CN"/>
        </w:rPr>
        <w:t>2024</w:t>
      </w:r>
      <w:r>
        <w:rPr>
          <w:rFonts w:ascii="Times New Roman" w:hAnsi="Times New Roman" w:eastAsia="仿宋_GB2312"/>
          <w:sz w:val="20"/>
          <w:szCs w:val="36"/>
        </w:rPr>
        <w:t>年</w:t>
      </w:r>
      <w:r>
        <w:rPr>
          <w:rFonts w:hint="eastAsia" w:eastAsia="仿宋_GB2312"/>
          <w:sz w:val="20"/>
          <w:szCs w:val="36"/>
          <w:lang w:val="en-US" w:eastAsia="zh-CN"/>
        </w:rPr>
        <w:t>5</w:t>
      </w:r>
      <w:r>
        <w:rPr>
          <w:rFonts w:ascii="Times New Roman" w:hAnsi="Times New Roman" w:eastAsia="仿宋_GB2312"/>
          <w:sz w:val="20"/>
          <w:szCs w:val="36"/>
        </w:rPr>
        <w:t>月</w:t>
      </w:r>
      <w:r>
        <w:rPr>
          <w:rFonts w:hint="eastAsia" w:eastAsia="仿宋_GB2312"/>
          <w:sz w:val="20"/>
          <w:szCs w:val="36"/>
          <w:lang w:val="en-US" w:eastAsia="zh-CN"/>
        </w:rPr>
        <w:t>22</w:t>
      </w:r>
      <w:r>
        <w:rPr>
          <w:rFonts w:hint="eastAsia" w:ascii="Times New Roman" w:hAnsi="Times New Roman" w:eastAsia="仿宋_GB2312"/>
          <w:sz w:val="20"/>
          <w:szCs w:val="36"/>
          <w:lang w:val="en-US" w:eastAsia="zh-CN"/>
        </w:rPr>
        <w:t>日</w:t>
      </w:r>
      <w:r>
        <w:rPr>
          <w:rFonts w:ascii="Times New Roman" w:hAnsi="Times New Roman" w:eastAsia="仿宋_GB2312"/>
          <w:sz w:val="20"/>
          <w:szCs w:val="36"/>
        </w:rPr>
        <w:t xml:space="preserve">  </w:t>
      </w:r>
    </w:p>
    <w:tbl>
      <w:tblPr>
        <w:tblStyle w:val="9"/>
        <w:tblW w:w="155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0"/>
        <w:gridCol w:w="854"/>
        <w:gridCol w:w="1238"/>
        <w:gridCol w:w="1606"/>
        <w:gridCol w:w="1167"/>
        <w:gridCol w:w="1001"/>
        <w:gridCol w:w="1088"/>
        <w:gridCol w:w="912"/>
        <w:gridCol w:w="792"/>
        <w:gridCol w:w="46"/>
        <w:gridCol w:w="887"/>
        <w:gridCol w:w="775"/>
        <w:gridCol w:w="525"/>
        <w:gridCol w:w="32"/>
        <w:gridCol w:w="881"/>
        <w:gridCol w:w="738"/>
        <w:gridCol w:w="700"/>
        <w:gridCol w:w="1088"/>
        <w:gridCol w:w="625"/>
      </w:tblGrid>
      <w:tr w14:paraId="0CAD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noWrap w:val="0"/>
            <w:vAlign w:val="center"/>
          </w:tcPr>
          <w:p w14:paraId="3A9397D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项目名称</w:t>
            </w:r>
          </w:p>
        </w:tc>
        <w:tc>
          <w:tcPr>
            <w:tcW w:w="12863" w:type="dxa"/>
            <w:gridSpan w:val="16"/>
            <w:tcBorders>
              <w:bottom w:val="single" w:color="auto" w:sz="4" w:space="0"/>
            </w:tcBorders>
            <w:noWrap w:val="0"/>
            <w:vAlign w:val="center"/>
          </w:tcPr>
          <w:p w14:paraId="40CCAA2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机构改革等业务专项</w:t>
            </w:r>
          </w:p>
        </w:tc>
      </w:tr>
      <w:tr w14:paraId="289CB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noWrap w:val="0"/>
            <w:vAlign w:val="center"/>
          </w:tcPr>
          <w:p w14:paraId="633FD12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主管部门及代码</w:t>
            </w:r>
          </w:p>
        </w:tc>
        <w:tc>
          <w:tcPr>
            <w:tcW w:w="4862" w:type="dxa"/>
            <w:gridSpan w:val="4"/>
            <w:tcBorders>
              <w:top w:val="single" w:color="auto" w:sz="4" w:space="0"/>
            </w:tcBorders>
            <w:noWrap w:val="0"/>
            <w:vAlign w:val="center"/>
          </w:tcPr>
          <w:p w14:paraId="684922DB">
            <w:pPr>
              <w:pStyle w:val="19"/>
              <w:keepNext w:val="0"/>
              <w:keepLines w:val="0"/>
              <w:pageBreakBefore w:val="0"/>
              <w:kinsoku/>
              <w:wordWrap/>
              <w:overflowPunct/>
              <w:topLinePunct w:val="0"/>
              <w:bidi w:val="0"/>
              <w:adjustRightInd/>
              <w:snapToGrid/>
              <w:spacing w:line="240" w:lineRule="exact"/>
              <w:ind w:left="0" w:leftChars="0" w:firstLine="200" w:firstLineChars="10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117001</w:t>
            </w:r>
          </w:p>
        </w:tc>
        <w:tc>
          <w:tcPr>
            <w:tcW w:w="1704" w:type="dxa"/>
            <w:gridSpan w:val="2"/>
            <w:tcBorders>
              <w:top w:val="single" w:color="auto" w:sz="4" w:space="0"/>
              <w:right w:val="single" w:color="auto" w:sz="4" w:space="0"/>
            </w:tcBorders>
            <w:noWrap w:val="0"/>
            <w:vAlign w:val="center"/>
          </w:tcPr>
          <w:p w14:paraId="6F38D6A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实施单位</w:t>
            </w:r>
          </w:p>
        </w:tc>
        <w:tc>
          <w:tcPr>
            <w:tcW w:w="6297" w:type="dxa"/>
            <w:gridSpan w:val="10"/>
            <w:tcBorders>
              <w:top w:val="single" w:color="auto" w:sz="4" w:space="0"/>
              <w:left w:val="single" w:color="auto" w:sz="4" w:space="0"/>
            </w:tcBorders>
            <w:noWrap w:val="0"/>
            <w:vAlign w:val="center"/>
          </w:tcPr>
          <w:p w14:paraId="3C87A618">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中共双牌县委机构编制委员会办公室</w:t>
            </w:r>
          </w:p>
        </w:tc>
      </w:tr>
      <w:tr w14:paraId="5347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vMerge w:val="restart"/>
            <w:noWrap w:val="0"/>
            <w:vAlign w:val="center"/>
          </w:tcPr>
          <w:p w14:paraId="10954D8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项目资金</w:t>
            </w:r>
          </w:p>
          <w:p w14:paraId="5006ECD5">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（万元）</w:t>
            </w:r>
          </w:p>
        </w:tc>
        <w:tc>
          <w:tcPr>
            <w:tcW w:w="2773" w:type="dxa"/>
            <w:gridSpan w:val="2"/>
            <w:noWrap w:val="0"/>
            <w:vAlign w:val="center"/>
          </w:tcPr>
          <w:p w14:paraId="139C3E8D">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089" w:type="dxa"/>
            <w:gridSpan w:val="2"/>
            <w:noWrap w:val="0"/>
            <w:vAlign w:val="center"/>
          </w:tcPr>
          <w:p w14:paraId="7031431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年初预算数</w:t>
            </w:r>
          </w:p>
        </w:tc>
        <w:tc>
          <w:tcPr>
            <w:tcW w:w="1704" w:type="dxa"/>
            <w:gridSpan w:val="2"/>
            <w:tcBorders>
              <w:top w:val="single" w:color="auto" w:sz="4" w:space="0"/>
              <w:right w:val="single" w:color="auto" w:sz="4" w:space="0"/>
            </w:tcBorders>
            <w:noWrap w:val="0"/>
            <w:vAlign w:val="center"/>
          </w:tcPr>
          <w:p w14:paraId="52EC8382">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年中预算调整数</w:t>
            </w:r>
          </w:p>
        </w:tc>
        <w:tc>
          <w:tcPr>
            <w:tcW w:w="2265" w:type="dxa"/>
            <w:gridSpan w:val="5"/>
            <w:tcBorders>
              <w:top w:val="single" w:color="auto" w:sz="4" w:space="0"/>
              <w:left w:val="single" w:color="auto" w:sz="4" w:space="0"/>
              <w:right w:val="single" w:color="auto" w:sz="4" w:space="0"/>
            </w:tcBorders>
            <w:noWrap w:val="0"/>
            <w:vAlign w:val="center"/>
          </w:tcPr>
          <w:p w14:paraId="486DC069">
            <w:pPr>
              <w:keepNext w:val="0"/>
              <w:keepLines w:val="0"/>
              <w:pageBreakBefore w:val="0"/>
              <w:numPr>
                <w:ilvl w:val="0"/>
                <w:numId w:val="0"/>
              </w:numPr>
              <w:kinsoku/>
              <w:wordWrap/>
              <w:overflowPunct/>
              <w:topLinePunct w:val="0"/>
              <w:bidi w:val="0"/>
              <w:adjustRightInd/>
              <w:snapToGrid/>
              <w:spacing w:line="240" w:lineRule="exact"/>
              <w:ind w:leftChars="300"/>
              <w:textAlignment w:val="auto"/>
              <w:rPr>
                <w:rFonts w:ascii="Times New Roman" w:hAnsi="Times New Roman" w:eastAsia="仿宋_GB2312"/>
                <w:sz w:val="20"/>
                <w:szCs w:val="20"/>
              </w:rPr>
            </w:pPr>
            <w:r>
              <w:rPr>
                <w:rFonts w:hint="eastAsia" w:eastAsia="仿宋_GB2312"/>
                <w:sz w:val="20"/>
                <w:szCs w:val="20"/>
                <w:lang w:val="en-US" w:eastAsia="zh-CN"/>
              </w:rPr>
              <w:t>1-12</w:t>
            </w:r>
            <w:r>
              <w:rPr>
                <w:rFonts w:ascii="Times New Roman" w:hAnsi="Times New Roman" w:eastAsia="仿宋_GB2312"/>
                <w:sz w:val="20"/>
                <w:szCs w:val="20"/>
              </w:rPr>
              <w:t>月执行数</w:t>
            </w:r>
          </w:p>
        </w:tc>
        <w:tc>
          <w:tcPr>
            <w:tcW w:w="2319" w:type="dxa"/>
            <w:gridSpan w:val="3"/>
            <w:tcBorders>
              <w:left w:val="single" w:color="auto" w:sz="4" w:space="0"/>
            </w:tcBorders>
            <w:noWrap w:val="0"/>
            <w:vAlign w:val="center"/>
          </w:tcPr>
          <w:p w14:paraId="31460140">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12</w:t>
            </w:r>
            <w:r>
              <w:rPr>
                <w:rFonts w:ascii="Times New Roman" w:hAnsi="Times New Roman" w:eastAsia="仿宋_GB2312" w:cs="Times New Roman"/>
                <w:sz w:val="20"/>
                <w:szCs w:val="20"/>
              </w:rPr>
              <w:t>月执行率</w:t>
            </w:r>
          </w:p>
        </w:tc>
        <w:tc>
          <w:tcPr>
            <w:tcW w:w="1713" w:type="dxa"/>
            <w:gridSpan w:val="2"/>
            <w:noWrap w:val="0"/>
            <w:vAlign w:val="center"/>
          </w:tcPr>
          <w:p w14:paraId="1765ACF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全年预计执行数</w:t>
            </w:r>
          </w:p>
        </w:tc>
      </w:tr>
      <w:tr w14:paraId="696B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692" w:type="dxa"/>
            <w:gridSpan w:val="3"/>
            <w:vMerge w:val="continue"/>
            <w:tcBorders>
              <w:top w:val="nil"/>
            </w:tcBorders>
            <w:noWrap w:val="0"/>
            <w:vAlign w:val="center"/>
          </w:tcPr>
          <w:p w14:paraId="3AB46C27">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2773" w:type="dxa"/>
            <w:gridSpan w:val="2"/>
            <w:noWrap w:val="0"/>
            <w:vAlign w:val="center"/>
          </w:tcPr>
          <w:p w14:paraId="543299B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年度资金总额：</w:t>
            </w:r>
          </w:p>
        </w:tc>
        <w:tc>
          <w:tcPr>
            <w:tcW w:w="2089" w:type="dxa"/>
            <w:gridSpan w:val="2"/>
            <w:noWrap w:val="0"/>
            <w:vAlign w:val="center"/>
          </w:tcPr>
          <w:p w14:paraId="3518E56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20.65</w:t>
            </w:r>
          </w:p>
        </w:tc>
        <w:tc>
          <w:tcPr>
            <w:tcW w:w="1704" w:type="dxa"/>
            <w:gridSpan w:val="2"/>
            <w:tcBorders>
              <w:right w:val="single" w:color="auto" w:sz="4" w:space="0"/>
            </w:tcBorders>
            <w:noWrap w:val="0"/>
            <w:vAlign w:val="center"/>
          </w:tcPr>
          <w:p w14:paraId="29DCBFED">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265" w:type="dxa"/>
            <w:gridSpan w:val="5"/>
            <w:tcBorders>
              <w:left w:val="single" w:color="auto" w:sz="4" w:space="0"/>
              <w:right w:val="single" w:color="auto" w:sz="4" w:space="0"/>
            </w:tcBorders>
            <w:noWrap w:val="0"/>
            <w:vAlign w:val="center"/>
          </w:tcPr>
          <w:p w14:paraId="084404DD">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20.73</w:t>
            </w:r>
          </w:p>
        </w:tc>
        <w:tc>
          <w:tcPr>
            <w:tcW w:w="2319" w:type="dxa"/>
            <w:gridSpan w:val="3"/>
            <w:tcBorders>
              <w:left w:val="single" w:color="auto" w:sz="4" w:space="0"/>
            </w:tcBorders>
            <w:noWrap w:val="0"/>
            <w:vAlign w:val="center"/>
          </w:tcPr>
          <w:p w14:paraId="1C51CEC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100.38%</w:t>
            </w:r>
          </w:p>
        </w:tc>
        <w:tc>
          <w:tcPr>
            <w:tcW w:w="1713" w:type="dxa"/>
            <w:gridSpan w:val="2"/>
            <w:noWrap w:val="0"/>
            <w:vAlign w:val="center"/>
          </w:tcPr>
          <w:p w14:paraId="7BAFC26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20.73</w:t>
            </w:r>
          </w:p>
        </w:tc>
      </w:tr>
      <w:tr w14:paraId="41727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vMerge w:val="continue"/>
            <w:tcBorders>
              <w:top w:val="nil"/>
            </w:tcBorders>
            <w:noWrap w:val="0"/>
            <w:vAlign w:val="center"/>
          </w:tcPr>
          <w:p w14:paraId="740EDBF4">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2773" w:type="dxa"/>
            <w:gridSpan w:val="2"/>
            <w:noWrap w:val="0"/>
            <w:vAlign w:val="center"/>
          </w:tcPr>
          <w:p w14:paraId="3C66FE6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其中：本年一般公共预算拨款</w:t>
            </w:r>
          </w:p>
        </w:tc>
        <w:tc>
          <w:tcPr>
            <w:tcW w:w="2089" w:type="dxa"/>
            <w:gridSpan w:val="2"/>
            <w:noWrap w:val="0"/>
            <w:vAlign w:val="center"/>
          </w:tcPr>
          <w:p w14:paraId="0B80F068">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20.65</w:t>
            </w:r>
          </w:p>
        </w:tc>
        <w:tc>
          <w:tcPr>
            <w:tcW w:w="1704" w:type="dxa"/>
            <w:gridSpan w:val="2"/>
            <w:tcBorders>
              <w:right w:val="single" w:color="auto" w:sz="4" w:space="0"/>
            </w:tcBorders>
            <w:noWrap w:val="0"/>
            <w:vAlign w:val="center"/>
          </w:tcPr>
          <w:p w14:paraId="1A87ECE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265" w:type="dxa"/>
            <w:gridSpan w:val="5"/>
            <w:tcBorders>
              <w:left w:val="single" w:color="auto" w:sz="4" w:space="0"/>
              <w:right w:val="single" w:color="auto" w:sz="4" w:space="0"/>
            </w:tcBorders>
            <w:noWrap w:val="0"/>
            <w:vAlign w:val="center"/>
          </w:tcPr>
          <w:p w14:paraId="5390A79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20.73</w:t>
            </w:r>
          </w:p>
        </w:tc>
        <w:tc>
          <w:tcPr>
            <w:tcW w:w="2319" w:type="dxa"/>
            <w:gridSpan w:val="3"/>
            <w:tcBorders>
              <w:left w:val="single" w:color="auto" w:sz="4" w:space="0"/>
            </w:tcBorders>
            <w:noWrap w:val="0"/>
            <w:vAlign w:val="center"/>
          </w:tcPr>
          <w:p w14:paraId="03ACADF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100.38%</w:t>
            </w:r>
          </w:p>
        </w:tc>
        <w:tc>
          <w:tcPr>
            <w:tcW w:w="1713" w:type="dxa"/>
            <w:gridSpan w:val="2"/>
            <w:noWrap w:val="0"/>
            <w:vAlign w:val="center"/>
          </w:tcPr>
          <w:p w14:paraId="10B29DD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20.73</w:t>
            </w:r>
          </w:p>
        </w:tc>
      </w:tr>
      <w:tr w14:paraId="1D3D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vMerge w:val="continue"/>
            <w:tcBorders>
              <w:top w:val="nil"/>
            </w:tcBorders>
            <w:noWrap w:val="0"/>
            <w:vAlign w:val="center"/>
          </w:tcPr>
          <w:p w14:paraId="71DACD56">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2773" w:type="dxa"/>
            <w:gridSpan w:val="2"/>
            <w:noWrap w:val="0"/>
            <w:vAlign w:val="center"/>
          </w:tcPr>
          <w:p w14:paraId="79BF20B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其他资金</w:t>
            </w:r>
          </w:p>
        </w:tc>
        <w:tc>
          <w:tcPr>
            <w:tcW w:w="2089" w:type="dxa"/>
            <w:gridSpan w:val="2"/>
            <w:noWrap w:val="0"/>
            <w:vAlign w:val="center"/>
          </w:tcPr>
          <w:p w14:paraId="706ECE5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p>
        </w:tc>
        <w:tc>
          <w:tcPr>
            <w:tcW w:w="1704" w:type="dxa"/>
            <w:gridSpan w:val="2"/>
            <w:tcBorders>
              <w:right w:val="single" w:color="auto" w:sz="4" w:space="0"/>
            </w:tcBorders>
            <w:noWrap w:val="0"/>
            <w:vAlign w:val="center"/>
          </w:tcPr>
          <w:p w14:paraId="04EC4818">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265" w:type="dxa"/>
            <w:gridSpan w:val="5"/>
            <w:tcBorders>
              <w:left w:val="single" w:color="auto" w:sz="4" w:space="0"/>
              <w:right w:val="single" w:color="auto" w:sz="4" w:space="0"/>
            </w:tcBorders>
            <w:noWrap w:val="0"/>
            <w:vAlign w:val="center"/>
          </w:tcPr>
          <w:p w14:paraId="5885177C">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319" w:type="dxa"/>
            <w:gridSpan w:val="3"/>
            <w:tcBorders>
              <w:left w:val="single" w:color="auto" w:sz="4" w:space="0"/>
            </w:tcBorders>
            <w:noWrap w:val="0"/>
            <w:vAlign w:val="center"/>
          </w:tcPr>
          <w:p w14:paraId="07838CB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713" w:type="dxa"/>
            <w:gridSpan w:val="2"/>
            <w:noWrap w:val="0"/>
            <w:vAlign w:val="center"/>
          </w:tcPr>
          <w:p w14:paraId="0756278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14:paraId="7B6B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tcBorders>
              <w:right w:val="single" w:color="auto" w:sz="4" w:space="0"/>
            </w:tcBorders>
            <w:noWrap w:val="0"/>
            <w:vAlign w:val="center"/>
          </w:tcPr>
          <w:p w14:paraId="72F1832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年度总体目标</w:t>
            </w:r>
          </w:p>
        </w:tc>
        <w:tc>
          <w:tcPr>
            <w:tcW w:w="12863" w:type="dxa"/>
            <w:gridSpan w:val="16"/>
            <w:tcBorders>
              <w:left w:val="single" w:color="auto" w:sz="4" w:space="0"/>
            </w:tcBorders>
            <w:noWrap w:val="0"/>
            <w:vAlign w:val="center"/>
          </w:tcPr>
          <w:p w14:paraId="4AB1A5E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14:paraId="0A7E0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restart"/>
            <w:noWrap w:val="0"/>
            <w:vAlign w:val="center"/>
          </w:tcPr>
          <w:p w14:paraId="32E3B2B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绩效指标</w:t>
            </w:r>
          </w:p>
        </w:tc>
        <w:tc>
          <w:tcPr>
            <w:tcW w:w="854" w:type="dxa"/>
            <w:vMerge w:val="restart"/>
            <w:noWrap w:val="0"/>
            <w:vAlign w:val="center"/>
          </w:tcPr>
          <w:p w14:paraId="464AE35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一级指标</w:t>
            </w:r>
          </w:p>
        </w:tc>
        <w:tc>
          <w:tcPr>
            <w:tcW w:w="1238" w:type="dxa"/>
            <w:vMerge w:val="restart"/>
            <w:noWrap w:val="0"/>
            <w:vAlign w:val="center"/>
          </w:tcPr>
          <w:p w14:paraId="1C587C6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二级指标</w:t>
            </w:r>
          </w:p>
        </w:tc>
        <w:tc>
          <w:tcPr>
            <w:tcW w:w="1606" w:type="dxa"/>
            <w:vMerge w:val="restart"/>
            <w:noWrap w:val="0"/>
            <w:vAlign w:val="center"/>
          </w:tcPr>
          <w:p w14:paraId="3C15C4C8">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三级指标</w:t>
            </w:r>
          </w:p>
        </w:tc>
        <w:tc>
          <w:tcPr>
            <w:tcW w:w="1167" w:type="dxa"/>
            <w:vMerge w:val="restart"/>
            <w:noWrap w:val="0"/>
            <w:vAlign w:val="center"/>
          </w:tcPr>
          <w:p w14:paraId="444AE63C">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年度指标值</w:t>
            </w:r>
          </w:p>
        </w:tc>
        <w:tc>
          <w:tcPr>
            <w:tcW w:w="1001" w:type="dxa"/>
            <w:vMerge w:val="restart"/>
            <w:noWrap w:val="0"/>
            <w:vAlign w:val="center"/>
          </w:tcPr>
          <w:p w14:paraId="6DBCA80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-12</w:t>
            </w:r>
            <w:r>
              <w:rPr>
                <w:rFonts w:ascii="Times New Roman" w:hAnsi="Times New Roman" w:eastAsia="仿宋_GB2312" w:cs="Times New Roman"/>
                <w:sz w:val="20"/>
                <w:szCs w:val="20"/>
              </w:rPr>
              <w:t>月</w:t>
            </w:r>
            <w:r>
              <w:rPr>
                <w:rFonts w:hint="default" w:ascii="Times New Roman" w:hAnsi="Times New Roman" w:eastAsia="仿宋_GB2312" w:cs="Times New Roman"/>
                <w:sz w:val="20"/>
                <w:szCs w:val="20"/>
              </w:rPr>
              <w:t>完成</w:t>
            </w:r>
            <w:r>
              <w:rPr>
                <w:rFonts w:ascii="Times New Roman" w:hAnsi="Times New Roman" w:eastAsia="仿宋_GB2312" w:cs="Times New Roman"/>
                <w:sz w:val="20"/>
                <w:szCs w:val="20"/>
              </w:rPr>
              <w:t>情况</w:t>
            </w:r>
          </w:p>
        </w:tc>
        <w:tc>
          <w:tcPr>
            <w:tcW w:w="1088" w:type="dxa"/>
            <w:vMerge w:val="restart"/>
            <w:noWrap w:val="0"/>
            <w:vAlign w:val="center"/>
          </w:tcPr>
          <w:p w14:paraId="724ED4C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全年预计</w:t>
            </w:r>
          </w:p>
          <w:p w14:paraId="7DF9905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完成情况</w:t>
            </w:r>
          </w:p>
        </w:tc>
        <w:tc>
          <w:tcPr>
            <w:tcW w:w="4850" w:type="dxa"/>
            <w:gridSpan w:val="8"/>
            <w:noWrap w:val="0"/>
            <w:vAlign w:val="center"/>
          </w:tcPr>
          <w:p w14:paraId="6D5200F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偏差原因分析</w:t>
            </w:r>
          </w:p>
        </w:tc>
        <w:tc>
          <w:tcPr>
            <w:tcW w:w="2526" w:type="dxa"/>
            <w:gridSpan w:val="3"/>
            <w:noWrap w:val="0"/>
            <w:vAlign w:val="center"/>
          </w:tcPr>
          <w:p w14:paraId="2F020E4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完成目标可能性</w:t>
            </w:r>
          </w:p>
        </w:tc>
        <w:tc>
          <w:tcPr>
            <w:tcW w:w="625" w:type="dxa"/>
            <w:vMerge w:val="restart"/>
            <w:noWrap w:val="0"/>
            <w:vAlign w:val="center"/>
          </w:tcPr>
          <w:p w14:paraId="6782AEF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备注</w:t>
            </w:r>
          </w:p>
        </w:tc>
      </w:tr>
      <w:tr w14:paraId="1122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14:paraId="038AF000">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14:paraId="33531847">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vMerge w:val="continue"/>
            <w:tcBorders>
              <w:top w:val="nil"/>
            </w:tcBorders>
            <w:noWrap w:val="0"/>
            <w:vAlign w:val="center"/>
          </w:tcPr>
          <w:p w14:paraId="3CC3F73F">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606" w:type="dxa"/>
            <w:vMerge w:val="continue"/>
            <w:tcBorders>
              <w:top w:val="nil"/>
            </w:tcBorders>
            <w:noWrap w:val="0"/>
            <w:vAlign w:val="center"/>
          </w:tcPr>
          <w:p w14:paraId="7985F331">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167" w:type="dxa"/>
            <w:vMerge w:val="continue"/>
            <w:tcBorders>
              <w:top w:val="nil"/>
            </w:tcBorders>
            <w:noWrap w:val="0"/>
            <w:vAlign w:val="center"/>
          </w:tcPr>
          <w:p w14:paraId="65AB4894">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01" w:type="dxa"/>
            <w:vMerge w:val="continue"/>
            <w:tcBorders>
              <w:top w:val="nil"/>
            </w:tcBorders>
            <w:noWrap w:val="0"/>
            <w:vAlign w:val="center"/>
          </w:tcPr>
          <w:p w14:paraId="191DB014">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88" w:type="dxa"/>
            <w:vMerge w:val="continue"/>
            <w:tcBorders>
              <w:top w:val="nil"/>
            </w:tcBorders>
            <w:noWrap w:val="0"/>
            <w:vAlign w:val="center"/>
          </w:tcPr>
          <w:p w14:paraId="0B1DCC1D">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912" w:type="dxa"/>
            <w:noWrap w:val="0"/>
            <w:vAlign w:val="center"/>
          </w:tcPr>
          <w:p w14:paraId="5366EF92">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经费保障</w:t>
            </w:r>
          </w:p>
        </w:tc>
        <w:tc>
          <w:tcPr>
            <w:tcW w:w="838" w:type="dxa"/>
            <w:gridSpan w:val="2"/>
            <w:noWrap w:val="0"/>
            <w:vAlign w:val="center"/>
          </w:tcPr>
          <w:p w14:paraId="0513BB4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制度保障</w:t>
            </w:r>
          </w:p>
        </w:tc>
        <w:tc>
          <w:tcPr>
            <w:tcW w:w="887" w:type="dxa"/>
            <w:noWrap w:val="0"/>
            <w:vAlign w:val="center"/>
          </w:tcPr>
          <w:p w14:paraId="7E59092C">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人员保障</w:t>
            </w:r>
          </w:p>
        </w:tc>
        <w:tc>
          <w:tcPr>
            <w:tcW w:w="775" w:type="dxa"/>
            <w:noWrap w:val="0"/>
            <w:vAlign w:val="center"/>
          </w:tcPr>
          <w:p w14:paraId="0769D5C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硬件条件保障</w:t>
            </w:r>
          </w:p>
        </w:tc>
        <w:tc>
          <w:tcPr>
            <w:tcW w:w="525" w:type="dxa"/>
            <w:noWrap w:val="0"/>
            <w:vAlign w:val="center"/>
          </w:tcPr>
          <w:p w14:paraId="054C591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其他</w:t>
            </w:r>
          </w:p>
        </w:tc>
        <w:tc>
          <w:tcPr>
            <w:tcW w:w="913" w:type="dxa"/>
            <w:gridSpan w:val="2"/>
            <w:noWrap w:val="0"/>
            <w:vAlign w:val="center"/>
          </w:tcPr>
          <w:p w14:paraId="559B20E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原因说明</w:t>
            </w:r>
          </w:p>
        </w:tc>
        <w:tc>
          <w:tcPr>
            <w:tcW w:w="738" w:type="dxa"/>
            <w:noWrap w:val="0"/>
            <w:vAlign w:val="center"/>
          </w:tcPr>
          <w:p w14:paraId="25F02F9D">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确定能</w:t>
            </w:r>
          </w:p>
        </w:tc>
        <w:tc>
          <w:tcPr>
            <w:tcW w:w="700" w:type="dxa"/>
            <w:noWrap w:val="0"/>
            <w:vAlign w:val="center"/>
          </w:tcPr>
          <w:p w14:paraId="5480E91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有可能</w:t>
            </w:r>
          </w:p>
        </w:tc>
        <w:tc>
          <w:tcPr>
            <w:tcW w:w="1088" w:type="dxa"/>
            <w:noWrap w:val="0"/>
            <w:vAlign w:val="center"/>
          </w:tcPr>
          <w:p w14:paraId="163B0896">
            <w:pPr>
              <w:pStyle w:val="19"/>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完全不可能</w:t>
            </w:r>
          </w:p>
        </w:tc>
        <w:tc>
          <w:tcPr>
            <w:tcW w:w="625" w:type="dxa"/>
            <w:vMerge w:val="continue"/>
            <w:tcBorders>
              <w:top w:val="nil"/>
            </w:tcBorders>
            <w:noWrap w:val="0"/>
            <w:vAlign w:val="center"/>
          </w:tcPr>
          <w:p w14:paraId="7A34C6B2">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14:paraId="01664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jc w:val="center"/>
        </w:trPr>
        <w:tc>
          <w:tcPr>
            <w:tcW w:w="600" w:type="dxa"/>
            <w:vMerge w:val="continue"/>
            <w:tcBorders>
              <w:top w:val="nil"/>
            </w:tcBorders>
            <w:noWrap w:val="0"/>
            <w:vAlign w:val="center"/>
          </w:tcPr>
          <w:p w14:paraId="5D9DD5C2">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tcBorders>
              <w:top w:val="nil"/>
            </w:tcBorders>
            <w:noWrap w:val="0"/>
            <w:vAlign w:val="center"/>
          </w:tcPr>
          <w:p w14:paraId="3E86F26F">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r>
              <w:rPr>
                <w:rFonts w:ascii="Times New Roman" w:hAnsi="Times New Roman" w:eastAsia="仿宋_GB2312"/>
                <w:sz w:val="20"/>
                <w:szCs w:val="20"/>
              </w:rPr>
              <w:t>成本指标</w:t>
            </w:r>
          </w:p>
        </w:tc>
        <w:tc>
          <w:tcPr>
            <w:tcW w:w="1238" w:type="dxa"/>
            <w:tcBorders>
              <w:top w:val="nil"/>
            </w:tcBorders>
            <w:noWrap w:val="0"/>
            <w:vAlign w:val="center"/>
          </w:tcPr>
          <w:p w14:paraId="0AD0CD8E">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rPr>
            </w:pPr>
            <w:r>
              <w:rPr>
                <w:rFonts w:hint="default" w:ascii="Times New Roman" w:hAnsi="Times New Roman" w:eastAsia="仿宋_GB2312"/>
                <w:sz w:val="20"/>
                <w:szCs w:val="20"/>
              </w:rPr>
              <w:t>经济成本指标</w:t>
            </w:r>
          </w:p>
        </w:tc>
        <w:tc>
          <w:tcPr>
            <w:tcW w:w="1606" w:type="dxa"/>
            <w:tcBorders>
              <w:top w:val="nil"/>
            </w:tcBorders>
            <w:noWrap w:val="0"/>
            <w:vAlign w:val="center"/>
          </w:tcPr>
          <w:p w14:paraId="1356A7C2">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lang w:val="en-US" w:eastAsia="zh-CN"/>
              </w:rPr>
            </w:pPr>
            <w:r>
              <w:rPr>
                <w:rFonts w:hint="eastAsia" w:eastAsia="仿宋_GB2312"/>
                <w:sz w:val="20"/>
                <w:szCs w:val="20"/>
                <w:lang w:eastAsia="zh-CN"/>
              </w:rPr>
              <w:t>全年总金额</w:t>
            </w:r>
            <w:r>
              <w:rPr>
                <w:rFonts w:hint="eastAsia" w:eastAsia="仿宋_GB2312"/>
                <w:sz w:val="20"/>
                <w:szCs w:val="20"/>
                <w:lang w:val="en-US" w:eastAsia="zh-CN"/>
              </w:rPr>
              <w:t>20.73万</w:t>
            </w:r>
          </w:p>
        </w:tc>
        <w:tc>
          <w:tcPr>
            <w:tcW w:w="1167" w:type="dxa"/>
            <w:tcBorders>
              <w:top w:val="nil"/>
            </w:tcBorders>
            <w:noWrap w:val="0"/>
            <w:vAlign w:val="center"/>
          </w:tcPr>
          <w:p w14:paraId="33CB483A">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lang w:val="en-US" w:eastAsia="zh-CN"/>
              </w:rPr>
            </w:pPr>
            <w:r>
              <w:rPr>
                <w:rFonts w:hint="eastAsia" w:eastAsia="仿宋_GB2312"/>
                <w:sz w:val="20"/>
                <w:szCs w:val="20"/>
                <w:lang w:val="en-US" w:eastAsia="zh-CN"/>
              </w:rPr>
              <w:t>20.73</w:t>
            </w:r>
          </w:p>
        </w:tc>
        <w:tc>
          <w:tcPr>
            <w:tcW w:w="1001" w:type="dxa"/>
            <w:tcBorders>
              <w:top w:val="nil"/>
            </w:tcBorders>
            <w:noWrap w:val="0"/>
            <w:vAlign w:val="center"/>
          </w:tcPr>
          <w:p w14:paraId="3FDFFF3F">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lang w:val="en-US" w:eastAsia="zh-CN"/>
              </w:rPr>
            </w:pPr>
            <w:r>
              <w:rPr>
                <w:rFonts w:hint="eastAsia" w:eastAsia="仿宋_GB2312"/>
                <w:sz w:val="20"/>
                <w:szCs w:val="20"/>
                <w:lang w:val="en-US" w:eastAsia="zh-CN"/>
              </w:rPr>
              <w:t>20.73</w:t>
            </w:r>
          </w:p>
        </w:tc>
        <w:tc>
          <w:tcPr>
            <w:tcW w:w="1088" w:type="dxa"/>
            <w:tcBorders>
              <w:top w:val="nil"/>
            </w:tcBorders>
            <w:noWrap w:val="0"/>
            <w:vAlign w:val="center"/>
          </w:tcPr>
          <w:p w14:paraId="37EEA6AE">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lang w:val="en-US" w:eastAsia="zh-CN"/>
              </w:rPr>
            </w:pPr>
            <w:r>
              <w:rPr>
                <w:rFonts w:hint="eastAsia" w:eastAsia="仿宋_GB2312"/>
                <w:sz w:val="20"/>
                <w:szCs w:val="20"/>
                <w:lang w:val="en-US" w:eastAsia="zh-CN"/>
              </w:rPr>
              <w:t>20.73</w:t>
            </w:r>
          </w:p>
        </w:tc>
        <w:tc>
          <w:tcPr>
            <w:tcW w:w="912" w:type="dxa"/>
            <w:noWrap w:val="0"/>
            <w:vAlign w:val="center"/>
          </w:tcPr>
          <w:p w14:paraId="7D76EB6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14:paraId="50C912D5">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14:paraId="14BAE8B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14:paraId="71C21A6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14:paraId="38E9A38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14:paraId="24474B5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14:paraId="0CD44835">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kern w:val="0"/>
                <w:sz w:val="20"/>
                <w:szCs w:val="20"/>
                <w:lang w:val="zh-CN" w:eastAsia="zh-CN" w:bidi="zh-CN"/>
              </w:rPr>
            </w:pPr>
            <w:r>
              <w:rPr>
                <w:rFonts w:hint="default" w:ascii="Arial" w:hAnsi="Arial" w:eastAsia="仿宋_GB2312" w:cs="Arial"/>
                <w:sz w:val="20"/>
                <w:szCs w:val="20"/>
              </w:rPr>
              <w:t>√</w:t>
            </w:r>
          </w:p>
        </w:tc>
        <w:tc>
          <w:tcPr>
            <w:tcW w:w="700" w:type="dxa"/>
            <w:noWrap w:val="0"/>
            <w:vAlign w:val="center"/>
          </w:tcPr>
          <w:p w14:paraId="18A6ABDF">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5DE2B05D">
            <w:pPr>
              <w:pStyle w:val="19"/>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p>
        </w:tc>
        <w:tc>
          <w:tcPr>
            <w:tcW w:w="625" w:type="dxa"/>
            <w:tcBorders>
              <w:top w:val="nil"/>
            </w:tcBorders>
            <w:noWrap w:val="0"/>
            <w:vAlign w:val="center"/>
          </w:tcPr>
          <w:p w14:paraId="0C22BA7C">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14:paraId="079F0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600" w:type="dxa"/>
            <w:vMerge w:val="continue"/>
            <w:tcBorders>
              <w:top w:val="nil"/>
            </w:tcBorders>
            <w:noWrap w:val="0"/>
            <w:vAlign w:val="center"/>
          </w:tcPr>
          <w:p w14:paraId="53D31384">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restart"/>
            <w:noWrap w:val="0"/>
            <w:vAlign w:val="center"/>
          </w:tcPr>
          <w:p w14:paraId="58E1B23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产出指标</w:t>
            </w:r>
          </w:p>
        </w:tc>
        <w:tc>
          <w:tcPr>
            <w:tcW w:w="1238" w:type="dxa"/>
            <w:noWrap w:val="0"/>
            <w:vAlign w:val="center"/>
          </w:tcPr>
          <w:p w14:paraId="4DB4B85F">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数量指标</w:t>
            </w:r>
          </w:p>
        </w:tc>
        <w:tc>
          <w:tcPr>
            <w:tcW w:w="1606" w:type="dxa"/>
            <w:noWrap w:val="0"/>
            <w:vAlign w:val="center"/>
          </w:tcPr>
          <w:p w14:paraId="07F2FF32">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简政放权、优化机构</w:t>
            </w:r>
          </w:p>
        </w:tc>
        <w:tc>
          <w:tcPr>
            <w:tcW w:w="1167" w:type="dxa"/>
            <w:noWrap w:val="0"/>
            <w:vAlign w:val="center"/>
          </w:tcPr>
          <w:p w14:paraId="5239CDB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01" w:type="dxa"/>
            <w:noWrap w:val="0"/>
            <w:vAlign w:val="center"/>
          </w:tcPr>
          <w:p w14:paraId="1AA4A2E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4CC2B3D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完成年初任务</w:t>
            </w:r>
          </w:p>
        </w:tc>
        <w:tc>
          <w:tcPr>
            <w:tcW w:w="912" w:type="dxa"/>
            <w:noWrap w:val="0"/>
            <w:vAlign w:val="center"/>
          </w:tcPr>
          <w:p w14:paraId="05D7968F">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14:paraId="49A7E3F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14:paraId="0EB31D1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14:paraId="36A074B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14:paraId="004EA81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14:paraId="15FA9C95">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14:paraId="0A935EC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kern w:val="0"/>
                <w:sz w:val="20"/>
                <w:szCs w:val="20"/>
                <w:lang w:val="zh-CN" w:eastAsia="zh-CN" w:bidi="zh-CN"/>
              </w:rPr>
            </w:pPr>
            <w:r>
              <w:rPr>
                <w:rFonts w:hint="default" w:ascii="Arial" w:hAnsi="Arial" w:eastAsia="仿宋_GB2312" w:cs="Arial"/>
                <w:sz w:val="20"/>
                <w:szCs w:val="20"/>
              </w:rPr>
              <w:t>√</w:t>
            </w:r>
          </w:p>
        </w:tc>
        <w:tc>
          <w:tcPr>
            <w:tcW w:w="700" w:type="dxa"/>
            <w:noWrap w:val="0"/>
            <w:vAlign w:val="center"/>
          </w:tcPr>
          <w:p w14:paraId="117B1282">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674D22A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14:paraId="3A29614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14:paraId="67788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jc w:val="center"/>
        </w:trPr>
        <w:tc>
          <w:tcPr>
            <w:tcW w:w="600" w:type="dxa"/>
            <w:vMerge w:val="continue"/>
            <w:tcBorders>
              <w:top w:val="nil"/>
            </w:tcBorders>
            <w:noWrap w:val="0"/>
            <w:vAlign w:val="center"/>
          </w:tcPr>
          <w:p w14:paraId="1D4E8473">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14:paraId="3D0AF555">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14:paraId="2034882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质量指标</w:t>
            </w:r>
          </w:p>
        </w:tc>
        <w:tc>
          <w:tcPr>
            <w:tcW w:w="1606" w:type="dxa"/>
            <w:noWrap w:val="0"/>
            <w:vAlign w:val="center"/>
          </w:tcPr>
          <w:p w14:paraId="5A8852B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理顺体制、机制、激发单位的活力</w:t>
            </w:r>
          </w:p>
        </w:tc>
        <w:tc>
          <w:tcPr>
            <w:tcW w:w="1167" w:type="dxa"/>
            <w:noWrap w:val="0"/>
            <w:vAlign w:val="center"/>
          </w:tcPr>
          <w:p w14:paraId="679E318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01" w:type="dxa"/>
            <w:noWrap w:val="0"/>
            <w:vAlign w:val="center"/>
          </w:tcPr>
          <w:p w14:paraId="6B9AF21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73F7EF3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完成年初任务</w:t>
            </w:r>
          </w:p>
        </w:tc>
        <w:tc>
          <w:tcPr>
            <w:tcW w:w="912" w:type="dxa"/>
            <w:noWrap w:val="0"/>
            <w:vAlign w:val="center"/>
          </w:tcPr>
          <w:p w14:paraId="2404045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14:paraId="722E129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14:paraId="5CBC0DAF">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14:paraId="2CBFC64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14:paraId="57C40A8F">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14:paraId="7721005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14:paraId="1E4D4BDC">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kern w:val="0"/>
                <w:sz w:val="20"/>
                <w:szCs w:val="20"/>
                <w:lang w:val="zh-CN" w:eastAsia="zh-CN" w:bidi="zh-CN"/>
              </w:rPr>
            </w:pPr>
            <w:r>
              <w:rPr>
                <w:rFonts w:hint="default" w:ascii="Arial" w:hAnsi="Arial" w:eastAsia="仿宋_GB2312" w:cs="Arial"/>
                <w:sz w:val="20"/>
                <w:szCs w:val="20"/>
              </w:rPr>
              <w:t>√</w:t>
            </w:r>
          </w:p>
        </w:tc>
        <w:tc>
          <w:tcPr>
            <w:tcW w:w="700" w:type="dxa"/>
            <w:noWrap w:val="0"/>
            <w:vAlign w:val="center"/>
          </w:tcPr>
          <w:p w14:paraId="5A85B5E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00CF0CB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14:paraId="6CA43DE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14:paraId="27BE3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600" w:type="dxa"/>
            <w:vMerge w:val="continue"/>
            <w:tcBorders>
              <w:top w:val="nil"/>
            </w:tcBorders>
            <w:noWrap w:val="0"/>
            <w:vAlign w:val="center"/>
          </w:tcPr>
          <w:p w14:paraId="06961F8A">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restart"/>
            <w:noWrap w:val="0"/>
            <w:vAlign w:val="center"/>
          </w:tcPr>
          <w:p w14:paraId="6C8B6FD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效益指标</w:t>
            </w:r>
          </w:p>
        </w:tc>
        <w:tc>
          <w:tcPr>
            <w:tcW w:w="1238" w:type="dxa"/>
            <w:noWrap w:val="0"/>
            <w:vAlign w:val="center"/>
          </w:tcPr>
          <w:p w14:paraId="1597468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经济效益指标</w:t>
            </w:r>
          </w:p>
        </w:tc>
        <w:tc>
          <w:tcPr>
            <w:tcW w:w="1606" w:type="dxa"/>
            <w:noWrap w:val="0"/>
            <w:vAlign w:val="center"/>
          </w:tcPr>
          <w:p w14:paraId="50B54FB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实现行政编制数、实有人员数、财政供养数相一致的目标</w:t>
            </w:r>
          </w:p>
        </w:tc>
        <w:tc>
          <w:tcPr>
            <w:tcW w:w="1167" w:type="dxa"/>
            <w:noWrap w:val="0"/>
            <w:vAlign w:val="center"/>
          </w:tcPr>
          <w:p w14:paraId="796FE3C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01" w:type="dxa"/>
            <w:noWrap w:val="0"/>
            <w:vAlign w:val="center"/>
          </w:tcPr>
          <w:p w14:paraId="1C46422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6D6B85D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完成年初任务</w:t>
            </w:r>
          </w:p>
        </w:tc>
        <w:tc>
          <w:tcPr>
            <w:tcW w:w="912" w:type="dxa"/>
            <w:noWrap w:val="0"/>
            <w:vAlign w:val="center"/>
          </w:tcPr>
          <w:p w14:paraId="0702E850">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14:paraId="753D9E7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14:paraId="1687B92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14:paraId="36130EB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14:paraId="20CE9F9B">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14:paraId="49E3F6E2">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14:paraId="29A19A2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kern w:val="0"/>
                <w:sz w:val="20"/>
                <w:szCs w:val="20"/>
                <w:lang w:val="zh-CN" w:eastAsia="zh-CN" w:bidi="zh-CN"/>
              </w:rPr>
            </w:pPr>
            <w:r>
              <w:rPr>
                <w:rFonts w:hint="default" w:ascii="Arial" w:hAnsi="Arial" w:eastAsia="仿宋_GB2312" w:cs="Arial"/>
                <w:sz w:val="20"/>
                <w:szCs w:val="20"/>
              </w:rPr>
              <w:t>√</w:t>
            </w:r>
          </w:p>
        </w:tc>
        <w:tc>
          <w:tcPr>
            <w:tcW w:w="700" w:type="dxa"/>
            <w:noWrap w:val="0"/>
            <w:vAlign w:val="center"/>
          </w:tcPr>
          <w:p w14:paraId="67959FF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3C621B75">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14:paraId="48DF27ED">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14:paraId="6B7BB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600" w:type="dxa"/>
            <w:vMerge w:val="continue"/>
            <w:tcBorders>
              <w:top w:val="nil"/>
            </w:tcBorders>
            <w:noWrap w:val="0"/>
            <w:vAlign w:val="center"/>
          </w:tcPr>
          <w:p w14:paraId="13F814ED">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14:paraId="26646910">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14:paraId="4495888C">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社会效益指标</w:t>
            </w:r>
          </w:p>
        </w:tc>
        <w:tc>
          <w:tcPr>
            <w:tcW w:w="1606" w:type="dxa"/>
            <w:noWrap w:val="0"/>
            <w:vAlign w:val="center"/>
          </w:tcPr>
          <w:p w14:paraId="3879D45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kern w:val="2"/>
                <w:sz w:val="20"/>
                <w:szCs w:val="20"/>
                <w:lang w:val="zh-CN" w:eastAsia="zh-CN" w:bidi="ar-SA"/>
              </w:rPr>
            </w:pPr>
            <w:r>
              <w:rPr>
                <w:rFonts w:hint="eastAsia" w:ascii="Times New Roman" w:hAnsi="Times New Roman" w:eastAsia="仿宋_GB2312" w:cs="Times New Roman"/>
                <w:kern w:val="2"/>
                <w:sz w:val="20"/>
                <w:szCs w:val="20"/>
                <w:lang w:val="en-US" w:eastAsia="zh-CN" w:bidi="ar-SA"/>
              </w:rPr>
              <w:t>简政放权、优化机构</w:t>
            </w:r>
          </w:p>
        </w:tc>
        <w:tc>
          <w:tcPr>
            <w:tcW w:w="1167" w:type="dxa"/>
            <w:noWrap w:val="0"/>
            <w:vAlign w:val="center"/>
          </w:tcPr>
          <w:p w14:paraId="61C8B0B2">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01" w:type="dxa"/>
            <w:noWrap w:val="0"/>
            <w:vAlign w:val="center"/>
          </w:tcPr>
          <w:p w14:paraId="45105FCC">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5CF1672F">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完成年初任务</w:t>
            </w:r>
          </w:p>
        </w:tc>
        <w:tc>
          <w:tcPr>
            <w:tcW w:w="912" w:type="dxa"/>
            <w:noWrap w:val="0"/>
            <w:vAlign w:val="center"/>
          </w:tcPr>
          <w:p w14:paraId="0A7B002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14:paraId="21AE5995">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14:paraId="35DA86B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14:paraId="7A964FCC">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14:paraId="7E40DB10">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14:paraId="3E5E087D">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14:paraId="6433D09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kern w:val="0"/>
                <w:sz w:val="20"/>
                <w:szCs w:val="20"/>
                <w:lang w:val="zh-CN" w:eastAsia="zh-CN" w:bidi="zh-CN"/>
              </w:rPr>
            </w:pPr>
            <w:r>
              <w:rPr>
                <w:rFonts w:hint="default" w:ascii="Arial" w:hAnsi="Arial" w:eastAsia="仿宋_GB2312" w:cs="Arial"/>
                <w:sz w:val="20"/>
                <w:szCs w:val="20"/>
              </w:rPr>
              <w:t>√</w:t>
            </w:r>
          </w:p>
        </w:tc>
        <w:tc>
          <w:tcPr>
            <w:tcW w:w="700" w:type="dxa"/>
            <w:noWrap w:val="0"/>
            <w:vAlign w:val="center"/>
          </w:tcPr>
          <w:p w14:paraId="4C47F1B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215154E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14:paraId="0E0EEFA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14:paraId="27CE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600" w:type="dxa"/>
            <w:vMerge w:val="continue"/>
            <w:tcBorders>
              <w:top w:val="nil"/>
            </w:tcBorders>
            <w:noWrap w:val="0"/>
            <w:vAlign w:val="center"/>
          </w:tcPr>
          <w:p w14:paraId="32B32BB8">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14:paraId="7ED5C073">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14:paraId="5FA9F1EC">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生态效益指标</w:t>
            </w:r>
          </w:p>
        </w:tc>
        <w:tc>
          <w:tcPr>
            <w:tcW w:w="1606" w:type="dxa"/>
            <w:noWrap w:val="0"/>
            <w:vAlign w:val="center"/>
          </w:tcPr>
          <w:p w14:paraId="32149CAC">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kern w:val="2"/>
                <w:sz w:val="20"/>
                <w:szCs w:val="20"/>
                <w:lang w:val="zh-CN" w:eastAsia="zh-CN" w:bidi="ar-SA"/>
              </w:rPr>
            </w:pPr>
            <w:r>
              <w:rPr>
                <w:rFonts w:hint="eastAsia" w:ascii="Times New Roman" w:hAnsi="Times New Roman" w:eastAsia="仿宋_GB2312" w:cs="Times New Roman"/>
                <w:kern w:val="2"/>
                <w:sz w:val="20"/>
                <w:szCs w:val="20"/>
                <w:lang w:val="en-US" w:eastAsia="zh-CN" w:bidi="ar-SA"/>
              </w:rPr>
              <w:t>理顺体制、机制、激发单位的活力</w:t>
            </w:r>
          </w:p>
        </w:tc>
        <w:tc>
          <w:tcPr>
            <w:tcW w:w="1167" w:type="dxa"/>
            <w:noWrap w:val="0"/>
            <w:vAlign w:val="center"/>
          </w:tcPr>
          <w:p w14:paraId="4B721E3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01" w:type="dxa"/>
            <w:noWrap w:val="0"/>
            <w:vAlign w:val="center"/>
          </w:tcPr>
          <w:p w14:paraId="7644C1D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0257DF4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完成年初任务</w:t>
            </w:r>
          </w:p>
        </w:tc>
        <w:tc>
          <w:tcPr>
            <w:tcW w:w="912" w:type="dxa"/>
            <w:noWrap w:val="0"/>
            <w:vAlign w:val="center"/>
          </w:tcPr>
          <w:p w14:paraId="0E3316B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14:paraId="6CA54C2E">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14:paraId="0F03A075">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14:paraId="4CCF446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14:paraId="4B9B20A7">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14:paraId="631857E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14:paraId="4F9C2C3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kern w:val="0"/>
                <w:sz w:val="20"/>
                <w:szCs w:val="20"/>
                <w:lang w:val="zh-CN" w:eastAsia="zh-CN" w:bidi="zh-CN"/>
              </w:rPr>
            </w:pPr>
            <w:r>
              <w:rPr>
                <w:rFonts w:hint="default" w:ascii="Arial" w:hAnsi="Arial" w:eastAsia="仿宋_GB2312" w:cs="Arial"/>
                <w:sz w:val="20"/>
                <w:szCs w:val="20"/>
              </w:rPr>
              <w:t>√</w:t>
            </w:r>
          </w:p>
        </w:tc>
        <w:tc>
          <w:tcPr>
            <w:tcW w:w="700" w:type="dxa"/>
            <w:noWrap w:val="0"/>
            <w:vAlign w:val="center"/>
          </w:tcPr>
          <w:p w14:paraId="20A0527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5355D4F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14:paraId="745295FF">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14:paraId="2515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jc w:val="center"/>
        </w:trPr>
        <w:tc>
          <w:tcPr>
            <w:tcW w:w="600" w:type="dxa"/>
            <w:vMerge w:val="continue"/>
            <w:tcBorders>
              <w:top w:val="nil"/>
            </w:tcBorders>
            <w:noWrap w:val="0"/>
            <w:vAlign w:val="center"/>
          </w:tcPr>
          <w:p w14:paraId="1BA1A96C">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noWrap w:val="0"/>
            <w:vAlign w:val="center"/>
          </w:tcPr>
          <w:p w14:paraId="108D8924">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满意度</w:t>
            </w:r>
          </w:p>
          <w:p w14:paraId="7B52BA1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指标</w:t>
            </w:r>
          </w:p>
        </w:tc>
        <w:tc>
          <w:tcPr>
            <w:tcW w:w="1238" w:type="dxa"/>
            <w:noWrap w:val="0"/>
            <w:vAlign w:val="center"/>
          </w:tcPr>
          <w:p w14:paraId="0D97D324">
            <w:pPr>
              <w:pStyle w:val="19"/>
              <w:keepNext w:val="0"/>
              <w:keepLines w:val="0"/>
              <w:pageBreakBefore w:val="0"/>
              <w:kinsoku/>
              <w:wordWrap/>
              <w:overflowPunct/>
              <w:topLinePunct w:val="0"/>
              <w:bidi w:val="0"/>
              <w:adjustRightInd/>
              <w:snapToGrid/>
              <w:spacing w:line="240" w:lineRule="exact"/>
              <w:ind w:left="0" w:leftChars="0" w:firstLine="72"/>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服务对象满意度指标</w:t>
            </w:r>
          </w:p>
        </w:tc>
        <w:tc>
          <w:tcPr>
            <w:tcW w:w="1606" w:type="dxa"/>
            <w:noWrap w:val="0"/>
            <w:vAlign w:val="center"/>
          </w:tcPr>
          <w:p w14:paraId="58D4F5D9">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提高行政效能，打造人民满意的服务型政府。</w:t>
            </w:r>
          </w:p>
        </w:tc>
        <w:tc>
          <w:tcPr>
            <w:tcW w:w="1167" w:type="dxa"/>
            <w:noWrap w:val="0"/>
            <w:vAlign w:val="center"/>
          </w:tcPr>
          <w:p w14:paraId="452FE0D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01" w:type="dxa"/>
            <w:noWrap w:val="0"/>
            <w:vAlign w:val="center"/>
          </w:tcPr>
          <w:p w14:paraId="72BFAB7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53E245C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完成年初任务</w:t>
            </w:r>
          </w:p>
        </w:tc>
        <w:tc>
          <w:tcPr>
            <w:tcW w:w="912" w:type="dxa"/>
            <w:noWrap w:val="0"/>
            <w:vAlign w:val="center"/>
          </w:tcPr>
          <w:p w14:paraId="783F5076">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14:paraId="1509742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14:paraId="2677F40D">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14:paraId="789681B1">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14:paraId="060FC6D5">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14:paraId="3F005E2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14:paraId="5EE654C5">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kern w:val="0"/>
                <w:sz w:val="20"/>
                <w:szCs w:val="20"/>
                <w:lang w:val="zh-CN" w:eastAsia="zh-CN" w:bidi="zh-CN"/>
              </w:rPr>
            </w:pPr>
            <w:r>
              <w:rPr>
                <w:rFonts w:hint="default" w:ascii="Arial" w:hAnsi="Arial" w:eastAsia="仿宋_GB2312" w:cs="Arial"/>
                <w:sz w:val="20"/>
                <w:szCs w:val="20"/>
              </w:rPr>
              <w:t>√</w:t>
            </w:r>
          </w:p>
        </w:tc>
        <w:tc>
          <w:tcPr>
            <w:tcW w:w="700" w:type="dxa"/>
            <w:noWrap w:val="0"/>
            <w:vAlign w:val="center"/>
          </w:tcPr>
          <w:p w14:paraId="0218E50A">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14:paraId="096CF40F">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14:paraId="1F8E4963">
            <w:pPr>
              <w:pStyle w:val="19"/>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bl>
    <w:p w14:paraId="20C4F35E">
      <w:pPr>
        <w:pStyle w:val="3"/>
        <w:keepNext w:val="0"/>
        <w:keepLines w:val="0"/>
        <w:pageBreakBefore w:val="0"/>
        <w:kinsoku/>
        <w:wordWrap/>
        <w:overflowPunct/>
        <w:topLinePunct w:val="0"/>
        <w:bidi w:val="0"/>
        <w:adjustRightInd/>
        <w:snapToGrid/>
        <w:spacing w:before="9"/>
        <w:ind w:left="0" w:leftChars="0" w:firstLine="210" w:firstLineChars="100"/>
        <w:textAlignment w:val="auto"/>
        <w:rPr>
          <w:rFonts w:hint="default" w:ascii="Times New Roman" w:hAnsi="Times New Roman" w:eastAsia="仿宋_GB2312"/>
          <w:sz w:val="21"/>
          <w:szCs w:val="21"/>
        </w:rPr>
      </w:pPr>
      <w:r>
        <w:rPr>
          <w:rFonts w:ascii="Times New Roman" w:hAnsi="Times New Roman" w:eastAsia="仿宋_GB2312"/>
          <w:sz w:val="21"/>
          <w:szCs w:val="21"/>
        </w:rPr>
        <w:t>注：</w:t>
      </w:r>
      <w:r>
        <w:rPr>
          <w:rFonts w:hint="default" w:ascii="Times New Roman" w:hAnsi="Times New Roman" w:eastAsia="仿宋_GB2312"/>
          <w:sz w:val="21"/>
          <w:szCs w:val="21"/>
        </w:rPr>
        <w:t>1、</w:t>
      </w:r>
      <w:r>
        <w:rPr>
          <w:rFonts w:ascii="Times New Roman" w:hAnsi="Times New Roman" w:eastAsia="仿宋_GB2312"/>
          <w:sz w:val="21"/>
          <w:szCs w:val="21"/>
        </w:rPr>
        <w:t>“备注”列：可以说明预计到年底不能完成目标的原因及拟采取的措施，或其他需要说明的事项</w:t>
      </w:r>
      <w:r>
        <w:rPr>
          <w:rFonts w:hint="default" w:ascii="Times New Roman" w:hAnsi="Times New Roman" w:eastAsia="仿宋_GB2312"/>
          <w:sz w:val="21"/>
          <w:szCs w:val="21"/>
        </w:rPr>
        <w:t>；</w:t>
      </w:r>
    </w:p>
    <w:p w14:paraId="3E7AB5CB">
      <w:pPr>
        <w:pStyle w:val="3"/>
        <w:keepNext w:val="0"/>
        <w:keepLines w:val="0"/>
        <w:pageBreakBefore w:val="0"/>
        <w:kinsoku/>
        <w:wordWrap/>
        <w:overflowPunct/>
        <w:topLinePunct w:val="0"/>
        <w:bidi w:val="0"/>
        <w:adjustRightInd/>
        <w:snapToGrid/>
        <w:spacing w:before="9"/>
        <w:ind w:left="0" w:leftChars="0" w:firstLine="630" w:firstLineChars="300"/>
        <w:textAlignment w:val="auto"/>
        <w:rPr>
          <w:rFonts w:ascii="Times New Roman" w:hAnsi="Times New Roman" w:eastAsia="仿宋_GB2312"/>
          <w:sz w:val="21"/>
          <w:szCs w:val="21"/>
        </w:rPr>
        <w:sectPr>
          <w:footerReference r:id="rId3" w:type="default"/>
          <w:pgSz w:w="16837" w:h="11905" w:orient="landscape"/>
          <w:pgMar w:top="1134" w:right="1134" w:bottom="1134" w:left="1134" w:header="720" w:footer="1134" w:gutter="0"/>
          <w:pgNumType w:fmt="numberInDash"/>
          <w:cols w:space="720" w:num="1"/>
          <w:rtlGutter w:val="0"/>
          <w:docGrid w:linePitch="636" w:charSpace="0"/>
        </w:sectPr>
      </w:pPr>
      <w:r>
        <w:rPr>
          <w:rFonts w:hint="default" w:ascii="Times New Roman" w:hAnsi="Times New Roman" w:eastAsia="仿宋_GB2312"/>
          <w:sz w:val="21"/>
          <w:szCs w:val="21"/>
        </w:rPr>
        <w:t>2、政策和其他支出的预算绩效运行监控表参照此表设计。</w:t>
      </w:r>
    </w:p>
    <w:p w14:paraId="55B2F7DA">
      <w:pPr>
        <w:keepNext w:val="0"/>
        <w:keepLines w:val="0"/>
        <w:pageBreakBefore w:val="0"/>
        <w:kinsoku/>
        <w:wordWrap/>
        <w:overflowPunct/>
        <w:topLinePunct w:val="0"/>
        <w:bidi w:val="0"/>
        <w:adjustRightInd/>
        <w:snapToGrid/>
        <w:spacing w:line="360" w:lineRule="exact"/>
        <w:ind w:left="0" w:leftChars="0"/>
        <w:textAlignment w:val="auto"/>
        <w:rPr>
          <w:rFonts w:ascii="黑体" w:hAnsi="黑体" w:eastAsia="黑体" w:cs="黑体"/>
          <w:sz w:val="28"/>
          <w:szCs w:val="28"/>
        </w:rPr>
      </w:pPr>
      <w:r>
        <w:rPr>
          <w:rFonts w:hint="eastAsia" w:eastAsia="仿宋_GB2312"/>
          <w:sz w:val="32"/>
          <w:szCs w:val="32"/>
        </w:rPr>
        <w:t> </w:t>
      </w:r>
      <w:r>
        <w:rPr>
          <w:rFonts w:hint="eastAsia" w:ascii="黑体" w:hAnsi="黑体" w:eastAsia="黑体" w:cs="黑体"/>
          <w:sz w:val="28"/>
          <w:szCs w:val="28"/>
        </w:rPr>
        <w:t>附件</w:t>
      </w:r>
      <w:r>
        <w:rPr>
          <w:rFonts w:hint="eastAsia" w:ascii="黑体" w:hAnsi="黑体" w:eastAsia="黑体" w:cs="黑体"/>
          <w:sz w:val="28"/>
          <w:szCs w:val="28"/>
          <w:lang w:val="en-US" w:eastAsia="zh-CN"/>
        </w:rPr>
        <w:t>2</w:t>
      </w:r>
      <w:r>
        <w:rPr>
          <w:rFonts w:hint="eastAsia" w:ascii="黑体" w:hAnsi="黑体" w:eastAsia="黑体" w:cs="黑体"/>
          <w:sz w:val="28"/>
          <w:szCs w:val="28"/>
        </w:rPr>
        <w:t>：</w:t>
      </w:r>
    </w:p>
    <w:p w14:paraId="517F86F8">
      <w:pPr>
        <w:keepNext w:val="0"/>
        <w:keepLines w:val="0"/>
        <w:pageBreakBefore w:val="0"/>
        <w:kinsoku/>
        <w:wordWrap/>
        <w:overflowPunct/>
        <w:topLinePunct w:val="0"/>
        <w:bidi w:val="0"/>
        <w:adjustRightInd/>
        <w:snapToGrid/>
        <w:spacing w:line="360" w:lineRule="exact"/>
        <w:ind w:left="0" w:leftChars="0"/>
        <w:jc w:val="center"/>
        <w:textAlignment w:val="auto"/>
        <w:rPr>
          <w:rFonts w:ascii="仿宋" w:hAnsi="仿宋" w:eastAsia="仿宋" w:cs="黑体"/>
          <w:b/>
          <w:sz w:val="32"/>
          <w:szCs w:val="32"/>
        </w:rPr>
      </w:pPr>
      <w:r>
        <w:rPr>
          <w:rFonts w:hint="eastAsia" w:ascii="宋体" w:hAnsi="宋体"/>
          <w:b/>
          <w:sz w:val="36"/>
          <w:szCs w:val="36"/>
        </w:rPr>
        <w:t>部门整体支出绩效监控表</w:t>
      </w:r>
    </w:p>
    <w:p w14:paraId="4924C41C">
      <w:pPr>
        <w:keepNext w:val="0"/>
        <w:keepLines w:val="0"/>
        <w:pageBreakBefore w:val="0"/>
        <w:kinsoku/>
        <w:wordWrap/>
        <w:overflowPunct/>
        <w:topLinePunct w:val="0"/>
        <w:bidi w:val="0"/>
        <w:adjustRightInd/>
        <w:snapToGrid/>
        <w:ind w:left="0" w:leftChars="0"/>
        <w:jc w:val="center"/>
        <w:textAlignment w:val="auto"/>
        <w:rPr>
          <w:rFonts w:ascii="楷体_GB2312" w:hAnsi="宋体" w:eastAsia="楷体_GB2312"/>
          <w:sz w:val="28"/>
          <w:szCs w:val="28"/>
        </w:rPr>
      </w:pPr>
      <w:r>
        <w:rPr>
          <w:rFonts w:hint="eastAsia" w:ascii="楷体_GB2312" w:hAnsi="宋体" w:eastAsia="楷体_GB2312"/>
          <w:sz w:val="28"/>
          <w:szCs w:val="28"/>
        </w:rPr>
        <w:t>（  20</w:t>
      </w:r>
      <w:r>
        <w:rPr>
          <w:rFonts w:hint="eastAsia" w:ascii="楷体_GB2312" w:hAnsi="宋体" w:eastAsia="楷体_GB2312"/>
          <w:sz w:val="28"/>
          <w:szCs w:val="28"/>
          <w:lang w:val="en-US" w:eastAsia="zh-CN"/>
        </w:rPr>
        <w:t>23</w:t>
      </w:r>
      <w:r>
        <w:rPr>
          <w:rFonts w:hint="eastAsia" w:ascii="楷体_GB2312" w:hAnsi="宋体" w:eastAsia="楷体_GB2312"/>
          <w:sz w:val="28"/>
          <w:szCs w:val="28"/>
        </w:rPr>
        <w:t>年度1-</w:t>
      </w:r>
      <w:r>
        <w:rPr>
          <w:rFonts w:hint="eastAsia" w:ascii="楷体_GB2312" w:hAnsi="宋体" w:eastAsia="楷体_GB2312"/>
          <w:sz w:val="28"/>
          <w:szCs w:val="28"/>
          <w:lang w:val="en-US" w:eastAsia="zh-CN"/>
        </w:rPr>
        <w:t>12</w:t>
      </w:r>
      <w:r>
        <w:rPr>
          <w:rFonts w:hint="eastAsia" w:ascii="楷体_GB2312" w:hAnsi="宋体" w:eastAsia="楷体_GB2312"/>
          <w:sz w:val="28"/>
          <w:szCs w:val="28"/>
        </w:rPr>
        <w:t>月）</w:t>
      </w:r>
    </w:p>
    <w:p w14:paraId="637D805F">
      <w:pPr>
        <w:keepNext w:val="0"/>
        <w:keepLines w:val="0"/>
        <w:pageBreakBefore w:val="0"/>
        <w:kinsoku/>
        <w:wordWrap/>
        <w:overflowPunct/>
        <w:topLinePunct w:val="0"/>
        <w:bidi w:val="0"/>
        <w:adjustRightInd/>
        <w:snapToGrid/>
        <w:spacing w:line="360" w:lineRule="exact"/>
        <w:ind w:left="-359" w:leftChars="0" w:right="-525" w:rightChars="-250"/>
        <w:jc w:val="left"/>
        <w:textAlignment w:val="auto"/>
        <w:rPr>
          <w:rFonts w:ascii="仿宋_GB2312" w:hAnsi="仿宋_GB2312" w:eastAsia="仿宋_GB2312"/>
          <w:sz w:val="24"/>
          <w:szCs w:val="21"/>
        </w:rPr>
      </w:pPr>
      <w:r>
        <w:rPr>
          <w:rFonts w:hint="eastAsia" w:ascii="仿宋_GB2312" w:hAnsi="仿宋_GB2312" w:eastAsia="仿宋_GB2312"/>
          <w:sz w:val="24"/>
          <w:szCs w:val="21"/>
        </w:rPr>
        <w:t>填报单位：（盖章）                                           金额单位</w:t>
      </w:r>
      <w:r>
        <w:rPr>
          <w:rFonts w:hint="eastAsia" w:ascii="仿宋_GB2312" w:hAnsi="仿宋_GB2312" w:eastAsia="仿宋_GB2312"/>
          <w:sz w:val="24"/>
          <w:szCs w:val="21"/>
          <w:lang w:val="en-US" w:eastAsia="zh-CN"/>
        </w:rPr>
        <w:t>:</w:t>
      </w:r>
      <w:r>
        <w:rPr>
          <w:rFonts w:hint="eastAsia" w:ascii="仿宋_GB2312" w:hAnsi="仿宋_GB2312" w:eastAsia="仿宋_GB2312"/>
          <w:sz w:val="24"/>
          <w:szCs w:val="21"/>
        </w:rPr>
        <w:t xml:space="preserve">万元     </w:t>
      </w:r>
    </w:p>
    <w:tbl>
      <w:tblPr>
        <w:tblStyle w:val="9"/>
        <w:tblW w:w="16294"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832"/>
        <w:gridCol w:w="115"/>
        <w:gridCol w:w="301"/>
        <w:gridCol w:w="327"/>
        <w:gridCol w:w="105"/>
        <w:gridCol w:w="529"/>
        <w:gridCol w:w="57"/>
        <w:gridCol w:w="779"/>
        <w:gridCol w:w="424"/>
        <w:gridCol w:w="730"/>
        <w:gridCol w:w="557"/>
        <w:gridCol w:w="61"/>
        <w:gridCol w:w="855"/>
        <w:gridCol w:w="359"/>
        <w:gridCol w:w="63"/>
        <w:gridCol w:w="310"/>
        <w:gridCol w:w="338"/>
        <w:gridCol w:w="400"/>
        <w:gridCol w:w="630"/>
        <w:gridCol w:w="194"/>
        <w:gridCol w:w="436"/>
        <w:gridCol w:w="1053"/>
        <w:gridCol w:w="1053"/>
        <w:gridCol w:w="1053"/>
        <w:gridCol w:w="1053"/>
        <w:gridCol w:w="1053"/>
        <w:gridCol w:w="1053"/>
        <w:gridCol w:w="1053"/>
      </w:tblGrid>
      <w:tr w14:paraId="5191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trHeight w:val="555"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14:paraId="702CBA05">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单位名称</w:t>
            </w:r>
          </w:p>
        </w:tc>
        <w:tc>
          <w:tcPr>
            <w:tcW w:w="3569" w:type="dxa"/>
            <w:gridSpan w:val="9"/>
            <w:tcBorders>
              <w:top w:val="single" w:color="auto" w:sz="4" w:space="0"/>
              <w:left w:val="single" w:color="auto" w:sz="4" w:space="0"/>
              <w:bottom w:val="single" w:color="auto" w:sz="4" w:space="0"/>
              <w:right w:val="single" w:color="auto" w:sz="4" w:space="0"/>
            </w:tcBorders>
            <w:noWrap w:val="0"/>
            <w:vAlign w:val="center"/>
          </w:tcPr>
          <w:p w14:paraId="63AF8BF0">
            <w:pPr>
              <w:keepNext w:val="0"/>
              <w:keepLines w:val="0"/>
              <w:pageBreakBefore w:val="0"/>
              <w:widowControl w:val="0"/>
              <w:kinsoku/>
              <w:wordWrap/>
              <w:overflowPunct/>
              <w:topLinePunct w:val="0"/>
              <w:bidi w:val="0"/>
              <w:adjustRightInd/>
              <w:snapToGrid/>
              <w:spacing w:line="360" w:lineRule="exact"/>
              <w:ind w:left="0" w:leftChars="0"/>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编办</w:t>
            </w:r>
          </w:p>
        </w:tc>
        <w:tc>
          <w:tcPr>
            <w:tcW w:w="1925" w:type="dxa"/>
            <w:gridSpan w:val="5"/>
            <w:tcBorders>
              <w:top w:val="single" w:color="auto" w:sz="4" w:space="0"/>
              <w:left w:val="single" w:color="auto" w:sz="4" w:space="0"/>
              <w:bottom w:val="single" w:color="auto" w:sz="4" w:space="0"/>
              <w:right w:val="single" w:color="auto" w:sz="4" w:space="0"/>
            </w:tcBorders>
            <w:noWrap w:val="0"/>
            <w:vAlign w:val="center"/>
          </w:tcPr>
          <w:p w14:paraId="000D828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单位负责人</w:t>
            </w:r>
          </w:p>
        </w:tc>
        <w:tc>
          <w:tcPr>
            <w:tcW w:w="2713" w:type="dxa"/>
            <w:gridSpan w:val="5"/>
            <w:tcBorders>
              <w:top w:val="single" w:color="auto" w:sz="4" w:space="0"/>
              <w:left w:val="single" w:color="auto" w:sz="4" w:space="0"/>
              <w:bottom w:val="single" w:color="auto" w:sz="4" w:space="0"/>
              <w:right w:val="single" w:color="auto" w:sz="4" w:space="0"/>
            </w:tcBorders>
            <w:noWrap w:val="0"/>
            <w:vAlign w:val="center"/>
          </w:tcPr>
          <w:p w14:paraId="351EFB5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eastAsia="zh-CN"/>
              </w:rPr>
            </w:pPr>
            <w:r>
              <w:rPr>
                <w:rFonts w:hint="eastAsia" w:ascii="仿宋_GB2312" w:hAnsi="仿宋_GB2312" w:eastAsia="仿宋_GB2312"/>
                <w:kern w:val="2"/>
                <w:sz w:val="24"/>
                <w:szCs w:val="21"/>
                <w:lang w:eastAsia="zh-CN"/>
              </w:rPr>
              <w:t>张居龙</w:t>
            </w:r>
          </w:p>
        </w:tc>
      </w:tr>
      <w:tr w14:paraId="6B9C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trHeight w:val="555"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14:paraId="7AFCD325">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人员编制数</w:t>
            </w:r>
          </w:p>
        </w:tc>
        <w:tc>
          <w:tcPr>
            <w:tcW w:w="3569" w:type="dxa"/>
            <w:gridSpan w:val="9"/>
            <w:tcBorders>
              <w:top w:val="single" w:color="auto" w:sz="4" w:space="0"/>
              <w:left w:val="single" w:color="auto" w:sz="4" w:space="0"/>
              <w:bottom w:val="single" w:color="auto" w:sz="4" w:space="0"/>
              <w:right w:val="single" w:color="auto" w:sz="4" w:space="0"/>
            </w:tcBorders>
            <w:noWrap w:val="0"/>
            <w:vAlign w:val="center"/>
          </w:tcPr>
          <w:p w14:paraId="2AC78E0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14</w:t>
            </w:r>
          </w:p>
        </w:tc>
        <w:tc>
          <w:tcPr>
            <w:tcW w:w="1925" w:type="dxa"/>
            <w:gridSpan w:val="5"/>
            <w:tcBorders>
              <w:top w:val="single" w:color="auto" w:sz="4" w:space="0"/>
              <w:left w:val="single" w:color="auto" w:sz="4" w:space="0"/>
              <w:bottom w:val="single" w:color="auto" w:sz="4" w:space="0"/>
              <w:right w:val="single" w:color="auto" w:sz="4" w:space="0"/>
            </w:tcBorders>
            <w:noWrap w:val="0"/>
            <w:vAlign w:val="center"/>
          </w:tcPr>
          <w:p w14:paraId="11BAACA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实有人数</w:t>
            </w:r>
          </w:p>
        </w:tc>
        <w:tc>
          <w:tcPr>
            <w:tcW w:w="2713" w:type="dxa"/>
            <w:gridSpan w:val="5"/>
            <w:tcBorders>
              <w:top w:val="single" w:color="auto" w:sz="4" w:space="0"/>
              <w:left w:val="single" w:color="auto" w:sz="4" w:space="0"/>
              <w:bottom w:val="single" w:color="auto" w:sz="4" w:space="0"/>
              <w:right w:val="single" w:color="auto" w:sz="4" w:space="0"/>
            </w:tcBorders>
            <w:noWrap w:val="0"/>
            <w:vAlign w:val="center"/>
          </w:tcPr>
          <w:p w14:paraId="5ACA1245">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11</w:t>
            </w:r>
          </w:p>
        </w:tc>
      </w:tr>
      <w:tr w14:paraId="3C26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432"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top"/>
          </w:tcPr>
          <w:p w14:paraId="785DC344">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跟踪期限</w:t>
            </w:r>
          </w:p>
        </w:tc>
        <w:tc>
          <w:tcPr>
            <w:tcW w:w="8207" w:type="dxa"/>
            <w:gridSpan w:val="19"/>
            <w:tcBorders>
              <w:top w:val="single" w:color="auto" w:sz="4" w:space="0"/>
              <w:left w:val="single" w:color="auto" w:sz="4" w:space="0"/>
              <w:bottom w:val="single" w:color="auto" w:sz="4" w:space="0"/>
              <w:right w:val="single" w:color="auto" w:sz="4" w:space="0"/>
            </w:tcBorders>
            <w:noWrap w:val="0"/>
            <w:vAlign w:val="top"/>
          </w:tcPr>
          <w:p w14:paraId="50CE70D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楷体_GB2312" w:hAnsi="宋体" w:eastAsia="楷体_GB2312"/>
                <w:sz w:val="28"/>
                <w:szCs w:val="28"/>
              </w:rPr>
              <w:t xml:space="preserve"> 20</w:t>
            </w:r>
            <w:r>
              <w:rPr>
                <w:rFonts w:hint="eastAsia" w:ascii="楷体_GB2312" w:hAnsi="宋体" w:eastAsia="楷体_GB2312"/>
                <w:sz w:val="28"/>
                <w:szCs w:val="28"/>
                <w:lang w:val="en-US" w:eastAsia="zh-CN"/>
              </w:rPr>
              <w:t>23</w:t>
            </w:r>
            <w:r>
              <w:rPr>
                <w:rFonts w:hint="eastAsia" w:ascii="楷体_GB2312" w:hAnsi="宋体" w:eastAsia="楷体_GB2312"/>
                <w:sz w:val="28"/>
                <w:szCs w:val="28"/>
              </w:rPr>
              <w:t>年度1-</w:t>
            </w:r>
            <w:r>
              <w:rPr>
                <w:rFonts w:hint="eastAsia" w:ascii="楷体_GB2312" w:hAnsi="宋体" w:eastAsia="楷体_GB2312"/>
                <w:sz w:val="28"/>
                <w:szCs w:val="28"/>
                <w:lang w:val="en-US" w:eastAsia="zh-CN"/>
              </w:rPr>
              <w:t>12</w:t>
            </w:r>
            <w:r>
              <w:rPr>
                <w:rFonts w:hint="eastAsia" w:ascii="楷体_GB2312" w:hAnsi="宋体" w:eastAsia="楷体_GB2312"/>
                <w:sz w:val="28"/>
                <w:szCs w:val="28"/>
              </w:rPr>
              <w:t>月</w:t>
            </w:r>
          </w:p>
        </w:tc>
      </w:tr>
      <w:tr w14:paraId="0E79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90"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top"/>
          </w:tcPr>
          <w:p w14:paraId="28F65D2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b/>
                <w:bCs/>
                <w:kern w:val="2"/>
                <w:sz w:val="24"/>
                <w:szCs w:val="21"/>
              </w:rPr>
              <w:t>单位年度收入</w:t>
            </w:r>
          </w:p>
        </w:tc>
      </w:tr>
      <w:tr w14:paraId="0C35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5277" w:type="dxa"/>
            <w:gridSpan w:val="12"/>
            <w:tcBorders>
              <w:top w:val="single" w:color="auto" w:sz="4" w:space="0"/>
              <w:left w:val="single" w:color="auto" w:sz="4" w:space="0"/>
              <w:bottom w:val="single" w:color="auto" w:sz="4" w:space="0"/>
              <w:right w:val="single" w:color="auto" w:sz="4" w:space="0"/>
            </w:tcBorders>
            <w:noWrap w:val="0"/>
            <w:vAlign w:val="center"/>
          </w:tcPr>
          <w:p w14:paraId="24143EC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年初部门预算</w:t>
            </w:r>
          </w:p>
        </w:tc>
        <w:tc>
          <w:tcPr>
            <w:tcW w:w="1275" w:type="dxa"/>
            <w:gridSpan w:val="3"/>
            <w:vMerge w:val="restart"/>
            <w:tcBorders>
              <w:top w:val="single" w:color="auto" w:sz="4" w:space="0"/>
              <w:left w:val="single" w:color="auto" w:sz="4" w:space="0"/>
              <w:right w:val="single" w:color="auto" w:sz="4" w:space="0"/>
            </w:tcBorders>
            <w:noWrap w:val="0"/>
            <w:vAlign w:val="center"/>
          </w:tcPr>
          <w:p w14:paraId="2B40A63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年初结余</w:t>
            </w:r>
          </w:p>
        </w:tc>
        <w:tc>
          <w:tcPr>
            <w:tcW w:w="1935" w:type="dxa"/>
            <w:gridSpan w:val="6"/>
            <w:vMerge w:val="restart"/>
            <w:tcBorders>
              <w:top w:val="single" w:color="auto" w:sz="4" w:space="0"/>
              <w:left w:val="single" w:color="auto" w:sz="4" w:space="0"/>
              <w:right w:val="single" w:color="auto" w:sz="4" w:space="0"/>
            </w:tcBorders>
            <w:noWrap w:val="0"/>
            <w:vAlign w:val="center"/>
          </w:tcPr>
          <w:p w14:paraId="4A436EEF">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年中预算调整数</w:t>
            </w:r>
          </w:p>
        </w:tc>
        <w:tc>
          <w:tcPr>
            <w:tcW w:w="1489" w:type="dxa"/>
            <w:gridSpan w:val="2"/>
            <w:vMerge w:val="restart"/>
            <w:tcBorders>
              <w:top w:val="single" w:color="auto" w:sz="4" w:space="0"/>
              <w:left w:val="single" w:color="auto" w:sz="4" w:space="0"/>
              <w:right w:val="single" w:color="auto" w:sz="4" w:space="0"/>
            </w:tcBorders>
            <w:noWrap w:val="0"/>
            <w:vAlign w:val="center"/>
          </w:tcPr>
          <w:p w14:paraId="5BC73B41">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预算调整率</w:t>
            </w:r>
          </w:p>
        </w:tc>
      </w:tr>
      <w:tr w14:paraId="5542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1353" w:type="dxa"/>
            <w:gridSpan w:val="2"/>
            <w:tcBorders>
              <w:top w:val="single" w:color="auto" w:sz="4" w:space="0"/>
              <w:left w:val="single" w:color="auto" w:sz="4" w:space="0"/>
              <w:bottom w:val="single" w:color="auto" w:sz="4" w:space="0"/>
              <w:right w:val="single" w:color="auto" w:sz="4" w:space="0"/>
            </w:tcBorders>
            <w:noWrap w:val="0"/>
            <w:vAlign w:val="center"/>
          </w:tcPr>
          <w:p w14:paraId="00DCF79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收入合计</w:t>
            </w:r>
          </w:p>
        </w:tc>
        <w:tc>
          <w:tcPr>
            <w:tcW w:w="1434" w:type="dxa"/>
            <w:gridSpan w:val="6"/>
            <w:tcBorders>
              <w:top w:val="single" w:color="auto" w:sz="4" w:space="0"/>
              <w:left w:val="single" w:color="auto" w:sz="4" w:space="0"/>
              <w:bottom w:val="single" w:color="auto" w:sz="4" w:space="0"/>
              <w:right w:val="single" w:color="auto" w:sz="4" w:space="0"/>
            </w:tcBorders>
            <w:noWrap w:val="0"/>
            <w:vAlign w:val="center"/>
          </w:tcPr>
          <w:p w14:paraId="4728479F">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预算内拨款</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14:paraId="5FE3096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非税收入</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C3C9ADF">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其他拨款</w:t>
            </w:r>
          </w:p>
        </w:tc>
        <w:tc>
          <w:tcPr>
            <w:tcW w:w="1275" w:type="dxa"/>
            <w:gridSpan w:val="3"/>
            <w:vMerge w:val="continue"/>
            <w:tcBorders>
              <w:left w:val="single" w:color="auto" w:sz="4" w:space="0"/>
              <w:right w:val="single" w:color="auto" w:sz="4" w:space="0"/>
            </w:tcBorders>
            <w:noWrap w:val="0"/>
            <w:vAlign w:val="top"/>
          </w:tcPr>
          <w:p w14:paraId="0CA566A5">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935" w:type="dxa"/>
            <w:gridSpan w:val="6"/>
            <w:vMerge w:val="continue"/>
            <w:tcBorders>
              <w:left w:val="single" w:color="auto" w:sz="4" w:space="0"/>
              <w:right w:val="single" w:color="auto" w:sz="4" w:space="0"/>
            </w:tcBorders>
            <w:noWrap w:val="0"/>
            <w:vAlign w:val="top"/>
          </w:tcPr>
          <w:p w14:paraId="2326F247">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489" w:type="dxa"/>
            <w:gridSpan w:val="2"/>
            <w:vMerge w:val="continue"/>
            <w:tcBorders>
              <w:left w:val="single" w:color="auto" w:sz="4" w:space="0"/>
              <w:right w:val="single" w:color="auto" w:sz="4" w:space="0"/>
            </w:tcBorders>
            <w:noWrap w:val="0"/>
            <w:vAlign w:val="center"/>
          </w:tcPr>
          <w:p w14:paraId="098F825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14:paraId="60B6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1353" w:type="dxa"/>
            <w:gridSpan w:val="2"/>
            <w:tcBorders>
              <w:top w:val="single" w:color="auto" w:sz="4" w:space="0"/>
              <w:left w:val="single" w:color="auto" w:sz="4" w:space="0"/>
              <w:bottom w:val="single" w:color="auto" w:sz="4" w:space="0"/>
              <w:right w:val="single" w:color="auto" w:sz="4" w:space="0"/>
            </w:tcBorders>
            <w:noWrap w:val="0"/>
            <w:vAlign w:val="center"/>
          </w:tcPr>
          <w:p w14:paraId="74EE8DF3">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143.77</w:t>
            </w:r>
          </w:p>
        </w:tc>
        <w:tc>
          <w:tcPr>
            <w:tcW w:w="1434" w:type="dxa"/>
            <w:gridSpan w:val="6"/>
            <w:tcBorders>
              <w:top w:val="single" w:color="auto" w:sz="4" w:space="0"/>
              <w:left w:val="single" w:color="auto" w:sz="4" w:space="0"/>
              <w:bottom w:val="single" w:color="auto" w:sz="4" w:space="0"/>
              <w:right w:val="single" w:color="auto" w:sz="4" w:space="0"/>
            </w:tcBorders>
            <w:noWrap w:val="0"/>
            <w:vAlign w:val="center"/>
          </w:tcPr>
          <w:p w14:paraId="78D7657A">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143.77</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14:paraId="52C0A354">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9844D36">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1275" w:type="dxa"/>
            <w:gridSpan w:val="3"/>
            <w:tcBorders>
              <w:left w:val="single" w:color="auto" w:sz="4" w:space="0"/>
              <w:right w:val="single" w:color="auto" w:sz="4" w:space="0"/>
            </w:tcBorders>
            <w:noWrap w:val="0"/>
            <w:vAlign w:val="top"/>
          </w:tcPr>
          <w:p w14:paraId="0D9D5C2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1935" w:type="dxa"/>
            <w:gridSpan w:val="6"/>
            <w:tcBorders>
              <w:left w:val="single" w:color="auto" w:sz="4" w:space="0"/>
              <w:right w:val="single" w:color="auto" w:sz="4" w:space="0"/>
            </w:tcBorders>
            <w:noWrap w:val="0"/>
            <w:vAlign w:val="top"/>
          </w:tcPr>
          <w:p w14:paraId="098CADD3">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18.7</w:t>
            </w:r>
          </w:p>
        </w:tc>
        <w:tc>
          <w:tcPr>
            <w:tcW w:w="1489" w:type="dxa"/>
            <w:gridSpan w:val="2"/>
            <w:tcBorders>
              <w:left w:val="single" w:color="auto" w:sz="4" w:space="0"/>
              <w:right w:val="single" w:color="auto" w:sz="4" w:space="0"/>
            </w:tcBorders>
            <w:noWrap w:val="0"/>
            <w:vAlign w:val="top"/>
          </w:tcPr>
          <w:p w14:paraId="524E3F1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13%</w:t>
            </w:r>
          </w:p>
        </w:tc>
      </w:tr>
      <w:tr w14:paraId="7312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center"/>
          </w:tcPr>
          <w:p w14:paraId="7C4E17CA">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b/>
                <w:bCs/>
                <w:kern w:val="2"/>
                <w:sz w:val="24"/>
                <w:szCs w:val="21"/>
              </w:rPr>
              <w:t>年中预算调整</w:t>
            </w:r>
          </w:p>
        </w:tc>
      </w:tr>
      <w:tr w14:paraId="6C63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151"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center"/>
          </w:tcPr>
          <w:p w14:paraId="7BB8393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（列明年中预算调整内容及金额）</w:t>
            </w:r>
          </w:p>
        </w:tc>
      </w:tr>
      <w:tr w14:paraId="4203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top"/>
          </w:tcPr>
          <w:p w14:paraId="68F3AA5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b/>
                <w:bCs/>
                <w:kern w:val="2"/>
                <w:sz w:val="24"/>
                <w:szCs w:val="21"/>
              </w:rPr>
              <w:t>单位年度支出</w:t>
            </w:r>
          </w:p>
        </w:tc>
      </w:tr>
      <w:tr w14:paraId="17DA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2201" w:type="dxa"/>
            <w:gridSpan w:val="6"/>
            <w:tcBorders>
              <w:top w:val="single" w:color="auto" w:sz="4" w:space="0"/>
              <w:left w:val="single" w:color="auto" w:sz="4" w:space="0"/>
              <w:bottom w:val="single" w:color="auto" w:sz="4" w:space="0"/>
              <w:right w:val="single" w:color="auto" w:sz="4" w:space="0"/>
            </w:tcBorders>
            <w:noWrap w:val="0"/>
            <w:vAlign w:val="top"/>
          </w:tcPr>
          <w:p w14:paraId="25349595">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2519" w:type="dxa"/>
            <w:gridSpan w:val="5"/>
            <w:tcBorders>
              <w:top w:val="single" w:color="auto" w:sz="4" w:space="0"/>
              <w:left w:val="single" w:color="auto" w:sz="4" w:space="0"/>
              <w:bottom w:val="single" w:color="auto" w:sz="4" w:space="0"/>
              <w:right w:val="single" w:color="auto" w:sz="4" w:space="0"/>
            </w:tcBorders>
            <w:noWrap w:val="0"/>
            <w:vAlign w:val="top"/>
          </w:tcPr>
          <w:p w14:paraId="04CF908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支出合计</w:t>
            </w:r>
          </w:p>
        </w:tc>
        <w:tc>
          <w:tcPr>
            <w:tcW w:w="2205" w:type="dxa"/>
            <w:gridSpan w:val="6"/>
            <w:tcBorders>
              <w:top w:val="single" w:color="auto" w:sz="4" w:space="0"/>
              <w:left w:val="single" w:color="auto" w:sz="4" w:space="0"/>
              <w:bottom w:val="single" w:color="auto" w:sz="4" w:space="0"/>
              <w:right w:val="single" w:color="auto" w:sz="4" w:space="0"/>
            </w:tcBorders>
            <w:noWrap w:val="0"/>
            <w:vAlign w:val="top"/>
          </w:tcPr>
          <w:p w14:paraId="78BADEF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基本支出</w:t>
            </w:r>
          </w:p>
        </w:tc>
        <w:tc>
          <w:tcPr>
            <w:tcW w:w="3051" w:type="dxa"/>
            <w:gridSpan w:val="6"/>
            <w:tcBorders>
              <w:top w:val="single" w:color="auto" w:sz="4" w:space="0"/>
              <w:left w:val="single" w:color="auto" w:sz="4" w:space="0"/>
              <w:bottom w:val="single" w:color="auto" w:sz="4" w:space="0"/>
              <w:right w:val="single" w:color="auto" w:sz="4" w:space="0"/>
            </w:tcBorders>
            <w:noWrap w:val="0"/>
            <w:vAlign w:val="top"/>
          </w:tcPr>
          <w:p w14:paraId="64B2932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项目支出</w:t>
            </w:r>
          </w:p>
        </w:tc>
      </w:tr>
      <w:tr w14:paraId="4A47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2201" w:type="dxa"/>
            <w:gridSpan w:val="6"/>
            <w:tcBorders>
              <w:top w:val="single" w:color="auto" w:sz="4" w:space="0"/>
              <w:left w:val="single" w:color="auto" w:sz="4" w:space="0"/>
              <w:bottom w:val="single" w:color="auto" w:sz="4" w:space="0"/>
              <w:right w:val="single" w:color="auto" w:sz="4" w:space="0"/>
            </w:tcBorders>
            <w:noWrap w:val="0"/>
            <w:vAlign w:val="top"/>
          </w:tcPr>
          <w:p w14:paraId="7061A4A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年初部门预算</w:t>
            </w:r>
          </w:p>
        </w:tc>
        <w:tc>
          <w:tcPr>
            <w:tcW w:w="2519" w:type="dxa"/>
            <w:gridSpan w:val="5"/>
            <w:tcBorders>
              <w:top w:val="single" w:color="auto" w:sz="4" w:space="0"/>
              <w:left w:val="single" w:color="auto" w:sz="4" w:space="0"/>
              <w:bottom w:val="single" w:color="auto" w:sz="4" w:space="0"/>
              <w:right w:val="single" w:color="auto" w:sz="4" w:space="0"/>
            </w:tcBorders>
            <w:noWrap w:val="0"/>
            <w:vAlign w:val="top"/>
          </w:tcPr>
          <w:p w14:paraId="27A85EB1">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143.77</w:t>
            </w:r>
          </w:p>
        </w:tc>
        <w:tc>
          <w:tcPr>
            <w:tcW w:w="2205" w:type="dxa"/>
            <w:gridSpan w:val="6"/>
            <w:tcBorders>
              <w:top w:val="single" w:color="auto" w:sz="4" w:space="0"/>
              <w:left w:val="single" w:color="auto" w:sz="4" w:space="0"/>
              <w:bottom w:val="single" w:color="auto" w:sz="4" w:space="0"/>
              <w:right w:val="single" w:color="auto" w:sz="4" w:space="0"/>
            </w:tcBorders>
            <w:noWrap w:val="0"/>
            <w:vAlign w:val="top"/>
          </w:tcPr>
          <w:p w14:paraId="34D5C2E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123.12</w:t>
            </w:r>
          </w:p>
        </w:tc>
        <w:tc>
          <w:tcPr>
            <w:tcW w:w="3051" w:type="dxa"/>
            <w:gridSpan w:val="6"/>
            <w:tcBorders>
              <w:top w:val="single" w:color="auto" w:sz="4" w:space="0"/>
              <w:left w:val="single" w:color="auto" w:sz="4" w:space="0"/>
              <w:bottom w:val="single" w:color="auto" w:sz="4" w:space="0"/>
              <w:right w:val="single" w:color="auto" w:sz="4" w:space="0"/>
            </w:tcBorders>
            <w:noWrap w:val="0"/>
            <w:vAlign w:val="top"/>
          </w:tcPr>
          <w:p w14:paraId="7F4F7186">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20.65</w:t>
            </w:r>
          </w:p>
        </w:tc>
      </w:tr>
      <w:tr w14:paraId="720F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2201" w:type="dxa"/>
            <w:gridSpan w:val="6"/>
            <w:tcBorders>
              <w:top w:val="single" w:color="auto" w:sz="4" w:space="0"/>
              <w:left w:val="single" w:color="auto" w:sz="4" w:space="0"/>
              <w:bottom w:val="single" w:color="auto" w:sz="4" w:space="0"/>
              <w:right w:val="single" w:color="auto" w:sz="4" w:space="0"/>
            </w:tcBorders>
            <w:noWrap w:val="0"/>
            <w:vAlign w:val="top"/>
          </w:tcPr>
          <w:p w14:paraId="32DC644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实际发生支出</w:t>
            </w:r>
          </w:p>
        </w:tc>
        <w:tc>
          <w:tcPr>
            <w:tcW w:w="2519" w:type="dxa"/>
            <w:gridSpan w:val="5"/>
            <w:tcBorders>
              <w:top w:val="single" w:color="auto" w:sz="4" w:space="0"/>
              <w:left w:val="single" w:color="auto" w:sz="4" w:space="0"/>
              <w:bottom w:val="single" w:color="auto" w:sz="4" w:space="0"/>
              <w:right w:val="single" w:color="auto" w:sz="4" w:space="0"/>
            </w:tcBorders>
            <w:noWrap w:val="0"/>
            <w:vAlign w:val="top"/>
          </w:tcPr>
          <w:p w14:paraId="0E2EDE3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162.47</w:t>
            </w:r>
          </w:p>
        </w:tc>
        <w:tc>
          <w:tcPr>
            <w:tcW w:w="2205" w:type="dxa"/>
            <w:gridSpan w:val="6"/>
            <w:tcBorders>
              <w:top w:val="single" w:color="auto" w:sz="4" w:space="0"/>
              <w:left w:val="single" w:color="auto" w:sz="4" w:space="0"/>
              <w:bottom w:val="single" w:color="auto" w:sz="4" w:space="0"/>
              <w:right w:val="single" w:color="auto" w:sz="4" w:space="0"/>
            </w:tcBorders>
            <w:noWrap w:val="0"/>
            <w:vAlign w:val="top"/>
          </w:tcPr>
          <w:p w14:paraId="53E4B04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141.74</w:t>
            </w:r>
          </w:p>
        </w:tc>
        <w:tc>
          <w:tcPr>
            <w:tcW w:w="3051" w:type="dxa"/>
            <w:gridSpan w:val="6"/>
            <w:tcBorders>
              <w:top w:val="single" w:color="auto" w:sz="4" w:space="0"/>
              <w:left w:val="single" w:color="auto" w:sz="4" w:space="0"/>
              <w:bottom w:val="single" w:color="auto" w:sz="4" w:space="0"/>
              <w:right w:val="single" w:color="auto" w:sz="4" w:space="0"/>
            </w:tcBorders>
            <w:noWrap w:val="0"/>
            <w:vAlign w:val="top"/>
          </w:tcPr>
          <w:p w14:paraId="06AA60A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20.73</w:t>
            </w:r>
          </w:p>
        </w:tc>
      </w:tr>
      <w:tr w14:paraId="45A5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2201" w:type="dxa"/>
            <w:gridSpan w:val="6"/>
            <w:tcBorders>
              <w:top w:val="single" w:color="auto" w:sz="4" w:space="0"/>
              <w:left w:val="single" w:color="auto" w:sz="4" w:space="0"/>
              <w:bottom w:val="single" w:color="auto" w:sz="4" w:space="0"/>
              <w:right w:val="single" w:color="auto" w:sz="4" w:space="0"/>
            </w:tcBorders>
            <w:noWrap w:val="0"/>
            <w:vAlign w:val="top"/>
          </w:tcPr>
          <w:p w14:paraId="4E32EAA3">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结余</w:t>
            </w:r>
          </w:p>
        </w:tc>
        <w:tc>
          <w:tcPr>
            <w:tcW w:w="2519" w:type="dxa"/>
            <w:gridSpan w:val="5"/>
            <w:tcBorders>
              <w:top w:val="single" w:color="auto" w:sz="4" w:space="0"/>
              <w:left w:val="single" w:color="auto" w:sz="4" w:space="0"/>
              <w:bottom w:val="single" w:color="auto" w:sz="4" w:space="0"/>
              <w:right w:val="single" w:color="auto" w:sz="4" w:space="0"/>
            </w:tcBorders>
            <w:noWrap w:val="0"/>
            <w:vAlign w:val="top"/>
          </w:tcPr>
          <w:p w14:paraId="61DA1681">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p>
        </w:tc>
        <w:tc>
          <w:tcPr>
            <w:tcW w:w="2205" w:type="dxa"/>
            <w:gridSpan w:val="6"/>
            <w:tcBorders>
              <w:top w:val="single" w:color="auto" w:sz="4" w:space="0"/>
              <w:left w:val="single" w:color="auto" w:sz="4" w:space="0"/>
              <w:bottom w:val="single" w:color="auto" w:sz="4" w:space="0"/>
              <w:right w:val="single" w:color="auto" w:sz="4" w:space="0"/>
            </w:tcBorders>
            <w:noWrap w:val="0"/>
            <w:vAlign w:val="top"/>
          </w:tcPr>
          <w:p w14:paraId="6F106A74">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p>
        </w:tc>
        <w:tc>
          <w:tcPr>
            <w:tcW w:w="3051" w:type="dxa"/>
            <w:gridSpan w:val="6"/>
            <w:tcBorders>
              <w:top w:val="single" w:color="auto" w:sz="4" w:space="0"/>
              <w:left w:val="single" w:color="auto" w:sz="4" w:space="0"/>
              <w:bottom w:val="single" w:color="auto" w:sz="4" w:space="0"/>
              <w:right w:val="single" w:color="auto" w:sz="4" w:space="0"/>
            </w:tcBorders>
            <w:noWrap w:val="0"/>
            <w:vAlign w:val="top"/>
          </w:tcPr>
          <w:p w14:paraId="3271213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p>
        </w:tc>
      </w:tr>
      <w:tr w14:paraId="20B7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top"/>
          </w:tcPr>
          <w:p w14:paraId="4B5FD12E">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b/>
                <w:bCs/>
                <w:kern w:val="2"/>
                <w:sz w:val="24"/>
                <w:szCs w:val="21"/>
              </w:rPr>
              <w:t>其中</w:t>
            </w:r>
            <w:r>
              <w:rPr>
                <w:rFonts w:hint="eastAsia" w:ascii="仿宋_GB2312" w:hAnsi="仿宋_GB2312" w:eastAsia="仿宋_GB2312"/>
                <w:b/>
                <w:bCs/>
                <w:kern w:val="2"/>
                <w:sz w:val="24"/>
                <w:szCs w:val="21"/>
              </w:rPr>
              <w:t>：</w:t>
            </w:r>
            <w:r>
              <w:rPr>
                <w:rFonts w:ascii="仿宋_GB2312" w:hAnsi="仿宋_GB2312" w:eastAsia="仿宋_GB2312"/>
                <w:b/>
                <w:bCs/>
                <w:kern w:val="2"/>
                <w:sz w:val="24"/>
                <w:szCs w:val="21"/>
              </w:rPr>
              <w:t>三公经费</w:t>
            </w:r>
          </w:p>
        </w:tc>
      </w:tr>
      <w:tr w14:paraId="4353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2096" w:type="dxa"/>
            <w:gridSpan w:val="5"/>
            <w:tcBorders>
              <w:top w:val="single" w:color="auto" w:sz="4" w:space="0"/>
              <w:left w:val="single" w:color="auto" w:sz="4" w:space="0"/>
              <w:bottom w:val="single" w:color="auto" w:sz="4" w:space="0"/>
              <w:right w:val="single" w:color="auto" w:sz="4" w:space="0"/>
            </w:tcBorders>
            <w:noWrap w:val="0"/>
            <w:vAlign w:val="top"/>
          </w:tcPr>
          <w:p w14:paraId="4E54CAB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470" w:type="dxa"/>
            <w:gridSpan w:val="4"/>
            <w:tcBorders>
              <w:top w:val="single" w:color="auto" w:sz="4" w:space="0"/>
              <w:left w:val="single" w:color="auto" w:sz="4" w:space="0"/>
              <w:bottom w:val="single" w:color="auto" w:sz="4" w:space="0"/>
              <w:right w:val="single" w:color="auto" w:sz="4" w:space="0"/>
            </w:tcBorders>
            <w:noWrap w:val="0"/>
            <w:vAlign w:val="top"/>
          </w:tcPr>
          <w:p w14:paraId="172DFDF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公务接待费</w:t>
            </w:r>
          </w:p>
        </w:tc>
        <w:tc>
          <w:tcPr>
            <w:tcW w:w="2627" w:type="dxa"/>
            <w:gridSpan w:val="5"/>
            <w:tcBorders>
              <w:top w:val="single" w:color="auto" w:sz="4" w:space="0"/>
              <w:left w:val="single" w:color="auto" w:sz="4" w:space="0"/>
              <w:bottom w:val="single" w:color="auto" w:sz="4" w:space="0"/>
              <w:right w:val="single" w:color="auto" w:sz="4" w:space="0"/>
            </w:tcBorders>
            <w:noWrap w:val="0"/>
            <w:vAlign w:val="top"/>
          </w:tcPr>
          <w:p w14:paraId="392FD49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公务用车运行和购置费</w:t>
            </w:r>
          </w:p>
        </w:tc>
        <w:tc>
          <w:tcPr>
            <w:tcW w:w="2100" w:type="dxa"/>
            <w:gridSpan w:val="6"/>
            <w:tcBorders>
              <w:top w:val="single" w:color="auto" w:sz="4" w:space="0"/>
              <w:left w:val="single" w:color="auto" w:sz="4" w:space="0"/>
              <w:bottom w:val="single" w:color="auto" w:sz="4" w:space="0"/>
              <w:right w:val="single" w:color="auto" w:sz="4" w:space="0"/>
            </w:tcBorders>
            <w:noWrap w:val="0"/>
            <w:vAlign w:val="top"/>
          </w:tcPr>
          <w:p w14:paraId="08AE1006">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因公出国</w:t>
            </w:r>
            <w:r>
              <w:rPr>
                <w:rFonts w:hint="eastAsia" w:ascii="仿宋_GB2312" w:hAnsi="仿宋_GB2312" w:eastAsia="仿宋_GB2312"/>
                <w:kern w:val="2"/>
                <w:sz w:val="24"/>
                <w:szCs w:val="21"/>
              </w:rPr>
              <w:t>（境）费</w:t>
            </w:r>
          </w:p>
        </w:tc>
        <w:tc>
          <w:tcPr>
            <w:tcW w:w="1683" w:type="dxa"/>
            <w:gridSpan w:val="3"/>
            <w:tcBorders>
              <w:left w:val="single" w:color="auto" w:sz="4" w:space="0"/>
              <w:bottom w:val="single" w:color="auto" w:sz="4" w:space="0"/>
              <w:right w:val="single" w:color="auto" w:sz="4" w:space="0"/>
            </w:tcBorders>
            <w:noWrap w:val="0"/>
            <w:vAlign w:val="top"/>
          </w:tcPr>
          <w:p w14:paraId="4B27C156">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三公经费合计</w:t>
            </w:r>
          </w:p>
        </w:tc>
      </w:tr>
      <w:tr w14:paraId="4CF4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2096" w:type="dxa"/>
            <w:gridSpan w:val="5"/>
            <w:tcBorders>
              <w:top w:val="single" w:color="auto" w:sz="4" w:space="0"/>
              <w:left w:val="single" w:color="auto" w:sz="4" w:space="0"/>
              <w:bottom w:val="single" w:color="auto" w:sz="4" w:space="0"/>
              <w:right w:val="single" w:color="auto" w:sz="4" w:space="0"/>
            </w:tcBorders>
            <w:noWrap w:val="0"/>
            <w:vAlign w:val="top"/>
          </w:tcPr>
          <w:p w14:paraId="2C5D81F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年初预算安排数</w:t>
            </w:r>
          </w:p>
        </w:tc>
        <w:tc>
          <w:tcPr>
            <w:tcW w:w="1470" w:type="dxa"/>
            <w:gridSpan w:val="4"/>
            <w:tcBorders>
              <w:top w:val="single" w:color="auto" w:sz="4" w:space="0"/>
              <w:left w:val="single" w:color="auto" w:sz="4" w:space="0"/>
              <w:bottom w:val="single" w:color="auto" w:sz="4" w:space="0"/>
              <w:right w:val="single" w:color="auto" w:sz="4" w:space="0"/>
            </w:tcBorders>
            <w:noWrap w:val="0"/>
            <w:vAlign w:val="top"/>
          </w:tcPr>
          <w:p w14:paraId="68B2924E">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w:t>
            </w:r>
          </w:p>
        </w:tc>
        <w:tc>
          <w:tcPr>
            <w:tcW w:w="2627" w:type="dxa"/>
            <w:gridSpan w:val="5"/>
            <w:tcBorders>
              <w:top w:val="single" w:color="auto" w:sz="4" w:space="0"/>
              <w:left w:val="single" w:color="auto" w:sz="4" w:space="0"/>
              <w:bottom w:val="single" w:color="auto" w:sz="4" w:space="0"/>
              <w:right w:val="single" w:color="auto" w:sz="4" w:space="0"/>
            </w:tcBorders>
            <w:noWrap w:val="0"/>
            <w:vAlign w:val="top"/>
          </w:tcPr>
          <w:p w14:paraId="2A3C53F7">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2100" w:type="dxa"/>
            <w:gridSpan w:val="6"/>
            <w:tcBorders>
              <w:top w:val="single" w:color="auto" w:sz="4" w:space="0"/>
              <w:left w:val="single" w:color="auto" w:sz="4" w:space="0"/>
              <w:bottom w:val="single" w:color="auto" w:sz="4" w:space="0"/>
              <w:right w:val="single" w:color="auto" w:sz="4" w:space="0"/>
            </w:tcBorders>
            <w:noWrap w:val="0"/>
            <w:vAlign w:val="top"/>
          </w:tcPr>
          <w:p w14:paraId="22C8ED9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1683" w:type="dxa"/>
            <w:gridSpan w:val="3"/>
            <w:tcBorders>
              <w:left w:val="single" w:color="auto" w:sz="4" w:space="0"/>
              <w:bottom w:val="single" w:color="auto" w:sz="4" w:space="0"/>
              <w:right w:val="single" w:color="auto" w:sz="4" w:space="0"/>
            </w:tcBorders>
            <w:noWrap w:val="0"/>
            <w:vAlign w:val="top"/>
          </w:tcPr>
          <w:p w14:paraId="47A2577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w:t>
            </w:r>
          </w:p>
        </w:tc>
      </w:tr>
      <w:tr w14:paraId="25B0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2096" w:type="dxa"/>
            <w:gridSpan w:val="5"/>
            <w:tcBorders>
              <w:top w:val="single" w:color="auto" w:sz="4" w:space="0"/>
              <w:left w:val="single" w:color="auto" w:sz="4" w:space="0"/>
              <w:bottom w:val="single" w:color="auto" w:sz="4" w:space="0"/>
              <w:right w:val="single" w:color="auto" w:sz="4" w:space="0"/>
            </w:tcBorders>
            <w:noWrap w:val="0"/>
            <w:vAlign w:val="top"/>
          </w:tcPr>
          <w:p w14:paraId="580E4FDA">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实际发生支出</w:t>
            </w:r>
          </w:p>
        </w:tc>
        <w:tc>
          <w:tcPr>
            <w:tcW w:w="1470" w:type="dxa"/>
            <w:gridSpan w:val="4"/>
            <w:tcBorders>
              <w:top w:val="single" w:color="auto" w:sz="4" w:space="0"/>
              <w:left w:val="single" w:color="auto" w:sz="4" w:space="0"/>
              <w:bottom w:val="single" w:color="auto" w:sz="4" w:space="0"/>
              <w:right w:val="single" w:color="auto" w:sz="4" w:space="0"/>
            </w:tcBorders>
            <w:noWrap w:val="0"/>
            <w:vAlign w:val="top"/>
          </w:tcPr>
          <w:p w14:paraId="114C893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0.82</w:t>
            </w:r>
          </w:p>
        </w:tc>
        <w:tc>
          <w:tcPr>
            <w:tcW w:w="2627" w:type="dxa"/>
            <w:gridSpan w:val="5"/>
            <w:tcBorders>
              <w:top w:val="single" w:color="auto" w:sz="4" w:space="0"/>
              <w:left w:val="single" w:color="auto" w:sz="4" w:space="0"/>
              <w:bottom w:val="single" w:color="auto" w:sz="4" w:space="0"/>
              <w:right w:val="single" w:color="auto" w:sz="4" w:space="0"/>
            </w:tcBorders>
            <w:noWrap w:val="0"/>
            <w:vAlign w:val="top"/>
          </w:tcPr>
          <w:p w14:paraId="11A560E3">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2100" w:type="dxa"/>
            <w:gridSpan w:val="6"/>
            <w:tcBorders>
              <w:top w:val="single" w:color="auto" w:sz="4" w:space="0"/>
              <w:left w:val="single" w:color="auto" w:sz="4" w:space="0"/>
              <w:bottom w:val="single" w:color="auto" w:sz="4" w:space="0"/>
              <w:right w:val="single" w:color="auto" w:sz="4" w:space="0"/>
            </w:tcBorders>
            <w:noWrap w:val="0"/>
            <w:vAlign w:val="top"/>
          </w:tcPr>
          <w:p w14:paraId="69AD876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1683" w:type="dxa"/>
            <w:gridSpan w:val="3"/>
            <w:tcBorders>
              <w:left w:val="single" w:color="auto" w:sz="4" w:space="0"/>
              <w:bottom w:val="single" w:color="auto" w:sz="4" w:space="0"/>
              <w:right w:val="single" w:color="auto" w:sz="4" w:space="0"/>
            </w:tcBorders>
            <w:noWrap w:val="0"/>
            <w:vAlign w:val="top"/>
          </w:tcPr>
          <w:p w14:paraId="3CADD64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1.99</w:t>
            </w:r>
          </w:p>
        </w:tc>
      </w:tr>
      <w:tr w14:paraId="161B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4" w:hRule="atLeast"/>
        </w:trPr>
        <w:tc>
          <w:tcPr>
            <w:tcW w:w="2096" w:type="dxa"/>
            <w:gridSpan w:val="5"/>
            <w:tcBorders>
              <w:top w:val="single" w:color="auto" w:sz="4" w:space="0"/>
              <w:left w:val="single" w:color="auto" w:sz="4" w:space="0"/>
              <w:bottom w:val="single" w:color="auto" w:sz="4" w:space="0"/>
              <w:right w:val="single" w:color="auto" w:sz="4" w:space="0"/>
            </w:tcBorders>
            <w:noWrap w:val="0"/>
            <w:vAlign w:val="top"/>
          </w:tcPr>
          <w:p w14:paraId="7A97DB47">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结余</w:t>
            </w:r>
          </w:p>
        </w:tc>
        <w:tc>
          <w:tcPr>
            <w:tcW w:w="1470" w:type="dxa"/>
            <w:gridSpan w:val="4"/>
            <w:tcBorders>
              <w:top w:val="single" w:color="auto" w:sz="4" w:space="0"/>
              <w:left w:val="single" w:color="auto" w:sz="4" w:space="0"/>
              <w:bottom w:val="single" w:color="auto" w:sz="4" w:space="0"/>
              <w:right w:val="single" w:color="auto" w:sz="4" w:space="0"/>
            </w:tcBorders>
            <w:noWrap w:val="0"/>
            <w:vAlign w:val="top"/>
          </w:tcPr>
          <w:p w14:paraId="3185CD67">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0.01</w:t>
            </w:r>
          </w:p>
        </w:tc>
        <w:tc>
          <w:tcPr>
            <w:tcW w:w="2627" w:type="dxa"/>
            <w:gridSpan w:val="5"/>
            <w:tcBorders>
              <w:top w:val="single" w:color="auto" w:sz="4" w:space="0"/>
              <w:left w:val="single" w:color="auto" w:sz="4" w:space="0"/>
              <w:bottom w:val="single" w:color="auto" w:sz="4" w:space="0"/>
              <w:right w:val="single" w:color="auto" w:sz="4" w:space="0"/>
            </w:tcBorders>
            <w:noWrap w:val="0"/>
            <w:vAlign w:val="top"/>
          </w:tcPr>
          <w:p w14:paraId="614EDC45">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2100" w:type="dxa"/>
            <w:gridSpan w:val="6"/>
            <w:tcBorders>
              <w:top w:val="single" w:color="auto" w:sz="4" w:space="0"/>
              <w:left w:val="single" w:color="auto" w:sz="4" w:space="0"/>
              <w:bottom w:val="single" w:color="auto" w:sz="4" w:space="0"/>
              <w:right w:val="single" w:color="auto" w:sz="4" w:space="0"/>
            </w:tcBorders>
            <w:noWrap w:val="0"/>
            <w:vAlign w:val="top"/>
          </w:tcPr>
          <w:p w14:paraId="174C97B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1683" w:type="dxa"/>
            <w:gridSpan w:val="3"/>
            <w:tcBorders>
              <w:left w:val="single" w:color="auto" w:sz="4" w:space="0"/>
              <w:bottom w:val="single" w:color="auto" w:sz="4" w:space="0"/>
              <w:right w:val="single" w:color="auto" w:sz="4" w:space="0"/>
            </w:tcBorders>
            <w:noWrap w:val="0"/>
            <w:vAlign w:val="top"/>
          </w:tcPr>
          <w:p w14:paraId="17B9DE0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0.01</w:t>
            </w:r>
          </w:p>
        </w:tc>
      </w:tr>
      <w:tr w14:paraId="6700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416" w:hRule="atLeast"/>
        </w:trPr>
        <w:tc>
          <w:tcPr>
            <w:tcW w:w="521" w:type="dxa"/>
            <w:vMerge w:val="restart"/>
            <w:tcBorders>
              <w:top w:val="single" w:color="auto" w:sz="4" w:space="0"/>
              <w:left w:val="single" w:color="auto" w:sz="4" w:space="0"/>
              <w:right w:val="single" w:color="auto" w:sz="4" w:space="0"/>
            </w:tcBorders>
            <w:noWrap w:val="0"/>
            <w:vAlign w:val="top"/>
          </w:tcPr>
          <w:p w14:paraId="190792A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p w14:paraId="2E6735E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p w14:paraId="06D35DA4">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绩效目标完成情况</w:t>
            </w:r>
          </w:p>
        </w:tc>
        <w:tc>
          <w:tcPr>
            <w:tcW w:w="9455" w:type="dxa"/>
            <w:gridSpan w:val="22"/>
            <w:tcBorders>
              <w:top w:val="single" w:color="auto" w:sz="4" w:space="0"/>
              <w:left w:val="single" w:color="auto" w:sz="4" w:space="0"/>
              <w:bottom w:val="single" w:color="auto" w:sz="4" w:space="0"/>
              <w:right w:val="single" w:color="auto" w:sz="4" w:space="0"/>
            </w:tcBorders>
            <w:noWrap w:val="0"/>
            <w:vAlign w:val="top"/>
          </w:tcPr>
          <w:p w14:paraId="786AE876">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目标1：</w:t>
            </w:r>
            <w:r>
              <w:rPr>
                <w:rFonts w:hint="eastAsia"/>
                <w:kern w:val="0"/>
                <w:szCs w:val="21"/>
              </w:rPr>
              <w:t>简政放权、优化机构</w:t>
            </w:r>
          </w:p>
          <w:p w14:paraId="48013F76">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目标2：</w:t>
            </w:r>
            <w:r>
              <w:rPr>
                <w:rFonts w:hint="eastAsia"/>
                <w:kern w:val="0"/>
                <w:szCs w:val="21"/>
              </w:rPr>
              <w:t>强化事业单位公益属性，理顺体制、机制、激发事业单位的活力</w:t>
            </w:r>
          </w:p>
          <w:p w14:paraId="0E415DD8">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目标3：</w:t>
            </w:r>
            <w:r>
              <w:rPr>
                <w:rFonts w:hint="eastAsia"/>
                <w:kern w:val="0"/>
                <w:szCs w:val="21"/>
              </w:rPr>
              <w:t>实现行政编制数、实有人员数、财政供养数相一致的目标</w:t>
            </w:r>
          </w:p>
          <w:p w14:paraId="06770532">
            <w:pPr>
              <w:keepNext w:val="0"/>
              <w:keepLines w:val="0"/>
              <w:pageBreakBefore w:val="0"/>
              <w:widowControl w:val="0"/>
              <w:kinsoku/>
              <w:wordWrap/>
              <w:overflowPunct/>
              <w:topLinePunct w:val="0"/>
              <w:bidi w:val="0"/>
              <w:adjustRightInd/>
              <w:snapToGrid/>
              <w:spacing w:line="360" w:lineRule="exact"/>
              <w:ind w:left="0" w:leftChars="0"/>
              <w:textAlignment w:val="auto"/>
              <w:rPr>
                <w:rFonts w:hint="default" w:ascii="仿宋_GB2312" w:hAnsi="仿宋_GB2312" w:eastAsia="仿宋_GB2312"/>
                <w:kern w:val="2"/>
                <w:sz w:val="24"/>
                <w:szCs w:val="21"/>
                <w:lang w:val="en-US" w:eastAsia="zh-CN"/>
              </w:rPr>
            </w:pPr>
          </w:p>
        </w:tc>
      </w:tr>
      <w:tr w14:paraId="7F64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410" w:hRule="atLeast"/>
        </w:trPr>
        <w:tc>
          <w:tcPr>
            <w:tcW w:w="521" w:type="dxa"/>
            <w:vMerge w:val="continue"/>
            <w:tcBorders>
              <w:left w:val="single" w:color="auto" w:sz="4" w:space="0"/>
              <w:right w:val="single" w:color="auto" w:sz="4" w:space="0"/>
            </w:tcBorders>
            <w:noWrap w:val="0"/>
            <w:vAlign w:val="center"/>
          </w:tcPr>
          <w:p w14:paraId="398291D5">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tcBorders>
              <w:top w:val="single" w:color="auto" w:sz="4" w:space="0"/>
              <w:left w:val="single" w:color="auto" w:sz="4" w:space="0"/>
              <w:bottom w:val="single" w:color="auto" w:sz="4" w:space="0"/>
              <w:right w:val="single" w:color="auto" w:sz="4" w:space="0"/>
            </w:tcBorders>
            <w:noWrap w:val="0"/>
            <w:vAlign w:val="center"/>
          </w:tcPr>
          <w:p w14:paraId="677F7428">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ascii="仿宋_GB2312" w:hAnsi="仿宋_GB2312" w:eastAsia="仿宋_GB2312"/>
                <w:sz w:val="24"/>
                <w:szCs w:val="21"/>
              </w:rPr>
              <w:t>其中</w:t>
            </w:r>
          </w:p>
        </w:tc>
        <w:tc>
          <w:tcPr>
            <w:tcW w:w="1262" w:type="dxa"/>
            <w:gridSpan w:val="4"/>
            <w:tcBorders>
              <w:top w:val="single" w:color="auto" w:sz="4" w:space="0"/>
              <w:left w:val="single" w:color="auto" w:sz="4" w:space="0"/>
              <w:bottom w:val="single" w:color="auto" w:sz="4" w:space="0"/>
              <w:right w:val="single" w:color="auto" w:sz="4" w:space="0"/>
            </w:tcBorders>
            <w:noWrap w:val="0"/>
            <w:vAlign w:val="center"/>
          </w:tcPr>
          <w:p w14:paraId="429FF823">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cs="宋体"/>
                <w:sz w:val="24"/>
                <w:szCs w:val="24"/>
              </w:rPr>
              <w:t>一级指标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1025C701">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cs="宋体"/>
                <w:sz w:val="24"/>
                <w:szCs w:val="24"/>
              </w:rPr>
              <w:t>二级指标</w:t>
            </w: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14:paraId="7904496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指标内容</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14:paraId="0EB539F1">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指标值</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024D6F65">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完成情况</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69B93D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完成率</w:t>
            </w:r>
          </w:p>
        </w:tc>
      </w:tr>
      <w:tr w14:paraId="5ECA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865" w:hRule="atLeast"/>
        </w:trPr>
        <w:tc>
          <w:tcPr>
            <w:tcW w:w="521" w:type="dxa"/>
            <w:vMerge w:val="continue"/>
            <w:tcBorders>
              <w:left w:val="single" w:color="auto" w:sz="4" w:space="0"/>
              <w:right w:val="single" w:color="auto" w:sz="4" w:space="0"/>
            </w:tcBorders>
            <w:noWrap w:val="0"/>
            <w:vAlign w:val="center"/>
          </w:tcPr>
          <w:p w14:paraId="1484759F">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restart"/>
            <w:tcBorders>
              <w:top w:val="single" w:color="auto" w:sz="4" w:space="0"/>
              <w:left w:val="single" w:color="auto" w:sz="4" w:space="0"/>
              <w:right w:val="single" w:color="auto" w:sz="4" w:space="0"/>
            </w:tcBorders>
            <w:noWrap w:val="0"/>
            <w:vAlign w:val="center"/>
          </w:tcPr>
          <w:p w14:paraId="4FEF9314">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目标1</w:t>
            </w:r>
          </w:p>
        </w:tc>
        <w:tc>
          <w:tcPr>
            <w:tcW w:w="1262" w:type="dxa"/>
            <w:gridSpan w:val="4"/>
            <w:tcBorders>
              <w:top w:val="single" w:color="auto" w:sz="4" w:space="0"/>
              <w:left w:val="single" w:color="auto" w:sz="4" w:space="0"/>
              <w:right w:val="single" w:color="auto" w:sz="4" w:space="0"/>
            </w:tcBorders>
            <w:noWrap w:val="0"/>
            <w:vAlign w:val="center"/>
          </w:tcPr>
          <w:p w14:paraId="37EFB3D5">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产出指标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4A92DEB4">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14:paraId="5FD4C75F">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kern w:val="0"/>
                <w:szCs w:val="21"/>
              </w:rPr>
              <w:t>简政放权、优化机构</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14:paraId="240AB7F4">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30</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11C7E837">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sz w:val="24"/>
                <w:szCs w:val="21"/>
                <w:lang w:val="en-US" w:eastAsia="zh-CN"/>
              </w:rPr>
              <w:t>已完成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706A9C6">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100%</w:t>
            </w:r>
          </w:p>
        </w:tc>
      </w:tr>
      <w:tr w14:paraId="053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410" w:hRule="atLeast"/>
        </w:trPr>
        <w:tc>
          <w:tcPr>
            <w:tcW w:w="521" w:type="dxa"/>
            <w:vMerge w:val="continue"/>
            <w:tcBorders>
              <w:left w:val="single" w:color="auto" w:sz="4" w:space="0"/>
              <w:right w:val="single" w:color="auto" w:sz="4" w:space="0"/>
            </w:tcBorders>
            <w:noWrap w:val="0"/>
            <w:vAlign w:val="center"/>
          </w:tcPr>
          <w:p w14:paraId="3898A869">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14:paraId="48C8E235">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tcBorders>
              <w:top w:val="single" w:color="auto" w:sz="4" w:space="0"/>
              <w:left w:val="single" w:color="auto" w:sz="4" w:space="0"/>
              <w:right w:val="single" w:color="auto" w:sz="4" w:space="0"/>
            </w:tcBorders>
            <w:noWrap w:val="0"/>
            <w:vAlign w:val="center"/>
          </w:tcPr>
          <w:p w14:paraId="005A7729">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效益指标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2BDC1461">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14:paraId="1E895C51">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kern w:val="0"/>
                <w:szCs w:val="21"/>
              </w:rPr>
              <w:t>提高行政效能，打造人民满意的服务型政府。</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14:paraId="52C43BD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58ABEFC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cs="Times New Roman"/>
                <w:kern w:val="2"/>
                <w:sz w:val="24"/>
                <w:szCs w:val="21"/>
                <w:lang w:val="en-US" w:eastAsia="zh-CN" w:bidi="ar-SA"/>
              </w:rPr>
            </w:pPr>
            <w:r>
              <w:rPr>
                <w:rFonts w:hint="eastAsia" w:ascii="仿宋_GB2312" w:hAnsi="仿宋_GB2312" w:eastAsia="仿宋_GB2312"/>
                <w:sz w:val="24"/>
                <w:szCs w:val="21"/>
                <w:lang w:val="en-US" w:eastAsia="zh-CN"/>
              </w:rPr>
              <w:t>已完成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DDB9378">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100%</w:t>
            </w:r>
          </w:p>
        </w:tc>
      </w:tr>
      <w:tr w14:paraId="1CDD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145" w:hRule="atLeast"/>
        </w:trPr>
        <w:tc>
          <w:tcPr>
            <w:tcW w:w="521" w:type="dxa"/>
            <w:vMerge w:val="restart"/>
            <w:tcBorders>
              <w:top w:val="single" w:color="auto" w:sz="4" w:space="0"/>
              <w:left w:val="single" w:color="auto" w:sz="4" w:space="0"/>
              <w:right w:val="single" w:color="auto" w:sz="4" w:space="0"/>
            </w:tcBorders>
            <w:noWrap w:val="0"/>
            <w:vAlign w:val="center"/>
          </w:tcPr>
          <w:p w14:paraId="4786CB8C">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绩效目标完成情况</w:t>
            </w:r>
          </w:p>
        </w:tc>
        <w:tc>
          <w:tcPr>
            <w:tcW w:w="947" w:type="dxa"/>
            <w:gridSpan w:val="2"/>
            <w:vMerge w:val="restart"/>
            <w:tcBorders>
              <w:top w:val="single" w:color="auto" w:sz="4" w:space="0"/>
              <w:left w:val="single" w:color="auto" w:sz="4" w:space="0"/>
              <w:right w:val="single" w:color="auto" w:sz="4" w:space="0"/>
            </w:tcBorders>
            <w:noWrap w:val="0"/>
            <w:vAlign w:val="center"/>
          </w:tcPr>
          <w:p w14:paraId="314E51A5">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目标2</w:t>
            </w:r>
          </w:p>
        </w:tc>
        <w:tc>
          <w:tcPr>
            <w:tcW w:w="1262" w:type="dxa"/>
            <w:gridSpan w:val="4"/>
            <w:tcBorders>
              <w:top w:val="single" w:color="auto" w:sz="4" w:space="0"/>
              <w:left w:val="single" w:color="auto" w:sz="4" w:space="0"/>
              <w:right w:val="single" w:color="auto" w:sz="4" w:space="0"/>
            </w:tcBorders>
            <w:noWrap w:val="0"/>
            <w:vAlign w:val="center"/>
          </w:tcPr>
          <w:p w14:paraId="47C7EBF4">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产出指标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1AD00083">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14:paraId="3456F78D">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sz w:val="24"/>
                <w:szCs w:val="21"/>
              </w:rPr>
            </w:pPr>
            <w:r>
              <w:rPr>
                <w:rFonts w:hint="eastAsia"/>
                <w:kern w:val="0"/>
                <w:szCs w:val="21"/>
              </w:rPr>
              <w:t>强化事业单位公益属性，理顺体制、机制、激发事业单位的活力</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14:paraId="483E7D7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20</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5A1920CF">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sz w:val="24"/>
                <w:szCs w:val="21"/>
                <w:lang w:val="en-US" w:eastAsia="zh-CN"/>
              </w:rPr>
              <w:t>已完成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014F2F6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100%</w:t>
            </w:r>
          </w:p>
        </w:tc>
      </w:tr>
      <w:tr w14:paraId="0965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045" w:hRule="atLeast"/>
        </w:trPr>
        <w:tc>
          <w:tcPr>
            <w:tcW w:w="521" w:type="dxa"/>
            <w:vMerge w:val="continue"/>
            <w:tcBorders>
              <w:left w:val="single" w:color="auto" w:sz="4" w:space="0"/>
              <w:right w:val="single" w:color="auto" w:sz="4" w:space="0"/>
            </w:tcBorders>
            <w:noWrap w:val="0"/>
            <w:vAlign w:val="center"/>
          </w:tcPr>
          <w:p w14:paraId="24DBCCDD">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14:paraId="31A205C9">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tcBorders>
              <w:top w:val="single" w:color="auto" w:sz="4" w:space="0"/>
              <w:left w:val="single" w:color="auto" w:sz="4" w:space="0"/>
              <w:right w:val="single" w:color="auto" w:sz="4" w:space="0"/>
            </w:tcBorders>
            <w:noWrap w:val="0"/>
            <w:vAlign w:val="center"/>
          </w:tcPr>
          <w:p w14:paraId="3BC89D0B">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效益指标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4C36E46F">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14:paraId="09B6488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kern w:val="0"/>
                <w:szCs w:val="21"/>
              </w:rPr>
              <w:t>提高行政效能，打造人民满意的服务型政府。</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14:paraId="4F46E2A4">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2BDEE0CE">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sz w:val="24"/>
                <w:szCs w:val="21"/>
                <w:lang w:val="en-US" w:eastAsia="zh-CN"/>
              </w:rPr>
              <w:t>已完成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22A1437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100%</w:t>
            </w:r>
          </w:p>
        </w:tc>
      </w:tr>
      <w:tr w14:paraId="4A82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410" w:hRule="atLeast"/>
        </w:trPr>
        <w:tc>
          <w:tcPr>
            <w:tcW w:w="521" w:type="dxa"/>
            <w:vMerge w:val="continue"/>
            <w:tcBorders>
              <w:left w:val="single" w:color="auto" w:sz="4" w:space="0"/>
              <w:right w:val="single" w:color="auto" w:sz="4" w:space="0"/>
            </w:tcBorders>
            <w:noWrap w:val="0"/>
            <w:vAlign w:val="center"/>
          </w:tcPr>
          <w:p w14:paraId="1946ABC7">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restart"/>
            <w:tcBorders>
              <w:top w:val="single" w:color="auto" w:sz="4" w:space="0"/>
              <w:left w:val="single" w:color="auto" w:sz="4" w:space="0"/>
              <w:right w:val="single" w:color="auto" w:sz="4" w:space="0"/>
            </w:tcBorders>
            <w:noWrap w:val="0"/>
            <w:vAlign w:val="center"/>
          </w:tcPr>
          <w:p w14:paraId="6E2A72DD">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目标3</w:t>
            </w:r>
          </w:p>
        </w:tc>
        <w:tc>
          <w:tcPr>
            <w:tcW w:w="1262" w:type="dxa"/>
            <w:gridSpan w:val="4"/>
            <w:tcBorders>
              <w:left w:val="single" w:color="auto" w:sz="4" w:space="0"/>
              <w:right w:val="single" w:color="auto" w:sz="4" w:space="0"/>
            </w:tcBorders>
            <w:noWrap w:val="0"/>
            <w:vAlign w:val="center"/>
          </w:tcPr>
          <w:p w14:paraId="65AB210F">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产出指标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6E1BCD5D">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14:paraId="75C238A7">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sz w:val="24"/>
                <w:szCs w:val="21"/>
              </w:rPr>
            </w:pPr>
            <w:r>
              <w:rPr>
                <w:rFonts w:hint="eastAsia"/>
                <w:kern w:val="0"/>
                <w:szCs w:val="21"/>
              </w:rPr>
              <w:t>实现行政编制数、实有人员数、财政供养数相一致的目标</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14:paraId="6EC7334D">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11C61DA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cs="Times New Roman"/>
                <w:kern w:val="2"/>
                <w:sz w:val="24"/>
                <w:szCs w:val="21"/>
                <w:lang w:val="en-US" w:eastAsia="zh-CN" w:bidi="ar-SA"/>
              </w:rPr>
            </w:pPr>
            <w:r>
              <w:rPr>
                <w:rFonts w:hint="eastAsia" w:ascii="仿宋_GB2312" w:hAnsi="仿宋_GB2312" w:eastAsia="仿宋_GB2312"/>
                <w:sz w:val="24"/>
                <w:szCs w:val="21"/>
                <w:lang w:val="en-US" w:eastAsia="zh-CN"/>
              </w:rPr>
              <w:t>已完成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0C6BF147">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100%</w:t>
            </w:r>
          </w:p>
        </w:tc>
      </w:tr>
      <w:tr w14:paraId="204B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135" w:hRule="atLeast"/>
        </w:trPr>
        <w:tc>
          <w:tcPr>
            <w:tcW w:w="521" w:type="dxa"/>
            <w:vMerge w:val="continue"/>
            <w:tcBorders>
              <w:left w:val="single" w:color="auto" w:sz="4" w:space="0"/>
              <w:right w:val="single" w:color="auto" w:sz="4" w:space="0"/>
            </w:tcBorders>
            <w:noWrap w:val="0"/>
            <w:vAlign w:val="center"/>
          </w:tcPr>
          <w:p w14:paraId="3BF08F97">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14:paraId="54642D72">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tcBorders>
              <w:left w:val="single" w:color="auto" w:sz="4" w:space="0"/>
              <w:right w:val="single" w:color="auto" w:sz="4" w:space="0"/>
            </w:tcBorders>
            <w:noWrap w:val="0"/>
            <w:vAlign w:val="center"/>
          </w:tcPr>
          <w:p w14:paraId="1E715F72">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效益指标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3891902B">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14:paraId="63D04734">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kern w:val="0"/>
                <w:szCs w:val="21"/>
              </w:rPr>
              <w:t>提高行政效能，</w:t>
            </w:r>
            <w:r>
              <w:rPr>
                <w:rFonts w:hint="eastAsia"/>
                <w:kern w:val="0"/>
                <w:szCs w:val="21"/>
                <w:lang w:eastAsia="zh-CN"/>
              </w:rPr>
              <w:t>防止政府资源浪费</w:t>
            </w:r>
            <w:r>
              <w:rPr>
                <w:rFonts w:hint="eastAsia"/>
                <w:kern w:val="0"/>
                <w:szCs w:val="21"/>
              </w:rPr>
              <w:t>。</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14:paraId="5C115FD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20</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1CCB168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sz w:val="24"/>
                <w:szCs w:val="21"/>
                <w:lang w:val="en-US" w:eastAsia="zh-CN"/>
              </w:rPr>
              <w:t>已完成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1410A67">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100%</w:t>
            </w:r>
          </w:p>
        </w:tc>
      </w:tr>
      <w:tr w14:paraId="094C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14:paraId="19795127">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 xml:space="preserve"> 存在问题及绩效目标出现偏差的原因</w:t>
            </w:r>
          </w:p>
        </w:tc>
        <w:tc>
          <w:tcPr>
            <w:tcW w:w="8207" w:type="dxa"/>
            <w:gridSpan w:val="19"/>
            <w:tcBorders>
              <w:top w:val="single" w:color="auto" w:sz="4" w:space="0"/>
              <w:left w:val="single" w:color="auto" w:sz="4" w:space="0"/>
              <w:right w:val="single" w:color="auto" w:sz="4" w:space="0"/>
            </w:tcBorders>
            <w:noWrap w:val="0"/>
            <w:vAlign w:val="top"/>
          </w:tcPr>
          <w:p w14:paraId="45F0A749">
            <w:pPr>
              <w:keepNext w:val="0"/>
              <w:keepLines w:val="0"/>
              <w:pageBreakBefore w:val="0"/>
              <w:widowControl w:val="0"/>
              <w:kinsoku/>
              <w:wordWrap/>
              <w:overflowPunct/>
              <w:topLinePunct w:val="0"/>
              <w:bidi w:val="0"/>
              <w:adjustRightInd/>
              <w:snapToGrid/>
              <w:spacing w:line="360" w:lineRule="exact"/>
              <w:ind w:left="0" w:leftChars="0"/>
              <w:textAlignment w:val="auto"/>
              <w:rPr>
                <w:rFonts w:hint="eastAsia" w:ascii="仿宋_GB2312" w:hAnsi="仿宋_GB2312" w:eastAsia="仿宋_GB2312"/>
                <w:kern w:val="2"/>
                <w:sz w:val="24"/>
                <w:szCs w:val="21"/>
              </w:rPr>
            </w:pPr>
            <w:r>
              <w:rPr>
                <w:rFonts w:hint="eastAsia" w:ascii="仿宋_GB2312" w:hAnsi="仿宋_GB2312" w:eastAsia="仿宋_GB2312"/>
                <w:kern w:val="2"/>
                <w:sz w:val="24"/>
                <w:szCs w:val="21"/>
                <w:lang w:val="en-US" w:eastAsia="zh-CN"/>
              </w:rPr>
              <w:t>单位人员经费不足</w:t>
            </w:r>
          </w:p>
        </w:tc>
        <w:tc>
          <w:tcPr>
            <w:tcW w:w="1053" w:type="dxa"/>
            <w:tcBorders>
              <w:top w:val="single" w:color="auto" w:sz="4" w:space="0"/>
              <w:left w:val="single" w:color="auto" w:sz="4" w:space="0"/>
              <w:right w:val="single" w:color="auto" w:sz="4" w:space="0"/>
            </w:tcBorders>
            <w:noWrap w:val="0"/>
            <w:vAlign w:val="top"/>
          </w:tcPr>
          <w:p w14:paraId="6F7911A3">
            <w:pPr>
              <w:keepNext w:val="0"/>
              <w:keepLines w:val="0"/>
              <w:pageBreakBefore w:val="0"/>
              <w:widowControl w:val="0"/>
              <w:kinsoku/>
              <w:wordWrap/>
              <w:overflowPunct/>
              <w:topLinePunct w:val="0"/>
              <w:bidi w:val="0"/>
              <w:adjustRightInd/>
              <w:snapToGrid/>
              <w:spacing w:line="360" w:lineRule="exact"/>
              <w:ind w:left="0" w:leftChars="0"/>
              <w:textAlignment w:val="auto"/>
              <w:rPr>
                <w:rFonts w:hint="eastAsia" w:ascii="仿宋_GB2312" w:hAnsi="仿宋_GB2312" w:eastAsia="仿宋_GB2312"/>
                <w:kern w:val="2"/>
                <w:sz w:val="24"/>
                <w:szCs w:val="21"/>
              </w:rPr>
            </w:pPr>
          </w:p>
        </w:tc>
        <w:tc>
          <w:tcPr>
            <w:tcW w:w="1053" w:type="dxa"/>
            <w:tcBorders>
              <w:top w:val="single" w:color="auto" w:sz="4" w:space="0"/>
              <w:left w:val="single" w:color="auto" w:sz="4" w:space="0"/>
              <w:right w:val="single" w:color="auto" w:sz="4" w:space="0"/>
            </w:tcBorders>
            <w:noWrap w:val="0"/>
            <w:vAlign w:val="top"/>
          </w:tcPr>
          <w:p w14:paraId="44F7F7A6">
            <w:pPr>
              <w:keepNext w:val="0"/>
              <w:keepLines w:val="0"/>
              <w:pageBreakBefore w:val="0"/>
              <w:widowControl w:val="0"/>
              <w:kinsoku/>
              <w:wordWrap/>
              <w:overflowPunct/>
              <w:topLinePunct w:val="0"/>
              <w:bidi w:val="0"/>
              <w:adjustRightInd/>
              <w:snapToGrid/>
              <w:spacing w:line="360" w:lineRule="exact"/>
              <w:ind w:left="0" w:leftChars="0"/>
              <w:textAlignment w:val="auto"/>
              <w:rPr>
                <w:rFonts w:hint="eastAsia" w:ascii="仿宋_GB2312" w:hAnsi="仿宋_GB2312" w:eastAsia="仿宋_GB2312"/>
                <w:kern w:val="2"/>
                <w:sz w:val="24"/>
                <w:szCs w:val="21"/>
              </w:rPr>
            </w:pPr>
          </w:p>
        </w:tc>
        <w:tc>
          <w:tcPr>
            <w:tcW w:w="1053" w:type="dxa"/>
            <w:tcBorders>
              <w:top w:val="single" w:color="auto" w:sz="4" w:space="0"/>
              <w:left w:val="single" w:color="auto" w:sz="4" w:space="0"/>
              <w:right w:val="single" w:color="auto" w:sz="4" w:space="0"/>
            </w:tcBorders>
            <w:noWrap w:val="0"/>
            <w:vAlign w:val="top"/>
          </w:tcPr>
          <w:p w14:paraId="0D5E20FA">
            <w:pPr>
              <w:keepNext w:val="0"/>
              <w:keepLines w:val="0"/>
              <w:pageBreakBefore w:val="0"/>
              <w:widowControl w:val="0"/>
              <w:kinsoku/>
              <w:wordWrap/>
              <w:overflowPunct/>
              <w:topLinePunct w:val="0"/>
              <w:bidi w:val="0"/>
              <w:adjustRightInd/>
              <w:snapToGrid/>
              <w:spacing w:line="360" w:lineRule="exact"/>
              <w:ind w:left="0" w:leftChars="0"/>
              <w:textAlignment w:val="auto"/>
              <w:rPr>
                <w:rFonts w:hint="eastAsia" w:ascii="仿宋_GB2312" w:hAnsi="仿宋_GB2312" w:eastAsia="仿宋_GB2312"/>
                <w:kern w:val="2"/>
                <w:sz w:val="24"/>
                <w:szCs w:val="21"/>
              </w:rPr>
            </w:pPr>
          </w:p>
        </w:tc>
        <w:tc>
          <w:tcPr>
            <w:tcW w:w="1053" w:type="dxa"/>
            <w:tcBorders>
              <w:top w:val="single" w:color="auto" w:sz="4" w:space="0"/>
              <w:left w:val="single" w:color="auto" w:sz="4" w:space="0"/>
              <w:right w:val="single" w:color="auto" w:sz="4" w:space="0"/>
            </w:tcBorders>
            <w:noWrap w:val="0"/>
            <w:vAlign w:val="top"/>
          </w:tcPr>
          <w:p w14:paraId="563825D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w:t>
            </w:r>
          </w:p>
        </w:tc>
        <w:tc>
          <w:tcPr>
            <w:tcW w:w="1053" w:type="dxa"/>
            <w:tcBorders>
              <w:top w:val="single" w:color="auto" w:sz="4" w:space="0"/>
              <w:left w:val="single" w:color="auto" w:sz="4" w:space="0"/>
              <w:right w:val="single" w:color="auto" w:sz="4" w:space="0"/>
            </w:tcBorders>
            <w:noWrap w:val="0"/>
            <w:vAlign w:val="top"/>
          </w:tcPr>
          <w:p w14:paraId="073EC061">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sz w:val="24"/>
                <w:szCs w:val="21"/>
                <w:lang w:val="en-US" w:eastAsia="zh-CN"/>
              </w:rPr>
              <w:t>已完成验收</w:t>
            </w:r>
          </w:p>
        </w:tc>
        <w:tc>
          <w:tcPr>
            <w:tcW w:w="1053" w:type="dxa"/>
            <w:tcBorders>
              <w:top w:val="single" w:color="auto" w:sz="4" w:space="0"/>
              <w:left w:val="single" w:color="auto" w:sz="4" w:space="0"/>
              <w:right w:val="single" w:color="auto" w:sz="4" w:space="0"/>
            </w:tcBorders>
            <w:noWrap w:val="0"/>
            <w:vAlign w:val="top"/>
          </w:tcPr>
          <w:p w14:paraId="689C80EF">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100%</w:t>
            </w:r>
          </w:p>
        </w:tc>
      </w:tr>
      <w:tr w14:paraId="0366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14:paraId="38B61C1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r>
              <w:rPr>
                <w:rFonts w:hint="eastAsia" w:ascii="仿宋_GB2312" w:hAnsi="仿宋_GB2312" w:eastAsia="仿宋_GB2312"/>
                <w:sz w:val="24"/>
              </w:rPr>
              <w:t>整改措施及下一步建议</w:t>
            </w:r>
          </w:p>
        </w:tc>
        <w:tc>
          <w:tcPr>
            <w:tcW w:w="8207" w:type="dxa"/>
            <w:gridSpan w:val="19"/>
            <w:tcBorders>
              <w:left w:val="single" w:color="auto" w:sz="4" w:space="0"/>
              <w:right w:val="single" w:color="auto" w:sz="4" w:space="0"/>
            </w:tcBorders>
            <w:noWrap w:val="0"/>
            <w:vAlign w:val="top"/>
          </w:tcPr>
          <w:p w14:paraId="29E0072B">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sz w:val="24"/>
              </w:rPr>
            </w:pPr>
            <w:r>
              <w:rPr>
                <w:rFonts w:hint="eastAsia" w:ascii="仿宋_GB2312" w:hAnsi="仿宋_GB2312" w:eastAsia="仿宋_GB2312"/>
                <w:sz w:val="24"/>
                <w:lang w:val="en-US" w:eastAsia="zh-CN"/>
              </w:rPr>
              <w:t>严格控制开支，建议财政增加人员经费。</w:t>
            </w:r>
          </w:p>
        </w:tc>
        <w:tc>
          <w:tcPr>
            <w:tcW w:w="1053" w:type="dxa"/>
            <w:tcBorders>
              <w:left w:val="single" w:color="auto" w:sz="4" w:space="0"/>
              <w:right w:val="single" w:color="auto" w:sz="4" w:space="0"/>
            </w:tcBorders>
            <w:noWrap w:val="0"/>
            <w:vAlign w:val="top"/>
          </w:tcPr>
          <w:p w14:paraId="71F1F1AA">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sz w:val="24"/>
              </w:rPr>
            </w:pPr>
          </w:p>
        </w:tc>
        <w:tc>
          <w:tcPr>
            <w:tcW w:w="1053" w:type="dxa"/>
            <w:tcBorders>
              <w:left w:val="single" w:color="auto" w:sz="4" w:space="0"/>
              <w:right w:val="single" w:color="auto" w:sz="4" w:space="0"/>
            </w:tcBorders>
            <w:noWrap w:val="0"/>
            <w:vAlign w:val="top"/>
          </w:tcPr>
          <w:p w14:paraId="7AE4911E">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sz w:val="24"/>
              </w:rPr>
            </w:pPr>
          </w:p>
        </w:tc>
        <w:tc>
          <w:tcPr>
            <w:tcW w:w="1053" w:type="dxa"/>
            <w:tcBorders>
              <w:left w:val="single" w:color="auto" w:sz="4" w:space="0"/>
              <w:right w:val="single" w:color="auto" w:sz="4" w:space="0"/>
            </w:tcBorders>
            <w:noWrap w:val="0"/>
            <w:vAlign w:val="top"/>
          </w:tcPr>
          <w:p w14:paraId="1F95AB37">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sz w:val="24"/>
              </w:rPr>
            </w:pPr>
          </w:p>
        </w:tc>
        <w:tc>
          <w:tcPr>
            <w:tcW w:w="1053" w:type="dxa"/>
            <w:tcBorders>
              <w:left w:val="single" w:color="auto" w:sz="4" w:space="0"/>
              <w:right w:val="single" w:color="auto" w:sz="4" w:space="0"/>
            </w:tcBorders>
            <w:noWrap w:val="0"/>
            <w:vAlign w:val="top"/>
          </w:tcPr>
          <w:p w14:paraId="0260549E">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w:t>
            </w:r>
          </w:p>
        </w:tc>
        <w:tc>
          <w:tcPr>
            <w:tcW w:w="1053" w:type="dxa"/>
            <w:tcBorders>
              <w:left w:val="single" w:color="auto" w:sz="4" w:space="0"/>
              <w:right w:val="single" w:color="auto" w:sz="4" w:space="0"/>
            </w:tcBorders>
            <w:noWrap w:val="0"/>
            <w:vAlign w:val="top"/>
          </w:tcPr>
          <w:p w14:paraId="15ADB41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sz w:val="24"/>
                <w:szCs w:val="21"/>
                <w:lang w:val="en-US" w:eastAsia="zh-CN"/>
              </w:rPr>
              <w:t>已完成</w:t>
            </w:r>
          </w:p>
        </w:tc>
        <w:tc>
          <w:tcPr>
            <w:tcW w:w="1053" w:type="dxa"/>
            <w:tcBorders>
              <w:left w:val="single" w:color="auto" w:sz="4" w:space="0"/>
              <w:right w:val="single" w:color="auto" w:sz="4" w:space="0"/>
            </w:tcBorders>
            <w:noWrap w:val="0"/>
            <w:vAlign w:val="top"/>
          </w:tcPr>
          <w:p w14:paraId="6881A9D1">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100%</w:t>
            </w:r>
          </w:p>
        </w:tc>
      </w:tr>
      <w:tr w14:paraId="46FA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14:paraId="274029E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r>
              <w:rPr>
                <w:rFonts w:hint="eastAsia" w:ascii="仿宋_GB2312" w:hAnsi="仿宋_GB2312" w:eastAsia="仿宋_GB2312"/>
                <w:sz w:val="24"/>
              </w:rPr>
              <w:t>财政局归口业务股室审核意见</w:t>
            </w:r>
          </w:p>
          <w:p w14:paraId="19B63E2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p>
        </w:tc>
        <w:tc>
          <w:tcPr>
            <w:tcW w:w="8207" w:type="dxa"/>
            <w:gridSpan w:val="19"/>
            <w:tcBorders>
              <w:left w:val="single" w:color="auto" w:sz="4" w:space="0"/>
              <w:right w:val="single" w:color="auto" w:sz="4" w:space="0"/>
            </w:tcBorders>
            <w:noWrap w:val="0"/>
            <w:vAlign w:val="top"/>
          </w:tcPr>
          <w:p w14:paraId="688133E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p>
          <w:p w14:paraId="59A00C99">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w:t>
            </w:r>
          </w:p>
          <w:p w14:paraId="05AC71B9">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（公章）</w:t>
            </w:r>
          </w:p>
          <w:p w14:paraId="45365ECC">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sz w:val="24"/>
              </w:rPr>
            </w:pPr>
            <w:r>
              <w:rPr>
                <w:rFonts w:hint="eastAsia" w:ascii="仿宋_GB2312" w:hAnsi="仿宋_GB2312" w:eastAsia="仿宋_GB2312"/>
                <w:bCs/>
                <w:sz w:val="24"/>
              </w:rPr>
              <w:t xml:space="preserve">                                              年     月    日</w:t>
            </w:r>
          </w:p>
        </w:tc>
        <w:tc>
          <w:tcPr>
            <w:tcW w:w="1053" w:type="dxa"/>
            <w:tcBorders>
              <w:left w:val="single" w:color="auto" w:sz="4" w:space="0"/>
              <w:right w:val="single" w:color="auto" w:sz="4" w:space="0"/>
            </w:tcBorders>
            <w:noWrap w:val="0"/>
            <w:vAlign w:val="top"/>
          </w:tcPr>
          <w:p w14:paraId="2DF35BC2">
            <w:pPr>
              <w:keepNext w:val="0"/>
              <w:keepLines w:val="0"/>
              <w:pageBreakBefore w:val="0"/>
              <w:widowControl w:val="0"/>
              <w:kinsoku/>
              <w:wordWrap/>
              <w:overflowPunct/>
              <w:topLinePunct w:val="0"/>
              <w:bidi w:val="0"/>
              <w:adjustRightInd/>
              <w:snapToGrid/>
              <w:spacing w:line="360" w:lineRule="exact"/>
              <w:ind w:left="0" w:leftChars="0"/>
              <w:textAlignment w:val="auto"/>
              <w:rPr>
                <w:rFonts w:hint="eastAsia" w:ascii="仿宋_GB2312" w:hAnsi="仿宋_GB2312" w:eastAsia="仿宋_GB2312"/>
                <w:bCs/>
                <w:sz w:val="24"/>
              </w:rPr>
            </w:pPr>
          </w:p>
        </w:tc>
        <w:tc>
          <w:tcPr>
            <w:tcW w:w="1053" w:type="dxa"/>
            <w:tcBorders>
              <w:left w:val="single" w:color="auto" w:sz="4" w:space="0"/>
              <w:right w:val="single" w:color="auto" w:sz="4" w:space="0"/>
            </w:tcBorders>
            <w:noWrap w:val="0"/>
            <w:vAlign w:val="top"/>
          </w:tcPr>
          <w:p w14:paraId="60684773">
            <w:pPr>
              <w:keepNext w:val="0"/>
              <w:keepLines w:val="0"/>
              <w:pageBreakBefore w:val="0"/>
              <w:widowControl w:val="0"/>
              <w:kinsoku/>
              <w:wordWrap/>
              <w:overflowPunct/>
              <w:topLinePunct w:val="0"/>
              <w:bidi w:val="0"/>
              <w:adjustRightInd/>
              <w:snapToGrid/>
              <w:spacing w:line="360" w:lineRule="exact"/>
              <w:ind w:left="0" w:leftChars="0"/>
              <w:textAlignment w:val="auto"/>
              <w:rPr>
                <w:rFonts w:hint="eastAsia" w:ascii="仿宋_GB2312" w:hAnsi="仿宋_GB2312" w:eastAsia="仿宋_GB2312"/>
                <w:bCs/>
                <w:sz w:val="24"/>
              </w:rPr>
            </w:pPr>
          </w:p>
        </w:tc>
        <w:tc>
          <w:tcPr>
            <w:tcW w:w="1053" w:type="dxa"/>
            <w:tcBorders>
              <w:left w:val="single" w:color="auto" w:sz="4" w:space="0"/>
              <w:right w:val="single" w:color="auto" w:sz="4" w:space="0"/>
            </w:tcBorders>
            <w:noWrap w:val="0"/>
            <w:vAlign w:val="top"/>
          </w:tcPr>
          <w:p w14:paraId="12E26EBA">
            <w:pPr>
              <w:keepNext w:val="0"/>
              <w:keepLines w:val="0"/>
              <w:pageBreakBefore w:val="0"/>
              <w:widowControl w:val="0"/>
              <w:kinsoku/>
              <w:wordWrap/>
              <w:overflowPunct/>
              <w:topLinePunct w:val="0"/>
              <w:bidi w:val="0"/>
              <w:adjustRightInd/>
              <w:snapToGrid/>
              <w:spacing w:line="360" w:lineRule="exact"/>
              <w:ind w:left="0" w:leftChars="0"/>
              <w:textAlignment w:val="auto"/>
              <w:rPr>
                <w:rFonts w:hint="eastAsia" w:ascii="仿宋_GB2312" w:hAnsi="仿宋_GB2312" w:eastAsia="仿宋_GB2312"/>
                <w:bCs/>
                <w:sz w:val="24"/>
              </w:rPr>
            </w:pPr>
          </w:p>
        </w:tc>
        <w:tc>
          <w:tcPr>
            <w:tcW w:w="1053" w:type="dxa"/>
            <w:tcBorders>
              <w:left w:val="single" w:color="auto" w:sz="4" w:space="0"/>
              <w:right w:val="single" w:color="auto" w:sz="4" w:space="0"/>
            </w:tcBorders>
            <w:noWrap w:val="0"/>
            <w:vAlign w:val="top"/>
          </w:tcPr>
          <w:p w14:paraId="2331F864">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10</w:t>
            </w:r>
          </w:p>
        </w:tc>
        <w:tc>
          <w:tcPr>
            <w:tcW w:w="1053" w:type="dxa"/>
            <w:tcBorders>
              <w:left w:val="single" w:color="auto" w:sz="4" w:space="0"/>
              <w:right w:val="single" w:color="auto" w:sz="4" w:space="0"/>
            </w:tcBorders>
            <w:noWrap w:val="0"/>
            <w:vAlign w:val="top"/>
          </w:tcPr>
          <w:p w14:paraId="70E5700A">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sz w:val="24"/>
                <w:szCs w:val="21"/>
                <w:lang w:val="en-US" w:eastAsia="zh-CN"/>
              </w:rPr>
              <w:t>部分完成</w:t>
            </w:r>
          </w:p>
        </w:tc>
        <w:tc>
          <w:tcPr>
            <w:tcW w:w="1053" w:type="dxa"/>
            <w:tcBorders>
              <w:left w:val="single" w:color="auto" w:sz="4" w:space="0"/>
              <w:right w:val="single" w:color="auto" w:sz="4" w:space="0"/>
            </w:tcBorders>
            <w:noWrap w:val="0"/>
            <w:vAlign w:val="top"/>
          </w:tcPr>
          <w:p w14:paraId="34E2496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imes New Roman"/>
                <w:kern w:val="2"/>
                <w:sz w:val="24"/>
                <w:szCs w:val="21"/>
                <w:lang w:val="en-US" w:eastAsia="zh-CN" w:bidi="ar-SA"/>
              </w:rPr>
            </w:pPr>
            <w:r>
              <w:rPr>
                <w:rFonts w:hint="eastAsia" w:ascii="仿宋_GB2312" w:hAnsi="仿宋_GB2312" w:eastAsia="仿宋_GB2312"/>
                <w:kern w:val="2"/>
                <w:sz w:val="24"/>
                <w:szCs w:val="21"/>
                <w:lang w:val="en-US" w:eastAsia="zh-CN"/>
              </w:rPr>
              <w:t>90%</w:t>
            </w:r>
          </w:p>
        </w:tc>
      </w:tr>
      <w:tr w14:paraId="1FBE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318" w:type="dxa"/>
          <w:cantSplit/>
          <w:trHeight w:val="1605"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14:paraId="5BDC457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r>
              <w:rPr>
                <w:rFonts w:hint="eastAsia" w:ascii="仿宋_GB2312" w:hAnsi="仿宋_GB2312" w:eastAsia="仿宋_GB2312"/>
                <w:sz w:val="24"/>
              </w:rPr>
              <w:t>财政局绩效管理股意见</w:t>
            </w:r>
          </w:p>
        </w:tc>
        <w:tc>
          <w:tcPr>
            <w:tcW w:w="8207" w:type="dxa"/>
            <w:gridSpan w:val="19"/>
            <w:tcBorders>
              <w:left w:val="single" w:color="auto" w:sz="4" w:space="0"/>
              <w:bottom w:val="single" w:color="auto" w:sz="4" w:space="0"/>
              <w:right w:val="single" w:color="auto" w:sz="4" w:space="0"/>
            </w:tcBorders>
            <w:noWrap w:val="0"/>
            <w:vAlign w:val="top"/>
          </w:tcPr>
          <w:p w14:paraId="26CFD98D">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w:t>
            </w:r>
          </w:p>
          <w:p w14:paraId="2C51E2FA">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p>
          <w:p w14:paraId="4C61825F">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（公章）</w:t>
            </w:r>
          </w:p>
          <w:p w14:paraId="67FAEB69">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bCs/>
                <w:sz w:val="24"/>
              </w:rPr>
            </w:pPr>
            <w:r>
              <w:rPr>
                <w:rFonts w:hint="eastAsia" w:ascii="仿宋_GB2312" w:hAnsi="仿宋_GB2312" w:eastAsia="仿宋_GB2312"/>
                <w:bCs/>
                <w:sz w:val="24"/>
              </w:rPr>
              <w:t xml:space="preserve">                                              年     月    日</w:t>
            </w:r>
          </w:p>
        </w:tc>
      </w:tr>
    </w:tbl>
    <w:p w14:paraId="7094F872">
      <w:pPr>
        <w:keepNext w:val="0"/>
        <w:keepLines w:val="0"/>
        <w:pageBreakBefore w:val="0"/>
        <w:kinsoku/>
        <w:wordWrap/>
        <w:overflowPunct/>
        <w:topLinePunct w:val="0"/>
        <w:bidi w:val="0"/>
        <w:adjustRightInd/>
        <w:snapToGrid/>
        <w:spacing w:before="142" w:beforeLines="50" w:line="360" w:lineRule="auto"/>
        <w:ind w:left="0" w:leftChars="0" w:right="-1052" w:rightChars="-501"/>
        <w:textAlignment w:val="auto"/>
        <w:rPr>
          <w:rFonts w:ascii="仿宋_GB2312" w:hAnsi="仿宋_GB2312" w:eastAsia="仿宋_GB2312"/>
          <w:bCs/>
          <w:sz w:val="24"/>
        </w:rPr>
      </w:pPr>
      <w:r>
        <w:rPr>
          <w:rFonts w:hint="eastAsia" w:ascii="仿宋_GB2312" w:hAnsi="仿宋_GB2312" w:eastAsia="仿宋_GB2312"/>
          <w:bCs/>
          <w:sz w:val="24"/>
        </w:rPr>
        <w:t xml:space="preserve">单位负责人（签章）： </w:t>
      </w:r>
      <w:r>
        <w:rPr>
          <w:rFonts w:hint="eastAsia" w:ascii="仿宋_GB2312" w:hAnsi="仿宋_GB2312" w:eastAsia="仿宋_GB2312"/>
          <w:bCs/>
          <w:sz w:val="24"/>
          <w:lang w:eastAsia="zh-CN"/>
        </w:rPr>
        <w:t>张居龙</w:t>
      </w:r>
      <w:r>
        <w:rPr>
          <w:rFonts w:hint="eastAsia" w:ascii="仿宋_GB2312" w:hAnsi="仿宋_GB2312" w:eastAsia="仿宋_GB2312"/>
          <w:bCs/>
          <w:sz w:val="24"/>
        </w:rPr>
        <w:t xml:space="preserve">                 填报人（签章）： </w:t>
      </w:r>
      <w:r>
        <w:rPr>
          <w:rFonts w:hint="eastAsia" w:ascii="仿宋_GB2312" w:hAnsi="仿宋_GB2312" w:eastAsia="仿宋_GB2312"/>
          <w:bCs/>
          <w:sz w:val="24"/>
          <w:lang w:eastAsia="zh-CN"/>
        </w:rPr>
        <w:t>邱爱英</w:t>
      </w:r>
      <w:r>
        <w:rPr>
          <w:rFonts w:hint="eastAsia" w:ascii="仿宋_GB2312" w:hAnsi="仿宋_GB2312" w:eastAsia="仿宋_GB2312"/>
          <w:bCs/>
          <w:sz w:val="24"/>
        </w:rPr>
        <w:t xml:space="preserve">                               </w:t>
      </w:r>
    </w:p>
    <w:p w14:paraId="79AB67AA">
      <w:pPr>
        <w:keepNext w:val="0"/>
        <w:keepLines w:val="0"/>
        <w:pageBreakBefore w:val="0"/>
        <w:kinsoku/>
        <w:wordWrap/>
        <w:overflowPunct/>
        <w:topLinePunct w:val="0"/>
        <w:bidi w:val="0"/>
        <w:adjustRightInd/>
        <w:snapToGrid/>
        <w:spacing w:line="360" w:lineRule="auto"/>
        <w:ind w:left="0" w:leftChars="0" w:right="-1052" w:rightChars="-501"/>
        <w:textAlignment w:val="auto"/>
        <w:rPr>
          <w:rFonts w:ascii="仿宋_GB2312" w:hAnsi="仿宋_GB2312" w:eastAsia="仿宋_GB2312"/>
          <w:bCs/>
          <w:sz w:val="24"/>
        </w:rPr>
      </w:pPr>
      <w:r>
        <w:rPr>
          <w:rFonts w:hint="eastAsia" w:ascii="仿宋_GB2312" w:hAnsi="仿宋_GB2312" w:eastAsia="仿宋_GB2312"/>
          <w:bCs/>
          <w:sz w:val="24"/>
        </w:rPr>
        <w:t>联系电话：</w:t>
      </w:r>
      <w:r>
        <w:rPr>
          <w:rFonts w:hint="eastAsia" w:ascii="仿宋_GB2312" w:hAnsi="仿宋_GB2312" w:eastAsia="仿宋_GB2312"/>
          <w:bCs/>
          <w:sz w:val="24"/>
          <w:lang w:val="en-US" w:eastAsia="zh-CN"/>
        </w:rPr>
        <w:t>15874687121</w:t>
      </w:r>
      <w:r>
        <w:rPr>
          <w:rFonts w:hint="eastAsia" w:ascii="仿宋_GB2312" w:hAnsi="仿宋_GB2312" w:eastAsia="仿宋_GB2312"/>
          <w:bCs/>
          <w:sz w:val="24"/>
        </w:rPr>
        <w:t xml:space="preserve">                       填报日期：</w:t>
      </w:r>
      <w:r>
        <w:rPr>
          <w:rFonts w:hint="eastAsia" w:ascii="仿宋_GB2312" w:hAnsi="仿宋_GB2312" w:eastAsia="仿宋_GB2312"/>
          <w:bCs/>
          <w:sz w:val="24"/>
          <w:lang w:val="en-US" w:eastAsia="zh-CN"/>
        </w:rPr>
        <w:t>2024</w:t>
      </w:r>
      <w:r>
        <w:rPr>
          <w:rFonts w:hint="eastAsia" w:ascii="仿宋_GB2312" w:hAnsi="仿宋_GB2312" w:eastAsia="仿宋_GB2312"/>
          <w:bCs/>
          <w:sz w:val="24"/>
        </w:rPr>
        <w:t>年</w:t>
      </w:r>
      <w:r>
        <w:rPr>
          <w:rFonts w:hint="eastAsia" w:ascii="仿宋_GB2312" w:hAnsi="仿宋_GB2312" w:eastAsia="仿宋_GB2312"/>
          <w:bCs/>
          <w:sz w:val="24"/>
          <w:lang w:val="en-US" w:eastAsia="zh-CN"/>
        </w:rPr>
        <w:t>5</w:t>
      </w:r>
      <w:r>
        <w:rPr>
          <w:rFonts w:hint="eastAsia" w:ascii="仿宋_GB2312" w:hAnsi="仿宋_GB2312" w:eastAsia="仿宋_GB2312"/>
          <w:bCs/>
          <w:sz w:val="24"/>
        </w:rPr>
        <w:t>月</w:t>
      </w:r>
      <w:r>
        <w:rPr>
          <w:rFonts w:hint="eastAsia" w:ascii="仿宋_GB2312" w:hAnsi="仿宋_GB2312" w:eastAsia="仿宋_GB2312"/>
          <w:bCs/>
          <w:sz w:val="24"/>
          <w:lang w:val="en-US" w:eastAsia="zh-CN"/>
        </w:rPr>
        <w:t>22</w:t>
      </w:r>
      <w:r>
        <w:rPr>
          <w:rFonts w:hint="eastAsia" w:ascii="仿宋_GB2312" w:hAnsi="仿宋_GB2312" w:eastAsia="仿宋_GB2312"/>
          <w:bCs/>
          <w:sz w:val="24"/>
        </w:rPr>
        <w:t>日</w:t>
      </w:r>
    </w:p>
    <w:p w14:paraId="4C2355EB">
      <w:pPr>
        <w:keepNext w:val="0"/>
        <w:keepLines w:val="0"/>
        <w:pageBreakBefore w:val="0"/>
        <w:kinsoku/>
        <w:wordWrap/>
        <w:overflowPunct/>
        <w:topLinePunct w:val="0"/>
        <w:bidi w:val="0"/>
        <w:adjustRightInd/>
        <w:snapToGrid/>
        <w:ind w:left="0" w:leftChars="0"/>
        <w:textAlignment w:val="auto"/>
        <w:rPr>
          <w:rFonts w:hint="eastAsia" w:ascii="黑体" w:hAnsi="黑体" w:eastAsia="黑体"/>
          <w:sz w:val="32"/>
          <w:szCs w:val="32"/>
        </w:rPr>
      </w:pPr>
    </w:p>
    <w:p w14:paraId="3DA92141">
      <w:pPr>
        <w:keepNext w:val="0"/>
        <w:keepLines w:val="0"/>
        <w:pageBreakBefore w:val="0"/>
        <w:kinsoku/>
        <w:wordWrap/>
        <w:overflowPunct/>
        <w:topLinePunct w:val="0"/>
        <w:bidi w:val="0"/>
        <w:adjustRightInd/>
        <w:snapToGrid/>
        <w:ind w:left="0" w:leftChars="0"/>
        <w:textAlignment w:val="auto"/>
        <w:rPr>
          <w:rFonts w:hint="eastAsia" w:ascii="黑体" w:hAnsi="黑体" w:eastAsia="黑体"/>
          <w:sz w:val="32"/>
          <w:szCs w:val="32"/>
        </w:rPr>
      </w:pPr>
    </w:p>
    <w:p w14:paraId="68ECFB14">
      <w:pPr>
        <w:keepNext w:val="0"/>
        <w:keepLines w:val="0"/>
        <w:pageBreakBefore w:val="0"/>
        <w:kinsoku/>
        <w:wordWrap/>
        <w:overflowPunct/>
        <w:topLinePunct w:val="0"/>
        <w:bidi w:val="0"/>
        <w:adjustRightInd/>
        <w:snapToGrid/>
        <w:ind w:left="0" w:leftChars="0"/>
        <w:textAlignment w:val="auto"/>
        <w:rPr>
          <w:rFonts w:hint="eastAsia" w:ascii="黑体" w:hAnsi="黑体" w:eastAsia="黑体"/>
          <w:sz w:val="32"/>
          <w:szCs w:val="32"/>
        </w:rPr>
      </w:pPr>
    </w:p>
    <w:p w14:paraId="24509AEE">
      <w:pPr>
        <w:keepNext w:val="0"/>
        <w:keepLines w:val="0"/>
        <w:pageBreakBefore w:val="0"/>
        <w:kinsoku/>
        <w:wordWrap/>
        <w:overflowPunct/>
        <w:topLinePunct w:val="0"/>
        <w:bidi w:val="0"/>
        <w:adjustRightInd/>
        <w:snapToGrid/>
        <w:ind w:left="0" w:leftChars="0"/>
        <w:textAlignment w:val="auto"/>
        <w:rPr>
          <w:rFonts w:hint="eastAsia" w:ascii="黑体" w:hAnsi="黑体" w:eastAsia="黑体"/>
          <w:sz w:val="32"/>
          <w:szCs w:val="32"/>
        </w:rPr>
      </w:pPr>
    </w:p>
    <w:p w14:paraId="0AB81519">
      <w:pPr>
        <w:keepNext w:val="0"/>
        <w:keepLines w:val="0"/>
        <w:pageBreakBefore w:val="0"/>
        <w:kinsoku/>
        <w:wordWrap/>
        <w:overflowPunct/>
        <w:topLinePunct w:val="0"/>
        <w:bidi w:val="0"/>
        <w:adjustRightInd/>
        <w:snapToGrid/>
        <w:ind w:left="0" w:leftChars="0"/>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050EA953">
      <w:pPr>
        <w:keepNext w:val="0"/>
        <w:keepLines w:val="0"/>
        <w:pageBreakBefore w:val="0"/>
        <w:kinsoku/>
        <w:wordWrap/>
        <w:overflowPunct/>
        <w:topLinePunct w:val="0"/>
        <w:bidi w:val="0"/>
        <w:adjustRightInd/>
        <w:snapToGrid/>
        <w:spacing w:line="640" w:lineRule="exact"/>
        <w:ind w:left="0" w:leftChars="0"/>
        <w:jc w:val="center"/>
        <w:textAlignment w:val="auto"/>
        <w:rPr>
          <w:rFonts w:ascii="Times New Roman" w:hAnsi="Times New Roman" w:eastAsia="方正小标宋_GBK"/>
          <w:sz w:val="36"/>
          <w:szCs w:val="36"/>
        </w:rPr>
      </w:pPr>
      <w:r>
        <w:rPr>
          <w:rFonts w:hint="eastAsia" w:eastAsia="方正小标宋_GBK"/>
          <w:sz w:val="36"/>
          <w:szCs w:val="36"/>
          <w:lang w:val="en-US" w:eastAsia="zh-CN"/>
        </w:rPr>
        <w:t>县委编办</w:t>
      </w:r>
      <w:r>
        <w:rPr>
          <w:rFonts w:hint="eastAsia" w:ascii="Times New Roman" w:hAnsi="Times New Roman" w:eastAsia="方正小标宋_GBK"/>
          <w:sz w:val="36"/>
          <w:szCs w:val="36"/>
        </w:rPr>
        <w:t>绩效</w:t>
      </w:r>
      <w:r>
        <w:rPr>
          <w:rFonts w:hint="eastAsia" w:eastAsia="方正小标宋_GBK"/>
          <w:sz w:val="36"/>
          <w:szCs w:val="36"/>
          <w:lang w:eastAsia="zh-CN"/>
        </w:rPr>
        <w:t>运行</w:t>
      </w:r>
      <w:r>
        <w:rPr>
          <w:rFonts w:hint="eastAsia" w:ascii="Times New Roman" w:hAnsi="Times New Roman" w:eastAsia="方正小标宋_GBK"/>
          <w:sz w:val="36"/>
          <w:szCs w:val="36"/>
        </w:rPr>
        <w:t>监控总结报告</w:t>
      </w:r>
    </w:p>
    <w:p w14:paraId="421DA953">
      <w:pPr>
        <w:keepNext w:val="0"/>
        <w:keepLines w:val="0"/>
        <w:pageBreakBefore w:val="0"/>
        <w:kinsoku/>
        <w:wordWrap/>
        <w:overflowPunct/>
        <w:topLinePunct w:val="0"/>
        <w:bidi w:val="0"/>
        <w:adjustRightInd/>
        <w:snapToGrid/>
        <w:ind w:left="0" w:leftChars="0"/>
        <w:jc w:val="center"/>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2023年</w:t>
      </w:r>
      <w:r>
        <w:rPr>
          <w:rFonts w:hint="eastAsia" w:ascii="楷体_GB2312" w:eastAsia="楷体_GB2312"/>
          <w:sz w:val="32"/>
          <w:szCs w:val="32"/>
        </w:rPr>
        <w:t>）</w:t>
      </w:r>
    </w:p>
    <w:p w14:paraId="54401D08">
      <w:pPr>
        <w:keepNext w:val="0"/>
        <w:keepLines w:val="0"/>
        <w:pageBreakBefore w:val="0"/>
        <w:kinsoku/>
        <w:wordWrap/>
        <w:overflowPunct/>
        <w:topLinePunct w:val="0"/>
        <w:bidi w:val="0"/>
        <w:adjustRightInd/>
        <w:snapToGrid/>
        <w:ind w:left="0" w:leftChars="0"/>
        <w:textAlignment w:val="auto"/>
      </w:pPr>
    </w:p>
    <w:p w14:paraId="600EC067">
      <w:pPr>
        <w:pStyle w:val="20"/>
        <w:keepNext w:val="0"/>
        <w:keepLines w:val="0"/>
        <w:pageBreakBefore w:val="0"/>
        <w:numPr>
          <w:ilvl w:val="0"/>
          <w:numId w:val="0"/>
        </w:numPr>
        <w:kinsoku/>
        <w:wordWrap/>
        <w:overflowPunct/>
        <w:topLinePunct w:val="0"/>
        <w:bidi w:val="0"/>
        <w:adjustRightInd/>
        <w:snapToGrid/>
        <w:ind w:left="-720" w:leftChars="0"/>
        <w:jc w:val="left"/>
        <w:textAlignment w:val="auto"/>
        <w:rPr>
          <w:rFonts w:ascii="黑体" w:hAnsi="黑体" w:eastAsia="黑体"/>
          <w:sz w:val="32"/>
          <w:szCs w:val="32"/>
        </w:rPr>
      </w:pPr>
      <w:r>
        <w:rPr>
          <w:rFonts w:hint="eastAsia" w:ascii="黑体" w:hAnsi="黑体" w:eastAsia="黑体"/>
          <w:sz w:val="32"/>
          <w:szCs w:val="32"/>
          <w:lang w:val="en-US" w:eastAsia="zh-CN"/>
        </w:rPr>
        <w:t xml:space="preserve">         一、</w:t>
      </w:r>
      <w:r>
        <w:rPr>
          <w:rFonts w:hint="eastAsia" w:ascii="黑体" w:hAnsi="黑体" w:eastAsia="黑体"/>
          <w:sz w:val="32"/>
          <w:szCs w:val="32"/>
        </w:rPr>
        <w:t>基本情况</w:t>
      </w:r>
    </w:p>
    <w:p w14:paraId="0BB7B1B7">
      <w:pPr>
        <w:keepNext w:val="0"/>
        <w:keepLines w:val="0"/>
        <w:pageBreakBefore w:val="0"/>
        <w:kinsoku/>
        <w:wordWrap/>
        <w:overflowPunct/>
        <w:topLinePunct w:val="0"/>
        <w:bidi w:val="0"/>
        <w:adjustRightInd/>
        <w:snapToGrid/>
        <w:ind w:left="0" w:leftChars="0" w:firstLine="640" w:firstLineChars="200"/>
        <w:jc w:val="left"/>
        <w:textAlignment w:val="auto"/>
        <w:rPr>
          <w:rFonts w:ascii="楷体_GB2312" w:eastAsia="楷体_GB2312"/>
          <w:sz w:val="32"/>
          <w:szCs w:val="32"/>
        </w:rPr>
      </w:pPr>
      <w:r>
        <w:rPr>
          <w:rFonts w:hint="eastAsia" w:ascii="楷体_GB2312" w:eastAsia="楷体_GB2312"/>
          <w:sz w:val="32"/>
          <w:szCs w:val="32"/>
        </w:rPr>
        <w:t>（一）部门整体情况</w:t>
      </w:r>
    </w:p>
    <w:p w14:paraId="5781A790">
      <w:pPr>
        <w:keepNext w:val="0"/>
        <w:keepLines w:val="0"/>
        <w:pageBreakBefore w:val="0"/>
        <w:kinsoku/>
        <w:wordWrap/>
        <w:overflowPunct/>
        <w:topLinePunct w:val="0"/>
        <w:bidi w:val="0"/>
        <w:adjustRightInd/>
        <w:snapToGrid/>
        <w:ind w:left="0" w:leftChars="0" w:firstLine="640" w:firstLineChars="200"/>
        <w:jc w:val="left"/>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总目标及主要任务：</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贯彻执行中央和省、市有关政策法规，统一管理全县机构编制工作；</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管职能配置和机构设置，协调县委各部门之间、县政府各部门之间、县委各部门和县政府各部门之间以及县直各部门与乡镇场之间的职责分工和事权划分；</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管人员编制，拟订全县行政编制总额分配方案，拟订全县事业单位机构编制标准和管理办法，管理全县乡镇人员编制总量；</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管领导职数，提出县级职数配备调整方案，审定科级职数；</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负责全县机构编制实名制管理、人员编制与经费预算联合管理、统发审核管理和统计工作；</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依法开展事业单位法人登记管理</w:t>
      </w:r>
      <w:r>
        <w:rPr>
          <w:rFonts w:hint="eastAsia" w:ascii="仿宋_GB2312" w:hAnsi="Times New Roman" w:eastAsia="仿宋_GB2312" w:cs="Times New Roman"/>
          <w:sz w:val="32"/>
          <w:szCs w:val="32"/>
          <w:lang w:eastAsia="zh-CN"/>
        </w:rPr>
        <w:t>。</w:t>
      </w:r>
    </w:p>
    <w:p w14:paraId="03844E05">
      <w:pPr>
        <w:keepNext w:val="0"/>
        <w:keepLines w:val="0"/>
        <w:pageBreakBefore w:val="0"/>
        <w:kinsoku/>
        <w:wordWrap/>
        <w:overflowPunct/>
        <w:topLinePunct w:val="0"/>
        <w:bidi w:val="0"/>
        <w:adjustRightInd/>
        <w:snapToGrid/>
        <w:ind w:left="0" w:leftChars="0"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部门整体支出年度绩效指标分为定量指标和定性指标，共设定产出指标、效益指标2项一级指，数量指标、质量指标、成本指标、时效指标、经济效益指标、社会效益指标、生态效益指标、可持续影响指标、社会公众或服务对象满意度等9项二级指标。以及完成机构改革细节、围绕县委总体工作部署开展课题调研、对特色编制工作进行总结推介等。</w:t>
      </w:r>
    </w:p>
    <w:p w14:paraId="5FEC14C0">
      <w:pPr>
        <w:keepNext w:val="0"/>
        <w:keepLines w:val="0"/>
        <w:pageBreakBefore w:val="0"/>
        <w:kinsoku/>
        <w:wordWrap/>
        <w:overflowPunct/>
        <w:topLinePunct w:val="0"/>
        <w:bidi w:val="0"/>
        <w:adjustRightInd/>
        <w:snapToGrid/>
        <w:ind w:left="0" w:leftChars="0" w:firstLine="640" w:firstLineChars="200"/>
        <w:jc w:val="left"/>
        <w:textAlignment w:val="auto"/>
        <w:rPr>
          <w:rFonts w:hint="eastAsia" w:ascii="仿宋" w:eastAsia="仿宋"/>
          <w:sz w:val="32"/>
          <w:szCs w:val="32"/>
          <w:lang w:val="en-US" w:eastAsia="zh-CN"/>
        </w:rPr>
      </w:pPr>
    </w:p>
    <w:p w14:paraId="2FFFBF24">
      <w:pPr>
        <w:keepNext w:val="0"/>
        <w:keepLines w:val="0"/>
        <w:pageBreakBefore w:val="0"/>
        <w:kinsoku/>
        <w:wordWrap/>
        <w:overflowPunct/>
        <w:topLinePunct w:val="0"/>
        <w:bidi w:val="0"/>
        <w:adjustRightInd/>
        <w:snapToGrid/>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整体预算绩效目标、绩效指标设定情况等。</w:t>
      </w:r>
    </w:p>
    <w:p w14:paraId="32E060E8">
      <w:pPr>
        <w:keepNext w:val="0"/>
        <w:keepLines w:val="0"/>
        <w:pageBreakBefore w:val="0"/>
        <w:kinsoku/>
        <w:wordWrap/>
        <w:overflowPunct/>
        <w:topLinePunct w:val="0"/>
        <w:bidi w:val="0"/>
        <w:adjustRightInd/>
        <w:snapToGrid/>
        <w:ind w:left="0" w:leftChars="0" w:firstLine="640" w:firstLineChars="200"/>
        <w:jc w:val="left"/>
        <w:textAlignment w:val="auto"/>
        <w:rPr>
          <w:rFonts w:ascii="楷体_GB2312" w:eastAsia="楷体_GB2312"/>
          <w:sz w:val="32"/>
          <w:szCs w:val="32"/>
        </w:rPr>
      </w:pPr>
      <w:r>
        <w:rPr>
          <w:rFonts w:hint="eastAsia" w:ascii="楷体_GB2312" w:eastAsia="楷体_GB2312"/>
          <w:sz w:val="32"/>
          <w:szCs w:val="32"/>
        </w:rPr>
        <w:t>（二）项目总体情况</w:t>
      </w:r>
    </w:p>
    <w:p w14:paraId="29830081">
      <w:pPr>
        <w:keepNext w:val="0"/>
        <w:keepLines w:val="0"/>
        <w:pageBreakBefore w:val="0"/>
        <w:kinsoku/>
        <w:wordWrap/>
        <w:overflowPunct/>
        <w:topLinePunct w:val="0"/>
        <w:bidi w:val="0"/>
        <w:adjustRightInd/>
        <w:snapToGrid/>
        <w:ind w:left="0" w:leftChars="0"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1.部门项目支出总体预算和执行情况：本部门项目支出总体预算为</w:t>
      </w:r>
      <w:r>
        <w:rPr>
          <w:rFonts w:hint="eastAsia" w:ascii="仿宋_GB2312" w:eastAsia="仿宋_GB2312" w:cs="Times New Roman"/>
          <w:sz w:val="32"/>
          <w:szCs w:val="32"/>
          <w:lang w:val="en-US" w:eastAsia="zh-CN"/>
        </w:rPr>
        <w:t>20.65</w:t>
      </w:r>
      <w:r>
        <w:rPr>
          <w:rFonts w:hint="eastAsia" w:ascii="仿宋_GB2312" w:hAnsi="Times New Roman" w:eastAsia="仿宋_GB2312" w:cs="Times New Roman"/>
          <w:sz w:val="32"/>
          <w:szCs w:val="32"/>
          <w:lang w:val="en-US" w:eastAsia="zh-CN"/>
        </w:rPr>
        <w:t>万，截止202</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val="en-US" w:eastAsia="zh-CN"/>
        </w:rPr>
        <w:t>年</w:t>
      </w:r>
      <w:r>
        <w:rPr>
          <w:rFonts w:hint="eastAsia" w:ascii="仿宋_GB2312" w:eastAsia="仿宋_GB2312" w:cs="Times New Roman"/>
          <w:sz w:val="32"/>
          <w:szCs w:val="32"/>
          <w:lang w:val="en-US" w:eastAsia="zh-CN"/>
        </w:rPr>
        <w:t>12</w:t>
      </w:r>
      <w:r>
        <w:rPr>
          <w:rFonts w:hint="eastAsia" w:ascii="仿宋_GB2312" w:hAnsi="Times New Roman" w:eastAsia="仿宋_GB2312" w:cs="Times New Roman"/>
          <w:sz w:val="32"/>
          <w:szCs w:val="32"/>
          <w:lang w:val="en-US" w:eastAsia="zh-CN"/>
        </w:rPr>
        <w:t>月3</w:t>
      </w:r>
      <w:r>
        <w:rPr>
          <w:rFonts w:hint="eastAsia" w:ascii="仿宋_GB2312"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日，本部门项目支出</w:t>
      </w:r>
      <w:r>
        <w:rPr>
          <w:rFonts w:hint="eastAsia" w:ascii="仿宋_GB2312" w:eastAsia="仿宋_GB2312" w:cs="Times New Roman"/>
          <w:sz w:val="32"/>
          <w:szCs w:val="32"/>
          <w:lang w:val="en-US" w:eastAsia="zh-CN"/>
        </w:rPr>
        <w:t>20.73</w:t>
      </w:r>
      <w:r>
        <w:rPr>
          <w:rFonts w:hint="eastAsia" w:ascii="仿宋_GB2312" w:hAnsi="Times New Roman" w:eastAsia="仿宋_GB2312" w:cs="Times New Roman"/>
          <w:sz w:val="32"/>
          <w:szCs w:val="32"/>
          <w:lang w:val="en-US" w:eastAsia="zh-CN"/>
        </w:rPr>
        <w:t>万元，占项目支出预算总收入的</w:t>
      </w:r>
      <w:r>
        <w:rPr>
          <w:rFonts w:hint="eastAsia" w:ascii="仿宋_GB2312" w:eastAsia="仿宋_GB2312" w:cs="Times New Roman"/>
          <w:sz w:val="32"/>
          <w:szCs w:val="32"/>
          <w:lang w:val="en-US" w:eastAsia="zh-CN"/>
        </w:rPr>
        <w:t>12.75</w:t>
      </w:r>
      <w:r>
        <w:rPr>
          <w:rFonts w:hint="eastAsia" w:ascii="仿宋_GB2312" w:hAnsi="Times New Roman" w:eastAsia="仿宋_GB2312" w:cs="Times New Roman"/>
          <w:sz w:val="32"/>
          <w:szCs w:val="32"/>
          <w:lang w:val="en-US" w:eastAsia="zh-CN"/>
        </w:rPr>
        <w:t>%。</w:t>
      </w:r>
    </w:p>
    <w:p w14:paraId="73F12809">
      <w:pPr>
        <w:keepNext w:val="0"/>
        <w:keepLines w:val="0"/>
        <w:pageBreakBefore w:val="0"/>
        <w:kinsoku/>
        <w:wordWrap/>
        <w:overflowPunct/>
        <w:topLinePunct w:val="0"/>
        <w:bidi w:val="0"/>
        <w:adjustRightInd/>
        <w:snapToGrid/>
        <w:ind w:left="0" w:leftChars="0"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2.项目构成情况</w:t>
      </w:r>
    </w:p>
    <w:p w14:paraId="6887BD29">
      <w:pPr>
        <w:keepNext w:val="0"/>
        <w:keepLines w:val="0"/>
        <w:pageBreakBefore w:val="0"/>
        <w:kinsoku/>
        <w:wordWrap/>
        <w:overflowPunct/>
        <w:topLinePunct w:val="0"/>
        <w:bidi w:val="0"/>
        <w:adjustRightInd/>
        <w:snapToGrid/>
        <w:ind w:left="0" w:leftChars="0"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项目主要目的是</w:t>
      </w:r>
      <w:r>
        <w:rPr>
          <w:rFonts w:hint="eastAsia" w:ascii="仿宋_GB2312" w:hAnsi="Times New Roman" w:eastAsia="仿宋_GB2312" w:cs="Times New Roman"/>
          <w:sz w:val="32"/>
          <w:szCs w:val="32"/>
          <w:lang w:val="zh-CN" w:eastAsia="zh-CN"/>
        </w:rPr>
        <w:t>围绕全县机构改革、事业单位分类、机关群团赋码、事业单位登记、网上域名管理、机构编制核查等。因此项目</w:t>
      </w:r>
      <w:r>
        <w:rPr>
          <w:rFonts w:hint="eastAsia" w:ascii="仿宋_GB2312" w:hAnsi="Times New Roman" w:eastAsia="仿宋_GB2312" w:cs="Times New Roman"/>
          <w:sz w:val="32"/>
          <w:szCs w:val="32"/>
          <w:lang w:val="en-US" w:eastAsia="zh-CN"/>
        </w:rPr>
        <w:t>主由机构改革等业务专项和机构编制核查专项等构成。</w:t>
      </w:r>
    </w:p>
    <w:p w14:paraId="172D8D6E">
      <w:pPr>
        <w:keepNext w:val="0"/>
        <w:keepLines w:val="0"/>
        <w:pageBreakBefore w:val="0"/>
        <w:kinsoku/>
        <w:wordWrap/>
        <w:overflowPunct/>
        <w:topLinePunct w:val="0"/>
        <w:bidi w:val="0"/>
        <w:adjustRightInd/>
        <w:snapToGrid/>
        <w:ind w:left="0" w:leftChars="0" w:firstLine="640" w:firstLineChars="200"/>
        <w:textAlignment w:val="auto"/>
        <w:rPr>
          <w:rFonts w:ascii="黑体" w:hAnsi="黑体" w:eastAsia="黑体"/>
          <w:sz w:val="32"/>
          <w:szCs w:val="32"/>
        </w:rPr>
      </w:pPr>
      <w:r>
        <w:rPr>
          <w:rFonts w:hint="eastAsia" w:ascii="黑体" w:hAnsi="黑体" w:eastAsia="黑体"/>
          <w:sz w:val="32"/>
          <w:szCs w:val="32"/>
        </w:rPr>
        <w:t>二、绩效</w:t>
      </w:r>
      <w:r>
        <w:rPr>
          <w:rFonts w:hint="eastAsia" w:ascii="黑体" w:hAnsi="黑体" w:eastAsia="黑体"/>
          <w:sz w:val="32"/>
          <w:szCs w:val="32"/>
          <w:lang w:eastAsia="zh-CN"/>
        </w:rPr>
        <w:t>运行</w:t>
      </w:r>
      <w:r>
        <w:rPr>
          <w:rFonts w:hint="eastAsia" w:ascii="黑体" w:hAnsi="黑体" w:eastAsia="黑体"/>
          <w:sz w:val="32"/>
          <w:szCs w:val="32"/>
        </w:rPr>
        <w:t>监控工作组织实施情况</w:t>
      </w:r>
    </w:p>
    <w:p w14:paraId="6EA74EA4">
      <w:pPr>
        <w:keepNext w:val="0"/>
        <w:keepLines w:val="0"/>
        <w:pageBreakBefore w:val="0"/>
        <w:kinsoku/>
        <w:wordWrap/>
        <w:overflowPunct/>
        <w:topLinePunct w:val="0"/>
        <w:bidi w:val="0"/>
        <w:adjustRightInd/>
        <w:snapToGrid/>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 w:hAnsi="Times New Roman" w:eastAsia="仿宋" w:cs="Times New Roman"/>
          <w:kern w:val="2"/>
          <w:sz w:val="32"/>
          <w:szCs w:val="24"/>
          <w:lang w:val="en-US" w:eastAsia="zh-CN" w:bidi="ar-SA"/>
        </w:rPr>
        <w:t>本部门整体支出和项目支出实行绩效目标管理</w:t>
      </w:r>
      <w:r>
        <w:rPr>
          <w:rFonts w:hint="eastAsia" w:ascii="仿宋" w:eastAsia="仿宋" w:cs="Times New Roman"/>
          <w:kern w:val="2"/>
          <w:sz w:val="32"/>
          <w:szCs w:val="24"/>
          <w:lang w:val="en-US" w:eastAsia="zh-CN" w:bidi="ar-SA"/>
        </w:rPr>
        <w:t>，</w:t>
      </w:r>
      <w:r>
        <w:rPr>
          <w:rFonts w:hint="eastAsia" w:ascii="仿宋_GB2312" w:eastAsia="仿宋_GB2312"/>
          <w:sz w:val="32"/>
          <w:szCs w:val="32"/>
        </w:rPr>
        <w:t>组织开展程序，责任</w:t>
      </w:r>
      <w:r>
        <w:rPr>
          <w:rFonts w:hint="eastAsia" w:ascii="仿宋_GB2312" w:eastAsia="仿宋_GB2312"/>
          <w:sz w:val="32"/>
          <w:szCs w:val="32"/>
          <w:lang w:val="en-US" w:eastAsia="zh-CN"/>
        </w:rPr>
        <w:t>部门严格按照绩效目标开展工作，完成年初计划任务</w:t>
      </w:r>
      <w:r>
        <w:rPr>
          <w:rFonts w:hint="eastAsia" w:ascii="仿宋_GB2312" w:eastAsia="仿宋_GB2312"/>
          <w:sz w:val="32"/>
          <w:szCs w:val="32"/>
        </w:rPr>
        <w:t>。</w:t>
      </w:r>
    </w:p>
    <w:p w14:paraId="41E7AFFF">
      <w:pPr>
        <w:keepNext w:val="0"/>
        <w:keepLines w:val="0"/>
        <w:pageBreakBefore w:val="0"/>
        <w:kinsoku/>
        <w:wordWrap/>
        <w:overflowPunct/>
        <w:topLinePunct w:val="0"/>
        <w:bidi w:val="0"/>
        <w:adjustRightInd/>
        <w:snapToGrid/>
        <w:ind w:left="0" w:leftChars="0" w:firstLine="640" w:firstLineChars="200"/>
        <w:textAlignment w:val="auto"/>
        <w:rPr>
          <w:rFonts w:ascii="黑体" w:hAnsi="黑体" w:eastAsia="黑体"/>
          <w:sz w:val="32"/>
          <w:szCs w:val="32"/>
        </w:rPr>
      </w:pPr>
      <w:r>
        <w:rPr>
          <w:rFonts w:hint="eastAsia" w:ascii="黑体" w:hAnsi="黑体" w:eastAsia="黑体"/>
          <w:sz w:val="32"/>
          <w:szCs w:val="32"/>
        </w:rPr>
        <w:t>三、绩效监控结果及趋势分析</w:t>
      </w:r>
    </w:p>
    <w:p w14:paraId="4F3F1B63">
      <w:pPr>
        <w:keepNext w:val="0"/>
        <w:keepLines w:val="0"/>
        <w:pageBreakBefore w:val="0"/>
        <w:kinsoku/>
        <w:wordWrap/>
        <w:overflowPunct/>
        <w:topLinePunct w:val="0"/>
        <w:bidi w:val="0"/>
        <w:adjustRightInd/>
        <w:snapToGrid/>
        <w:ind w:left="0" w:leftChars="0" w:firstLine="640" w:firstLineChars="200"/>
        <w:textAlignment w:val="auto"/>
        <w:rPr>
          <w:rFonts w:ascii="楷体_GB2312" w:eastAsia="楷体_GB2312"/>
          <w:sz w:val="32"/>
          <w:szCs w:val="32"/>
        </w:rPr>
      </w:pPr>
      <w:r>
        <w:rPr>
          <w:rFonts w:hint="eastAsia" w:ascii="楷体_GB2312" w:eastAsia="楷体_GB2312"/>
          <w:sz w:val="32"/>
          <w:szCs w:val="32"/>
        </w:rPr>
        <w:t>（一）部门整体支出</w:t>
      </w:r>
    </w:p>
    <w:p w14:paraId="5E4ADF7A">
      <w:pPr>
        <w:keepNext w:val="0"/>
        <w:keepLines w:val="0"/>
        <w:pageBreakBefore w:val="0"/>
        <w:kinsoku/>
        <w:wordWrap/>
        <w:overflowPunct/>
        <w:topLinePunct w:val="0"/>
        <w:bidi w:val="0"/>
        <w:adjustRightInd/>
        <w:snapToGrid/>
        <w:ind w:left="0" w:leftChars="0" w:firstLine="640" w:firstLineChars="200"/>
        <w:textAlignment w:val="auto"/>
        <w:rPr>
          <w:rFonts w:hint="eastAsia" w:ascii="仿宋_GB2312" w:eastAsia="仿宋_GB2312"/>
          <w:sz w:val="32"/>
          <w:szCs w:val="32"/>
          <w:lang w:val="en-US" w:eastAsia="zh-CN"/>
        </w:rPr>
      </w:pPr>
      <w:r>
        <w:rPr>
          <w:rFonts w:hint="eastAsia" w:ascii="仿宋" w:hAnsi="Times New Roman" w:eastAsia="仿宋" w:cs="Times New Roman"/>
          <w:kern w:val="2"/>
          <w:sz w:val="32"/>
          <w:szCs w:val="24"/>
          <w:lang w:val="en-US" w:eastAsia="zh-CN" w:bidi="ar-SA"/>
        </w:rPr>
        <w:t>202</w:t>
      </w:r>
      <w:r>
        <w:rPr>
          <w:rFonts w:hint="eastAsia" w:ascii="仿宋" w:eastAsia="仿宋" w:cs="Times New Roman"/>
          <w:kern w:val="2"/>
          <w:sz w:val="32"/>
          <w:szCs w:val="24"/>
          <w:lang w:val="en-US" w:eastAsia="zh-CN" w:bidi="ar-SA"/>
        </w:rPr>
        <w:t>3</w:t>
      </w:r>
      <w:r>
        <w:rPr>
          <w:rFonts w:hint="eastAsia" w:ascii="仿宋" w:hAnsi="Times New Roman" w:eastAsia="仿宋" w:cs="Times New Roman"/>
          <w:kern w:val="2"/>
          <w:sz w:val="32"/>
          <w:szCs w:val="24"/>
          <w:lang w:val="en-US" w:eastAsia="zh-CN" w:bidi="ar-SA"/>
        </w:rPr>
        <w:t>年，本部门</w:t>
      </w:r>
      <w:r>
        <w:rPr>
          <w:rFonts w:hint="eastAsia" w:ascii="仿宋" w:eastAsia="仿宋" w:cs="Times New Roman"/>
          <w:kern w:val="2"/>
          <w:sz w:val="32"/>
          <w:szCs w:val="24"/>
          <w:lang w:val="en-US" w:eastAsia="zh-CN" w:bidi="ar-SA"/>
        </w:rPr>
        <w:t>预算143.77</w:t>
      </w:r>
      <w:r>
        <w:rPr>
          <w:rFonts w:hint="eastAsia" w:ascii="仿宋" w:hAnsi="Times New Roman" w:eastAsia="仿宋" w:cs="Times New Roman"/>
          <w:kern w:val="2"/>
          <w:sz w:val="32"/>
          <w:szCs w:val="24"/>
          <w:lang w:val="en-US" w:eastAsia="zh-CN" w:bidi="ar-SA"/>
        </w:rPr>
        <w:t>万元</w:t>
      </w:r>
      <w:r>
        <w:rPr>
          <w:rFonts w:hint="eastAsia" w:ascii="仿宋" w:eastAsia="仿宋" w:cs="Times New Roman"/>
          <w:kern w:val="2"/>
          <w:sz w:val="32"/>
          <w:szCs w:val="24"/>
          <w:lang w:val="en-US" w:eastAsia="zh-CN" w:bidi="ar-SA"/>
        </w:rPr>
        <w:t>，基本支出123.12</w:t>
      </w:r>
      <w:r>
        <w:rPr>
          <w:rFonts w:hint="eastAsia" w:ascii="仿宋" w:hAnsi="Times New Roman" w:eastAsia="仿宋" w:cs="Times New Roman"/>
          <w:kern w:val="2"/>
          <w:sz w:val="32"/>
          <w:szCs w:val="24"/>
          <w:lang w:val="en-US" w:eastAsia="zh-CN" w:bidi="ar-SA"/>
        </w:rPr>
        <w:t>万元</w:t>
      </w:r>
      <w:r>
        <w:rPr>
          <w:rFonts w:hint="eastAsia" w:ascii="仿宋" w:eastAsia="仿宋" w:cs="Times New Roman"/>
          <w:kern w:val="2"/>
          <w:sz w:val="32"/>
          <w:szCs w:val="24"/>
          <w:lang w:val="en-US" w:eastAsia="zh-CN" w:bidi="ar-SA"/>
        </w:rPr>
        <w:t>，</w:t>
      </w:r>
      <w:r>
        <w:rPr>
          <w:rFonts w:ascii="仿宋_GB2312" w:eastAsia="仿宋_GB2312"/>
          <w:sz w:val="32"/>
          <w:szCs w:val="32"/>
        </w:rPr>
        <w:t>1-</w:t>
      </w:r>
      <w:r>
        <w:rPr>
          <w:rFonts w:hint="eastAsia" w:ascii="仿宋_GB2312" w:eastAsia="仿宋_GB2312"/>
          <w:sz w:val="32"/>
          <w:szCs w:val="32"/>
          <w:lang w:val="en-US" w:eastAsia="zh-CN"/>
        </w:rPr>
        <w:t>12</w:t>
      </w:r>
      <w:r>
        <w:rPr>
          <w:rFonts w:hint="eastAsia" w:ascii="仿宋_GB2312" w:eastAsia="仿宋_GB2312"/>
          <w:sz w:val="32"/>
          <w:szCs w:val="32"/>
        </w:rPr>
        <w:t>月执行数</w:t>
      </w:r>
      <w:r>
        <w:rPr>
          <w:rFonts w:hint="eastAsia" w:ascii="仿宋" w:eastAsia="仿宋" w:cs="Times New Roman"/>
          <w:kern w:val="2"/>
          <w:sz w:val="32"/>
          <w:szCs w:val="24"/>
          <w:lang w:val="en-US" w:eastAsia="zh-CN" w:bidi="ar-SA"/>
        </w:rPr>
        <w:t>141.73万元，</w:t>
      </w:r>
      <w:r>
        <w:rPr>
          <w:rFonts w:hint="eastAsia" w:ascii="仿宋_GB2312" w:eastAsia="仿宋_GB2312"/>
          <w:sz w:val="32"/>
          <w:szCs w:val="32"/>
        </w:rPr>
        <w:t>执行率</w:t>
      </w:r>
      <w:r>
        <w:rPr>
          <w:rFonts w:hint="eastAsia" w:ascii="仿宋_GB2312" w:eastAsia="仿宋_GB2312"/>
          <w:sz w:val="32"/>
          <w:szCs w:val="32"/>
          <w:lang w:val="en-US" w:eastAsia="zh-CN"/>
        </w:rPr>
        <w:t>为115.11%</w:t>
      </w:r>
      <w:r>
        <w:rPr>
          <w:rFonts w:hint="eastAsia" w:ascii="仿宋_GB2312" w:eastAsia="仿宋_GB2312"/>
          <w:sz w:val="32"/>
          <w:szCs w:val="32"/>
        </w:rPr>
        <w:t>，</w:t>
      </w:r>
      <w:r>
        <w:rPr>
          <w:rFonts w:hint="eastAsia" w:ascii="仿宋_GB2312" w:eastAsia="仿宋_GB2312"/>
          <w:sz w:val="32"/>
          <w:szCs w:val="32"/>
          <w:lang w:eastAsia="zh-CN"/>
        </w:rPr>
        <w:t>本年度超额执行的主要原因为</w:t>
      </w:r>
      <w:r>
        <w:rPr>
          <w:rFonts w:hint="eastAsia" w:ascii="仿宋_GB2312" w:eastAsia="仿宋_GB2312"/>
          <w:sz w:val="32"/>
          <w:szCs w:val="32"/>
          <w:lang w:val="en-US" w:eastAsia="zh-CN"/>
        </w:rPr>
        <w:t>2022年的绩效发放在本年度执行等。</w:t>
      </w:r>
    </w:p>
    <w:p w14:paraId="094231BD">
      <w:pPr>
        <w:keepNext w:val="0"/>
        <w:keepLines w:val="0"/>
        <w:pageBreakBefore w:val="0"/>
        <w:kinsoku/>
        <w:wordWrap/>
        <w:overflowPunct/>
        <w:topLinePunct w:val="0"/>
        <w:bidi w:val="0"/>
        <w:adjustRightInd/>
        <w:snapToGrid/>
        <w:ind w:left="0" w:leftChars="0" w:firstLine="640" w:firstLineChars="200"/>
        <w:textAlignment w:val="auto"/>
        <w:rPr>
          <w:rFonts w:ascii="楷体_GB2312" w:hAnsi="黑体" w:eastAsia="楷体_GB2312"/>
          <w:sz w:val="32"/>
          <w:szCs w:val="32"/>
        </w:rPr>
      </w:pPr>
      <w:r>
        <w:rPr>
          <w:rFonts w:hint="eastAsia" w:ascii="楷体_GB2312" w:hAnsi="黑体" w:eastAsia="楷体_GB2312"/>
          <w:sz w:val="32"/>
          <w:szCs w:val="32"/>
        </w:rPr>
        <w:t>（二）项目支出</w:t>
      </w:r>
    </w:p>
    <w:p w14:paraId="4740D627">
      <w:pPr>
        <w:keepNext w:val="0"/>
        <w:keepLines w:val="0"/>
        <w:pageBreakBefore w:val="0"/>
        <w:kinsoku/>
        <w:wordWrap/>
        <w:overflowPunct/>
        <w:topLinePunct w:val="0"/>
        <w:bidi w:val="0"/>
        <w:adjustRightInd/>
        <w:snapToGrid/>
        <w:ind w:left="0" w:leftChars="0" w:firstLine="640" w:firstLineChars="200"/>
        <w:textAlignment w:val="auto"/>
        <w:rPr>
          <w:rFonts w:hint="eastAsia" w:ascii="仿宋" w:eastAsia="仿宋" w:cs="Times New Roman"/>
          <w:kern w:val="2"/>
          <w:sz w:val="32"/>
          <w:szCs w:val="24"/>
          <w:lang w:val="en-US" w:eastAsia="zh-CN" w:bidi="ar-SA"/>
        </w:rPr>
      </w:pPr>
      <w:r>
        <w:rPr>
          <w:rFonts w:hint="eastAsia" w:ascii="仿宋" w:hAnsi="Times New Roman" w:eastAsia="仿宋" w:cs="Times New Roman"/>
          <w:kern w:val="2"/>
          <w:sz w:val="32"/>
          <w:szCs w:val="24"/>
          <w:lang w:val="en-US" w:eastAsia="zh-CN" w:bidi="ar-SA"/>
        </w:rPr>
        <w:t>202</w:t>
      </w:r>
      <w:r>
        <w:rPr>
          <w:rFonts w:hint="eastAsia" w:ascii="仿宋" w:eastAsia="仿宋" w:cs="Times New Roman"/>
          <w:kern w:val="2"/>
          <w:sz w:val="32"/>
          <w:szCs w:val="24"/>
          <w:lang w:val="en-US" w:eastAsia="zh-CN" w:bidi="ar-SA"/>
        </w:rPr>
        <w:t>3</w:t>
      </w:r>
      <w:r>
        <w:rPr>
          <w:rFonts w:hint="eastAsia" w:ascii="仿宋" w:hAnsi="Times New Roman" w:eastAsia="仿宋" w:cs="Times New Roman"/>
          <w:kern w:val="2"/>
          <w:sz w:val="32"/>
          <w:szCs w:val="24"/>
          <w:lang w:val="en-US" w:eastAsia="zh-CN" w:bidi="ar-SA"/>
        </w:rPr>
        <w:t>年</w:t>
      </w:r>
      <w:r>
        <w:rPr>
          <w:rFonts w:hint="eastAsia" w:ascii="仿宋" w:eastAsia="仿宋" w:cs="Times New Roman"/>
          <w:kern w:val="2"/>
          <w:sz w:val="32"/>
          <w:szCs w:val="24"/>
          <w:lang w:val="en-US" w:eastAsia="zh-CN" w:bidi="ar-SA"/>
        </w:rPr>
        <w:t>项目支出合计20.65万元，包括机构改革、事业单位登记、机关群团机构赋码、网上域名管理、机构编制核查等，所有项目年初批复预算总数20.65万元、1-12</w:t>
      </w:r>
      <w:r>
        <w:rPr>
          <w:rFonts w:hint="eastAsia" w:ascii="仿宋_GB2312" w:eastAsia="仿宋_GB2312"/>
          <w:sz w:val="32"/>
          <w:szCs w:val="32"/>
          <w:lang w:val="en-US" w:eastAsia="zh-CN"/>
        </w:rPr>
        <w:t>月份项目支出20.73万元，</w:t>
      </w:r>
      <w:r>
        <w:rPr>
          <w:rFonts w:hint="eastAsia" w:ascii="仿宋" w:eastAsia="仿宋" w:cs="Times New Roman"/>
          <w:kern w:val="2"/>
          <w:sz w:val="32"/>
          <w:szCs w:val="24"/>
          <w:lang w:val="en-US" w:eastAsia="zh-CN" w:bidi="ar-SA"/>
        </w:rPr>
        <w:t>完成率为100.38%。执行率超额完成。成果：</w:t>
      </w:r>
    </w:p>
    <w:p w14:paraId="37C27B9A">
      <w:pPr>
        <w:spacing w:beforeLines="50" w:line="396" w:lineRule="auto"/>
        <w:ind w:left="15" w:leftChars="7" w:right="11" w:firstLine="604" w:firstLineChars="200"/>
        <w:rPr>
          <w:rFonts w:ascii="仿宋" w:hAnsi="仿宋" w:eastAsia="仿宋" w:cs="仿宋"/>
          <w:spacing w:val="6"/>
          <w:sz w:val="29"/>
          <w:szCs w:val="29"/>
        </w:rPr>
      </w:pPr>
      <w:r>
        <w:rPr>
          <w:rFonts w:hint="eastAsia" w:ascii="仿宋" w:hAnsi="仿宋" w:eastAsia="仿宋" w:cs="仿宋"/>
          <w:spacing w:val="6"/>
          <w:sz w:val="29"/>
          <w:szCs w:val="29"/>
        </w:rPr>
        <w:t xml:space="preserve">努力开展机构编制工作，全年召开了3次县委编委会，推进了一批机构编制事项，取得了一定成效。 </w:t>
      </w:r>
    </w:p>
    <w:p w14:paraId="09B6C559">
      <w:pPr>
        <w:spacing w:beforeLines="50" w:line="396" w:lineRule="auto"/>
        <w:ind w:left="15" w:leftChars="7" w:right="11" w:firstLine="604" w:firstLineChars="200"/>
        <w:rPr>
          <w:rFonts w:ascii="仿宋" w:hAnsi="仿宋" w:eastAsia="仿宋" w:cs="仿宋"/>
          <w:spacing w:val="6"/>
          <w:sz w:val="29"/>
          <w:szCs w:val="29"/>
        </w:rPr>
      </w:pPr>
      <w:r>
        <w:rPr>
          <w:rFonts w:hint="eastAsia" w:ascii="仿宋" w:hAnsi="仿宋" w:eastAsia="仿宋" w:cs="仿宋"/>
          <w:spacing w:val="6"/>
          <w:sz w:val="29"/>
          <w:szCs w:val="29"/>
        </w:rPr>
        <w:t xml:space="preserve">一是解决一批遗留问题。化大力气较为妥善的解决了国有林场改革后机构编制方面存在的遗留问题。较好理顺了住建口自收自支分流人员的编制关系。为教育局下属事业单位调入18名工作人员，缓解了教育局机关工作力量不足的问题。对30名乡镇卫生院医务人员编制进行调整，初步理顺了乡镇卫生院之间人员编制关系。 </w:t>
      </w:r>
    </w:p>
    <w:p w14:paraId="744BCB35">
      <w:pPr>
        <w:spacing w:beforeLines="50" w:line="396" w:lineRule="auto"/>
        <w:ind w:left="15" w:leftChars="7" w:right="11" w:firstLine="604" w:firstLineChars="200"/>
        <w:rPr>
          <w:rFonts w:ascii="仿宋" w:hAnsi="仿宋" w:eastAsia="仿宋" w:cs="仿宋"/>
          <w:spacing w:val="6"/>
          <w:sz w:val="29"/>
          <w:szCs w:val="29"/>
        </w:rPr>
      </w:pPr>
      <w:r>
        <w:rPr>
          <w:rFonts w:hint="eastAsia" w:ascii="仿宋" w:hAnsi="仿宋" w:eastAsia="仿宋" w:cs="仿宋"/>
          <w:spacing w:val="6"/>
          <w:sz w:val="29"/>
          <w:szCs w:val="29"/>
        </w:rPr>
        <w:t xml:space="preserve">二是推进一批改革事项。认真落实中央、省、市关于综合行政执法改革的部署要求，在前期工作的基础上，市场监管、交通运输、农业农村、文化、城管、应急等六大领域人员转隶工作全面完成。按要求推进疾控体制改革，县卫生监督所和疾控中心实现合并。 </w:t>
      </w:r>
    </w:p>
    <w:p w14:paraId="6D018D28">
      <w:pPr>
        <w:spacing w:beforeLines="50" w:line="396" w:lineRule="auto"/>
        <w:ind w:left="15" w:leftChars="7" w:right="11" w:firstLine="604" w:firstLineChars="200"/>
        <w:rPr>
          <w:rFonts w:ascii="仿宋" w:hAnsi="仿宋" w:eastAsia="仿宋" w:cs="仿宋"/>
          <w:spacing w:val="6"/>
          <w:sz w:val="29"/>
          <w:szCs w:val="29"/>
        </w:rPr>
      </w:pPr>
      <w:r>
        <w:rPr>
          <w:rFonts w:hint="eastAsia" w:ascii="仿宋" w:hAnsi="仿宋" w:eastAsia="仿宋" w:cs="仿宋"/>
          <w:spacing w:val="6"/>
          <w:sz w:val="29"/>
          <w:szCs w:val="29"/>
        </w:rPr>
        <w:t xml:space="preserve">三是优化机构编制资源。将打鼓坪中学和打鼓坪小学合并，组建成立了九年一贯制的打鼓坪学校。与教育局组成联合调研组，在深入调研的基础上对全县各学校和幼儿园编制进行了调整。 </w:t>
      </w:r>
    </w:p>
    <w:p w14:paraId="2B7F4F20">
      <w:pPr>
        <w:spacing w:beforeLines="50" w:line="396" w:lineRule="auto"/>
        <w:ind w:left="15" w:leftChars="7" w:right="11" w:firstLine="604" w:firstLineChars="200"/>
        <w:rPr>
          <w:rFonts w:ascii="仿宋" w:hAnsi="仿宋" w:eastAsia="仿宋" w:cs="仿宋"/>
          <w:spacing w:val="6"/>
          <w:sz w:val="29"/>
          <w:szCs w:val="29"/>
        </w:rPr>
      </w:pPr>
      <w:r>
        <w:rPr>
          <w:rFonts w:hint="eastAsia" w:ascii="仿宋" w:hAnsi="仿宋" w:eastAsia="仿宋" w:cs="仿宋"/>
          <w:spacing w:val="6"/>
          <w:sz w:val="29"/>
          <w:szCs w:val="29"/>
        </w:rPr>
        <w:t>四是积极推动引才招才。为2023年人才引进下达用编计划 128名，为2023年事业单位公开招考下达用编计划31名。与教育、卫健、林业等部门协作，向各大专院校属性了定向师范类委培生12名、医卫类委培生10名、林业类委培生10名。</w:t>
      </w:r>
    </w:p>
    <w:p w14:paraId="7A83CC55">
      <w:pPr>
        <w:spacing w:beforeLines="50" w:line="396" w:lineRule="auto"/>
        <w:ind w:left="15" w:leftChars="7" w:right="11" w:firstLine="604" w:firstLineChars="200"/>
        <w:rPr>
          <w:rFonts w:hint="eastAsia" w:ascii="Calibri" w:hAnsi="Calibri" w:cs="Calibri"/>
          <w:spacing w:val="6"/>
          <w:sz w:val="29"/>
          <w:szCs w:val="29"/>
        </w:rPr>
      </w:pPr>
      <w:r>
        <w:rPr>
          <w:rFonts w:hint="eastAsia" w:ascii="仿宋" w:hAnsi="仿宋" w:eastAsia="仿宋" w:cs="仿宋"/>
          <w:spacing w:val="6"/>
          <w:sz w:val="29"/>
          <w:szCs w:val="29"/>
        </w:rPr>
        <w:t>五是认真办理机构编制日常事务。为新招的公务员、选调生以及公费定向委培生师范生、农技特岗毕业生、水利特岗毕业生、医卫类委培生、服务期满的特岗教师、“三支一扶”服务期满人员办理了安置入编手续，对4名退役人员和2023年度湖南省就业援藏事业单位岗位招聘人员进行了安置。同时，为县委改革与发展研究中心、县纪委监委下属事业单位、县委统战部下属事业单位、县人大办公室下属事业单位、县政府发展研究中心等单位选调人员办理编制异动手续，为教师调动办理相关编制异动手续。</w:t>
      </w:r>
      <w:r>
        <w:rPr>
          <w:rFonts w:hint="eastAsia" w:ascii="Calibri" w:hAnsi="Calibri" w:eastAsia="Calibri" w:cs="Calibri"/>
          <w:spacing w:val="6"/>
          <w:sz w:val="29"/>
          <w:szCs w:val="29"/>
        </w:rPr>
        <w:t>      </w:t>
      </w:r>
    </w:p>
    <w:p w14:paraId="45FBAEC8">
      <w:pPr>
        <w:pStyle w:val="13"/>
      </w:pPr>
      <w:r>
        <w:rPr>
          <w:rFonts w:hint="eastAsia" w:ascii="仿宋" w:hAnsi="仿宋" w:eastAsia="仿宋" w:cs="仿宋"/>
          <w:spacing w:val="6"/>
          <w:sz w:val="29"/>
          <w:szCs w:val="29"/>
        </w:rPr>
        <w:t>六是开展事业单位登记管理。全年新设立事业单位5家，变更登记42家，注销登记5家。完成2022年度报告公示的单位183家，年报率达到 100 % ，全县年报在双牌县政府网进行公示，按照“双随机一公开”要求抽查事业单位4家。</w:t>
      </w:r>
    </w:p>
    <w:p w14:paraId="3280779D">
      <w:pPr>
        <w:keepNext w:val="0"/>
        <w:keepLines w:val="0"/>
        <w:pageBreakBefore w:val="0"/>
        <w:kinsoku/>
        <w:wordWrap/>
        <w:overflowPunct/>
        <w:topLinePunct w:val="0"/>
        <w:bidi w:val="0"/>
        <w:adjustRightInd/>
        <w:snapToGrid/>
        <w:ind w:left="0" w:leftChars="0" w:firstLine="640" w:firstLineChars="200"/>
        <w:textAlignment w:val="auto"/>
        <w:rPr>
          <w:rFonts w:ascii="黑体" w:hAnsi="黑体" w:eastAsia="黑体"/>
          <w:sz w:val="32"/>
          <w:szCs w:val="32"/>
        </w:rPr>
      </w:pPr>
      <w:r>
        <w:rPr>
          <w:rFonts w:hint="eastAsia" w:ascii="黑体" w:hAnsi="黑体" w:eastAsia="黑体"/>
          <w:sz w:val="32"/>
          <w:szCs w:val="32"/>
        </w:rPr>
        <w:t>四、存在的主要问题及原因分析</w:t>
      </w:r>
    </w:p>
    <w:p w14:paraId="57955C37">
      <w:pPr>
        <w:keepNext w:val="0"/>
        <w:keepLines w:val="0"/>
        <w:pageBreakBefore w:val="0"/>
        <w:kinsoku/>
        <w:wordWrap/>
        <w:overflowPunct/>
        <w:topLinePunct w:val="0"/>
        <w:bidi w:val="0"/>
        <w:adjustRightInd/>
        <w:snapToGrid/>
        <w:ind w:left="0" w:leftChars="0" w:firstLine="640" w:firstLineChars="200"/>
        <w:textAlignment w:val="auto"/>
        <w:rPr>
          <w:rFonts w:ascii="楷体_GB2312" w:eastAsia="楷体_GB2312"/>
          <w:sz w:val="32"/>
          <w:szCs w:val="32"/>
        </w:rPr>
      </w:pPr>
      <w:r>
        <w:rPr>
          <w:rFonts w:hint="eastAsia" w:ascii="楷体_GB2312" w:eastAsia="楷体_GB2312"/>
          <w:sz w:val="32"/>
          <w:szCs w:val="32"/>
        </w:rPr>
        <w:t>（一）部门整体</w:t>
      </w:r>
    </w:p>
    <w:p w14:paraId="7B345841">
      <w:pPr>
        <w:spacing w:line="600" w:lineRule="exact"/>
        <w:ind w:firstLine="600" w:firstLineChars="200"/>
        <w:rPr>
          <w:rFonts w:ascii="仿宋_GB2312" w:eastAsia="仿宋_GB2312"/>
          <w:sz w:val="32"/>
          <w:szCs w:val="32"/>
        </w:rPr>
      </w:pPr>
      <w:r>
        <w:rPr>
          <w:rFonts w:hint="eastAsia" w:ascii="仿宋" w:hAnsi="仿宋" w:eastAsia="仿宋"/>
          <w:sz w:val="30"/>
          <w:szCs w:val="30"/>
          <w:lang w:val="en-US" w:eastAsia="zh-CN"/>
        </w:rPr>
        <w:t>公有经费有占用项目经费的现象</w:t>
      </w:r>
      <w:r>
        <w:rPr>
          <w:rFonts w:hint="eastAsia" w:ascii="仿宋" w:hAnsi="仿宋" w:eastAsia="仿宋"/>
          <w:sz w:val="30"/>
          <w:szCs w:val="30"/>
        </w:rPr>
        <w:t>。</w:t>
      </w:r>
      <w:r>
        <w:rPr>
          <w:rFonts w:hint="eastAsia" w:ascii="仿宋" w:hAnsi="仿宋" w:eastAsia="仿宋"/>
          <w:sz w:val="30"/>
          <w:szCs w:val="30"/>
          <w:lang w:val="en-US" w:eastAsia="zh-CN"/>
        </w:rPr>
        <w:t>由于人员经费、社会保障缴费、工会经费费用较多，运转经费不能满足开支</w:t>
      </w:r>
      <w:r>
        <w:rPr>
          <w:rFonts w:hint="eastAsia" w:ascii="仿宋" w:hAnsi="仿宋" w:eastAsia="仿宋"/>
          <w:sz w:val="30"/>
          <w:szCs w:val="30"/>
        </w:rPr>
        <w:t>。同时，由于</w:t>
      </w:r>
      <w:r>
        <w:rPr>
          <w:rFonts w:hint="eastAsia" w:ascii="仿宋" w:hAnsi="仿宋" w:eastAsia="仿宋"/>
          <w:sz w:val="30"/>
          <w:szCs w:val="30"/>
          <w:lang w:eastAsia="zh-CN"/>
        </w:rPr>
        <w:t>乡村振兴</w:t>
      </w:r>
      <w:r>
        <w:rPr>
          <w:rFonts w:hint="eastAsia" w:ascii="仿宋" w:hAnsi="仿宋" w:eastAsia="仿宋"/>
          <w:sz w:val="30"/>
          <w:szCs w:val="30"/>
        </w:rPr>
        <w:t>等中心工作任务重，需要一定的工作经费，而公用经费</w:t>
      </w:r>
      <w:r>
        <w:rPr>
          <w:rFonts w:hint="eastAsia" w:ascii="仿宋" w:hAnsi="仿宋" w:eastAsia="仿宋"/>
          <w:sz w:val="30"/>
          <w:szCs w:val="30"/>
          <w:lang w:val="en-US" w:eastAsia="zh-CN"/>
        </w:rPr>
        <w:t>不够开支</w:t>
      </w:r>
      <w:r>
        <w:rPr>
          <w:rFonts w:hint="eastAsia" w:ascii="仿宋" w:hAnsi="仿宋" w:eastAsia="仿宋"/>
          <w:sz w:val="30"/>
          <w:szCs w:val="30"/>
        </w:rPr>
        <w:t>，故挤占了部分专项资金。</w:t>
      </w:r>
    </w:p>
    <w:p w14:paraId="6BF312CD">
      <w:pPr>
        <w:keepNext w:val="0"/>
        <w:keepLines w:val="0"/>
        <w:pageBreakBefore w:val="0"/>
        <w:kinsoku/>
        <w:wordWrap/>
        <w:overflowPunct/>
        <w:topLinePunct w:val="0"/>
        <w:bidi w:val="0"/>
        <w:adjustRightInd/>
        <w:snapToGrid/>
        <w:ind w:left="0" w:leftChars="0" w:firstLine="640" w:firstLineChars="200"/>
        <w:textAlignment w:val="auto"/>
        <w:rPr>
          <w:rFonts w:ascii="楷体_GB2312" w:eastAsia="楷体_GB2312"/>
          <w:sz w:val="32"/>
          <w:szCs w:val="32"/>
        </w:rPr>
      </w:pPr>
      <w:r>
        <w:rPr>
          <w:rFonts w:hint="eastAsia" w:ascii="楷体_GB2312" w:eastAsia="楷体_GB2312"/>
          <w:sz w:val="32"/>
          <w:szCs w:val="32"/>
        </w:rPr>
        <w:t>（二）项目支出</w:t>
      </w:r>
    </w:p>
    <w:p w14:paraId="2972A098">
      <w:pPr>
        <w:keepNext w:val="0"/>
        <w:keepLines w:val="0"/>
        <w:pageBreakBefore w:val="0"/>
        <w:kinsoku/>
        <w:wordWrap/>
        <w:overflowPunct/>
        <w:topLinePunct w:val="0"/>
        <w:bidi w:val="0"/>
        <w:adjustRightInd/>
        <w:snapToGrid/>
        <w:ind w:left="0" w:leftChars="0"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项目开展过程中缺乏统一协调，原因是因为工作分工原因，各办室间工作沟通协调较少。</w:t>
      </w:r>
    </w:p>
    <w:p w14:paraId="57A8C474">
      <w:pPr>
        <w:keepNext w:val="0"/>
        <w:keepLines w:val="0"/>
        <w:pageBreakBefore w:val="0"/>
        <w:kinsoku/>
        <w:wordWrap/>
        <w:overflowPunct/>
        <w:topLinePunct w:val="0"/>
        <w:bidi w:val="0"/>
        <w:adjustRightInd/>
        <w:snapToGrid/>
        <w:ind w:left="0" w:leftChars="0" w:firstLine="640" w:firstLineChars="200"/>
        <w:textAlignment w:val="auto"/>
        <w:rPr>
          <w:rFonts w:ascii="黑体" w:hAnsi="黑体" w:eastAsia="黑体"/>
          <w:sz w:val="32"/>
          <w:szCs w:val="32"/>
        </w:rPr>
      </w:pPr>
      <w:r>
        <w:rPr>
          <w:rFonts w:hint="eastAsia" w:ascii="黑体" w:hAnsi="黑体" w:eastAsia="黑体"/>
          <w:sz w:val="32"/>
          <w:szCs w:val="32"/>
        </w:rPr>
        <w:t>五、下一步改进工作的意见建议</w:t>
      </w:r>
    </w:p>
    <w:p w14:paraId="736038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科学合理编制预算，严格执行预算。要按照《预算法》及其实施条例的相关规定，参考今年的预算执行情况和年度的收支预测科学编制预算，避免年中大幅追加以及超预算。同时严格预算执行，提高资金使用效率。</w:t>
      </w:r>
    </w:p>
    <w:p w14:paraId="0449D4C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2、规范账务处理，提高财务信息质量。严格按照《会计法》、《行政单位会计制度》、《行政单位财务规则》等规定，</w:t>
      </w:r>
      <w:bookmarkStart w:id="0" w:name="_Hlk29396950"/>
      <w:bookmarkEnd w:id="0"/>
      <w:r>
        <w:rPr>
          <w:rFonts w:hint="eastAsia" w:ascii="仿宋" w:hAnsi="仿宋" w:eastAsia="仿宋"/>
          <w:sz w:val="30"/>
          <w:szCs w:val="30"/>
        </w:rPr>
        <w:t>争取配备专业人员从事财务工作，结合实际情况，科学设置支出科目，规范财务核算，完整披露相关信息。</w:t>
      </w:r>
    </w:p>
    <w:p w14:paraId="28314982">
      <w:pPr>
        <w:keepNext w:val="0"/>
        <w:keepLines w:val="0"/>
        <w:pageBreakBefore w:val="0"/>
        <w:kinsoku/>
        <w:wordWrap/>
        <w:overflowPunct/>
        <w:topLinePunct w:val="0"/>
        <w:bidi w:val="0"/>
        <w:adjustRightInd/>
        <w:snapToGrid/>
        <w:ind w:left="0" w:leftChars="0" w:firstLine="600" w:firstLineChars="200"/>
        <w:textAlignment w:val="auto"/>
        <w:rPr>
          <w:rFonts w:ascii="仿宋_GB2312" w:eastAsia="仿宋_GB2312"/>
          <w:sz w:val="32"/>
          <w:szCs w:val="32"/>
        </w:rPr>
      </w:pPr>
      <w:r>
        <w:rPr>
          <w:rFonts w:hint="eastAsia" w:ascii="仿宋" w:hAnsi="仿宋" w:eastAsia="仿宋"/>
          <w:sz w:val="30"/>
          <w:szCs w:val="30"/>
        </w:rPr>
        <w:t>3、加强单位内控制度建设，完善相关内部管理制度。按县财政局要求开展内部控制建设工作，通过查找内部管理中的薄弱环节提出问题；通过清理制度完善各项《内部控</w:t>
      </w:r>
      <w:bookmarkStart w:id="1" w:name="_GoBack"/>
      <w:bookmarkEnd w:id="1"/>
      <w:r>
        <w:rPr>
          <w:rFonts w:hint="eastAsia" w:ascii="仿宋" w:hAnsi="仿宋" w:eastAsia="仿宋"/>
          <w:sz w:val="30"/>
          <w:szCs w:val="30"/>
        </w:rPr>
        <w:t>制制度》。</w:t>
      </w:r>
    </w:p>
    <w:p w14:paraId="7F05EBFC">
      <w:pPr>
        <w:keepNext w:val="0"/>
        <w:keepLines w:val="0"/>
        <w:pageBreakBefore w:val="0"/>
        <w:kinsoku/>
        <w:wordWrap/>
        <w:overflowPunct/>
        <w:topLinePunct w:val="0"/>
        <w:bidi w:val="0"/>
        <w:adjustRightInd/>
        <w:snapToGrid/>
        <w:ind w:left="0" w:leftChars="0" w:firstLine="640" w:firstLineChars="200"/>
        <w:textAlignment w:val="auto"/>
        <w:rPr>
          <w:rFonts w:ascii="黑体" w:hAnsi="黑体" w:eastAsia="黑体"/>
          <w:sz w:val="32"/>
          <w:szCs w:val="32"/>
        </w:rPr>
      </w:pPr>
      <w:r>
        <w:rPr>
          <w:rFonts w:hint="eastAsia" w:ascii="黑体" w:hAnsi="黑体" w:eastAsia="黑体"/>
          <w:sz w:val="32"/>
          <w:szCs w:val="32"/>
        </w:rPr>
        <w:t>六、其他需要说明的问题</w:t>
      </w:r>
    </w:p>
    <w:p w14:paraId="1B48EEF1">
      <w:pPr>
        <w:keepNext w:val="0"/>
        <w:keepLines w:val="0"/>
        <w:pageBreakBefore w:val="0"/>
        <w:kinsoku/>
        <w:wordWrap/>
        <w:overflowPunct/>
        <w:topLinePunct w:val="0"/>
        <w:bidi w:val="0"/>
        <w:adjustRightInd/>
        <w:snapToGrid/>
        <w:ind w:firstLine="1280" w:firstLineChars="400"/>
        <w:textAlignment w:val="auto"/>
        <w:rPr>
          <w:rFonts w:hint="eastAsia" w:ascii="仿宋_GB2312" w:eastAsia="仿宋_GB2312"/>
          <w:sz w:val="32"/>
          <w:szCs w:val="32"/>
          <w:lang w:eastAsia="zh-CN"/>
        </w:rPr>
      </w:pPr>
      <w:r>
        <w:rPr>
          <w:rFonts w:hint="eastAsia" w:ascii="仿宋_GB2312" w:eastAsia="仿宋_GB2312"/>
          <w:sz w:val="32"/>
          <w:szCs w:val="32"/>
          <w:lang w:eastAsia="zh-CN"/>
        </w:rPr>
        <w:t>无</w:t>
      </w:r>
    </w:p>
    <w:p w14:paraId="6B5EA42A">
      <w:pPr>
        <w:keepNext w:val="0"/>
        <w:keepLines w:val="0"/>
        <w:pageBreakBefore w:val="0"/>
        <w:kinsoku/>
        <w:wordWrap/>
        <w:overflowPunct/>
        <w:topLinePunct w:val="0"/>
        <w:bidi w:val="0"/>
        <w:adjustRightInd/>
        <w:snapToGrid/>
        <w:textAlignment w:val="auto"/>
        <w:rPr>
          <w:rFonts w:ascii="仿宋_GB2312" w:eastAsia="仿宋_GB2312"/>
          <w:sz w:val="32"/>
          <w:szCs w:val="32"/>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r>
        <w:rPr>
          <w:rFonts w:hint="eastAsia" w:ascii="仿宋_GB2312" w:eastAsia="仿宋_GB2312"/>
          <w:sz w:val="32"/>
          <w:szCs w:val="32"/>
        </w:rPr>
        <w:t>部门整体支出绩效监控情况表</w:t>
      </w:r>
    </w:p>
    <w:p w14:paraId="2F4C6953">
      <w:pPr>
        <w:keepNext w:val="0"/>
        <w:keepLines w:val="0"/>
        <w:pageBreakBefore w:val="0"/>
        <w:kinsoku/>
        <w:wordWrap/>
        <w:overflowPunct/>
        <w:topLinePunct w:val="0"/>
        <w:bidi w:val="0"/>
        <w:adjustRightInd/>
        <w:snapToGrid/>
        <w:spacing w:line="640" w:lineRule="exact"/>
        <w:ind w:firstLine="960" w:firstLineChars="300"/>
        <w:textAlignment w:val="auto"/>
        <w:rPr>
          <w:rFonts w:ascii="Times New Roman" w:hAnsi="Times New Roman" w:eastAsia="仿宋_GB2312"/>
          <w:sz w:val="32"/>
          <w:szCs w:val="32"/>
        </w:rPr>
      </w:pPr>
      <w:r>
        <w:rPr>
          <w:rFonts w:hint="eastAsia" w:eastAsia="仿宋_GB2312"/>
          <w:sz w:val="32"/>
          <w:szCs w:val="32"/>
          <w:lang w:val="en-US" w:eastAsia="zh-CN"/>
        </w:rPr>
        <w:t>2、</w:t>
      </w:r>
      <w:r>
        <w:rPr>
          <w:rFonts w:ascii="Times New Roman" w:hAnsi="Times New Roman" w:eastAsia="仿宋_GB2312"/>
          <w:sz w:val="32"/>
          <w:szCs w:val="32"/>
        </w:rPr>
        <w:t>项目支出绩效运行监控表</w:t>
      </w:r>
    </w:p>
    <w:p w14:paraId="41900FB6">
      <w:pPr>
        <w:keepNext w:val="0"/>
        <w:keepLines w:val="0"/>
        <w:pageBreakBefore w:val="0"/>
        <w:kinsoku/>
        <w:wordWrap/>
        <w:overflowPunct/>
        <w:topLinePunct w:val="0"/>
        <w:bidi w:val="0"/>
        <w:adjustRightInd/>
        <w:snapToGrid/>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（公章）</w:t>
      </w:r>
    </w:p>
    <w:p w14:paraId="3E503F18">
      <w:pPr>
        <w:keepNext w:val="0"/>
        <w:keepLines w:val="0"/>
        <w:pageBreakBefore w:val="0"/>
        <w:kinsoku/>
        <w:wordWrap/>
        <w:overflowPunct/>
        <w:topLinePunct w:val="0"/>
        <w:bidi w:val="0"/>
        <w:adjustRightInd/>
        <w:snapToGrid/>
        <w:ind w:left="4750" w:leftChars="2262"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（日期）</w:t>
      </w:r>
      <w:r>
        <w:rPr>
          <w:rFonts w:hint="eastAsia" w:ascii="仿宋_GB2312" w:eastAsia="仿宋_GB2312"/>
          <w:sz w:val="32"/>
          <w:szCs w:val="32"/>
          <w:lang w:val="en-US" w:eastAsia="zh-CN"/>
        </w:rPr>
        <w:t>2024.5.22</w:t>
      </w:r>
    </w:p>
    <w:p w14:paraId="13719017">
      <w:pPr>
        <w:autoSpaceDE w:val="0"/>
        <w:autoSpaceDN w:val="0"/>
        <w:adjustRightInd w:val="0"/>
        <w:ind w:firstLine="640" w:firstLineChars="200"/>
        <w:rPr>
          <w:rFonts w:ascii="仿宋" w:eastAsia="仿宋"/>
          <w:color w:val="000000"/>
          <w:kern w:val="0"/>
          <w:sz w:val="32"/>
          <w:szCs w:val="32"/>
          <w:lang w:val="zh-CN"/>
        </w:rPr>
      </w:pPr>
    </w:p>
    <w:sectPr>
      <w:headerReference r:id="rId4" w:type="default"/>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150">
    <w:pPr>
      <w:pStyle w:val="6"/>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4AD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804AD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EF809">
    <w:pPr>
      <w:pStyle w:val="6"/>
      <w:jc w:val="right"/>
      <w:rPr>
        <w:rFonts w:ascii="仿宋" w:hAnsi="仿宋" w:eastAsia="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3 -</w:t>
    </w:r>
    <w:r>
      <w:rPr>
        <w:rFonts w:ascii="仿宋" w:hAnsi="仿宋" w:eastAsia="仿宋" w:cs="仿宋"/>
        <w:sz w:val="32"/>
        <w:szCs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BFEEE">
    <w:pPr>
      <w:pStyle w:val="6"/>
      <w:rPr>
        <w:rFonts w:ascii="仿宋" w:hAnsi="仿宋" w:eastAsia="仿宋"/>
        <w:sz w:val="32"/>
        <w:szCs w:val="32"/>
      </w:rPr>
    </w:pPr>
    <w:r>
      <w:rPr>
        <w:sz w:val="32"/>
        <w:szCs w:val="32"/>
      </w:rPr>
      <w:br w:type="textWrapping"/>
    </w:r>
    <w:r>
      <w:rPr>
        <w:rFonts w:ascii="仿宋" w:hAnsi="仿宋" w:eastAsia="仿宋"/>
        <w:sz w:val="32"/>
        <w:szCs w:val="32"/>
      </w:rPr>
      <w:br w:type="textWrapping"/>
    </w:r>
    <w:r>
      <w:rPr>
        <w:rFonts w:ascii="仿宋" w:hAnsi="仿宋" w:eastAsia="仿宋" w:cs="仿宋"/>
        <w:sz w:val="32"/>
        <w:szCs w:val="32"/>
      </w:rPr>
      <w:fldChar w:fldCharType="begin"/>
    </w:r>
    <w:r>
      <w:rPr>
        <w:rFonts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4 -</w:t>
    </w:r>
    <w:r>
      <w:rPr>
        <w:rFonts w:ascii="仿宋" w:hAnsi="仿宋" w:eastAsia="仿宋" w:cs="仿宋"/>
        <w:sz w:val="32"/>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0BC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zlkNzIxMDkyNjZhNjY2NjBjMzY5NDZiMTk1ZGUifQ=="/>
  </w:docVars>
  <w:rsids>
    <w:rsidRoot w:val="000F1FE0"/>
    <w:rsid w:val="00042E7A"/>
    <w:rsid w:val="00050D78"/>
    <w:rsid w:val="00052103"/>
    <w:rsid w:val="00055B11"/>
    <w:rsid w:val="00057CD0"/>
    <w:rsid w:val="00060144"/>
    <w:rsid w:val="00070CDD"/>
    <w:rsid w:val="000B3A56"/>
    <w:rsid w:val="000B7385"/>
    <w:rsid w:val="000F0E2B"/>
    <w:rsid w:val="000F1FE0"/>
    <w:rsid w:val="0010287D"/>
    <w:rsid w:val="00141CEA"/>
    <w:rsid w:val="00163515"/>
    <w:rsid w:val="001646C6"/>
    <w:rsid w:val="001A48D8"/>
    <w:rsid w:val="001B0159"/>
    <w:rsid w:val="001B660C"/>
    <w:rsid w:val="001C12BF"/>
    <w:rsid w:val="001C77AA"/>
    <w:rsid w:val="001D198A"/>
    <w:rsid w:val="001D402D"/>
    <w:rsid w:val="001E5FE7"/>
    <w:rsid w:val="001F732E"/>
    <w:rsid w:val="0020156F"/>
    <w:rsid w:val="00206A40"/>
    <w:rsid w:val="00206DF3"/>
    <w:rsid w:val="00225E51"/>
    <w:rsid w:val="00227B0E"/>
    <w:rsid w:val="002375C2"/>
    <w:rsid w:val="00242706"/>
    <w:rsid w:val="00242910"/>
    <w:rsid w:val="002523CE"/>
    <w:rsid w:val="00262C82"/>
    <w:rsid w:val="00273736"/>
    <w:rsid w:val="002913AD"/>
    <w:rsid w:val="002A2281"/>
    <w:rsid w:val="002B1B72"/>
    <w:rsid w:val="002B3327"/>
    <w:rsid w:val="002B5620"/>
    <w:rsid w:val="002D10FA"/>
    <w:rsid w:val="002E4387"/>
    <w:rsid w:val="002E6460"/>
    <w:rsid w:val="002E7C38"/>
    <w:rsid w:val="00301738"/>
    <w:rsid w:val="00321188"/>
    <w:rsid w:val="00330F5A"/>
    <w:rsid w:val="00335F59"/>
    <w:rsid w:val="003652E2"/>
    <w:rsid w:val="00374EE6"/>
    <w:rsid w:val="00391A26"/>
    <w:rsid w:val="003A1A69"/>
    <w:rsid w:val="003C011F"/>
    <w:rsid w:val="003C5A3B"/>
    <w:rsid w:val="003C790F"/>
    <w:rsid w:val="003D2CE5"/>
    <w:rsid w:val="003E47CA"/>
    <w:rsid w:val="004377FA"/>
    <w:rsid w:val="004458B9"/>
    <w:rsid w:val="004650C8"/>
    <w:rsid w:val="0047736D"/>
    <w:rsid w:val="00486A2E"/>
    <w:rsid w:val="004B6CE7"/>
    <w:rsid w:val="004E6A36"/>
    <w:rsid w:val="004F0D89"/>
    <w:rsid w:val="004F3063"/>
    <w:rsid w:val="00515C46"/>
    <w:rsid w:val="00524245"/>
    <w:rsid w:val="0052667F"/>
    <w:rsid w:val="00585093"/>
    <w:rsid w:val="005A50DB"/>
    <w:rsid w:val="005B1B94"/>
    <w:rsid w:val="005C082C"/>
    <w:rsid w:val="005C2650"/>
    <w:rsid w:val="005C4842"/>
    <w:rsid w:val="005D7B16"/>
    <w:rsid w:val="005E6189"/>
    <w:rsid w:val="00620DFF"/>
    <w:rsid w:val="00622D00"/>
    <w:rsid w:val="00626888"/>
    <w:rsid w:val="00660E10"/>
    <w:rsid w:val="00667138"/>
    <w:rsid w:val="00672128"/>
    <w:rsid w:val="0067597A"/>
    <w:rsid w:val="00681ED7"/>
    <w:rsid w:val="00691018"/>
    <w:rsid w:val="00696620"/>
    <w:rsid w:val="006A02A9"/>
    <w:rsid w:val="006A3D16"/>
    <w:rsid w:val="006A46A8"/>
    <w:rsid w:val="006A6BE2"/>
    <w:rsid w:val="006B1A73"/>
    <w:rsid w:val="006B5A5B"/>
    <w:rsid w:val="006D16F0"/>
    <w:rsid w:val="006D4318"/>
    <w:rsid w:val="006D621D"/>
    <w:rsid w:val="0070065D"/>
    <w:rsid w:val="00711F02"/>
    <w:rsid w:val="007254FA"/>
    <w:rsid w:val="00727E04"/>
    <w:rsid w:val="00730331"/>
    <w:rsid w:val="0073041B"/>
    <w:rsid w:val="00757996"/>
    <w:rsid w:val="0076671D"/>
    <w:rsid w:val="00767536"/>
    <w:rsid w:val="00791DE7"/>
    <w:rsid w:val="007B7267"/>
    <w:rsid w:val="007B7B0C"/>
    <w:rsid w:val="007F799F"/>
    <w:rsid w:val="00823620"/>
    <w:rsid w:val="008317A2"/>
    <w:rsid w:val="00833E2F"/>
    <w:rsid w:val="00840B3B"/>
    <w:rsid w:val="00843EF0"/>
    <w:rsid w:val="008464DB"/>
    <w:rsid w:val="00846BDC"/>
    <w:rsid w:val="00853A84"/>
    <w:rsid w:val="008558FA"/>
    <w:rsid w:val="00883E09"/>
    <w:rsid w:val="008901D1"/>
    <w:rsid w:val="008A25B3"/>
    <w:rsid w:val="008C2710"/>
    <w:rsid w:val="008D37B1"/>
    <w:rsid w:val="00921F02"/>
    <w:rsid w:val="00930FA4"/>
    <w:rsid w:val="00936536"/>
    <w:rsid w:val="009400CC"/>
    <w:rsid w:val="00982245"/>
    <w:rsid w:val="00996754"/>
    <w:rsid w:val="009E0F8A"/>
    <w:rsid w:val="009F4221"/>
    <w:rsid w:val="009F5296"/>
    <w:rsid w:val="00A31E56"/>
    <w:rsid w:val="00A4233A"/>
    <w:rsid w:val="00A529C8"/>
    <w:rsid w:val="00A5337E"/>
    <w:rsid w:val="00A77DAD"/>
    <w:rsid w:val="00A9179B"/>
    <w:rsid w:val="00A91F2E"/>
    <w:rsid w:val="00AB060C"/>
    <w:rsid w:val="00AC60C4"/>
    <w:rsid w:val="00AD0F9A"/>
    <w:rsid w:val="00AD1425"/>
    <w:rsid w:val="00AD38BA"/>
    <w:rsid w:val="00AF1D59"/>
    <w:rsid w:val="00AF2B0C"/>
    <w:rsid w:val="00AF5D63"/>
    <w:rsid w:val="00B113A7"/>
    <w:rsid w:val="00B135F8"/>
    <w:rsid w:val="00B324F7"/>
    <w:rsid w:val="00B3397F"/>
    <w:rsid w:val="00B351B2"/>
    <w:rsid w:val="00B43272"/>
    <w:rsid w:val="00B576D7"/>
    <w:rsid w:val="00B60736"/>
    <w:rsid w:val="00B674A3"/>
    <w:rsid w:val="00B82762"/>
    <w:rsid w:val="00B92001"/>
    <w:rsid w:val="00BB6E0E"/>
    <w:rsid w:val="00BC5256"/>
    <w:rsid w:val="00BD5837"/>
    <w:rsid w:val="00BE0147"/>
    <w:rsid w:val="00BE5B0F"/>
    <w:rsid w:val="00BF2B99"/>
    <w:rsid w:val="00C041D4"/>
    <w:rsid w:val="00C35A1B"/>
    <w:rsid w:val="00C574FC"/>
    <w:rsid w:val="00C6304B"/>
    <w:rsid w:val="00C654E8"/>
    <w:rsid w:val="00C70300"/>
    <w:rsid w:val="00C7385B"/>
    <w:rsid w:val="00C82509"/>
    <w:rsid w:val="00C9233A"/>
    <w:rsid w:val="00CA591E"/>
    <w:rsid w:val="00CB037F"/>
    <w:rsid w:val="00CD1687"/>
    <w:rsid w:val="00CD75CE"/>
    <w:rsid w:val="00CF68A1"/>
    <w:rsid w:val="00D31802"/>
    <w:rsid w:val="00D468AC"/>
    <w:rsid w:val="00D518BA"/>
    <w:rsid w:val="00D85841"/>
    <w:rsid w:val="00DC00C9"/>
    <w:rsid w:val="00DC6D63"/>
    <w:rsid w:val="00DC6E44"/>
    <w:rsid w:val="00DE19FB"/>
    <w:rsid w:val="00DE2070"/>
    <w:rsid w:val="00E04344"/>
    <w:rsid w:val="00E052CD"/>
    <w:rsid w:val="00E35B54"/>
    <w:rsid w:val="00E36A8C"/>
    <w:rsid w:val="00E4055D"/>
    <w:rsid w:val="00E5288D"/>
    <w:rsid w:val="00E55EFA"/>
    <w:rsid w:val="00E93B1D"/>
    <w:rsid w:val="00EB0645"/>
    <w:rsid w:val="00EB744D"/>
    <w:rsid w:val="00ED1F05"/>
    <w:rsid w:val="00ED5E59"/>
    <w:rsid w:val="00F4728D"/>
    <w:rsid w:val="00F56935"/>
    <w:rsid w:val="00F63558"/>
    <w:rsid w:val="00FE119C"/>
    <w:rsid w:val="00FF1210"/>
    <w:rsid w:val="00FF41C1"/>
    <w:rsid w:val="02322C76"/>
    <w:rsid w:val="057E3B9C"/>
    <w:rsid w:val="0779135B"/>
    <w:rsid w:val="078A745A"/>
    <w:rsid w:val="0A384924"/>
    <w:rsid w:val="0A4E0CD7"/>
    <w:rsid w:val="118D341C"/>
    <w:rsid w:val="12220739"/>
    <w:rsid w:val="13225964"/>
    <w:rsid w:val="15333622"/>
    <w:rsid w:val="18EF460E"/>
    <w:rsid w:val="19720404"/>
    <w:rsid w:val="1C8A4677"/>
    <w:rsid w:val="1EAB6C7C"/>
    <w:rsid w:val="1EC3389F"/>
    <w:rsid w:val="26466650"/>
    <w:rsid w:val="28CD7942"/>
    <w:rsid w:val="36860AAC"/>
    <w:rsid w:val="3A190FBF"/>
    <w:rsid w:val="3D245DAE"/>
    <w:rsid w:val="46C762C0"/>
    <w:rsid w:val="4CEA4649"/>
    <w:rsid w:val="4E507477"/>
    <w:rsid w:val="55942C4A"/>
    <w:rsid w:val="55EE7BBD"/>
    <w:rsid w:val="5E2D59A8"/>
    <w:rsid w:val="5E7B2A00"/>
    <w:rsid w:val="6293213A"/>
    <w:rsid w:val="62C87C29"/>
    <w:rsid w:val="64E02E85"/>
    <w:rsid w:val="6BA51E03"/>
    <w:rsid w:val="70B33438"/>
    <w:rsid w:val="7388206C"/>
    <w:rsid w:val="7739755A"/>
    <w:rsid w:val="7C104977"/>
    <w:rsid w:val="7C3460C1"/>
    <w:rsid w:val="7EBA3754"/>
    <w:rsid w:val="7F10473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locked/>
    <w:uiPriority w:val="0"/>
    <w:pPr>
      <w:spacing w:after="120" w:afterLines="0"/>
    </w:pPr>
  </w:style>
  <w:style w:type="paragraph" w:styleId="4">
    <w:name w:val="Date"/>
    <w:basedOn w:val="1"/>
    <w:next w:val="1"/>
    <w:link w:val="14"/>
    <w:qFormat/>
    <w:uiPriority w:val="99"/>
    <w:pPr>
      <w:ind w:left="100" w:leftChars="2500"/>
    </w:p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99"/>
    <w:rPr>
      <w:color w:val="0000FF"/>
      <w:u w:val="single"/>
    </w:rPr>
  </w:style>
  <w:style w:type="paragraph" w:customStyle="1" w:styleId="13">
    <w:name w:val="BodyText1I"/>
    <w:basedOn w:val="1"/>
    <w:qFormat/>
    <w:uiPriority w:val="99"/>
    <w:pPr>
      <w:snapToGrid w:val="0"/>
      <w:spacing w:line="360" w:lineRule="auto"/>
      <w:ind w:firstLine="420" w:firstLineChars="100"/>
    </w:pPr>
    <w:rPr>
      <w:sz w:val="28"/>
      <w:szCs w:val="20"/>
    </w:rPr>
  </w:style>
  <w:style w:type="character" w:customStyle="1" w:styleId="14">
    <w:name w:val="Date Char"/>
    <w:basedOn w:val="11"/>
    <w:link w:val="4"/>
    <w:qFormat/>
    <w:locked/>
    <w:uiPriority w:val="99"/>
    <w:rPr>
      <w:kern w:val="2"/>
      <w:sz w:val="24"/>
      <w:szCs w:val="24"/>
    </w:rPr>
  </w:style>
  <w:style w:type="character" w:customStyle="1" w:styleId="15">
    <w:name w:val="Balloon Text Char"/>
    <w:basedOn w:val="11"/>
    <w:link w:val="5"/>
    <w:semiHidden/>
    <w:qFormat/>
    <w:locked/>
    <w:uiPriority w:val="99"/>
    <w:rPr>
      <w:sz w:val="2"/>
      <w:szCs w:val="2"/>
    </w:rPr>
  </w:style>
  <w:style w:type="character" w:customStyle="1" w:styleId="16">
    <w:name w:val="Footer Char"/>
    <w:basedOn w:val="11"/>
    <w:link w:val="6"/>
    <w:qFormat/>
    <w:locked/>
    <w:uiPriority w:val="99"/>
    <w:rPr>
      <w:kern w:val="2"/>
      <w:sz w:val="18"/>
      <w:szCs w:val="18"/>
    </w:rPr>
  </w:style>
  <w:style w:type="character" w:customStyle="1" w:styleId="17">
    <w:name w:val="Header Char"/>
    <w:basedOn w:val="11"/>
    <w:link w:val="7"/>
    <w:semiHidden/>
    <w:qFormat/>
    <w:locked/>
    <w:uiPriority w:val="99"/>
    <w:rPr>
      <w:sz w:val="18"/>
      <w:szCs w:val="18"/>
    </w:rPr>
  </w:style>
  <w:style w:type="paragraph" w:customStyle="1" w:styleId="18">
    <w:name w:val="List Paragraph1"/>
    <w:basedOn w:val="1"/>
    <w:qFormat/>
    <w:uiPriority w:val="99"/>
    <w:pPr>
      <w:ind w:firstLine="420" w:firstLineChars="200"/>
    </w:pPr>
  </w:style>
  <w:style w:type="paragraph" w:customStyle="1" w:styleId="19">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8</Pages>
  <Words>3404</Words>
  <Characters>3712</Characters>
  <Lines>0</Lines>
  <Paragraphs>0</Paragraphs>
  <TotalTime>3</TotalTime>
  <ScaleCrop>false</ScaleCrop>
  <LinksUpToDate>false</LinksUpToDate>
  <CharactersWithSpaces>4203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2016-10-13T03:43:00Z</dcterms:created>
  <dc:creator>USER</dc:creator>
  <cp:lastModifiedBy>Administrator</cp:lastModifiedBy>
  <cp:lastPrinted>2022-12-12T01:33:00Z</cp:lastPrinted>
  <dcterms:modified xsi:type="dcterms:W3CDTF">2024-10-23T01:56:06Z</dcterms:modified>
  <dc:title>关于转发《湖南省财政厅关于推进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3C255C9D7972487ABAE111488D4ACAE8_13</vt:lpwstr>
  </property>
</Properties>
</file>