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0" w:afterLines="0"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202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52"/>
          <w:szCs w:val="24"/>
        </w:rPr>
        <w:t>年度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麻江镇学校</w:t>
      </w:r>
      <w:r>
        <w:rPr>
          <w:rFonts w:hint="eastAsia" w:ascii="方正小标宋简体" w:eastAsia="方正小标宋简体"/>
          <w:sz w:val="52"/>
          <w:szCs w:val="24"/>
        </w:rPr>
        <w:t>整体支出</w:t>
      </w:r>
    </w:p>
    <w:p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绩效自评报告</w:t>
      </w: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ind w:firstLine="640" w:firstLineChars="200"/>
        <w:jc w:val="center"/>
        <w:rPr>
          <w:rFonts w:hint="default" w:eastAsia="黑体"/>
          <w:sz w:val="36"/>
          <w:szCs w:val="36"/>
          <w:lang w:val="en-US" w:eastAsia="zh-CN"/>
        </w:rPr>
      </w:pPr>
      <w:r>
        <w:rPr>
          <w:rFonts w:hint="eastAsia" w:eastAsia="仿宋_GB2312"/>
          <w:sz w:val="32"/>
          <w:szCs w:val="24"/>
        </w:rPr>
        <w:t>单位名称</w:t>
      </w:r>
      <w:r>
        <w:rPr>
          <w:rFonts w:hint="eastAsia" w:eastAsia="仿宋_GB2312"/>
          <w:sz w:val="32"/>
          <w:szCs w:val="24"/>
          <w:u w:val="none"/>
        </w:rPr>
        <w:t>（盖章）</w:t>
      </w:r>
      <w:r>
        <w:rPr>
          <w:rFonts w:hint="eastAsia" w:eastAsia="仿宋_GB2312"/>
          <w:sz w:val="32"/>
          <w:szCs w:val="24"/>
        </w:rPr>
        <w:t>：</w:t>
      </w:r>
      <w:r>
        <w:rPr>
          <w:rFonts w:hint="eastAsia" w:ascii="黑体" w:hAnsi="黑体" w:eastAsia="黑体"/>
          <w:sz w:val="28"/>
          <w:szCs w:val="28"/>
          <w:u w:val="single"/>
          <w:lang w:val="en-US" w:eastAsia="zh-CN"/>
        </w:rPr>
        <w:t>双牌县麻江镇学校</w:t>
      </w:r>
    </w:p>
    <w:p>
      <w:pPr>
        <w:spacing w:beforeLines="0" w:afterLines="0" w:line="600" w:lineRule="exact"/>
        <w:ind w:firstLine="1920" w:firstLineChars="600"/>
        <w:rPr>
          <w:rFonts w:hint="default" w:eastAsia="仿宋_GB2312"/>
          <w:sz w:val="32"/>
          <w:szCs w:val="24"/>
          <w:u w:val="single"/>
        </w:rPr>
      </w:pPr>
    </w:p>
    <w:p>
      <w:pPr>
        <w:spacing w:beforeLines="0" w:afterLines="0" w:line="600" w:lineRule="exact"/>
        <w:ind w:firstLine="3200" w:firstLineChars="1000"/>
        <w:rPr>
          <w:rFonts w:hint="eastAsia" w:eastAsia="楷体_GB2312"/>
          <w:sz w:val="32"/>
          <w:szCs w:val="24"/>
        </w:rPr>
      </w:pPr>
    </w:p>
    <w:p>
      <w:pPr>
        <w:spacing w:beforeLines="0" w:afterLines="0" w:line="600" w:lineRule="exact"/>
        <w:ind w:firstLine="3200" w:firstLineChars="1000"/>
        <w:rPr>
          <w:rFonts w:hint="default" w:eastAsia="楷体_GB2312"/>
          <w:sz w:val="32"/>
          <w:szCs w:val="24"/>
        </w:rPr>
      </w:pPr>
      <w:r>
        <w:rPr>
          <w:rFonts w:hint="eastAsia" w:eastAsia="楷体_GB2312"/>
          <w:sz w:val="32"/>
          <w:szCs w:val="24"/>
          <w:lang w:val="en-US" w:eastAsia="zh-CN"/>
        </w:rPr>
        <w:t>2024</w:t>
      </w:r>
      <w:r>
        <w:rPr>
          <w:rFonts w:hint="eastAsia" w:eastAsia="楷体_GB2312"/>
          <w:sz w:val="32"/>
          <w:szCs w:val="24"/>
        </w:rPr>
        <w:t>年</w:t>
      </w:r>
      <w:r>
        <w:rPr>
          <w:rFonts w:hint="eastAsia" w:eastAsia="楷体_GB2312"/>
          <w:sz w:val="32"/>
          <w:szCs w:val="24"/>
          <w:lang w:val="en-US" w:eastAsia="zh-CN"/>
        </w:rPr>
        <w:t>5</w:t>
      </w:r>
      <w:r>
        <w:rPr>
          <w:rFonts w:hint="eastAsia" w:eastAsia="楷体_GB2312"/>
          <w:sz w:val="32"/>
          <w:szCs w:val="24"/>
        </w:rPr>
        <w:t>月</w:t>
      </w:r>
      <w:r>
        <w:rPr>
          <w:rFonts w:hint="eastAsia" w:eastAsia="楷体_GB2312"/>
          <w:sz w:val="32"/>
          <w:szCs w:val="24"/>
          <w:lang w:val="en-US" w:eastAsia="zh-CN"/>
        </w:rPr>
        <w:t>20</w:t>
      </w:r>
      <w:r>
        <w:rPr>
          <w:rFonts w:hint="eastAsia" w:eastAsia="楷体_GB2312"/>
          <w:sz w:val="32"/>
          <w:szCs w:val="24"/>
        </w:rPr>
        <w:t>日</w:t>
      </w:r>
    </w:p>
    <w:p>
      <w:pPr>
        <w:numPr>
          <w:ilvl w:val="0"/>
          <w:numId w:val="0"/>
        </w:numPr>
        <w:spacing w:beforeLines="0" w:afterLines="0" w:line="570" w:lineRule="exact"/>
        <w:outlineLvl w:val="0"/>
        <w:rPr>
          <w:rFonts w:hint="default" w:eastAsia="黑体"/>
          <w:sz w:val="32"/>
          <w:szCs w:val="24"/>
        </w:rPr>
      </w:pPr>
      <w:r>
        <w:rPr>
          <w:rFonts w:hint="default" w:eastAsia="仿宋_GB2312"/>
          <w:sz w:val="32"/>
          <w:szCs w:val="24"/>
        </w:rPr>
        <w:br w:type="page"/>
      </w:r>
      <w:r>
        <w:rPr>
          <w:rFonts w:hint="eastAsia" w:eastAsia="仿宋_GB2312"/>
          <w:sz w:val="32"/>
          <w:szCs w:val="24"/>
          <w:lang w:eastAsia="zh-CN"/>
        </w:rPr>
        <w:t>（</w:t>
      </w:r>
      <w:r>
        <w:rPr>
          <w:rFonts w:hint="eastAsia" w:eastAsia="仿宋_GB2312"/>
          <w:sz w:val="32"/>
          <w:szCs w:val="24"/>
          <w:lang w:val="en-US" w:eastAsia="zh-CN"/>
        </w:rPr>
        <w:t>一）</w:t>
      </w:r>
      <w:r>
        <w:rPr>
          <w:rFonts w:hint="eastAsia" w:eastAsia="黑体"/>
          <w:sz w:val="32"/>
          <w:szCs w:val="24"/>
        </w:rPr>
        <w:t>部门（单位）基本情况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240" w:lineRule="auto"/>
        <w:ind w:firstLine="560" w:firstLineChars="200"/>
        <w:textAlignment w:val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1．主要职能：</w:t>
      </w:r>
      <w:r>
        <w:rPr>
          <w:rFonts w:hint="eastAsia" w:ascii="宋体" w:hAnsi="宋体" w:eastAsia="宋体" w:cs="宋体"/>
          <w:sz w:val="28"/>
          <w:szCs w:val="28"/>
        </w:rPr>
        <w:t>全面贯彻党的教育方针，推行素质教育，加强师德师风建设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</w:rPr>
        <w:t>实施</w:t>
      </w: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lang w:val="en-US" w:eastAsia="zh-CN"/>
        </w:rPr>
        <w:t>九年</w:t>
      </w: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</w:rPr>
        <w:t>义务教育，促进基础教育发展，</w:t>
      </w: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lang w:val="en-US" w:eastAsia="zh-CN"/>
        </w:rPr>
        <w:t>中</w:t>
      </w: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</w:rPr>
        <w:t>学教育，相关社会服务。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after="0" w:line="240" w:lineRule="auto"/>
        <w:ind w:firstLine="560" w:firstLineChars="200"/>
        <w:jc w:val="both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机构、人员构成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00" w:firstLineChars="200"/>
        <w:textAlignment w:val="auto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eastAsia="zh-CN"/>
        </w:rPr>
        <w:t>双牌县</w:t>
      </w:r>
      <w:r>
        <w:rPr>
          <w:rFonts w:hint="eastAsia"/>
          <w:sz w:val="30"/>
          <w:szCs w:val="30"/>
          <w:lang w:val="en-US" w:eastAsia="zh-CN"/>
        </w:rPr>
        <w:t>双牌县麻江镇学校</w:t>
      </w:r>
      <w:r>
        <w:rPr>
          <w:rFonts w:hint="eastAsia"/>
          <w:sz w:val="30"/>
          <w:szCs w:val="30"/>
        </w:rPr>
        <w:t>属财政全额拨款的</w:t>
      </w:r>
      <w:r>
        <w:rPr>
          <w:rFonts w:hint="eastAsia"/>
          <w:sz w:val="30"/>
          <w:szCs w:val="30"/>
          <w:lang w:eastAsia="zh-CN"/>
        </w:rPr>
        <w:t>二</w:t>
      </w:r>
      <w:r>
        <w:rPr>
          <w:rFonts w:hint="eastAsia"/>
          <w:sz w:val="30"/>
          <w:szCs w:val="30"/>
        </w:rPr>
        <w:t>级单位</w:t>
      </w:r>
      <w:r>
        <w:rPr>
          <w:rFonts w:hint="eastAsia"/>
          <w:sz w:val="30"/>
          <w:szCs w:val="30"/>
          <w:lang w:eastAsia="zh-CN"/>
        </w:rPr>
        <w:t>。</w:t>
      </w:r>
      <w:r>
        <w:rPr>
          <w:rFonts w:hint="eastAsia"/>
          <w:sz w:val="30"/>
          <w:szCs w:val="30"/>
        </w:rPr>
        <w:t>根据上述职责，学校设的内设机构有：校长室、总</w:t>
      </w:r>
      <w:r>
        <w:rPr>
          <w:rFonts w:hint="eastAsia" w:ascii="宋体" w:hAnsi="宋体" w:eastAsia="宋体" w:cs="宋体"/>
          <w:sz w:val="30"/>
          <w:szCs w:val="30"/>
        </w:rPr>
        <w:t>务处、教务处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、政工处</w:t>
      </w:r>
      <w:r>
        <w:rPr>
          <w:rFonts w:hint="eastAsia" w:ascii="宋体" w:hAnsi="宋体" w:eastAsia="宋体" w:cs="宋体"/>
          <w:sz w:val="30"/>
          <w:szCs w:val="30"/>
        </w:rPr>
        <w:t>等。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核定人员编制数：42人，实际在职人数：45人</w:t>
      </w:r>
    </w:p>
    <w:p>
      <w:pPr>
        <w:snapToGrid w:val="0"/>
        <w:spacing w:line="24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3.当年取得的主要事业成效。</w:t>
      </w:r>
    </w:p>
    <w:p>
      <w:pPr>
        <w:snapToGrid w:val="0"/>
        <w:spacing w:line="24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22</w:t>
      </w:r>
      <w:r>
        <w:rPr>
          <w:rFonts w:hint="eastAsia" w:ascii="宋体" w:hAnsi="宋体" w:cs="宋体"/>
          <w:sz w:val="28"/>
          <w:szCs w:val="28"/>
        </w:rPr>
        <w:t xml:space="preserve">年度，我单位在上级教育主管部门领导下，认真贯彻《事业单位登记管理暂行条例》、《事业单位登记管理暂行条例实施细则》和有关法律、法规、政策，按照核准登记的业务范围开展活动，主要做了以下几个方面的工作： </w:t>
      </w:r>
    </w:p>
    <w:p>
      <w:pPr>
        <w:numPr>
          <w:ilvl w:val="0"/>
          <w:numId w:val="2"/>
        </w:numPr>
        <w:snapToGrid w:val="0"/>
        <w:spacing w:line="24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开展学生德育活动。通过多种有效途径加强学生爱国主义教育和公民道德教育，强化法制、安全、心理健康教育，收到较好效果。 </w:t>
      </w:r>
    </w:p>
    <w:p>
      <w:pPr>
        <w:numPr>
          <w:ilvl w:val="0"/>
          <w:numId w:val="2"/>
        </w:numPr>
        <w:snapToGrid w:val="0"/>
        <w:spacing w:line="24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开展教学和教研活动。加强教学常规管理，贯彻落实减负措施。培养幼儿综合素质，切实开展“阳光体育”。</w:t>
      </w:r>
    </w:p>
    <w:p>
      <w:pPr>
        <w:numPr>
          <w:ilvl w:val="0"/>
          <w:numId w:val="2"/>
        </w:numPr>
        <w:snapToGrid w:val="0"/>
        <w:spacing w:line="24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开展教育科学研究活动。积极倡导课题深研究，组织教师对教育教学和管理中的难点和热点问题开展研究，提倡行动研究，注重研究的可操作性与实效性。 </w:t>
      </w:r>
    </w:p>
    <w:p>
      <w:pPr>
        <w:numPr>
          <w:ilvl w:val="0"/>
          <w:numId w:val="2"/>
        </w:numPr>
        <w:snapToGrid w:val="0"/>
        <w:spacing w:line="24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开展教师培训活动。规范教师培训制度，组织教职工开展师德培训，加强教育工作，根据校本培训方案认真实施校本培训工作，努力提升教师整体素质。</w:t>
      </w:r>
    </w:p>
    <w:p>
      <w:pPr>
        <w:numPr>
          <w:ilvl w:val="0"/>
          <w:numId w:val="2"/>
        </w:numPr>
        <w:snapToGrid w:val="0"/>
        <w:spacing w:line="24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开展学校后勤服务活动。加强校产管理，规范校产的购入、登记、出借、报损、核查和入帐手续，做到账物相符、帐帐相符。规范财务管理，严格执行有关收费规定，及时公示收费项目和标准。改进食堂管理，加强对食品采购、验收、储存、制作与加工等诸多环节的管理工作，确保饮食卫生安全。改善办学条件，不断提高教师教育教学能力。</w:t>
      </w:r>
    </w:p>
    <w:p>
      <w:pPr>
        <w:numPr>
          <w:ilvl w:val="0"/>
          <w:numId w:val="2"/>
        </w:numPr>
        <w:snapToGrid w:val="0"/>
        <w:spacing w:line="24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开展学校规章制度建设及其他教育管理活动。健全组织结构，完善管理制度，建立起一套适合本校实际的学校管理制度，实现依法办学、依法行政，以此促进全局工作逐步走上规范化、科学化、民主化轨道，着力推进了和谐教育，取得较好的社会效益。</w:t>
      </w:r>
    </w:p>
    <w:p>
      <w:pPr>
        <w:numPr>
          <w:ilvl w:val="0"/>
          <w:numId w:val="2"/>
        </w:numPr>
        <w:snapToGrid w:val="0"/>
        <w:spacing w:line="24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积极参与政府组织的扶贫攻坚任务，切实做好贫困学生的助学活动。 </w:t>
      </w:r>
    </w:p>
    <w:p>
      <w:pPr>
        <w:numPr>
          <w:ilvl w:val="0"/>
          <w:numId w:val="0"/>
        </w:numPr>
        <w:spacing w:beforeLines="-2147483648" w:afterLines="-2147483648" w:line="60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取得的主要效益健全组织结构，完善管理制度，建立起一套适合本校实际的学校管理制度，实现依法办学、依法行政，以此促进全园工作逐走上规范化、科学化、民主化轨道，着力推进了和谐教育，取得了较好的社会效益。</w:t>
      </w:r>
    </w:p>
    <w:p>
      <w:pPr>
        <w:numPr>
          <w:ilvl w:val="0"/>
          <w:numId w:val="0"/>
        </w:numPr>
        <w:spacing w:beforeLines="-2147483648" w:afterLines="-2147483648" w:line="600" w:lineRule="exact"/>
        <w:ind w:firstLine="560" w:firstLineChars="200"/>
        <w:rPr>
          <w:rFonts w:hint="default" w:ascii="楷体_GB2312" w:hAnsi="楷体_GB2312" w:eastAsia="楷体_GB2312" w:cs="Times New Roman"/>
          <w:sz w:val="32"/>
          <w:szCs w:val="32"/>
        </w:rPr>
      </w:pPr>
      <w:r>
        <w:rPr>
          <w:rFonts w:hint="eastAsia" w:ascii="宋体" w:hAnsi="宋体" w:eastAsia="楷体_GB2312" w:cs="宋体"/>
          <w:sz w:val="28"/>
          <w:szCs w:val="28"/>
          <w:lang w:val="en-US" w:eastAsia="zh-CN"/>
        </w:rPr>
        <w:t>（二）</w:t>
      </w:r>
      <w:r>
        <w:rPr>
          <w:rFonts w:hint="default" w:ascii="楷体_GB2312" w:hAnsi="楷体_GB2312" w:eastAsia="楷体_GB2312" w:cs="Times New Roman"/>
          <w:sz w:val="32"/>
          <w:szCs w:val="32"/>
        </w:rPr>
        <w:t>部门（单位）年度整体支出绩效目标，项目支出绩效目标</w:t>
      </w:r>
    </w:p>
    <w:p>
      <w:pPr>
        <w:numPr>
          <w:ilvl w:val="0"/>
          <w:numId w:val="0"/>
        </w:numPr>
        <w:spacing w:beforeLines="-2147483648" w:afterLines="-2147483648" w:line="600" w:lineRule="exact"/>
        <w:ind w:firstLine="60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根据预算绩效管理要求，我单位组织对202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年度部门整体支出和专项资金实施了全覆盖性的绩效评价，撰写了整体支出绩效评价报告和项目支出绩效评价报告。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一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般公共预算财政拨款收入决算数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696.35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万元，其中涉及项目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个，涉及一般公共预算当年财政项目拨款75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10万元，自评覆盖率达到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100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%。绩效自评结果显示，上述项目支出绩效情况较为理想，均达到了项目申请时设定的各项绩效目标</w:t>
      </w:r>
    </w:p>
    <w:p>
      <w:pPr>
        <w:pStyle w:val="8"/>
        <w:spacing w:beforeLines="0" w:afterLines="0" w:line="570" w:lineRule="exact"/>
        <w:ind w:firstLine="640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二、一般公共预算支出情况</w:t>
      </w:r>
    </w:p>
    <w:p>
      <w:pPr>
        <w:pStyle w:val="8"/>
        <w:spacing w:beforeLines="0" w:afterLines="0" w:line="570" w:lineRule="exact"/>
        <w:ind w:firstLine="640"/>
        <w:outlineLvl w:val="1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（一）基本支出情况</w:t>
      </w:r>
    </w:p>
    <w:p>
      <w:pPr>
        <w:widowControl/>
        <w:numPr>
          <w:ilvl w:val="0"/>
          <w:numId w:val="0"/>
        </w:numPr>
        <w:spacing w:line="600" w:lineRule="atLeast"/>
        <w:ind w:firstLine="600" w:firstLineChars="200"/>
        <w:jc w:val="left"/>
        <w:rPr>
          <w:rFonts w:hint="default" w:ascii="Times New Roman" w:hAnsi="Times New Roman" w:eastAsia="仿宋_GB2312"/>
          <w:sz w:val="32"/>
          <w:szCs w:val="24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</w:rPr>
        <w:t>基本支出：634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.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03万元，占总支出的比重为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91.05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%。一般公共预算财政拨款基本支出中人员经费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587.76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万元，主要包括：基本工资、津贴补贴、奖金、社会保障缴费、其他工资福利支出、离休费、退休费、抚恤金、奖励金、住房公积金、其他对个人和家庭的补助支出；一般公共预算财政拨款基本支出中公用经</w:t>
      </w:r>
      <w:r>
        <w:rPr>
          <w:rFonts w:hint="eastAsia" w:ascii="宋体" w:hAnsi="宋体" w:cs="宋体"/>
          <w:color w:val="000000"/>
          <w:kern w:val="0"/>
          <w:sz w:val="30"/>
          <w:szCs w:val="30"/>
          <w:lang w:val="en-US" w:eastAsia="zh-CN"/>
        </w:rPr>
        <w:t>费33.48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万元，主要包括：办公费、印刷费、邮电费、差旅费、维修（护）费、会议费、培训费、公务接待费、劳务费、工会经费、福利费</w:t>
      </w:r>
    </w:p>
    <w:p>
      <w:pPr>
        <w:pStyle w:val="8"/>
        <w:numPr>
          <w:ilvl w:val="0"/>
          <w:numId w:val="3"/>
        </w:numPr>
        <w:spacing w:beforeLines="0" w:afterLines="0" w:line="570" w:lineRule="exact"/>
        <w:ind w:firstLine="640"/>
        <w:outlineLvl w:val="1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项目支出情况</w:t>
      </w:r>
    </w:p>
    <w:p>
      <w:pPr>
        <w:pStyle w:val="8"/>
        <w:spacing w:line="600" w:lineRule="exact"/>
        <w:ind w:firstLine="640"/>
        <w:rPr>
          <w:rFonts w:hint="default" w:ascii="Times New Roman" w:hAnsi="Times New Roman" w:eastAsia="仿宋_GB2312"/>
          <w:sz w:val="32"/>
          <w:szCs w:val="24"/>
          <w:lang w:val="en-US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</w:rPr>
        <w:t>项目支出：75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.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10万元，占总支出的比重为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10.78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%，是指单位为完成特定行政工作任务或事业发展目标而发生的支出，其中：1</w:t>
      </w:r>
      <w:r>
        <w:rPr>
          <w:rFonts w:hint="eastAsia" w:ascii="宋体" w:hAnsi="宋体" w:cs="宋体"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 w:ascii="宋体" w:hAnsi="宋体" w:cs="宋体"/>
          <w:color w:val="000000"/>
          <w:kern w:val="0"/>
          <w:sz w:val="30"/>
          <w:szCs w:val="30"/>
          <w:lang w:val="en-US" w:eastAsia="zh-CN"/>
        </w:rPr>
        <w:t>营养午餐31.8975万，2、资本性支出29.61</w:t>
      </w:r>
      <w:bookmarkStart w:id="0" w:name="_GoBack"/>
      <w:bookmarkEnd w:id="0"/>
      <w:r>
        <w:rPr>
          <w:rFonts w:hint="eastAsia" w:ascii="宋体" w:hAnsi="宋体" w:cs="宋体"/>
          <w:color w:val="000000"/>
          <w:kern w:val="0"/>
          <w:sz w:val="30"/>
          <w:szCs w:val="30"/>
          <w:lang w:val="en-US" w:eastAsia="zh-CN"/>
        </w:rPr>
        <w:t>万元，3、课后服务13.59万</w:t>
      </w:r>
    </w:p>
    <w:p>
      <w:pPr>
        <w:pStyle w:val="8"/>
        <w:numPr>
          <w:ilvl w:val="0"/>
          <w:numId w:val="4"/>
        </w:numPr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政府性基金预算支出情况。</w:t>
      </w:r>
    </w:p>
    <w:p>
      <w:pPr>
        <w:pStyle w:val="8"/>
        <w:numPr>
          <w:ilvl w:val="0"/>
          <w:numId w:val="0"/>
        </w:numPr>
        <w:spacing w:beforeLines="0" w:afterLines="0" w:line="570" w:lineRule="exact"/>
        <w:ind w:firstLine="640" w:firstLineChars="200"/>
        <w:jc w:val="left"/>
        <w:outlineLvl w:val="0"/>
        <w:rPr>
          <w:rFonts w:hint="eastAsia" w:ascii="Times New Roman" w:hAnsi="Times New Roman" w:eastAsia="仿宋_GB2312"/>
          <w:color w:val="000000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我单位无政府性基金预算支出情况</w:t>
      </w:r>
    </w:p>
    <w:p>
      <w:pPr>
        <w:pStyle w:val="8"/>
        <w:numPr>
          <w:ilvl w:val="0"/>
          <w:numId w:val="4"/>
        </w:numPr>
        <w:spacing w:beforeLines="0" w:afterLines="0" w:line="570" w:lineRule="exact"/>
        <w:ind w:left="0" w:leftChars="0" w:firstLine="640" w:firstLineChars="20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国有资本经营预算支出情况。</w:t>
      </w:r>
    </w:p>
    <w:p>
      <w:pPr>
        <w:pStyle w:val="8"/>
        <w:numPr>
          <w:ilvl w:val="0"/>
          <w:numId w:val="0"/>
        </w:numPr>
        <w:spacing w:beforeLines="0" w:afterLines="0" w:line="570" w:lineRule="exact"/>
        <w:ind w:firstLine="640" w:firstLineChars="20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我单位无国有资本经营预算支出情况</w:t>
      </w:r>
    </w:p>
    <w:p>
      <w:pPr>
        <w:pStyle w:val="8"/>
        <w:numPr>
          <w:ilvl w:val="0"/>
          <w:numId w:val="4"/>
        </w:numPr>
        <w:spacing w:beforeLines="0" w:afterLines="0" w:line="570" w:lineRule="exact"/>
        <w:ind w:left="0" w:leftChars="0" w:firstLine="640" w:firstLineChars="20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社会保险基金预算支出情况。</w:t>
      </w:r>
    </w:p>
    <w:p>
      <w:pPr>
        <w:pStyle w:val="8"/>
        <w:numPr>
          <w:ilvl w:val="0"/>
          <w:numId w:val="0"/>
        </w:numPr>
        <w:spacing w:beforeLines="0" w:afterLines="0" w:line="570" w:lineRule="exact"/>
        <w:ind w:leftChars="200" w:firstLine="320" w:firstLineChars="10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我单位无社会保险基金预算支出情况</w:t>
      </w:r>
    </w:p>
    <w:p>
      <w:pPr>
        <w:spacing w:beforeLines="0" w:afterLines="0" w:line="570" w:lineRule="exact"/>
        <w:ind w:firstLine="645"/>
        <w:jc w:val="left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六、部门整体支出绩效情况</w:t>
      </w:r>
    </w:p>
    <w:p>
      <w:pPr>
        <w:pStyle w:val="8"/>
        <w:spacing w:line="600" w:lineRule="exact"/>
        <w:ind w:firstLine="640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年，根据教育局年初工作规划和重点性工作具体要求，较好的完成了年度工作目标。通过加强预算收支管理，不断建立健全内部管理制度，梳理内部管理流程，部门整体支出管理情况得到提升。根据202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年度部门整体支出状况的概述和分析，部门整体支出绩效情况如下：</w:t>
      </w:r>
    </w:p>
    <w:p>
      <w:pPr>
        <w:pStyle w:val="8"/>
        <w:spacing w:line="600" w:lineRule="exact"/>
        <w:ind w:firstLine="640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（一）经济效益评价</w:t>
      </w:r>
    </w:p>
    <w:p>
      <w:pPr>
        <w:pStyle w:val="8"/>
        <w:spacing w:line="600" w:lineRule="exact"/>
        <w:ind w:firstLine="640"/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1. 本年预算配置控制较好。财政供养人员控制在预算编制以内，编制内在职人员控制率为100%；“三公”经费预算总额较上年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无变化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，主要原因是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根据上一年度决算进行预算</w:t>
      </w:r>
    </w:p>
    <w:p>
      <w:pPr>
        <w:pStyle w:val="8"/>
        <w:spacing w:line="600" w:lineRule="exact"/>
        <w:ind w:firstLine="640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2. 预算执行方面。支出总额控制在预算总额以内；“三公”经费总体控制较好，未超本年预算。</w:t>
      </w:r>
    </w:p>
    <w:p>
      <w:pPr>
        <w:pStyle w:val="8"/>
        <w:spacing w:line="600" w:lineRule="exact"/>
        <w:ind w:firstLine="640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3.预算管理方面，制度执行总体较为有效，仍需进一步强化；资金使用管理需进一步加强。</w:t>
      </w:r>
    </w:p>
    <w:p>
      <w:pPr>
        <w:pStyle w:val="8"/>
        <w:spacing w:line="600" w:lineRule="exact"/>
        <w:ind w:firstLine="640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（二）效率性评价和有效性评价</w:t>
      </w:r>
    </w:p>
    <w:p>
      <w:pPr>
        <w:pStyle w:val="8"/>
        <w:spacing w:line="600" w:lineRule="exact"/>
        <w:ind w:firstLine="640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　我校预算安排的基本支出保障了我校正常的工作运转，体现了县教育局对学校的关心和重视，我校在执行上是严格遵守各项财经纪律的，在资金的使用上也是放心的。我校在资金的管理和使用上，严守法律底线、纪律底线、道德底线。</w:t>
      </w:r>
    </w:p>
    <w:p>
      <w:pPr>
        <w:pStyle w:val="8"/>
        <w:spacing w:beforeLines="0" w:afterLines="0" w:line="570" w:lineRule="exact"/>
        <w:ind w:firstLine="640"/>
        <w:jc w:val="left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七、存在的问题及原因分析</w:t>
      </w:r>
    </w:p>
    <w:p>
      <w:pPr>
        <w:pStyle w:val="4"/>
        <w:widowControl/>
        <w:shd w:val="clear" w:color="auto" w:fill="FFFFFF"/>
        <w:spacing w:before="0" w:beforeAutospacing="0" w:after="0" w:afterAutospacing="0" w:line="240" w:lineRule="auto"/>
        <w:ind w:firstLine="645"/>
        <w:jc w:val="both"/>
        <w:rPr>
          <w:rFonts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预算绩效管理工作机制责任不完善，绩效目标管理体系不够健全，绩效评价体系不科学，群众不明确绩效预算。绩效管理必须通过公正来保证方法有公正，最后结果的公正要规范绩效管理的程序，健全规范的完善的绩效管理制度。</w:t>
      </w:r>
    </w:p>
    <w:p>
      <w:pPr>
        <w:numPr>
          <w:ilvl w:val="0"/>
          <w:numId w:val="5"/>
        </w:numPr>
        <w:spacing w:beforeLines="0" w:afterLines="0" w:line="570" w:lineRule="exact"/>
        <w:ind w:firstLine="640" w:firstLineChars="200"/>
        <w:jc w:val="left"/>
        <w:outlineLvl w:val="0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下一步改进措施</w:t>
      </w:r>
    </w:p>
    <w:p>
      <w:pPr>
        <w:spacing w:line="600" w:lineRule="exact"/>
        <w:ind w:firstLine="640" w:firstLineChars="200"/>
        <w:rPr>
          <w:rFonts w:hint="default" w:eastAsia="黑体"/>
          <w:sz w:val="32"/>
          <w:szCs w:val="24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1. 细化预算编制工作，认真做好预算的编制。进一步加强内部机构各股室的预算管理意识，严格按照预算编制的相关制度和要求进行预算编制；全面编制预算项目，进一步提高预算编制的科学性、严谨性和可控性。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　　2. 加强财务管理，严格财务审核。在费用报账支付时，按照预算规定的费用项目和用途进行资金使用审核、列报支付、财务核算，杜绝超支现象的发生。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　　3．持续抓好“三公”经费控制管理。严格控制“三公”经费的规模和比例，把关“三公”经费支出的审核、审批，杜绝挪用和挤占其他预算资金行为；进一步细化“三公”经费的管理，合理压缩“三公”经费支出。</w:t>
      </w:r>
    </w:p>
    <w:p>
      <w:pPr>
        <w:spacing w:beforeLines="0" w:afterLines="0" w:line="570" w:lineRule="exact"/>
        <w:ind w:firstLine="645"/>
        <w:jc w:val="left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九、部门整体支出绩效自评结果拟应用和公开情况</w:t>
      </w:r>
    </w:p>
    <w:p>
      <w:pPr>
        <w:spacing w:beforeLines="0" w:afterLines="0" w:line="570" w:lineRule="exact"/>
        <w:ind w:firstLine="645"/>
        <w:jc w:val="left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其他需要说明的情况</w:t>
      </w: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"/>
        </w:rPr>
        <w:t>2</w:t>
      </w:r>
      <w:r>
        <w:rPr>
          <w:rFonts w:hint="eastAsia" w:ascii="方正小标宋简体" w:eastAsia="方正小标宋简体"/>
          <w:sz w:val="44"/>
          <w:szCs w:val="24"/>
        </w:rPr>
        <w:t>年度部门整体支出绩效评价基础数据表</w:t>
      </w:r>
    </w:p>
    <w:tbl>
      <w:tblPr>
        <w:tblStyle w:val="6"/>
        <w:tblW w:w="96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1062"/>
        <w:gridCol w:w="784"/>
        <w:gridCol w:w="1228"/>
        <w:gridCol w:w="1062"/>
        <w:gridCol w:w="1027"/>
        <w:gridCol w:w="10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财政供养人员情况（人）</w:t>
            </w:r>
          </w:p>
        </w:tc>
        <w:tc>
          <w:tcPr>
            <w:tcW w:w="184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编制数</w:t>
            </w:r>
          </w:p>
        </w:tc>
        <w:tc>
          <w:tcPr>
            <w:tcW w:w="22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年实际在职人数</w:t>
            </w:r>
          </w:p>
        </w:tc>
        <w:tc>
          <w:tcPr>
            <w:tcW w:w="207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96%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经费控制情况（万元）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年预算数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一、部门基本支出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604.54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其中：公用经费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25.48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33.6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24.38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其中：办公费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FF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6.14</w:t>
            </w:r>
            <w:r>
              <w:rPr>
                <w:rFonts w:eastAsia="仿宋_GB2312"/>
                <w:color w:val="FF0000"/>
                <w:kern w:val="0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水费、电费、差旅费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7.21</w:t>
            </w:r>
            <w:r>
              <w:rPr>
                <w:rFonts w:eastAsia="仿宋_GB2312"/>
                <w:color w:val="auto"/>
                <w:kern w:val="0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5.8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会议费、培训费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0.32</w:t>
            </w:r>
            <w:r>
              <w:rPr>
                <w:rFonts w:eastAsia="仿宋_GB2312"/>
                <w:color w:val="auto"/>
                <w:kern w:val="0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0.28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三公经费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2.19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2.7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0.34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1.公务用车购置和维护经费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其中：公务车购置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公务车运行维护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2.出国经费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3.公务接待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2.19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2.7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0.34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二、项目支出小计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97.23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86.75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66.2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政府采购金额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部门基本支出预算调整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340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楼堂馆所控制情况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年完工项目）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批复规模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（㎡）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实际规模（㎡）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规模控制率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预算投资（万元）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实际投资（万元）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投资概算控制率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厉行节约保障措施</w:t>
            </w:r>
          </w:p>
        </w:tc>
        <w:tc>
          <w:tcPr>
            <w:tcW w:w="62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jc w:val="both"/>
              <w:rPr>
                <w:rFonts w:hint="eastAsia" w:ascii="Times New Roman" w:hAnsi="Times New Roman" w:eastAsia="仿宋_GB2312" w:cstheme="minorBidi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</w:rPr>
              <w:t>严格按年初预算，厉行节约减少办公费、水电费开支、控制会议次数与规模、招待，不招待的坚决不招待，应招待的节约招待。上述费用均控制预算范围内！</w:t>
            </w:r>
            <w:r>
              <w:rPr>
                <w:rFonts w:ascii="仿宋_GB2312" w:hAnsi="仿宋_GB2312" w:eastAsia="仿宋_GB2312"/>
                <w:kern w:val="0"/>
              </w:rPr>
              <w:t>　</w:t>
            </w:r>
            <w:r>
              <w:rPr>
                <w:rFonts w:eastAsia="仿宋_GB2312"/>
                <w:kern w:val="0"/>
              </w:rPr>
              <w:t>　</w:t>
            </w:r>
          </w:p>
        </w:tc>
      </w:tr>
    </w:tbl>
    <w:p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beforeLines="0" w:afterLines="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说明：“项目支出”需要填报基本支出以外的所有项目支出情况，“公用经费”填报基本支出中的一般商品和服务支出。</w:t>
      </w:r>
    </w:p>
    <w:p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廖时强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2023年5月15日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联系电话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176****7050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sz w:val="32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单位负责人签字：</w:t>
      </w:r>
      <w:r>
        <w:rPr>
          <w:rFonts w:hint="default" w:eastAsia="仿宋_GB2312"/>
          <w:sz w:val="22"/>
          <w:szCs w:val="24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"/>
        </w:rPr>
        <w:t>2</w:t>
      </w:r>
      <w:r>
        <w:rPr>
          <w:rFonts w:hint="eastAsia" w:ascii="方正小标宋简体" w:eastAsia="方正小标宋简体"/>
          <w:sz w:val="44"/>
          <w:szCs w:val="24"/>
        </w:rPr>
        <w:t>年度部门整体支出绩效自评表</w:t>
      </w:r>
    </w:p>
    <w:tbl>
      <w:tblPr>
        <w:tblStyle w:val="6"/>
        <w:tblW w:w="93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2"/>
        <w:gridCol w:w="948"/>
        <w:gridCol w:w="930"/>
        <w:gridCol w:w="1078"/>
        <w:gridCol w:w="68"/>
        <w:gridCol w:w="1078"/>
        <w:gridCol w:w="1202"/>
        <w:gridCol w:w="718"/>
        <w:gridCol w:w="884"/>
        <w:gridCol w:w="14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级预算部门名称</w:t>
            </w:r>
          </w:p>
        </w:tc>
        <w:tc>
          <w:tcPr>
            <w:tcW w:w="8349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双牌县麻江镇学校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年度预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算申请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年初预算数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全年预算数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全年执行数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657.35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708.38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708.38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按收入性质分：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657.35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按支出性质分：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570.6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其中：  一般公共预算：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531.01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570.6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政府性基金拨款：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86.75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纳入专户管理的非税收入拨款：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1680" w:firstLineChars="7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657.35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708.38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年度指标值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实际完成值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偏差原因分析及改进措施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产出指标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(50分)</w:t>
            </w: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重点工作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任务完成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3"/>
                <w:szCs w:val="13"/>
              </w:rPr>
              <w:t>在校学生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/>
              </w:rPr>
              <w:t>　310人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/>
              </w:rPr>
              <w:t>7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/>
              </w:rPr>
              <w:t>7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/>
              </w:rPr>
              <w:t>项目款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/>
              </w:rPr>
              <w:t>86.75万元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/>
              </w:rPr>
              <w:t>7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/>
              </w:rPr>
              <w:t>6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1"/>
                <w:szCs w:val="11"/>
                <w:lang w:val="en-US" w:eastAsia="zh-CN"/>
              </w:rPr>
              <w:t>上级拨款不足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3"/>
                <w:szCs w:val="13"/>
              </w:rPr>
              <w:t>督导评估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/>
              </w:rPr>
              <w:t>　1等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/>
              </w:rPr>
              <w:t>6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/>
              </w:rPr>
              <w:t>6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3"/>
                <w:szCs w:val="13"/>
              </w:rPr>
              <w:t>成绩检测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/>
              </w:rPr>
              <w:t>　第4名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/>
              </w:rPr>
              <w:t>6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/>
              </w:rPr>
              <w:t>6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3"/>
                <w:szCs w:val="13"/>
              </w:rPr>
              <w:t>年度内教育目标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/>
              </w:rPr>
              <w:t>年度内完成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/>
              </w:rPr>
              <w:t>年度内完成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/>
              </w:rPr>
              <w:t>6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/>
              </w:rPr>
              <w:t>6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/>
              </w:rPr>
              <w:t>项目款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/>
              </w:rPr>
              <w:t>86.75万元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/>
              </w:rPr>
              <w:t>86.75万元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/>
              </w:rPr>
              <w:t>6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1"/>
                <w:szCs w:val="11"/>
                <w:lang w:val="en-US" w:eastAsia="zh-CN"/>
              </w:rPr>
              <w:t>上级拨款不足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履职目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标实现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3"/>
                <w:szCs w:val="13"/>
              </w:rPr>
              <w:t>工资福利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/>
              </w:rPr>
              <w:t>532.6万元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/>
              </w:rPr>
              <w:t>617.28万元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/>
              </w:rPr>
              <w:t>6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/>
              </w:rPr>
              <w:t>6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/>
              </w:rPr>
              <w:t>工资提高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3"/>
                <w:szCs w:val="13"/>
              </w:rPr>
              <w:t>办公费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/>
              </w:rPr>
              <w:t>38万元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/>
              </w:rPr>
              <w:t>24.57万元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/>
              </w:rPr>
              <w:t>6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/>
              </w:rPr>
              <w:t>6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3"/>
                <w:szCs w:val="13"/>
              </w:rPr>
              <w:t>年初预算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/>
              </w:rPr>
              <w:t>657.35万元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/>
              </w:rPr>
              <w:t>708.35万元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/>
              </w:rPr>
              <w:t>4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  <w:t>4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3"/>
                <w:szCs w:val="13"/>
              </w:rPr>
              <w:t>三公经费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/>
              </w:rPr>
              <w:t>2.7万元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/>
              </w:rPr>
              <w:t>0.34元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/>
              </w:rPr>
              <w:t>4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/>
              </w:rPr>
              <w:t>4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/>
              </w:rPr>
              <w:t>压缩开支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/>
              </w:rPr>
              <w:t>学生就学条件改善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/>
              </w:rPr>
              <w:t>86.75万元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/>
              </w:rPr>
              <w:t>86.75万元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/>
              </w:rPr>
              <w:t>4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  <w:t>4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/>
              </w:rPr>
              <w:t>　教育支出增加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/>
              </w:rPr>
              <w:t>教师培训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/>
              </w:rPr>
              <w:t>1.5万元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/>
              </w:rPr>
              <w:t>0.33万元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/>
              </w:rPr>
              <w:t>4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/>
              </w:rPr>
              <w:t>3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/>
              </w:rPr>
              <w:t>疫情影响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效益指标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0分）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3"/>
                <w:szCs w:val="13"/>
              </w:rPr>
              <w:t>绿化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/>
              </w:rPr>
              <w:t>维护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/>
              </w:rPr>
              <w:t>　1625㎡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/>
              </w:rPr>
              <w:t>1625㎡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/>
              </w:rPr>
              <w:t>4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/>
              </w:rPr>
              <w:t>4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/>
              </w:rPr>
              <w:t>校园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3"/>
                <w:szCs w:val="13"/>
              </w:rPr>
              <w:t>清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/>
              </w:rPr>
              <w:t>理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/>
              </w:rPr>
              <w:t>　100人次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/>
              </w:rPr>
              <w:t>100人次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/>
              </w:rPr>
              <w:t>4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/>
              </w:rPr>
              <w:t>4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/>
              </w:rPr>
              <w:t>招生数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/>
              </w:rPr>
              <w:t>310人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/>
              </w:rPr>
              <w:t>310人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/>
              </w:rPr>
              <w:t>3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/>
              </w:rPr>
              <w:t>3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/>
              </w:rPr>
              <w:t>升学率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/>
              </w:rPr>
              <w:t>　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/>
              </w:rPr>
              <w:t>3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/>
              </w:rPr>
              <w:t>3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1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5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8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9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3"/>
                <w:szCs w:val="13"/>
              </w:rPr>
              <w:t>教学质量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/>
              </w:rPr>
              <w:t>　合格率90%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/>
              </w:rPr>
              <w:t>　合格率85%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/>
              </w:rPr>
              <w:t>　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/>
              </w:rPr>
              <w:t>4.8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3"/>
                <w:szCs w:val="13"/>
              </w:rPr>
              <w:t>学生体质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/>
              </w:rPr>
              <w:t>　优良率95%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/>
              </w:rPr>
              <w:t>　优良率95%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/>
              </w:rPr>
              <w:t>　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/>
              </w:rPr>
              <w:t>　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3"/>
                <w:szCs w:val="13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6266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96.8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color w:val="000000"/>
          <w:sz w:val="32"/>
          <w:szCs w:val="24"/>
        </w:rPr>
      </w:pPr>
      <w:r>
        <w:rPr>
          <w:rFonts w:hint="default" w:eastAsia="仿宋_GB2312"/>
          <w:sz w:val="22"/>
          <w:szCs w:val="24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"/>
        </w:rPr>
        <w:t>2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6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学生营养改善计划支出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34万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双牌县教育局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提高学生营养，改善学生体质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根据上级部门制定的专项资金管理办法，专款专用。2022年营养餐资金全部用于学生营养午餐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ind w:firstLine="1200" w:firstLineChars="500"/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项目绩效目标100%完成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未能及时申请项目资金</w:t>
            </w:r>
          </w:p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积极上级申请资金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"/>
        </w:rPr>
        <w:t>2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6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关于下达2020年义务教育薄弱环节改善与能力提升补助资金预算的通知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7.9万元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双牌县教育局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改善校园环境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根据上级部门制定的专项资金管理办法，专款专用。</w:t>
            </w:r>
          </w:p>
          <w:p>
            <w:pPr>
              <w:pStyle w:val="5"/>
              <w:ind w:left="0" w:leftChars="0" w:firstLine="0" w:firstLineChars="0"/>
              <w:rPr>
                <w:rFonts w:hint="default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资金用于电力增容供电，建设完成投入使用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ind w:firstLine="1200" w:firstLineChars="500"/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项目绩效目标100%完成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无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无</w:t>
            </w:r>
          </w:p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spacing w:beforeLines="0" w:after="120" w:afterLines="50" w:line="600" w:lineRule="exact"/>
        <w:ind w:firstLine="1320" w:firstLineChars="300"/>
        <w:jc w:val="both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"/>
        </w:rPr>
        <w:t>2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6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91"/>
        <w:gridCol w:w="1015"/>
        <w:gridCol w:w="1025"/>
        <w:gridCol w:w="1290"/>
        <w:gridCol w:w="1140"/>
        <w:gridCol w:w="1140"/>
        <w:gridCol w:w="832"/>
        <w:gridCol w:w="877"/>
        <w:gridCol w:w="11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9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</w:t>
            </w:r>
          </w:p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846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学生营养改善计划支出和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学校宿舍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改造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学生卫生间维修改造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97" w:hRule="atLeast"/>
          <w:jc w:val="center"/>
        </w:trPr>
        <w:tc>
          <w:tcPr>
            <w:tcW w:w="99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主管部门</w:t>
            </w:r>
          </w:p>
        </w:tc>
        <w:tc>
          <w:tcPr>
            <w:tcW w:w="44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双牌县教育局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双牌县麻江镇学校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9" w:hRule="atLeast"/>
          <w:jc w:val="center"/>
        </w:trPr>
        <w:tc>
          <w:tcPr>
            <w:tcW w:w="99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项目资金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0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　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86.75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66.20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66.20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其中：当年财政拨款　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上年结转资金　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268" w:hRule="atLeast"/>
          <w:jc w:val="center"/>
        </w:trPr>
        <w:tc>
          <w:tcPr>
            <w:tcW w:w="99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年度总体目标</w:t>
            </w:r>
          </w:p>
        </w:tc>
        <w:tc>
          <w:tcPr>
            <w:tcW w:w="44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4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学生营养改善计划支出和</w:t>
            </w: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学校宿舍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改造</w:t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学生卫生间维修改造完成投入使用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实际付款66.20万元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9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分析及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9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）</w:t>
            </w:r>
          </w:p>
        </w:tc>
        <w:tc>
          <w:tcPr>
            <w:tcW w:w="10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按实结算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86.75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66.20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18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只结算部分项目，下年度结算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1" w:hRule="atLeast"/>
          <w:jc w:val="center"/>
        </w:trPr>
        <w:tc>
          <w:tcPr>
            <w:tcW w:w="9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center" w:pos="587"/>
              </w:tabs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9" w:hRule="exact"/>
          <w:jc w:val="center"/>
        </w:trPr>
        <w:tc>
          <w:tcPr>
            <w:tcW w:w="9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5" w:hRule="atLeast"/>
          <w:jc w:val="center"/>
        </w:trPr>
        <w:tc>
          <w:tcPr>
            <w:tcW w:w="9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3" w:hRule="atLeast"/>
          <w:jc w:val="center"/>
        </w:trPr>
        <w:tc>
          <w:tcPr>
            <w:tcW w:w="9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生态环境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3" w:hRule="atLeast"/>
          <w:jc w:val="center"/>
        </w:trPr>
        <w:tc>
          <w:tcPr>
            <w:tcW w:w="9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both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both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（40分）</w:t>
            </w:r>
          </w:p>
        </w:tc>
        <w:tc>
          <w:tcPr>
            <w:tcW w:w="10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13"/>
                <w:szCs w:val="13"/>
              </w:rPr>
              <w:t>学生营养改善计划支出和</w:t>
            </w:r>
            <w:r>
              <w:rPr>
                <w:rFonts w:hint="eastAsia" w:ascii="仿宋_GB2312" w:hAnsi="仿宋" w:eastAsia="仿宋_GB2312"/>
                <w:sz w:val="13"/>
                <w:szCs w:val="13"/>
                <w:lang w:val="en-US" w:eastAsia="zh-CN"/>
              </w:rPr>
              <w:t>学校宿舍</w:t>
            </w:r>
            <w:r>
              <w:rPr>
                <w:rFonts w:hint="eastAsia" w:ascii="仿宋_GB2312" w:hAnsi="仿宋" w:eastAsia="仿宋_GB2312"/>
                <w:sz w:val="13"/>
                <w:szCs w:val="13"/>
              </w:rPr>
              <w:t>改造</w:t>
            </w:r>
            <w:r>
              <w:rPr>
                <w:rFonts w:hint="eastAsia" w:ascii="仿宋_GB2312" w:hAnsi="仿宋" w:eastAsia="仿宋_GB2312"/>
                <w:sz w:val="13"/>
                <w:szCs w:val="13"/>
                <w:lang w:eastAsia="zh-CN"/>
              </w:rPr>
              <w:t>、</w:t>
            </w:r>
            <w:r>
              <w:rPr>
                <w:rFonts w:hint="eastAsia" w:ascii="仿宋_GB2312" w:hAnsi="仿宋" w:eastAsia="仿宋_GB2312"/>
                <w:sz w:val="13"/>
                <w:szCs w:val="13"/>
                <w:lang w:val="en-US" w:eastAsia="zh-CN"/>
              </w:rPr>
              <w:t>学生卫生间维修改造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7" w:hRule="atLeast"/>
          <w:jc w:val="center"/>
        </w:trPr>
        <w:tc>
          <w:tcPr>
            <w:tcW w:w="9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5" w:hRule="atLeast"/>
          <w:jc w:val="center"/>
        </w:trPr>
        <w:tc>
          <w:tcPr>
            <w:tcW w:w="9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已完工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18"/>
                <w:szCs w:val="18"/>
                <w:lang w:val="en-US" w:eastAsia="zh-CN"/>
              </w:rPr>
              <w:t>合格率100%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both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 w:bidi="ar-SA"/>
              </w:rPr>
              <w:t>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210" w:firstLineChars="10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3" w:hRule="atLeast"/>
          <w:jc w:val="center"/>
        </w:trPr>
        <w:tc>
          <w:tcPr>
            <w:tcW w:w="9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完成时段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按时完成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按时完成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0" w:hRule="atLeast"/>
          <w:jc w:val="center"/>
        </w:trPr>
        <w:tc>
          <w:tcPr>
            <w:tcW w:w="9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效益指标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（20分）</w:t>
            </w:r>
          </w:p>
        </w:tc>
        <w:tc>
          <w:tcPr>
            <w:tcW w:w="10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改善师生工作环境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满意度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99%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20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18</w:t>
            </w:r>
            <w:r>
              <w:rPr>
                <w:rFonts w:eastAsia="仿宋_GB2312"/>
                <w:color w:val="000000"/>
                <w:kern w:val="0"/>
              </w:rPr>
              <w:t>　</w:t>
            </w:r>
          </w:p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1" w:hRule="atLeast"/>
          <w:jc w:val="center"/>
        </w:trPr>
        <w:tc>
          <w:tcPr>
            <w:tcW w:w="9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9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8" w:hRule="atLeast"/>
          <w:jc w:val="center"/>
        </w:trPr>
        <w:tc>
          <w:tcPr>
            <w:tcW w:w="9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9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9" w:hRule="atLeast"/>
          <w:jc w:val="center"/>
        </w:trPr>
        <w:tc>
          <w:tcPr>
            <w:tcW w:w="9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9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10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满意度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100%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100%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9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2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96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spacing w:beforeLines="0" w:afterLines="0"/>
        <w:jc w:val="left"/>
        <w:rPr>
          <w:rFonts w:hint="default" w:eastAsia="仿宋_GB2312"/>
          <w:sz w:val="22"/>
          <w:szCs w:val="24"/>
        </w:rPr>
        <w:sectPr>
          <w:footerReference r:id="rId4" w:type="default"/>
          <w:footerReference r:id="rId5" w:type="even"/>
          <w:pgSz w:w="11905" w:h="16837"/>
          <w:pgMar w:top="1440" w:right="1701" w:bottom="1440" w:left="1701" w:header="851" w:footer="1474" w:gutter="0"/>
          <w:lnNumType w:countBy="0" w:distance="360"/>
          <w:pgNumType w:fmt="numberInDash" w:start="1"/>
          <w:cols w:space="0" w:num="1"/>
          <w:rtlGutter w:val="0"/>
          <w:docGrid w:type="lines" w:linePitch="636" w:charSpace="0"/>
        </w:sect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廖时强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2023年5月15日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1767461****7050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单位负责人签字：</w:t>
      </w: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="240" w:afterLines="100" w:line="600" w:lineRule="exact"/>
        <w:jc w:val="center"/>
        <w:outlineLvl w:val="0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双牌县麻江镇单位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预算绩效管理工作负责人名册</w:t>
      </w:r>
    </w:p>
    <w:tbl>
      <w:tblPr>
        <w:tblStyle w:val="6"/>
        <w:tblW w:w="8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1311"/>
        <w:gridCol w:w="1311"/>
        <w:gridCol w:w="1313"/>
        <w:gridCol w:w="1537"/>
        <w:gridCol w:w="1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移动通讯号码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分管领导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廖龙驹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副校长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13268087236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联络员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廖时强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总务主任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17674617050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TgMv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j/nzAlLA798/3b58evy8ytb&#10;Jn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Mk4DL/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dlBH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q84c8LSwC/fv11+/Lr8/Mqe&#10;J3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XZQR/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CE07AF"/>
    <w:multiLevelType w:val="singleLevel"/>
    <w:tmpl w:val="0BCE07AF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2D49D10"/>
    <w:multiLevelType w:val="singleLevel"/>
    <w:tmpl w:val="12D49D10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1FE47317"/>
    <w:multiLevelType w:val="singleLevel"/>
    <w:tmpl w:val="1FE4731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3E0DDE35"/>
    <w:multiLevelType w:val="singleLevel"/>
    <w:tmpl w:val="3E0DDE3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5DE74934"/>
    <w:multiLevelType w:val="singleLevel"/>
    <w:tmpl w:val="5DE74934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wNjUwODI0YzViZmEwMjY1ODEzMTdlMzU5N2NkOGEifQ=="/>
  </w:docVars>
  <w:rsids>
    <w:rsidRoot w:val="709C05D9"/>
    <w:rsid w:val="1A0D73C1"/>
    <w:rsid w:val="5B980AD0"/>
    <w:rsid w:val="709C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unhideWhenUsed/>
    <w:qFormat/>
    <w:uiPriority w:val="0"/>
    <w:pPr>
      <w:framePr w:wrap="auto" w:vAnchor="text" w:hAnchor="margin" w:xAlign="outside" w:y="1"/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kern w:val="0"/>
      <w:sz w:val="28"/>
      <w:szCs w:val="24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paragraph" w:styleId="5">
    <w:name w:val="Body Text First Indent 2"/>
    <w:basedOn w:val="2"/>
    <w:qFormat/>
    <w:uiPriority w:val="0"/>
    <w:pPr>
      <w:spacing w:before="100" w:beforeAutospacing="1"/>
      <w:ind w:left="0" w:firstLine="420" w:firstLineChars="200"/>
    </w:pPr>
  </w:style>
  <w:style w:type="paragraph" w:styleId="8">
    <w:name w:val="List Paragraph"/>
    <w:basedOn w:val="1"/>
    <w:unhideWhenUsed/>
    <w:qFormat/>
    <w:uiPriority w:val="99"/>
    <w:pPr>
      <w:spacing w:beforeLines="0" w:afterLines="0"/>
      <w:ind w:firstLine="420" w:firstLineChars="200"/>
    </w:pPr>
    <w:rPr>
      <w:rFonts w:hint="default" w:ascii="Calibri" w:hAnsi="Calibri"/>
      <w:kern w:val="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4143</Words>
  <Characters>4596</Characters>
  <Lines>0</Lines>
  <Paragraphs>0</Paragraphs>
  <TotalTime>37</TotalTime>
  <ScaleCrop>false</ScaleCrop>
  <LinksUpToDate>false</LinksUpToDate>
  <CharactersWithSpaces>4872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2023-09-14T11:53:00Z</dcterms:created>
  <dc:creator>煊宝</dc:creator>
  <cp:lastModifiedBy>煊宝</cp:lastModifiedBy>
  <dcterms:modified xsi:type="dcterms:W3CDTF">2024-06-03T04:30:36Z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4EF7ADB86A2441EF8AB62E79CD107878_11</vt:lpwstr>
  </property>
</Properties>
</file>