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宋体"/>
          <w:sz w:val="48"/>
          <w:szCs w:val="48"/>
          <w:lang w:val="en-US" w:eastAsia="zh-CN"/>
        </w:rPr>
        <w:t>202</w:t>
      </w:r>
      <w:r>
        <w:rPr>
          <w:rFonts w:hint="eastAsia"/>
          <w:sz w:val="48"/>
          <w:szCs w:val="48"/>
          <w:lang w:val="en-US" w:eastAsia="zh-CN"/>
        </w:rPr>
        <w:t>1</w:t>
      </w:r>
      <w:r>
        <w:rPr>
          <w:rFonts w:ascii="方正小标宋_GBK" w:hAnsi="方正小标宋_GBK" w:eastAsia="方正小标宋_GBK"/>
          <w:sz w:val="48"/>
          <w:szCs w:val="48"/>
        </w:rPr>
        <w:t>年度</w:t>
      </w:r>
      <w:r>
        <w:rPr>
          <w:rFonts w:hint="eastAsia" w:ascii="方正小标宋_GBK" w:hAnsi="方正小标宋_GBK"/>
          <w:sz w:val="48"/>
          <w:szCs w:val="48"/>
          <w:lang w:eastAsia="zh-CN"/>
        </w:rPr>
        <w:t>双牌县文化市场综合执法大队</w:t>
      </w:r>
      <w:r>
        <w:rPr>
          <w:rFonts w:ascii="方正小标宋_GBK" w:hAnsi="方正小标宋_GBK" w:eastAsia="方正小标宋_GBK"/>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p>
    <w:p>
      <w:pPr>
        <w:jc w:val="both"/>
        <w:rPr>
          <w:rFonts w:eastAsia="黑体"/>
          <w:sz w:val="32"/>
          <w:szCs w:val="32"/>
        </w:rPr>
      </w:pP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hint="eastAsia" w:eastAsia="黑体"/>
          <w:sz w:val="36"/>
          <w:szCs w:val="36"/>
          <w:lang w:eastAsia="zh-CN"/>
        </w:rPr>
      </w:pPr>
      <w:r>
        <w:rPr>
          <w:rFonts w:ascii="黑体" w:hAnsi="黑体" w:eastAsia="黑体"/>
          <w:sz w:val="36"/>
          <w:szCs w:val="36"/>
        </w:rPr>
        <w:t>单位名称（盖章）：</w:t>
      </w:r>
      <w:r>
        <w:rPr>
          <w:rFonts w:hint="eastAsia" w:ascii="黑体" w:hAnsi="黑体" w:eastAsia="黑体"/>
          <w:sz w:val="36"/>
          <w:szCs w:val="36"/>
          <w:lang w:eastAsia="zh-CN"/>
        </w:rPr>
        <w:t>双牌县文化市场综合执法大队</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p>
    <w:p>
      <w:pPr>
        <w:jc w:val="center"/>
        <w:rPr>
          <w:rFonts w:eastAsia="黑体"/>
          <w:sz w:val="32"/>
          <w:szCs w:val="32"/>
        </w:rPr>
      </w:pP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spacing w:line="600" w:lineRule="exact"/>
        <w:ind w:firstLine="640" w:firstLineChars="200"/>
        <w:rPr>
          <w:rFonts w:eastAsia="黑体"/>
          <w:sz w:val="32"/>
          <w:szCs w:val="32"/>
        </w:rPr>
      </w:pPr>
      <w:r>
        <w:rPr>
          <w:rFonts w:ascii="黑体" w:hAnsi="黑体" w:eastAsia="黑体"/>
          <w:sz w:val="32"/>
          <w:szCs w:val="32"/>
        </w:rPr>
        <w:t>一、基本情况</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（一）单位基本情况</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双牌县文化市场综合执法大队为双牌县文化旅游广电体育局下属的副科级参照公务员管理事业单位，主要职责是：</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1、贯彻执行有关文化市场综合行政执法方面的法律法规、规章和政策。编制实施文化市场综合行政执法工作规划、监管制度。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2、查处娱乐场所、互联网上网服务营业场所的违法行为。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3、查处演出、艺术品经营及进出口活动中的违法行为。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4、查处文化艺术经营、展览展播活动中的违法行为。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5、查处网络文化、网络视听、网络出版等方面的违法经营活动。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6、查处社会艺术水平考级活动中的违法行为。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7、查处文物违法案件和文物经营活动中的违法行为。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8、査处图书、音像制品、电子出版物等方面的违法出版活动和印刷、复制、出版物发行中的违法经营活动，查处非法出版单位和个人的违法出版活动。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9、査处著作权侵权行为。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10、查处除制作、播出、传输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11、查处旅行社违法经营、非法经营旅行社业务行为，查处导游等旅游从业人员为旅游者提供服务中的违法行为，查处非法从事导游业务行为。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12、查处体育经营活动中的违法行为。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13、配合查处生产、销售、使用伪基站设备的违法行为。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14、承担“扫黄打非”有关工作任务。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15、承担上级及相关行政管理部门交办或移送移交的跨区域重大案件查处工作，必要时，县文化市场综合行政执法大队可以调用乡镇综合行政执法大队的文化市场执法人员。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16、指导全县文化市场综合行政执法业务工作，参与全县文化市场综合行政执法工作的考评。 </w:t>
      </w:r>
    </w:p>
    <w:p>
      <w:pPr>
        <w:pStyle w:val="2"/>
        <w:shd w:val="clear" w:color="auto" w:fill="FFFFFF"/>
        <w:spacing w:before="0" w:beforeAutospacing="0" w:after="0" w:afterAutospacing="0" w:line="24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 xml:space="preserve">17、完成县文旅广电体育局及上级执法机关交办的其他工作任务。 </w:t>
      </w:r>
    </w:p>
    <w:p>
      <w:pPr>
        <w:numPr>
          <w:ilvl w:val="0"/>
          <w:numId w:val="1"/>
        </w:numPr>
        <w:spacing w:line="600" w:lineRule="exact"/>
        <w:ind w:firstLine="640" w:firstLineChars="200"/>
        <w:rPr>
          <w:rFonts w:ascii="楷体_GB2312" w:hAnsi="楷体_GB2312" w:eastAsia="楷体_GB2312"/>
          <w:sz w:val="32"/>
          <w:szCs w:val="32"/>
        </w:rPr>
      </w:pPr>
      <w:r>
        <w:rPr>
          <w:rFonts w:hint="eastAsia" w:ascii="楷体_GB2312" w:hAnsi="楷体_GB2312" w:eastAsia="楷体_GB2312"/>
          <w:sz w:val="32"/>
          <w:szCs w:val="32"/>
          <w:lang w:eastAsia="zh-CN"/>
        </w:rPr>
        <w:t>双牌县文化市场综合执法大队</w:t>
      </w:r>
      <w:r>
        <w:rPr>
          <w:rFonts w:ascii="楷体_GB2312" w:hAnsi="楷体_GB2312" w:eastAsia="楷体_GB2312"/>
          <w:sz w:val="32"/>
          <w:szCs w:val="32"/>
        </w:rPr>
        <w:t>年度整体支出绩效目标，项目支出绩效目标</w:t>
      </w:r>
    </w:p>
    <w:p>
      <w:pPr>
        <w:numPr>
          <w:ilvl w:val="0"/>
          <w:numId w:val="0"/>
        </w:num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1、认真贯彻中央、省、市和县委、县政府要求，着力推动文化市场监管执法责任体系落实；</w:t>
      </w:r>
    </w:p>
    <w:p>
      <w:pPr>
        <w:numPr>
          <w:ilvl w:val="0"/>
          <w:numId w:val="0"/>
        </w:numPr>
        <w:spacing w:line="600" w:lineRule="exact"/>
        <w:ind w:leftChars="0"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2、强化文化市场管理，深入开展文化企业法律、法规宣传教育培训；</w:t>
      </w:r>
    </w:p>
    <w:p>
      <w:pPr>
        <w:numPr>
          <w:ilvl w:val="0"/>
          <w:numId w:val="0"/>
        </w:numPr>
        <w:spacing w:line="600" w:lineRule="exact"/>
        <w:ind w:leftChars="0"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3、突出执法，扎实开展“文化市场专项整治”；</w:t>
      </w:r>
    </w:p>
    <w:p>
      <w:pPr>
        <w:numPr>
          <w:ilvl w:val="0"/>
          <w:numId w:val="0"/>
        </w:numPr>
        <w:spacing w:line="600" w:lineRule="exact"/>
        <w:ind w:leftChars="0"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4、夯实基础，强化安全生产保障，深入开展文化市场安全生产检查；</w:t>
      </w:r>
    </w:p>
    <w:p>
      <w:pPr>
        <w:numPr>
          <w:ilvl w:val="0"/>
          <w:numId w:val="0"/>
        </w:numPr>
        <w:spacing w:line="600" w:lineRule="exact"/>
        <w:ind w:leftChars="0"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5、加强班子队伍建设，提高执行能力；</w:t>
      </w:r>
    </w:p>
    <w:p>
      <w:pPr>
        <w:numPr>
          <w:ilvl w:val="0"/>
          <w:numId w:val="0"/>
        </w:numPr>
        <w:spacing w:line="600" w:lineRule="exact"/>
        <w:ind w:leftChars="0" w:firstLine="640" w:firstLineChars="200"/>
        <w:rPr>
          <w:rFonts w:ascii="楷体_GB2312" w:hAnsi="楷体_GB2312" w:eastAsia="楷体_GB2312"/>
          <w:sz w:val="32"/>
          <w:szCs w:val="32"/>
        </w:rPr>
      </w:pPr>
      <w:r>
        <w:rPr>
          <w:rFonts w:hint="eastAsia" w:ascii="仿宋_GB2312" w:hAnsi="仿宋_GB2312" w:eastAsia="仿宋_GB2312" w:cs="Times New Roman"/>
          <w:color w:val="000000"/>
          <w:kern w:val="2"/>
          <w:sz w:val="32"/>
          <w:szCs w:val="32"/>
          <w:lang w:val="en-US" w:eastAsia="zh-CN" w:bidi="ar-SA"/>
        </w:rPr>
        <w:t>6、加强大队自身建设，服务保障有力</w:t>
      </w:r>
    </w:p>
    <w:p>
      <w:pPr>
        <w:pStyle w:val="5"/>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2"/>
        <w:shd w:val="clear" w:color="auto" w:fill="FFFFFF"/>
        <w:spacing w:before="0" w:beforeAutospacing="0" w:after="0" w:afterAutospacing="0" w:line="240" w:lineRule="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支出决算情况说明</w:t>
      </w:r>
    </w:p>
    <w:p>
      <w:pPr>
        <w:pStyle w:val="2"/>
        <w:shd w:val="clear" w:color="auto" w:fill="FFFFFF"/>
        <w:spacing w:before="0" w:beforeAutospacing="0" w:after="0" w:afterAutospacing="0" w:line="240" w:lineRule="auto"/>
        <w:ind w:firstLine="640" w:firstLineChars="200"/>
        <w:rPr>
          <w:rFonts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2021年度支出合计46.48万元，其中：基本支出27.61万元，占59.4%；项目支出18.87万元，占40.6%。</w:t>
      </w:r>
    </w:p>
    <w:p>
      <w:pPr>
        <w:pStyle w:val="5"/>
        <w:spacing w:line="600" w:lineRule="exact"/>
        <w:ind w:firstLine="640"/>
        <w:rPr>
          <w:rFonts w:ascii="仿宋_GB2312" w:hAnsi="仿宋_GB2312" w:eastAsia="仿宋_GB2312" w:cs="Times New Roman"/>
          <w:color w:val="000000"/>
          <w:kern w:val="2"/>
          <w:sz w:val="32"/>
          <w:szCs w:val="32"/>
          <w:lang w:val="en-US" w:eastAsia="zh-CN" w:bidi="ar-SA"/>
        </w:rPr>
      </w:pPr>
      <w:r>
        <w:rPr>
          <w:rFonts w:ascii="仿宋_GB2312" w:hAnsi="仿宋_GB2312" w:eastAsia="仿宋_GB2312" w:cs="Times New Roman"/>
          <w:color w:val="000000"/>
          <w:kern w:val="2"/>
          <w:sz w:val="32"/>
          <w:szCs w:val="32"/>
          <w:lang w:val="en-US" w:eastAsia="zh-CN" w:bidi="ar-SA"/>
        </w:rPr>
        <w:t>（一）基本支出情况</w:t>
      </w:r>
    </w:p>
    <w:p>
      <w:pPr>
        <w:pStyle w:val="2"/>
        <w:shd w:val="clear" w:color="auto" w:fill="FFFFFF"/>
        <w:spacing w:before="0" w:beforeAutospacing="0" w:after="0" w:afterAutospacing="0" w:line="240" w:lineRule="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1、2021年度一般公共预算财政拨款支出决算情况说明</w:t>
      </w:r>
    </w:p>
    <w:p>
      <w:pPr>
        <w:pStyle w:val="2"/>
        <w:shd w:val="clear" w:color="auto" w:fill="FFFFFF"/>
        <w:spacing w:before="0" w:beforeAutospacing="0" w:after="0" w:afterAutospacing="0" w:line="480" w:lineRule="atLeast"/>
        <w:ind w:firstLine="48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2021年度财政拨款支出46.48万元，占本年支出合计的100%。与上一年度相比，财政拨款支出减少0.07万元，下降0.15%。主要是因为压缩开支。</w:t>
      </w:r>
    </w:p>
    <w:p>
      <w:pPr>
        <w:pStyle w:val="2"/>
        <w:shd w:val="clear" w:color="auto" w:fill="FFFFFF"/>
        <w:spacing w:before="0" w:beforeAutospacing="0" w:after="0" w:afterAutospacing="0" w:line="480" w:lineRule="atLeast"/>
        <w:ind w:firstLine="48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按支出性质分类，其中：基本支出27.61万元，其中人员经费22.27万元，日常公用经费5.34万元。</w:t>
      </w:r>
    </w:p>
    <w:p>
      <w:pPr>
        <w:pStyle w:val="2"/>
        <w:shd w:val="clear" w:color="auto" w:fill="FFFFFF"/>
        <w:spacing w:before="0" w:beforeAutospacing="0" w:after="0" w:afterAutospacing="0" w:line="480" w:lineRule="atLeast"/>
        <w:ind w:firstLine="48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按经济分类，其中：</w:t>
      </w:r>
      <w:bookmarkStart w:id="0" w:name="OLE_LINK10"/>
      <w:r>
        <w:rPr>
          <w:rFonts w:hint="eastAsia" w:ascii="仿宋_GB2312" w:hAnsi="仿宋_GB2312" w:eastAsia="仿宋_GB2312" w:cs="Times New Roman"/>
          <w:color w:val="000000"/>
          <w:kern w:val="2"/>
          <w:sz w:val="32"/>
          <w:szCs w:val="32"/>
          <w:lang w:val="en-US" w:eastAsia="zh-CN" w:bidi="ar-SA"/>
        </w:rPr>
        <w:t>工资福利支出</w:t>
      </w:r>
      <w:bookmarkEnd w:id="0"/>
      <w:r>
        <w:rPr>
          <w:rFonts w:hint="eastAsia" w:ascii="仿宋_GB2312" w:hAnsi="仿宋_GB2312" w:eastAsia="仿宋_GB2312" w:cs="Times New Roman"/>
          <w:color w:val="000000"/>
          <w:kern w:val="2"/>
          <w:sz w:val="32"/>
          <w:szCs w:val="32"/>
          <w:lang w:val="en-US" w:eastAsia="zh-CN" w:bidi="ar-SA"/>
        </w:rPr>
        <w:t>24.25万元；对个人和家庭的补助2.35万元；商品和服务支出19.87万元；资本性支出0万元。 </w:t>
      </w:r>
    </w:p>
    <w:p>
      <w:pPr>
        <w:pStyle w:val="2"/>
        <w:shd w:val="clear" w:color="auto" w:fill="FFFFFF"/>
        <w:spacing w:before="0" w:beforeAutospacing="0" w:after="0" w:afterAutospacing="0" w:line="240" w:lineRule="auto"/>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2、2021年度财政拨款基本支出决算情况详细说明</w:t>
      </w:r>
    </w:p>
    <w:p>
      <w:pPr>
        <w:pStyle w:val="2"/>
        <w:shd w:val="clear" w:color="auto" w:fill="FFFFFF"/>
        <w:spacing w:before="0" w:beforeAutospacing="0" w:after="0" w:afterAutospacing="0" w:line="240" w:lineRule="auto"/>
        <w:ind w:firstLine="640" w:firstLineChars="200"/>
        <w:rPr>
          <w:rFonts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度永州市双牌县文化市场综合执法大队一般性支出10.5万元，其中：会议费0万元；开支培训费0万元；办公费2.36万元；印刷费2.16万元；咨询费0万元；水费0万元；电费0.64万元；邮电费0.2万元；取暖费0万元；物业管理费0万元；差旅费3.74万元；因公出国（境）费用0万元；维修（护）费0万元；租赁费0万元；公务接待费0.36万元；被装购置费0万元；劳务费0.6万元；委托业务费0万元；公务用车运行维护费0万元；其他交通费用0.44万元；房屋建筑物购建0万元；办公设备购置0万元；公务用车购置0万元；其他交通工具购置0万元。</w:t>
      </w:r>
    </w:p>
    <w:p>
      <w:pPr>
        <w:pStyle w:val="5"/>
        <w:numPr>
          <w:ilvl w:val="0"/>
          <w:numId w:val="2"/>
        </w:numPr>
        <w:spacing w:line="600" w:lineRule="exact"/>
        <w:ind w:firstLine="640"/>
        <w:rPr>
          <w:rFonts w:ascii="仿宋_GB2312" w:hAnsi="仿宋_GB2312" w:eastAsia="仿宋_GB2312" w:cs="Times New Roman"/>
          <w:color w:val="000000"/>
          <w:kern w:val="2"/>
          <w:sz w:val="32"/>
          <w:szCs w:val="32"/>
          <w:lang w:val="en-US" w:eastAsia="zh-CN" w:bidi="ar-SA"/>
        </w:rPr>
      </w:pPr>
      <w:r>
        <w:rPr>
          <w:rFonts w:ascii="仿宋_GB2312" w:hAnsi="仿宋_GB2312" w:eastAsia="仿宋_GB2312" w:cs="Times New Roman"/>
          <w:color w:val="000000"/>
          <w:kern w:val="2"/>
          <w:sz w:val="32"/>
          <w:szCs w:val="32"/>
          <w:lang w:val="en-US" w:eastAsia="zh-CN" w:bidi="ar-SA"/>
        </w:rPr>
        <w:t>项目支出情况</w:t>
      </w:r>
    </w:p>
    <w:p>
      <w:pPr>
        <w:pStyle w:val="2"/>
        <w:shd w:val="clear" w:color="auto" w:fill="FFFFFF"/>
        <w:spacing w:before="0" w:beforeAutospacing="0" w:after="0" w:afterAutospacing="0" w:line="240" w:lineRule="auto"/>
        <w:ind w:firstLine="640" w:firstLineChars="200"/>
        <w:rPr>
          <w:rFonts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度项目支出18.87万元，与上年度增加11.05万元，增幅141.25%，主要是因为2021年增加了项目经费支出。项目支出18.87万元，主要商品和服务支出。主要包括：办公费、印刷费、电费、邮电费、差旅费、劳务费、委托业务费、其他交通费、其他商品和服务费。</w:t>
      </w:r>
    </w:p>
    <w:p>
      <w:pPr>
        <w:pStyle w:val="5"/>
        <w:numPr>
          <w:ilvl w:val="0"/>
          <w:numId w:val="3"/>
        </w:numPr>
        <w:spacing w:line="600" w:lineRule="exact"/>
        <w:ind w:firstLine="640"/>
        <w:rPr>
          <w:rFonts w:ascii="黑体" w:hAnsi="黑体" w:eastAsia="黑体"/>
          <w:sz w:val="32"/>
          <w:szCs w:val="32"/>
        </w:rPr>
      </w:pPr>
      <w:r>
        <w:rPr>
          <w:rFonts w:ascii="黑体" w:hAnsi="黑体" w:eastAsia="黑体"/>
          <w:sz w:val="32"/>
          <w:szCs w:val="32"/>
        </w:rPr>
        <w:t>政府性基金预算支出情况</w:t>
      </w:r>
    </w:p>
    <w:p>
      <w:pPr>
        <w:pStyle w:val="5"/>
        <w:numPr>
          <w:ilvl w:val="0"/>
          <w:numId w:val="0"/>
        </w:numPr>
        <w:spacing w:line="600" w:lineRule="exact"/>
        <w:ind w:firstLine="640" w:firstLineChars="200"/>
        <w:rPr>
          <w:rFonts w:hint="eastAsia" w:ascii="黑体" w:hAnsi="黑体" w:eastAsia="黑体"/>
          <w:sz w:val="32"/>
          <w:szCs w:val="32"/>
          <w:lang w:eastAsia="zh-CN"/>
        </w:rPr>
      </w:pPr>
      <w:r>
        <w:rPr>
          <w:rFonts w:hint="eastAsia" w:ascii="仿宋_GB2312" w:hAnsi="仿宋_GB2312" w:eastAsia="仿宋_GB2312" w:cs="Times New Roman"/>
          <w:color w:val="000000"/>
          <w:kern w:val="2"/>
          <w:sz w:val="32"/>
          <w:szCs w:val="32"/>
          <w:lang w:val="en-US" w:eastAsia="zh-CN" w:bidi="ar-SA"/>
        </w:rPr>
        <w:t>双牌县文化市场综合执法大队无政府性基金预算支出</w:t>
      </w:r>
    </w:p>
    <w:p>
      <w:pPr>
        <w:pStyle w:val="5"/>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国有资本经营预算支出情况</w:t>
      </w:r>
    </w:p>
    <w:p>
      <w:pPr>
        <w:pStyle w:val="5"/>
        <w:widowControl w:val="0"/>
        <w:numPr>
          <w:ilvl w:val="0"/>
          <w:numId w:val="0"/>
        </w:numPr>
        <w:spacing w:line="600" w:lineRule="exact"/>
        <w:ind w:firstLine="640" w:firstLineChars="200"/>
        <w:jc w:val="both"/>
        <w:rPr>
          <w:rFonts w:ascii="黑体" w:hAnsi="黑体" w:eastAsia="黑体"/>
          <w:sz w:val="32"/>
          <w:szCs w:val="32"/>
        </w:rPr>
      </w:pPr>
      <w:r>
        <w:rPr>
          <w:rFonts w:hint="eastAsia" w:ascii="仿宋_GB2312" w:hAnsi="仿宋_GB2312" w:eastAsia="仿宋_GB2312" w:cs="Times New Roman"/>
          <w:color w:val="000000"/>
          <w:kern w:val="2"/>
          <w:sz w:val="32"/>
          <w:szCs w:val="32"/>
          <w:lang w:val="en-US" w:eastAsia="zh-CN" w:bidi="ar-SA"/>
        </w:rPr>
        <w:t>双牌县文化市场综合执法大队无国有资本经营预算支出</w:t>
      </w:r>
    </w:p>
    <w:p>
      <w:pPr>
        <w:pStyle w:val="5"/>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社会保险基金预算支出情况</w:t>
      </w:r>
    </w:p>
    <w:p>
      <w:pPr>
        <w:pStyle w:val="5"/>
        <w:widowControl w:val="0"/>
        <w:numPr>
          <w:ilvl w:val="0"/>
          <w:numId w:val="0"/>
        </w:numPr>
        <w:spacing w:line="600" w:lineRule="exact"/>
        <w:ind w:firstLine="640" w:firstLineChars="200"/>
        <w:jc w:val="both"/>
        <w:rPr>
          <w:rFonts w:ascii="黑体" w:hAnsi="黑体" w:eastAsia="黑体"/>
          <w:sz w:val="32"/>
          <w:szCs w:val="32"/>
        </w:rPr>
      </w:pPr>
      <w:r>
        <w:rPr>
          <w:rFonts w:hint="eastAsia" w:ascii="仿宋_GB2312" w:hAnsi="仿宋_GB2312" w:eastAsia="仿宋_GB2312" w:cs="Times New Roman"/>
          <w:color w:val="000000"/>
          <w:kern w:val="2"/>
          <w:sz w:val="32"/>
          <w:szCs w:val="32"/>
          <w:lang w:val="en-US" w:eastAsia="zh-CN" w:bidi="ar-SA"/>
        </w:rPr>
        <w:t>双牌县文化市场综合执法大队无社会保险基金预算支出</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pStyle w:val="2"/>
        <w:shd w:val="clear" w:color="auto" w:fill="FFFFFF"/>
        <w:spacing w:before="0" w:beforeAutospacing="0" w:after="0" w:afterAutospacing="0" w:line="480" w:lineRule="atLeast"/>
        <w:ind w:firstLine="48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的绩效自评结果为优秀，主要绩效如下：一是认真贯彻中央、省、市和县委、县政府要求，着力推动文化市场监管执法责任体系落实；二是强化文化市场管理，深入开展文化企业法律、法规宣传教育培训；三是突出执法，扎实开展“文化市场专项整治”；四是夯实基础，强化安全生产保障，深入开展文化市场安全生产检查；五是加强班子队伍建设，提高执行能力；六是加强大队自身建设，服务保障有力；七是文化市场监管执法工作取得实实在在的成效：2021年全县文化市场秩序整体稳定良好。</w:t>
      </w:r>
    </w:p>
    <w:p>
      <w:pPr>
        <w:widowControl/>
        <w:spacing w:line="36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w:t>
      </w:r>
      <w:bookmarkStart w:id="1" w:name="OLE_LINK13"/>
      <w:r>
        <w:rPr>
          <w:rFonts w:hint="eastAsia" w:ascii="仿宋_GB2312" w:hAnsi="仿宋_GB2312" w:eastAsia="仿宋_GB2312" w:cs="Times New Roman"/>
          <w:color w:val="000000"/>
          <w:kern w:val="2"/>
          <w:sz w:val="32"/>
          <w:szCs w:val="32"/>
          <w:lang w:val="en-US" w:eastAsia="zh-CN" w:bidi="ar-SA"/>
        </w:rPr>
        <w:t>绩效目标和绩效评价报告</w:t>
      </w:r>
      <w:bookmarkEnd w:id="1"/>
    </w:p>
    <w:p>
      <w:pPr>
        <w:widowControl/>
        <w:spacing w:line="36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（1）加大宣传力度，强化绩效理念。通过各种媒介、各种形式和渠道，加大绩效管理理念宣传力度，不断提高单位的绩效意识，使社会公众也来了解支持绩效管理工作。</w:t>
      </w:r>
    </w:p>
    <w:p>
      <w:pPr>
        <w:widowControl/>
        <w:spacing w:line="36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（2）加强预算绩效管理法制建设。提请国家出台相关法律、法规，强化预算绩效管理法制手段，一是增加有关强调预算绩效管理的内容；二是制定预算绩效管理相关制度办法。</w:t>
      </w:r>
    </w:p>
    <w:p>
      <w:pPr>
        <w:widowControl/>
        <w:spacing w:line="36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3）发挥部门在预算绩效管理中的主体作用。建立部门预算责任制度，强化部门的预算编制和执行主体责任，形成“谁干事谁花钱、谁花钱谁担责”的制度，从预算编制到执行，部门都要切实负起责任。建立绩效问责制度，把单位财政资金使用绩效纳入考核范围，进一步落实责任，提高单位对项目资金使用绩效的重视和开展绩效管理工作的自觉性。</w:t>
      </w:r>
    </w:p>
    <w:p>
      <w:pPr>
        <w:widowControl/>
        <w:spacing w:line="36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（4）强化评价结果应用。按照政府信息公开的有关要求，逐步公开财政支出项目预算及绩效评价结果，加强社会公众对财政资金使用效益的监督。</w:t>
      </w:r>
    </w:p>
    <w:p>
      <w:pPr>
        <w:widowControl/>
        <w:spacing w:line="36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2、预算绩效评价</w:t>
      </w:r>
    </w:p>
    <w:p>
      <w:pPr>
        <w:widowControl/>
        <w:spacing w:line="360" w:lineRule="auto"/>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本部门整体支出和项目支出实行绩效目标管理，纳入2021年部门整体支出绩效目标的金额46.48万元，其中，基本支出27.61万元，项目支出18.87元。</w:t>
      </w:r>
    </w:p>
    <w:p>
      <w:pPr>
        <w:widowControl/>
        <w:numPr>
          <w:ilvl w:val="0"/>
          <w:numId w:val="4"/>
        </w:numPr>
        <w:spacing w:line="360" w:lineRule="auto"/>
        <w:ind w:firstLine="640" w:firstLineChars="200"/>
        <w:rPr>
          <w:rFonts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根据预算绩效管理要求，我单位组织对2021年度部门整体支出和专项资金实施了全覆盖性的绩效评价，撰写了整体支出绩效评价报告和项目支出绩效评价报告。涉及项目1个，涉及一般公共预算当年财政拨款46.48万元，自评覆盖率达到100%。在县委、县政府坚强领导和县文化旅游广电体育局指导下，我队团结和带领干部职工，更加努力地服务和监管全县文化市场工作，切实加强文化市场执法，确保全县文化市场安全稳定和持续好转，为全县文化发展营造了良好的市场环境。绩效自评结果显示，上述项目支出绩效情况较为理想，均达到了项目申请时设定的各项绩效目标。</w:t>
      </w:r>
    </w:p>
    <w:p>
      <w:pPr>
        <w:pStyle w:val="5"/>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spacing w:line="600" w:lineRule="exact"/>
        <w:ind w:firstLine="640" w:firstLineChars="200"/>
        <w:rPr>
          <w:rFonts w:eastAsia="仿宋_GB2312"/>
          <w:sz w:val="32"/>
          <w:szCs w:val="32"/>
        </w:rPr>
      </w:pPr>
      <w:r>
        <w:rPr>
          <w:rFonts w:hint="eastAsia" w:ascii="仿宋_GB2312" w:hAnsi="仿宋_GB2312" w:eastAsia="仿宋_GB2312" w:cs="Times New Roman"/>
          <w:sz w:val="32"/>
          <w:szCs w:val="32"/>
        </w:rPr>
        <w:t>202</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Times New Roman"/>
          <w:sz w:val="32"/>
          <w:szCs w:val="32"/>
        </w:rPr>
        <w:t>年本部门项目支出预算</w:t>
      </w:r>
      <w:r>
        <w:rPr>
          <w:rFonts w:hint="eastAsia" w:ascii="仿宋_GB2312" w:hAnsi="仿宋_GB2312" w:eastAsia="仿宋_GB2312" w:cs="Times New Roman"/>
          <w:color w:val="000000"/>
          <w:kern w:val="2"/>
          <w:sz w:val="32"/>
          <w:szCs w:val="32"/>
          <w:lang w:val="en-US" w:eastAsia="zh-CN" w:bidi="ar-SA"/>
        </w:rPr>
        <w:t>18.87</w:t>
      </w:r>
      <w:r>
        <w:rPr>
          <w:rFonts w:hint="eastAsia" w:ascii="仿宋_GB2312" w:hAnsi="仿宋_GB2312" w:eastAsia="仿宋_GB2312" w:cs="Times New Roman"/>
          <w:sz w:val="32"/>
          <w:szCs w:val="32"/>
        </w:rPr>
        <w:t>万元，主要是部门为完成特定行政工作任务或事业发展目标而发生的支出，包括专项业务费等，其中：业务工作支出</w:t>
      </w:r>
      <w:r>
        <w:rPr>
          <w:rFonts w:hint="eastAsia" w:ascii="仿宋_GB2312" w:hAnsi="仿宋_GB2312" w:eastAsia="仿宋_GB2312" w:cs="Times New Roman"/>
          <w:sz w:val="32"/>
          <w:szCs w:val="32"/>
          <w:lang w:val="en-US" w:eastAsia="zh-CN"/>
        </w:rPr>
        <w:t>18.87</w:t>
      </w:r>
      <w:r>
        <w:rPr>
          <w:rFonts w:hint="eastAsia" w:ascii="仿宋_GB2312" w:hAnsi="仿宋_GB2312" w:eastAsia="仿宋_GB2312" w:cs="Times New Roman"/>
          <w:sz w:val="32"/>
          <w:szCs w:val="32"/>
        </w:rPr>
        <w:t>万元，主要用于“扫黄打非”进基层示范乡镇建设，办案专项等方面。202</w:t>
      </w:r>
      <w:r>
        <w:rPr>
          <w:rFonts w:hint="eastAsia" w:ascii="仿宋_GB2312" w:hAnsi="仿宋_GB2312" w:eastAsia="仿宋_GB2312" w:cs="Times New Roman"/>
          <w:sz w:val="32"/>
          <w:szCs w:val="32"/>
          <w:lang w:val="en-US" w:eastAsia="zh-CN"/>
        </w:rPr>
        <w:t>1</w:t>
      </w:r>
      <w:r>
        <w:rPr>
          <w:rFonts w:hint="eastAsia" w:ascii="仿宋_GB2312" w:hAnsi="仿宋_GB2312" w:eastAsia="仿宋_GB2312" w:cs="Times New Roman"/>
          <w:sz w:val="32"/>
          <w:szCs w:val="32"/>
        </w:rPr>
        <w:t>年本单位项目支出</w:t>
      </w:r>
      <w:r>
        <w:rPr>
          <w:rFonts w:hint="eastAsia" w:ascii="仿宋_GB2312" w:hAnsi="仿宋_GB2312" w:eastAsia="仿宋_GB2312" w:cs="Times New Roman"/>
          <w:color w:val="000000"/>
          <w:kern w:val="2"/>
          <w:sz w:val="32"/>
          <w:szCs w:val="32"/>
          <w:lang w:val="en-US" w:eastAsia="zh-CN" w:bidi="ar-SA"/>
        </w:rPr>
        <w:t>18.87</w:t>
      </w:r>
      <w:r>
        <w:rPr>
          <w:rFonts w:hint="eastAsia" w:ascii="仿宋_GB2312" w:hAnsi="仿宋_GB2312" w:eastAsia="仿宋_GB2312" w:cs="Times New Roman"/>
          <w:sz w:val="32"/>
          <w:szCs w:val="32"/>
        </w:rPr>
        <w:t>万元，主要用于“扫黄打非”进基层示范乡镇建设，“扫黄打非”专项</w:t>
      </w:r>
      <w:r>
        <w:rPr>
          <w:rFonts w:hint="eastAsia" w:ascii="仿宋_GB2312" w:hAnsi="仿宋_GB2312" w:eastAsia="仿宋_GB2312" w:cs="Times New Roman"/>
          <w:sz w:val="32"/>
          <w:szCs w:val="32"/>
          <w:lang w:eastAsia="zh-CN"/>
        </w:rPr>
        <w:t>经费、</w:t>
      </w:r>
      <w:bookmarkStart w:id="2" w:name="OLE_LINK12"/>
      <w:r>
        <w:rPr>
          <w:rFonts w:hint="eastAsia" w:ascii="仿宋_GB2312" w:hAnsi="仿宋_GB2312" w:eastAsia="仿宋_GB2312" w:cs="Times New Roman"/>
          <w:sz w:val="32"/>
          <w:szCs w:val="32"/>
        </w:rPr>
        <w:t>办案专项</w:t>
      </w:r>
      <w:bookmarkEnd w:id="2"/>
      <w:r>
        <w:rPr>
          <w:rFonts w:hint="eastAsia" w:ascii="仿宋_GB2312" w:hAnsi="仿宋_GB2312" w:eastAsia="仿宋_GB2312" w:cs="Times New Roman"/>
          <w:sz w:val="32"/>
          <w:szCs w:val="32"/>
        </w:rPr>
        <w:t>等方面。项目支出有所</w:t>
      </w:r>
      <w:r>
        <w:rPr>
          <w:rFonts w:hint="eastAsia" w:ascii="仿宋_GB2312" w:hAnsi="仿宋_GB2312" w:eastAsia="仿宋_GB2312" w:cs="Times New Roman"/>
          <w:sz w:val="32"/>
          <w:szCs w:val="32"/>
          <w:lang w:eastAsia="zh-CN"/>
        </w:rPr>
        <w:t>增加</w:t>
      </w:r>
      <w:r>
        <w:rPr>
          <w:rFonts w:hint="eastAsia" w:ascii="仿宋_GB2312" w:hAnsi="仿宋_GB2312" w:eastAsia="仿宋_GB2312" w:cs="Times New Roman"/>
          <w:sz w:val="32"/>
          <w:szCs w:val="32"/>
        </w:rPr>
        <w:t>，主要原因为“扫黄打非”</w:t>
      </w:r>
      <w:r>
        <w:rPr>
          <w:rFonts w:hint="eastAsia" w:ascii="仿宋_GB2312" w:hAnsi="仿宋_GB2312" w:eastAsia="仿宋_GB2312" w:cs="Times New Roman"/>
          <w:sz w:val="32"/>
          <w:szCs w:val="32"/>
          <w:lang w:eastAsia="zh-CN"/>
        </w:rPr>
        <w:t>专项支出</w:t>
      </w:r>
      <w:r>
        <w:rPr>
          <w:rFonts w:hint="eastAsia" w:ascii="仿宋_GB2312" w:hAnsi="仿宋_GB2312" w:eastAsia="仿宋_GB2312" w:cs="Times New Roman"/>
          <w:sz w:val="32"/>
          <w:szCs w:val="32"/>
        </w:rPr>
        <w:t>等</w:t>
      </w:r>
      <w:r>
        <w:rPr>
          <w:rFonts w:hint="eastAsia" w:ascii="仿宋_GB2312" w:hAnsi="仿宋_GB2312" w:eastAsia="仿宋_GB2312" w:cs="Times New Roman"/>
          <w:sz w:val="32"/>
          <w:szCs w:val="32"/>
          <w:lang w:eastAsia="zh-CN"/>
        </w:rPr>
        <w:t>增加</w:t>
      </w:r>
      <w:r>
        <w:rPr>
          <w:rFonts w:hint="eastAsia" w:ascii="仿宋_GB2312" w:hAnsi="仿宋_GB2312" w:eastAsia="仿宋_GB2312" w:cs="Times New Roman"/>
          <w:sz w:val="32"/>
          <w:szCs w:val="32"/>
        </w:rPr>
        <w:t>，从而导致预算支出与绩效有一定的偏离。其中：</w:t>
      </w:r>
      <w:r>
        <w:rPr>
          <w:rFonts w:hint="eastAsia" w:ascii="仿宋_GB2312" w:hAnsi="仿宋_GB2312" w:eastAsia="仿宋_GB2312" w:cs="Times New Roman"/>
          <w:sz w:val="32"/>
          <w:szCs w:val="32"/>
          <w:lang w:eastAsia="zh-CN"/>
        </w:rPr>
        <w:t>质量</w:t>
      </w:r>
      <w:r>
        <w:rPr>
          <w:rFonts w:hint="eastAsia" w:ascii="仿宋_GB2312" w:hAnsi="仿宋_GB2312" w:eastAsia="仿宋_GB2312" w:cs="Times New Roman"/>
          <w:sz w:val="32"/>
          <w:szCs w:val="32"/>
        </w:rPr>
        <w:t>效益指标略偏离绩效目标，主要是缺乏宣传工作还不到位。</w:t>
      </w:r>
    </w:p>
    <w:p>
      <w:pPr>
        <w:numPr>
          <w:ilvl w:val="0"/>
          <w:numId w:val="5"/>
        </w:numPr>
        <w:spacing w:line="600" w:lineRule="exact"/>
        <w:ind w:firstLine="640" w:firstLineChars="200"/>
        <w:rPr>
          <w:rFonts w:ascii="黑体" w:hAnsi="黑体" w:eastAsia="黑体"/>
          <w:sz w:val="32"/>
          <w:szCs w:val="32"/>
        </w:rPr>
      </w:pPr>
      <w:r>
        <w:rPr>
          <w:rFonts w:ascii="黑体" w:hAnsi="黑体" w:eastAsia="黑体"/>
          <w:sz w:val="32"/>
          <w:szCs w:val="32"/>
        </w:rPr>
        <w:t>下一步改进措施</w:t>
      </w:r>
    </w:p>
    <w:p>
      <w:pPr>
        <w:widowControl w:val="0"/>
        <w:numPr>
          <w:ilvl w:val="0"/>
          <w:numId w:val="0"/>
        </w:numPr>
        <w:spacing w:line="600" w:lineRule="exact"/>
        <w:jc w:val="both"/>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仿宋_GB2312" w:hAnsi="仿宋_GB2312" w:eastAsia="仿宋_GB2312" w:cs="Times New Roman"/>
          <w:sz w:val="32"/>
          <w:szCs w:val="32"/>
          <w:lang w:val="en-US" w:eastAsia="zh-CN"/>
        </w:rPr>
        <w:t>着力构建绩效评价体系，以能更好地发挥出行政事业单位在社会和经济发展中的重要作用，综合考虑社会发展需要与经济发展需求，做好定量和变量的动态配合，进而强化调控与监管能力；各职能部门在做好管理层监督的基础上，对普通工作人员进行具体的任务布置，避免责任无法落实的问题，另外对人员进行绩效考核，提高工作的积极性。</w:t>
      </w:r>
    </w:p>
    <w:p>
      <w:pPr>
        <w:spacing w:line="600" w:lineRule="exact"/>
        <w:ind w:firstLine="640" w:firstLineChars="200"/>
        <w:rPr>
          <w:rFonts w:ascii="黑体" w:hAnsi="黑体" w:eastAsia="黑体"/>
          <w:sz w:val="32"/>
          <w:szCs w:val="32"/>
        </w:rPr>
      </w:pPr>
      <w:r>
        <w:rPr>
          <w:rFonts w:ascii="黑体" w:hAnsi="黑体" w:eastAsia="黑体"/>
          <w:sz w:val="32"/>
          <w:szCs w:val="32"/>
        </w:rPr>
        <w:t>九、绩效自评结果拟应用和公开情况</w:t>
      </w:r>
    </w:p>
    <w:p>
      <w:pPr>
        <w:spacing w:line="600" w:lineRule="exact"/>
        <w:ind w:firstLine="640" w:firstLineChars="200"/>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以绩效自评结果作为制定决策的工具，在绩效信息与预算决策之间建立起联系，实现绩效评价结果的有效运用，将评价结果作为考核部门和单位领导绩效的重要依据。</w:t>
      </w:r>
    </w:p>
    <w:p>
      <w:pPr>
        <w:spacing w:line="600" w:lineRule="exact"/>
        <w:ind w:firstLine="640" w:firstLineChars="200"/>
        <w:rPr>
          <w:rFonts w:ascii="黑体" w:hAnsi="黑体" w:eastAsia="黑体"/>
          <w:sz w:val="32"/>
          <w:szCs w:val="32"/>
        </w:rPr>
      </w:pPr>
      <w:r>
        <w:rPr>
          <w:rFonts w:hint="eastAsia" w:ascii="仿宋_GB2312" w:hAnsi="仿宋_GB2312" w:eastAsia="仿宋_GB2312" w:cs="Times New Roman"/>
          <w:sz w:val="32"/>
          <w:szCs w:val="32"/>
          <w:lang w:val="en-US" w:eastAsia="zh-CN"/>
        </w:rPr>
        <w:t>我们按照县财政局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综合评议后形成评价结论，出具绩效评价报告，并依照相关规定进行公开。</w:t>
      </w:r>
    </w:p>
    <w:p>
      <w:pPr>
        <w:spacing w:line="600" w:lineRule="exact"/>
        <w:ind w:firstLine="640" w:firstLineChars="200"/>
        <w:rPr>
          <w:rFonts w:eastAsia="黑体"/>
          <w:sz w:val="32"/>
          <w:szCs w:val="32"/>
        </w:rPr>
      </w:pPr>
      <w:r>
        <w:rPr>
          <w:rFonts w:hint="eastAsia" w:ascii="黑体" w:hAnsi="黑体" w:eastAsia="黑体"/>
          <w:sz w:val="32"/>
          <w:szCs w:val="32"/>
          <w:lang w:eastAsia="zh-CN"/>
        </w:rPr>
        <w:t>十、</w:t>
      </w:r>
      <w:r>
        <w:rPr>
          <w:rFonts w:ascii="黑体" w:hAnsi="黑体" w:eastAsia="黑体"/>
          <w:sz w:val="32"/>
          <w:szCs w:val="32"/>
        </w:rPr>
        <w:t>其他需要说明的情况</w:t>
      </w:r>
    </w:p>
    <w:p>
      <w:pPr>
        <w:spacing w:line="60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无其他需要说明的情况。</w:t>
      </w:r>
    </w:p>
    <w:p>
      <w:pPr>
        <w:spacing w:line="600" w:lineRule="exact"/>
        <w:ind w:firstLine="640" w:firstLineChars="200"/>
        <w:rPr>
          <w:rFonts w:eastAsia="仿宋_GB2312"/>
          <w:sz w:val="32"/>
          <w:szCs w:val="32"/>
        </w:rPr>
      </w:pPr>
      <w:r>
        <w:rPr>
          <w:rFonts w:ascii="仿宋_GB2312" w:hAnsi="仿宋_GB2312" w:eastAsia="仿宋_GB2312"/>
          <w:sz w:val="32"/>
          <w:szCs w:val="32"/>
        </w:rPr>
        <w:t>附件：</w:t>
      </w:r>
    </w:p>
    <w:p>
      <w:pPr>
        <w:spacing w:line="60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、部门整体支出绩效评价基础数据表</w:t>
      </w:r>
    </w:p>
    <w:p>
      <w:pPr>
        <w:spacing w:line="60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、部门整体支出绩效自评表</w:t>
      </w:r>
    </w:p>
    <w:p>
      <w:pPr>
        <w:spacing w:line="600" w:lineRule="exact"/>
        <w:ind w:firstLine="640" w:firstLineChars="200"/>
        <w:rPr>
          <w:rFonts w:eastAsia="仿宋_GB2312"/>
          <w:sz w:val="32"/>
          <w:szCs w:val="32"/>
        </w:rPr>
      </w:pPr>
      <w:r>
        <w:rPr>
          <w:rFonts w:eastAsia="仿宋_GB2312"/>
          <w:sz w:val="32"/>
          <w:szCs w:val="32"/>
        </w:rPr>
        <w:t>3</w:t>
      </w:r>
      <w:r>
        <w:rPr>
          <w:rFonts w:ascii="仿宋_GB2312" w:hAnsi="仿宋_GB2312" w:eastAsia="仿宋_GB2312"/>
          <w:sz w:val="32"/>
          <w:szCs w:val="32"/>
        </w:rPr>
        <w:t>、项目支出绩效自评表</w:t>
      </w: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hint="eastAsia" w:ascii="黑体" w:hAnsi="黑体" w:eastAsia="黑体" w:cs="宋体"/>
          <w:kern w:val="0"/>
          <w:sz w:val="32"/>
          <w:szCs w:val="32"/>
        </w:r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25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r>
              <w:rPr>
                <w:rFonts w:hint="eastAsia" w:eastAsia="仿宋_GB2312"/>
                <w:kern w:val="0"/>
                <w:lang w:val="en-US" w:eastAsia="zh-CN"/>
              </w:rPr>
              <w:t>10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0.398</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0.398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7.82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8.37</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8.85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5.5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1.51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w:t>
            </w:r>
            <w:bookmarkStart w:id="3" w:name="OLE_LINK1"/>
            <w:r>
              <w:rPr>
                <w:rFonts w:eastAsia="仿宋_GB2312"/>
                <w:kern w:val="0"/>
              </w:rPr>
              <w:t>电费</w:t>
            </w:r>
            <w:bookmarkEnd w:id="3"/>
            <w:r>
              <w:rPr>
                <w:rFonts w:eastAsia="仿宋_GB2312"/>
                <w:kern w:val="0"/>
              </w:rPr>
              <w:t>、差旅费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1.94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3.25</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rPr>
              <w:t>一、提高认识，增强落实厉行节约要求的责任感</w:t>
            </w:r>
            <w:r>
              <w:rPr>
                <w:rFonts w:hint="eastAsia" w:eastAsia="仿宋_GB2312"/>
                <w:kern w:val="0"/>
                <w:lang w:eastAsia="zh-CN"/>
              </w:rPr>
              <w:t>。</w:t>
            </w:r>
            <w:r>
              <w:rPr>
                <w:rFonts w:hint="eastAsia" w:eastAsia="仿宋_GB2312"/>
                <w:kern w:val="0"/>
              </w:rPr>
              <w:t>二、突出工作重点，严格落实厉行节约要求</w:t>
            </w:r>
            <w:r>
              <w:rPr>
                <w:rFonts w:hint="eastAsia" w:eastAsia="仿宋_GB2312"/>
                <w:kern w:val="0"/>
                <w:lang w:eastAsia="zh-CN"/>
              </w:rPr>
              <w:t>。</w:t>
            </w:r>
            <w:r>
              <w:rPr>
                <w:rFonts w:hint="eastAsia" w:eastAsia="仿宋_GB2312"/>
                <w:kern w:val="0"/>
                <w:lang w:val="en-US" w:eastAsia="zh-CN"/>
              </w:rPr>
              <w:t>三、</w:t>
            </w:r>
            <w:r>
              <w:rPr>
                <w:rFonts w:hint="eastAsia" w:eastAsia="仿宋_GB2312"/>
                <w:kern w:val="0"/>
              </w:rPr>
              <w:t>加强机构编制和人员经费管理。</w:t>
            </w:r>
            <w:r>
              <w:rPr>
                <w:rFonts w:hint="eastAsia" w:eastAsia="仿宋_GB2312"/>
                <w:kern w:val="0"/>
                <w:lang w:val="en-US" w:eastAsia="zh-CN"/>
              </w:rPr>
              <w:t>四、</w:t>
            </w:r>
            <w:r>
              <w:rPr>
                <w:rFonts w:hint="eastAsia" w:eastAsia="仿宋_GB2312"/>
                <w:kern w:val="0"/>
              </w:rPr>
              <w:t>规范公务接待管理。</w:t>
            </w:r>
            <w:r>
              <w:rPr>
                <w:rFonts w:hint="eastAsia" w:eastAsia="仿宋_GB2312"/>
                <w:kern w:val="0"/>
                <w:lang w:val="en-US" w:eastAsia="zh-CN"/>
              </w:rPr>
              <w:t>五、</w:t>
            </w:r>
            <w:r>
              <w:rPr>
                <w:rFonts w:hint="eastAsia" w:eastAsia="仿宋_GB2312"/>
                <w:kern w:val="0"/>
              </w:rPr>
              <w:t>强化日常管理，切实加强监督检查</w:t>
            </w:r>
            <w:r>
              <w:rPr>
                <w:rFonts w:eastAsia="仿宋_GB2312"/>
                <w:kern w:val="0"/>
              </w:rPr>
              <w:t>　</w:t>
            </w:r>
          </w:p>
        </w:tc>
      </w:tr>
    </w:tbl>
    <w:p>
      <w:pPr>
        <w:rPr>
          <w:rFonts w:eastAsia="仿宋_GB2312"/>
          <w:sz w:val="32"/>
          <w:szCs w:val="3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ascii="黑体" w:hAnsi="黑体" w:eastAsia="黑体"/>
          <w:sz w:val="32"/>
          <w:szCs w:val="32"/>
        </w:rPr>
      </w:pPr>
      <w:r>
        <w:rPr>
          <w:rFonts w:ascii="仿宋_GB2312" w:hAnsi="仿宋_GB2312"/>
          <w:kern w:val="0"/>
        </w:rPr>
        <w:t>填表人：          联系电话：          填报日期：           单位负责人签字：</w:t>
      </w:r>
    </w:p>
    <w:p>
      <w:pPr>
        <w:rPr>
          <w:rFonts w:ascii="黑体" w:hAnsi="黑体" w:eastAsia="黑体"/>
          <w:sz w:val="32"/>
          <w:szCs w:val="32"/>
        </w:rPr>
      </w:pPr>
      <w:r>
        <w:rPr>
          <w:rFonts w:ascii="黑体" w:hAnsi="黑体" w:eastAsia="黑体"/>
          <w:sz w:val="32"/>
          <w:szCs w:val="32"/>
        </w:rPr>
        <w:br w:type="page"/>
      </w:r>
    </w:p>
    <w:p>
      <w:pPr>
        <w:spacing w:line="360" w:lineRule="exact"/>
        <w:rPr>
          <w:rFonts w:ascii="黑体" w:hAnsi="黑体" w:eastAsia="黑体"/>
          <w:sz w:val="32"/>
          <w:szCs w:val="32"/>
        </w:rPr>
      </w:pP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2021</w:t>
      </w:r>
      <w:r>
        <w:rPr>
          <w:rFonts w:eastAsia="仿宋_GB2312"/>
          <w:color w:val="000000"/>
          <w:kern w:val="0"/>
        </w:rPr>
        <w:t xml:space="preserve">  </w:t>
      </w:r>
      <w:r>
        <w:rPr>
          <w:rFonts w:ascii="仿宋_GB2312" w:hAnsi="仿宋_GB2312" w:eastAsia="仿宋_GB2312"/>
          <w:color w:val="000000"/>
          <w:kern w:val="0"/>
        </w:rPr>
        <w:t>年度）</w:t>
      </w:r>
    </w:p>
    <w:tbl>
      <w:tblPr>
        <w:tblStyle w:val="3"/>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377"/>
        <w:gridCol w:w="1226"/>
        <w:gridCol w:w="1098"/>
        <w:gridCol w:w="422"/>
        <w:gridCol w:w="855"/>
        <w:gridCol w:w="1120"/>
        <w:gridCol w:w="703"/>
        <w:gridCol w:w="961"/>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县</w:t>
            </w:r>
            <w:r>
              <w:rPr>
                <w:rFonts w:eastAsia="仿宋_GB2312"/>
                <w:color w:val="000000"/>
                <w:kern w:val="0"/>
              </w:rPr>
              <w:t>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双牌县文化市场综合执法大队</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11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14"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530"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42</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40.87</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bookmarkStart w:id="4" w:name="OLE_LINK6"/>
            <w:r>
              <w:rPr>
                <w:rFonts w:hint="eastAsia" w:eastAsia="仿宋_GB2312"/>
                <w:lang w:val="en-US" w:eastAsia="zh-CN"/>
              </w:rPr>
              <w:t>46.</w:t>
            </w:r>
            <w:bookmarkStart w:id="5" w:name="OLE_LINK5"/>
            <w:r>
              <w:rPr>
                <w:rFonts w:hint="eastAsia" w:eastAsia="仿宋_GB2312"/>
                <w:lang w:val="en-US" w:eastAsia="zh-CN"/>
              </w:rPr>
              <w:t>4</w:t>
            </w:r>
            <w:bookmarkEnd w:id="5"/>
            <w:r>
              <w:rPr>
                <w:rFonts w:hint="eastAsia" w:eastAsia="仿宋_GB2312"/>
                <w:lang w:val="en-US" w:eastAsia="zh-CN"/>
              </w:rPr>
              <w:t>8</w:t>
            </w:r>
            <w:bookmarkEnd w:id="4"/>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81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113.72%</w:t>
            </w:r>
          </w:p>
        </w:tc>
        <w:tc>
          <w:tcPr>
            <w:tcW w:w="1530"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按收入性质分：</w:t>
            </w:r>
            <w:bookmarkStart w:id="6" w:name="OLE_LINK3"/>
            <w:r>
              <w:rPr>
                <w:rFonts w:hint="eastAsia" w:eastAsia="仿宋_GB2312"/>
                <w:lang w:val="en-US" w:eastAsia="zh-CN"/>
              </w:rPr>
              <w:t>46.48</w:t>
            </w:r>
            <w:bookmarkEnd w:id="6"/>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按支出性质分：</w:t>
            </w:r>
            <w:r>
              <w:rPr>
                <w:rFonts w:hint="eastAsia" w:eastAsia="仿宋_GB2312"/>
                <w:lang w:val="en-US" w:eastAsia="zh-CN"/>
              </w:rPr>
              <w:t>46.48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w:t>
            </w:r>
            <w:bookmarkStart w:id="7" w:name="OLE_LINK2"/>
            <w:r>
              <w:rPr>
                <w:rFonts w:eastAsia="仿宋_GB2312"/>
                <w:color w:val="000000"/>
                <w:kern w:val="0"/>
              </w:rPr>
              <w:t>一般公共预算</w:t>
            </w:r>
            <w:bookmarkEnd w:id="7"/>
            <w:r>
              <w:rPr>
                <w:rFonts w:eastAsia="仿宋_GB2312"/>
                <w:color w:val="000000"/>
                <w:kern w:val="0"/>
              </w:rPr>
              <w:t>：</w:t>
            </w:r>
            <w:bookmarkStart w:id="8" w:name="OLE_LINK4"/>
            <w:r>
              <w:rPr>
                <w:rFonts w:hint="eastAsia" w:eastAsia="仿宋_GB2312"/>
                <w:lang w:val="en-US" w:eastAsia="zh-CN"/>
              </w:rPr>
              <w:t>46.48</w:t>
            </w:r>
            <w:bookmarkEnd w:id="8"/>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18.87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hint="default" w:eastAsia="仿宋_GB2312"/>
                <w:color w:val="000000"/>
                <w:kern w:val="0"/>
                <w:lang w:val="en-US" w:eastAsia="zh-CN"/>
              </w:rPr>
            </w:pPr>
            <w:r>
              <w:rPr>
                <w:rFonts w:eastAsia="仿宋_GB2312"/>
                <w:color w:val="000000"/>
                <w:kern w:val="0"/>
              </w:rPr>
              <w:t>其他资金：</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bookmarkStart w:id="9" w:name="OLE_LINK7"/>
            <w:r>
              <w:rPr>
                <w:rFonts w:hint="eastAsia" w:eastAsia="仿宋_GB2312"/>
                <w:lang w:val="en-US" w:eastAsia="zh-CN"/>
              </w:rPr>
              <w:t>46.48</w:t>
            </w:r>
            <w:r>
              <w:rPr>
                <w:rFonts w:eastAsia="仿宋_GB2312"/>
                <w:color w:val="000000"/>
                <w:kern w:val="0"/>
              </w:rPr>
              <w:t xml:space="preserve"> </w:t>
            </w:r>
            <w:bookmarkEnd w:id="9"/>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lang w:val="en-US" w:eastAsia="zh-CN"/>
              </w:rPr>
              <w:t>46.48</w:t>
            </w:r>
            <w:r>
              <w:rPr>
                <w:rFonts w:eastAsia="仿宋_GB2312"/>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54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8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530"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549" w:type="dxa"/>
            <w:gridSpan w:val="2"/>
            <w:tcBorders>
              <w:top w:val="single" w:color="auto" w:sz="4" w:space="0"/>
              <w:left w:val="nil"/>
              <w:right w:val="single" w:color="auto" w:sz="4" w:space="0"/>
            </w:tcBorders>
            <w:noWrap w:val="0"/>
            <w:vAlign w:val="center"/>
          </w:tcPr>
          <w:p>
            <w:pPr>
              <w:widowControl/>
              <w:jc w:val="left"/>
              <w:rPr>
                <w:rFonts w:hint="eastAsia" w:eastAsia="仿宋_GB2312"/>
                <w:color w:val="000000"/>
                <w:kern w:val="0"/>
                <w:lang w:eastAsia="zh-CN"/>
              </w:rPr>
            </w:pPr>
            <w:r>
              <w:rPr>
                <w:rFonts w:hint="eastAsia" w:eastAsia="仿宋_GB2312"/>
                <w:color w:val="000000"/>
                <w:kern w:val="0"/>
                <w:lang w:eastAsia="zh-CN"/>
              </w:rPr>
              <w:t>全县文化市场、新闻出版版权市场、广播电影电视市场、县打黄扫非工作监管</w:t>
            </w:r>
          </w:p>
        </w:tc>
        <w:tc>
          <w:tcPr>
            <w:tcW w:w="860" w:type="dxa"/>
            <w:tcBorders>
              <w:top w:val="single" w:color="auto" w:sz="4" w:space="0"/>
              <w:left w:val="nil"/>
              <w:right w:val="single" w:color="auto" w:sz="4" w:space="0"/>
            </w:tcBorders>
            <w:noWrap w:val="0"/>
            <w:vAlign w:val="center"/>
          </w:tcPr>
          <w:p>
            <w:pPr>
              <w:widowControl/>
              <w:jc w:val="center"/>
              <w:rPr>
                <w:rFonts w:hint="eastAsia" w:eastAsia="仿宋_GB2312"/>
                <w:color w:val="000000"/>
                <w:kern w:val="0"/>
                <w:lang w:val="en-US" w:eastAsia="zh-CN"/>
              </w:rPr>
            </w:pPr>
          </w:p>
        </w:tc>
        <w:tc>
          <w:tcPr>
            <w:tcW w:w="1134" w:type="dxa"/>
            <w:tcBorders>
              <w:top w:val="single" w:color="auto" w:sz="4" w:space="0"/>
              <w:left w:val="nil"/>
              <w:right w:val="single" w:color="auto" w:sz="4" w:space="0"/>
            </w:tcBorders>
            <w:noWrap w:val="0"/>
            <w:vAlign w:val="center"/>
          </w:tcPr>
          <w:p>
            <w:pPr>
              <w:widowControl/>
              <w:jc w:val="center"/>
              <w:rPr>
                <w:rFonts w:hint="eastAsia" w:eastAsia="仿宋_GB2312"/>
                <w:color w:val="000000"/>
                <w:kern w:val="0"/>
                <w:lang w:val="en-US" w:eastAsia="zh-CN"/>
              </w:rPr>
            </w:pPr>
          </w:p>
        </w:tc>
        <w:tc>
          <w:tcPr>
            <w:tcW w:w="709"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14"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质量指标</w:t>
            </w:r>
          </w:p>
        </w:tc>
        <w:tc>
          <w:tcPr>
            <w:tcW w:w="154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净化社会文化环境</w:t>
            </w:r>
          </w:p>
        </w:tc>
        <w:tc>
          <w:tcPr>
            <w:tcW w:w="86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1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8</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eastAsia="zh-CN"/>
              </w:rPr>
              <w:t>加强宣传工作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549" w:type="dxa"/>
            <w:gridSpan w:val="2"/>
            <w:vMerge w:val="restart"/>
            <w:tcBorders>
              <w:top w:val="single" w:color="auto" w:sz="4" w:space="0"/>
              <w:left w:val="nil"/>
              <w:right w:val="single" w:color="auto" w:sz="4" w:space="0"/>
            </w:tcBorders>
            <w:noWrap w:val="0"/>
            <w:vAlign w:val="center"/>
          </w:tcPr>
          <w:p>
            <w:pPr>
              <w:widowControl/>
              <w:jc w:val="left"/>
              <w:rPr>
                <w:rFonts w:hint="eastAsia" w:eastAsia="仿宋_GB2312"/>
                <w:color w:val="000000"/>
                <w:kern w:val="0"/>
                <w:lang w:eastAsia="zh-CN"/>
              </w:rPr>
            </w:pPr>
            <w:r>
              <w:rPr>
                <w:rFonts w:hint="eastAsia" w:eastAsia="仿宋_GB2312"/>
                <w:color w:val="000000"/>
                <w:kern w:val="0"/>
                <w:lang w:eastAsia="zh-CN"/>
              </w:rPr>
              <w:t>2021年</w:t>
            </w:r>
          </w:p>
        </w:tc>
        <w:tc>
          <w:tcPr>
            <w:tcW w:w="860" w:type="dxa"/>
            <w:vMerge w:val="restart"/>
            <w:tcBorders>
              <w:top w:val="single" w:color="auto" w:sz="4" w:space="0"/>
              <w:left w:val="nil"/>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按时</w:t>
            </w:r>
          </w:p>
        </w:tc>
        <w:tc>
          <w:tcPr>
            <w:tcW w:w="1134" w:type="dxa"/>
            <w:vMerge w:val="restart"/>
            <w:tcBorders>
              <w:top w:val="single" w:color="auto" w:sz="4" w:space="0"/>
              <w:left w:val="nil"/>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按时</w:t>
            </w:r>
          </w:p>
        </w:tc>
        <w:tc>
          <w:tcPr>
            <w:tcW w:w="709" w:type="dxa"/>
            <w:vMerge w:val="restart"/>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14" w:type="dxa"/>
            <w:vMerge w:val="restart"/>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549" w:type="dxa"/>
            <w:gridSpan w:val="2"/>
            <w:vMerge w:val="restart"/>
            <w:tcBorders>
              <w:top w:val="single" w:color="auto" w:sz="4" w:space="0"/>
              <w:left w:val="nil"/>
              <w:right w:val="single" w:color="auto" w:sz="4" w:space="0"/>
            </w:tcBorders>
            <w:noWrap w:val="0"/>
            <w:vAlign w:val="center"/>
          </w:tcPr>
          <w:p>
            <w:pPr>
              <w:widowControl/>
              <w:jc w:val="left"/>
              <w:rPr>
                <w:rFonts w:eastAsia="仿宋_GB2312"/>
                <w:color w:val="000000"/>
                <w:kern w:val="0"/>
              </w:rPr>
            </w:pPr>
          </w:p>
        </w:tc>
        <w:tc>
          <w:tcPr>
            <w:tcW w:w="860" w:type="dxa"/>
            <w:tcBorders>
              <w:top w:val="single" w:color="auto" w:sz="4" w:space="0"/>
              <w:left w:val="nil"/>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right w:val="single" w:color="auto" w:sz="4" w:space="0"/>
            </w:tcBorders>
            <w:noWrap w:val="0"/>
            <w:vAlign w:val="center"/>
          </w:tcPr>
          <w:p>
            <w:pPr>
              <w:widowControl/>
              <w:jc w:val="center"/>
              <w:rPr>
                <w:rFonts w:eastAsia="仿宋_GB2312"/>
                <w:color w:val="000000"/>
                <w:kern w:val="0"/>
              </w:rPr>
            </w:pPr>
          </w:p>
        </w:tc>
        <w:tc>
          <w:tcPr>
            <w:tcW w:w="709"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14"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rPr>
            </w:pPr>
            <w:r>
              <w:rPr>
                <w:rFonts w:hint="eastAsia" w:eastAsia="仿宋_GB2312"/>
                <w:color w:val="000000"/>
                <w:kern w:val="0"/>
                <w:lang w:val="en-US" w:eastAsia="zh-CN"/>
              </w:rPr>
              <w:t>10</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549" w:type="dxa"/>
            <w:gridSpan w:val="2"/>
            <w:vMerge w:val="restart"/>
            <w:tcBorders>
              <w:top w:val="single" w:color="auto" w:sz="4" w:space="0"/>
              <w:left w:val="nil"/>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促进文化市场有序经营，推动文化产业的迅速发展</w:t>
            </w:r>
          </w:p>
        </w:tc>
        <w:tc>
          <w:tcPr>
            <w:tcW w:w="860" w:type="dxa"/>
            <w:tcBorders>
              <w:top w:val="single" w:color="auto" w:sz="4" w:space="0"/>
              <w:left w:val="nil"/>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right w:val="single" w:color="auto" w:sz="4" w:space="0"/>
            </w:tcBorders>
            <w:noWrap w:val="0"/>
            <w:vAlign w:val="center"/>
          </w:tcPr>
          <w:p>
            <w:pPr>
              <w:widowControl/>
              <w:jc w:val="center"/>
              <w:rPr>
                <w:rFonts w:eastAsia="仿宋_GB2312"/>
                <w:color w:val="000000"/>
                <w:kern w:val="0"/>
              </w:rPr>
            </w:pPr>
          </w:p>
        </w:tc>
        <w:tc>
          <w:tcPr>
            <w:tcW w:w="709"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14" w:type="dxa"/>
            <w:tcBorders>
              <w:top w:val="single" w:color="auto" w:sz="4" w:space="0"/>
              <w:left w:val="nil"/>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10</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549" w:type="dxa"/>
            <w:gridSpan w:val="2"/>
            <w:vMerge w:val="restart"/>
            <w:tcBorders>
              <w:top w:val="single" w:color="auto" w:sz="4" w:space="0"/>
              <w:left w:val="nil"/>
              <w:right w:val="single" w:color="auto" w:sz="4" w:space="0"/>
            </w:tcBorders>
            <w:noWrap w:val="0"/>
            <w:vAlign w:val="center"/>
          </w:tcPr>
          <w:p>
            <w:pPr>
              <w:widowControl/>
              <w:jc w:val="left"/>
              <w:rPr>
                <w:rFonts w:hint="eastAsia" w:eastAsia="仿宋_GB2312"/>
                <w:color w:val="000000"/>
                <w:kern w:val="0"/>
                <w:lang w:eastAsia="zh-CN"/>
              </w:rPr>
            </w:pPr>
            <w:r>
              <w:rPr>
                <w:rFonts w:hint="eastAsia" w:eastAsia="仿宋_GB2312"/>
                <w:color w:val="000000"/>
                <w:kern w:val="0"/>
                <w:lang w:eastAsia="zh-CN"/>
              </w:rPr>
              <w:t>规范文化市场秩序，规范文化行政执法行为，为市民营造良好文化氛围</w:t>
            </w:r>
          </w:p>
        </w:tc>
        <w:tc>
          <w:tcPr>
            <w:tcW w:w="860" w:type="dxa"/>
            <w:tcBorders>
              <w:top w:val="single" w:color="auto" w:sz="4" w:space="0"/>
              <w:left w:val="nil"/>
              <w:right w:val="single" w:color="auto" w:sz="4" w:space="0"/>
            </w:tcBorders>
            <w:noWrap w:val="0"/>
            <w:vAlign w:val="center"/>
          </w:tcPr>
          <w:p>
            <w:pPr>
              <w:widowControl/>
              <w:jc w:val="center"/>
              <w:rPr>
                <w:rFonts w:hint="eastAsia" w:eastAsia="仿宋_GB2312"/>
                <w:color w:val="000000"/>
                <w:kern w:val="0"/>
                <w:lang w:eastAsia="zh-CN"/>
              </w:rPr>
            </w:pPr>
            <w:r>
              <w:rPr>
                <w:rFonts w:hint="eastAsia" w:eastAsia="仿宋_GB2312"/>
                <w:color w:val="000000"/>
                <w:kern w:val="0"/>
                <w:lang w:eastAsia="zh-CN"/>
              </w:rPr>
              <w:t>提高</w:t>
            </w:r>
          </w:p>
          <w:p>
            <w:pPr>
              <w:widowControl/>
              <w:jc w:val="center"/>
              <w:rPr>
                <w:rFonts w:hint="eastAsia" w:eastAsia="仿宋_GB2312"/>
                <w:color w:val="000000"/>
                <w:kern w:val="0"/>
                <w:lang w:eastAsia="zh-CN"/>
              </w:rPr>
            </w:pPr>
            <w:r>
              <w:rPr>
                <w:rFonts w:hint="eastAsia" w:eastAsia="仿宋_GB2312"/>
                <w:color w:val="000000"/>
                <w:kern w:val="0"/>
                <w:lang w:eastAsia="zh-CN"/>
              </w:rPr>
              <w:t>普及</w:t>
            </w:r>
          </w:p>
        </w:tc>
        <w:tc>
          <w:tcPr>
            <w:tcW w:w="1134" w:type="dxa"/>
            <w:tcBorders>
              <w:top w:val="single" w:color="auto" w:sz="4" w:space="0"/>
              <w:left w:val="nil"/>
              <w:right w:val="single" w:color="auto" w:sz="4" w:space="0"/>
            </w:tcBorders>
            <w:noWrap w:val="0"/>
            <w:vAlign w:val="center"/>
          </w:tcPr>
          <w:p>
            <w:pPr>
              <w:widowControl/>
              <w:jc w:val="center"/>
              <w:rPr>
                <w:rFonts w:hint="eastAsia" w:eastAsia="仿宋_GB2312"/>
                <w:color w:val="000000"/>
                <w:kern w:val="0"/>
                <w:lang w:eastAsia="zh-CN"/>
              </w:rPr>
            </w:pPr>
            <w:r>
              <w:rPr>
                <w:rFonts w:hint="eastAsia" w:eastAsia="仿宋_GB2312"/>
                <w:color w:val="000000"/>
                <w:kern w:val="0"/>
                <w:lang w:eastAsia="zh-CN"/>
              </w:rPr>
              <w:t>提高</w:t>
            </w:r>
          </w:p>
          <w:p>
            <w:pPr>
              <w:widowControl/>
              <w:jc w:val="center"/>
              <w:rPr>
                <w:rFonts w:hint="eastAsia" w:eastAsia="仿宋_GB2312"/>
                <w:color w:val="000000"/>
                <w:kern w:val="0"/>
                <w:lang w:eastAsia="zh-CN"/>
              </w:rPr>
            </w:pPr>
            <w:r>
              <w:rPr>
                <w:rFonts w:hint="eastAsia" w:eastAsia="仿宋_GB2312"/>
                <w:color w:val="000000"/>
                <w:kern w:val="0"/>
                <w:lang w:eastAsia="zh-CN"/>
              </w:rPr>
              <w:t>普及</w:t>
            </w:r>
          </w:p>
        </w:tc>
        <w:tc>
          <w:tcPr>
            <w:tcW w:w="709"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14" w:type="dxa"/>
            <w:tcBorders>
              <w:top w:val="single" w:color="auto" w:sz="4" w:space="0"/>
              <w:left w:val="nil"/>
              <w:right w:val="single" w:color="auto" w:sz="4" w:space="0"/>
            </w:tcBorders>
            <w:noWrap w:val="0"/>
            <w:vAlign w:val="center"/>
          </w:tcPr>
          <w:p>
            <w:pPr>
              <w:widowControl/>
              <w:ind w:firstLine="210" w:firstLineChars="100"/>
              <w:jc w:val="both"/>
              <w:rPr>
                <w:rFonts w:hint="default" w:eastAsia="仿宋_GB2312"/>
                <w:color w:val="000000"/>
                <w:kern w:val="0"/>
                <w:lang w:val="en-US" w:eastAsia="zh-CN"/>
              </w:rPr>
            </w:pPr>
            <w:r>
              <w:rPr>
                <w:rFonts w:hint="eastAsia" w:eastAsia="仿宋_GB2312"/>
                <w:color w:val="000000"/>
                <w:kern w:val="0"/>
                <w:lang w:val="en-US" w:eastAsia="zh-CN"/>
              </w:rPr>
              <w:t>10</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549" w:type="dxa"/>
            <w:gridSpan w:val="2"/>
            <w:tcBorders>
              <w:top w:val="single" w:color="auto" w:sz="4" w:space="0"/>
              <w:left w:val="nil"/>
              <w:right w:val="single" w:color="auto" w:sz="4" w:space="0"/>
            </w:tcBorders>
            <w:noWrap w:val="0"/>
            <w:vAlign w:val="center"/>
          </w:tcPr>
          <w:p>
            <w:pPr>
              <w:widowControl/>
              <w:jc w:val="left"/>
              <w:rPr>
                <w:rFonts w:eastAsia="仿宋_GB2312"/>
                <w:color w:val="000000"/>
                <w:kern w:val="0"/>
              </w:rPr>
            </w:pPr>
          </w:p>
        </w:tc>
        <w:tc>
          <w:tcPr>
            <w:tcW w:w="860" w:type="dxa"/>
            <w:tcBorders>
              <w:top w:val="single" w:color="auto" w:sz="4" w:space="0"/>
              <w:left w:val="nil"/>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right w:val="single" w:color="auto" w:sz="4" w:space="0"/>
            </w:tcBorders>
            <w:noWrap w:val="0"/>
            <w:vAlign w:val="center"/>
          </w:tcPr>
          <w:p>
            <w:pPr>
              <w:widowControl/>
              <w:jc w:val="center"/>
              <w:rPr>
                <w:rFonts w:eastAsia="仿宋_GB2312"/>
                <w:color w:val="000000"/>
                <w:kern w:val="0"/>
              </w:rPr>
            </w:pPr>
          </w:p>
        </w:tc>
        <w:tc>
          <w:tcPr>
            <w:tcW w:w="709"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14"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54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 w:val="18"/>
                <w:szCs w:val="18"/>
                <w:lang w:eastAsia="zh-CN"/>
              </w:rPr>
            </w:pPr>
            <w:r>
              <w:rPr>
                <w:rFonts w:hint="eastAsia" w:eastAsia="仿宋_GB2312"/>
                <w:color w:val="000000"/>
                <w:kern w:val="0"/>
                <w:lang w:eastAsia="zh-CN"/>
              </w:rPr>
              <w:t>保持文化市场平安</w:t>
            </w:r>
          </w:p>
        </w:tc>
        <w:tc>
          <w:tcPr>
            <w:tcW w:w="860"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eastAsia="zh-CN"/>
              </w:rPr>
            </w:pPr>
            <w:r>
              <w:rPr>
                <w:rFonts w:hint="eastAsia" w:eastAsia="仿宋_GB2312"/>
                <w:color w:val="000000"/>
                <w:kern w:val="0"/>
                <w:lang w:eastAsia="zh-CN"/>
              </w:rPr>
              <w:t>可持续</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eastAsia="zh-CN"/>
              </w:rPr>
            </w:pPr>
            <w:r>
              <w:rPr>
                <w:rFonts w:hint="eastAsia" w:eastAsia="仿宋_GB2312"/>
                <w:color w:val="000000"/>
                <w:kern w:val="0"/>
                <w:lang w:eastAsia="zh-CN"/>
              </w:rPr>
              <w:t>可持续</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1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549" w:type="dxa"/>
            <w:gridSpan w:val="2"/>
            <w:tcBorders>
              <w:top w:val="single" w:color="auto" w:sz="4" w:space="0"/>
              <w:left w:val="nil"/>
              <w:right w:val="single" w:color="auto" w:sz="4" w:space="0"/>
            </w:tcBorders>
            <w:noWrap w:val="0"/>
            <w:vAlign w:val="center"/>
          </w:tcPr>
          <w:p>
            <w:pPr>
              <w:widowControl/>
              <w:jc w:val="left"/>
              <w:rPr>
                <w:rFonts w:hint="eastAsia" w:eastAsia="仿宋_GB2312"/>
                <w:color w:val="000000"/>
                <w:kern w:val="0"/>
                <w:lang w:eastAsia="zh-CN"/>
              </w:rPr>
            </w:pPr>
            <w:r>
              <w:rPr>
                <w:rFonts w:hint="eastAsia" w:eastAsia="仿宋_GB2312"/>
                <w:color w:val="000000"/>
                <w:kern w:val="0"/>
                <w:lang w:eastAsia="zh-CN"/>
              </w:rPr>
              <w:t>服务对象满意率</w:t>
            </w:r>
          </w:p>
        </w:tc>
        <w:tc>
          <w:tcPr>
            <w:tcW w:w="860"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134"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709" w:type="dxa"/>
            <w:tcBorders>
              <w:top w:val="single" w:color="auto" w:sz="4" w:space="0"/>
              <w:left w:val="nil"/>
              <w:right w:val="single" w:color="auto" w:sz="4" w:space="0"/>
            </w:tcBorders>
            <w:noWrap w:val="0"/>
            <w:vAlign w:val="center"/>
          </w:tcPr>
          <w:p>
            <w:pPr>
              <w:widowControl/>
              <w:jc w:val="center"/>
              <w:rPr>
                <w:rFonts w:hint="eastAsia" w:eastAsia="仿宋_GB2312"/>
                <w:color w:val="000000"/>
                <w:kern w:val="0"/>
                <w:lang w:val="en-US" w:eastAsia="zh-CN"/>
              </w:rPr>
            </w:pPr>
          </w:p>
          <w:p>
            <w:pPr>
              <w:widowControl/>
              <w:jc w:val="center"/>
              <w:rPr>
                <w:rFonts w:hint="eastAsia" w:eastAsia="仿宋_GB2312"/>
                <w:color w:val="000000"/>
                <w:kern w:val="0"/>
                <w:lang w:val="en-US" w:eastAsia="zh-CN"/>
              </w:rPr>
            </w:pPr>
            <w:r>
              <w:rPr>
                <w:rFonts w:hint="eastAsia" w:eastAsia="仿宋_GB2312"/>
                <w:color w:val="000000"/>
                <w:kern w:val="0"/>
                <w:lang w:val="en-US" w:eastAsia="zh-CN"/>
              </w:rPr>
              <w:t>10</w:t>
            </w:r>
          </w:p>
          <w:p>
            <w:pPr>
              <w:widowControl/>
              <w:jc w:val="center"/>
              <w:rPr>
                <w:rFonts w:hint="default" w:eastAsia="仿宋_GB2312"/>
                <w:color w:val="000000"/>
                <w:kern w:val="0"/>
                <w:lang w:val="en-US" w:eastAsia="zh-CN"/>
              </w:rPr>
            </w:pPr>
          </w:p>
        </w:tc>
        <w:tc>
          <w:tcPr>
            <w:tcW w:w="814" w:type="dxa"/>
            <w:tcBorders>
              <w:top w:val="single" w:color="auto" w:sz="4" w:space="0"/>
              <w:left w:val="nil"/>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81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96</w:t>
            </w:r>
          </w:p>
        </w:tc>
        <w:tc>
          <w:tcPr>
            <w:tcW w:w="153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widowControl/>
        <w:jc w:val="left"/>
        <w:rPr>
          <w:rFonts w:hint="eastAsia" w:ascii="仿宋_GB2312" w:hAnsi="仿宋_GB2312"/>
          <w:kern w:val="0"/>
        </w:rPr>
      </w:pPr>
      <w:r>
        <w:rPr>
          <w:rFonts w:ascii="仿宋_GB2312" w:hAnsi="仿宋_GB2312"/>
          <w:kern w:val="0"/>
        </w:rPr>
        <w:t>填表人：          联系电话：          填报日期：           单位负责人签字：</w:t>
      </w: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2021</w:t>
      </w:r>
      <w:r>
        <w:rPr>
          <w:rFonts w:eastAsia="仿宋_GB2312"/>
          <w:color w:val="000000"/>
          <w:kern w:val="0"/>
        </w:rPr>
        <w:t xml:space="preserve"> </w:t>
      </w:r>
      <w:r>
        <w:rPr>
          <w:rFonts w:ascii="仿宋_GB2312" w:hAnsi="仿宋_GB2312" w:eastAsia="仿宋_GB2312"/>
          <w:color w:val="000000"/>
          <w:kern w:val="0"/>
        </w:rPr>
        <w:t>年度）</w:t>
      </w:r>
    </w:p>
    <w:tbl>
      <w:tblPr>
        <w:tblStyle w:val="3"/>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074"/>
        <w:gridCol w:w="1063"/>
        <w:gridCol w:w="1140"/>
        <w:gridCol w:w="1196"/>
        <w:gridCol w:w="1123"/>
        <w:gridCol w:w="823"/>
        <w:gridCol w:w="969"/>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rPr>
              <w:t>　“扫黄打非”进基层、购置执法服装、办案专项、</w:t>
            </w:r>
            <w:bookmarkStart w:id="10" w:name="OLE_LINK11"/>
            <w:r>
              <w:rPr>
                <w:rFonts w:hint="eastAsia" w:eastAsia="仿宋_GB2312"/>
                <w:color w:val="000000"/>
                <w:kern w:val="0"/>
              </w:rPr>
              <w:t>“扫黄打非”专项</w:t>
            </w:r>
            <w:bookmarkEnd w:id="10"/>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eastAsia="zh-CN"/>
              </w:rPr>
            </w:pPr>
            <w:r>
              <w:rPr>
                <w:rFonts w:eastAsia="仿宋_GB2312"/>
                <w:color w:val="000000"/>
                <w:kern w:val="0"/>
              </w:rPr>
              <w:t>　</w:t>
            </w:r>
            <w:r>
              <w:rPr>
                <w:rFonts w:hint="eastAsia" w:eastAsia="仿宋_GB2312"/>
                <w:color w:val="000000"/>
                <w:kern w:val="0"/>
                <w:lang w:val="en-US" w:eastAsia="zh-CN"/>
              </w:rPr>
              <w:t xml:space="preserve">    </w:t>
            </w:r>
            <w:r>
              <w:rPr>
                <w:rFonts w:hint="eastAsia" w:eastAsia="仿宋_GB2312"/>
                <w:color w:val="000000"/>
                <w:kern w:val="0"/>
                <w:lang w:eastAsia="zh-CN"/>
              </w:rPr>
              <w:t>双牌县文化旅游广电体育局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rPr>
              <w:t>双牌县文化市场综合执法大队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ind w:firstLine="210" w:firstLineChars="100"/>
              <w:jc w:val="left"/>
              <w:rPr>
                <w:rFonts w:hint="default" w:eastAsia="仿宋_GB2312"/>
                <w:color w:val="000000"/>
                <w:kern w:val="0"/>
                <w:lang w:val="en-US" w:eastAsia="zh-CN"/>
              </w:rPr>
            </w:pPr>
            <w:bookmarkStart w:id="11" w:name="OLE_LINK8"/>
            <w:r>
              <w:rPr>
                <w:rFonts w:hint="eastAsia" w:eastAsia="仿宋_GB2312"/>
                <w:color w:val="000000"/>
                <w:kern w:val="0"/>
                <w:lang w:val="en-US" w:eastAsia="zh-CN"/>
              </w:rPr>
              <w:t>8.37</w:t>
            </w:r>
            <w:bookmarkEnd w:id="11"/>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bookmarkStart w:id="12" w:name="OLE_LINK9"/>
            <w:r>
              <w:rPr>
                <w:rFonts w:hint="eastAsia" w:eastAsia="仿宋_GB2312"/>
                <w:color w:val="000000"/>
                <w:kern w:val="0"/>
                <w:lang w:val="en-US" w:eastAsia="zh-CN"/>
              </w:rPr>
              <w:t>8.37</w:t>
            </w:r>
            <w:bookmarkEnd w:id="12"/>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18.87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ind w:firstLine="210" w:firstLineChars="100"/>
              <w:jc w:val="left"/>
              <w:rPr>
                <w:rFonts w:eastAsia="仿宋_GB2312"/>
                <w:color w:val="000000"/>
                <w:kern w:val="0"/>
              </w:rPr>
            </w:pPr>
            <w:r>
              <w:rPr>
                <w:rFonts w:eastAsia="仿宋_GB2312"/>
                <w:color w:val="000000"/>
                <w:kern w:val="0"/>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lang w:val="en-US" w:eastAsia="zh-CN"/>
              </w:rPr>
              <w:t>225.44%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8.37</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8.37</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18.87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ind w:firstLine="210" w:firstLineChars="100"/>
              <w:jc w:val="left"/>
              <w:rPr>
                <w:rFonts w:hint="default" w:eastAsia="仿宋_GB2312"/>
                <w:color w:val="000000"/>
                <w:kern w:val="0"/>
                <w:lang w:val="en-US" w:eastAsia="zh-CN"/>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lang w:val="en-US" w:eastAsia="zh-CN"/>
              </w:rPr>
              <w:t>225.44%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w:t>
            </w:r>
            <w:r>
              <w:rPr>
                <w:rFonts w:hint="eastAsia" w:eastAsia="仿宋_GB2312"/>
                <w:color w:val="000000"/>
                <w:kern w:val="0"/>
              </w:rPr>
              <w:t>确保互联网上网服务营业场所、广播电影电视行业、新闻出版版权行业、文物、打黄扫非工作的繁荣发展。</w:t>
            </w:r>
            <w:r>
              <w:rPr>
                <w:rFonts w:eastAsia="仿宋_GB2312"/>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ind w:firstLine="420" w:firstLineChars="200"/>
              <w:jc w:val="left"/>
              <w:rPr>
                <w:rFonts w:hint="eastAsia" w:eastAsia="仿宋_GB2312"/>
                <w:color w:val="000000"/>
                <w:kern w:val="0"/>
                <w:lang w:eastAsia="zh-CN"/>
              </w:rPr>
            </w:pPr>
            <w:r>
              <w:rPr>
                <w:rFonts w:hint="eastAsia" w:eastAsia="仿宋_GB2312"/>
                <w:color w:val="000000"/>
                <w:kern w:val="0"/>
                <w:lang w:eastAsia="zh-CN"/>
              </w:rPr>
              <w:t>完成全县文化市场平安稳定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全县文化市场、新闻出版版权市场、广播电影电视市场、县打黄扫非工作监管</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净化社会文化环境</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加强宣传工作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2021年</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按时</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按时</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促进文化市场有序经营，推动文化产业的迅速发展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规范文化市场秩序，规范文化行政执法行为，为市民营造良好文化氛围</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eastAsia="zh-CN"/>
              </w:rPr>
            </w:pPr>
            <w:r>
              <w:rPr>
                <w:rFonts w:hint="eastAsia" w:eastAsia="仿宋_GB2312"/>
                <w:color w:val="000000"/>
                <w:kern w:val="0"/>
                <w:lang w:eastAsia="zh-CN"/>
              </w:rPr>
              <w:t>提高</w:t>
            </w:r>
          </w:p>
          <w:p>
            <w:pPr>
              <w:widowControl/>
              <w:jc w:val="center"/>
              <w:rPr>
                <w:rFonts w:eastAsia="仿宋_GB2312"/>
                <w:color w:val="000000"/>
                <w:kern w:val="0"/>
              </w:rPr>
            </w:pPr>
            <w:r>
              <w:rPr>
                <w:rFonts w:hint="eastAsia" w:eastAsia="仿宋_GB2312"/>
                <w:color w:val="000000"/>
                <w:kern w:val="0"/>
                <w:lang w:eastAsia="zh-CN"/>
              </w:rPr>
              <w:t>普及</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eastAsia="zh-CN"/>
              </w:rPr>
            </w:pPr>
            <w:r>
              <w:rPr>
                <w:rFonts w:hint="eastAsia" w:eastAsia="仿宋_GB2312"/>
                <w:color w:val="000000"/>
                <w:kern w:val="0"/>
                <w:lang w:eastAsia="zh-CN"/>
              </w:rPr>
              <w:t>提高</w:t>
            </w:r>
          </w:p>
          <w:p>
            <w:pPr>
              <w:widowControl/>
              <w:jc w:val="center"/>
              <w:rPr>
                <w:rFonts w:eastAsia="仿宋_GB2312"/>
                <w:color w:val="000000"/>
                <w:kern w:val="0"/>
              </w:rPr>
            </w:pPr>
            <w:r>
              <w:rPr>
                <w:rFonts w:hint="eastAsia" w:eastAsia="仿宋_GB2312"/>
                <w:color w:val="000000"/>
                <w:kern w:val="0"/>
                <w:lang w:eastAsia="zh-CN"/>
              </w:rPr>
              <w:t>普及</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ind w:firstLine="210" w:firstLineChars="100"/>
              <w:jc w:val="both"/>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保持文化市场平安</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可持续</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eastAsia="zh-CN"/>
              </w:rPr>
              <w:t>可持续</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eastAsia="zh-CN"/>
              </w:rPr>
              <w:t>服务对象满意率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p>
          <w:p>
            <w:pPr>
              <w:widowControl/>
              <w:jc w:val="center"/>
              <w:rPr>
                <w:rFonts w:hint="eastAsia" w:eastAsia="仿宋_GB2312"/>
                <w:color w:val="000000"/>
                <w:kern w:val="0"/>
                <w:lang w:val="en-US" w:eastAsia="zh-CN"/>
              </w:rPr>
            </w:pPr>
            <w:r>
              <w:rPr>
                <w:rFonts w:hint="eastAsia" w:eastAsia="仿宋_GB2312"/>
                <w:color w:val="000000"/>
                <w:kern w:val="0"/>
                <w:lang w:val="en-US" w:eastAsia="zh-CN"/>
              </w:rPr>
              <w:t>10</w:t>
            </w:r>
          </w:p>
          <w:p>
            <w:pPr>
              <w:widowControl/>
              <w:jc w:val="center"/>
              <w:rPr>
                <w:rFonts w:eastAsia="仿宋_GB2312"/>
                <w:color w:val="000000"/>
                <w:kern w:val="0"/>
              </w:rPr>
            </w:pP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92</w:t>
            </w:r>
            <w:bookmarkStart w:id="13" w:name="_GoBack"/>
            <w:bookmarkEnd w:id="13"/>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bl>
    <w:p>
      <w:pPr>
        <w:widowControl/>
        <w:jc w:val="left"/>
        <w:rPr>
          <w:rFonts w:hint="eastAsia" w:ascii="仿宋_GB2312" w:hAnsi="仿宋_GB2312"/>
          <w:kern w:val="0"/>
        </w:rPr>
      </w:pPr>
      <w:r>
        <w:rPr>
          <w:rFonts w:eastAsia="黑体"/>
          <w:kern w:val="0"/>
          <w:sz w:val="32"/>
          <w:szCs w:val="32"/>
        </w:rPr>
        <w:t xml:space="preserve"> </w:t>
      </w:r>
      <w:r>
        <w:rPr>
          <w:rFonts w:ascii="仿宋_GB2312" w:hAnsi="仿宋_GB2312"/>
          <w:kern w:val="0"/>
        </w:rPr>
        <w:t>填表人：          联系电话：          填报日期：           单位负责人签字：</w:t>
      </w:r>
    </w:p>
    <w:p>
      <w:pPr>
        <w:spacing w:line="600" w:lineRule="exact"/>
        <w:rPr>
          <w:rFonts w:hint="eastAsia" w:eastAsia="黑体"/>
          <w:kern w:val="0"/>
          <w:sz w:val="32"/>
          <w:szCs w:val="32"/>
        </w:rPr>
      </w:pPr>
    </w:p>
    <w:p>
      <w:pPr>
        <w:rPr>
          <w:rFonts w:hint="eastAsia" w:eastAsia="宋体"/>
          <w:sz w:val="48"/>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GulimChe"/>
    <w:panose1 w:val="02030600000101010101"/>
    <w:charset w:val="81"/>
    <w:family w:val="roman"/>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FE7F"/>
    <w:multiLevelType w:val="singleLevel"/>
    <w:tmpl w:val="833FFE7F"/>
    <w:lvl w:ilvl="0" w:tentative="0">
      <w:start w:val="8"/>
      <w:numFmt w:val="chineseCounting"/>
      <w:suff w:val="nothing"/>
      <w:lvlText w:val="%1、"/>
      <w:lvlJc w:val="left"/>
      <w:rPr>
        <w:rFonts w:hint="eastAsia"/>
      </w:rPr>
    </w:lvl>
  </w:abstractNum>
  <w:abstractNum w:abstractNumId="1">
    <w:nsid w:val="8F994294"/>
    <w:multiLevelType w:val="singleLevel"/>
    <w:tmpl w:val="8F994294"/>
    <w:lvl w:ilvl="0" w:tentative="0">
      <w:start w:val="3"/>
      <w:numFmt w:val="decimal"/>
      <w:suff w:val="nothing"/>
      <w:lvlText w:val="%1、"/>
      <w:lvlJc w:val="left"/>
    </w:lvl>
  </w:abstractNum>
  <w:abstractNum w:abstractNumId="2">
    <w:nsid w:val="D3BB0835"/>
    <w:multiLevelType w:val="singleLevel"/>
    <w:tmpl w:val="D3BB0835"/>
    <w:lvl w:ilvl="0" w:tentative="0">
      <w:start w:val="3"/>
      <w:numFmt w:val="chineseCounting"/>
      <w:suff w:val="nothing"/>
      <w:lvlText w:val="%1、"/>
      <w:lvlJc w:val="left"/>
      <w:rPr>
        <w:rFonts w:hint="eastAsia"/>
      </w:rPr>
    </w:lvl>
  </w:abstractNum>
  <w:abstractNum w:abstractNumId="3">
    <w:nsid w:val="E62B8952"/>
    <w:multiLevelType w:val="singleLevel"/>
    <w:tmpl w:val="E62B8952"/>
    <w:lvl w:ilvl="0" w:tentative="0">
      <w:start w:val="2"/>
      <w:numFmt w:val="chineseCounting"/>
      <w:suff w:val="nothing"/>
      <w:lvlText w:val="（%1）"/>
      <w:lvlJc w:val="left"/>
      <w:rPr>
        <w:rFonts w:hint="eastAsia"/>
      </w:rPr>
    </w:lvl>
  </w:abstractNum>
  <w:abstractNum w:abstractNumId="4">
    <w:nsid w:val="32F346AE"/>
    <w:multiLevelType w:val="singleLevel"/>
    <w:tmpl w:val="32F346AE"/>
    <w:lvl w:ilvl="0" w:tentative="0">
      <w:start w:val="2"/>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8660FC4"/>
    <w:rsid w:val="00863C1F"/>
    <w:rsid w:val="00B71607"/>
    <w:rsid w:val="011D5E66"/>
    <w:rsid w:val="08660FC4"/>
    <w:rsid w:val="09397440"/>
    <w:rsid w:val="113C0E6C"/>
    <w:rsid w:val="16B93E3C"/>
    <w:rsid w:val="16F62BF9"/>
    <w:rsid w:val="17253555"/>
    <w:rsid w:val="18842C1C"/>
    <w:rsid w:val="19D21766"/>
    <w:rsid w:val="1A7D7ACE"/>
    <w:rsid w:val="1C621F33"/>
    <w:rsid w:val="1F5D171E"/>
    <w:rsid w:val="24F6585F"/>
    <w:rsid w:val="260A320E"/>
    <w:rsid w:val="2744779C"/>
    <w:rsid w:val="285E7A60"/>
    <w:rsid w:val="2FF05512"/>
    <w:rsid w:val="327D56F7"/>
    <w:rsid w:val="342D0FF6"/>
    <w:rsid w:val="3BF9380C"/>
    <w:rsid w:val="40410FF6"/>
    <w:rsid w:val="421C1197"/>
    <w:rsid w:val="42486255"/>
    <w:rsid w:val="432F7B38"/>
    <w:rsid w:val="43DD3570"/>
    <w:rsid w:val="4A0C3E53"/>
    <w:rsid w:val="4B667A40"/>
    <w:rsid w:val="4E2B1202"/>
    <w:rsid w:val="4FD07D7F"/>
    <w:rsid w:val="50FA599E"/>
    <w:rsid w:val="519F258A"/>
    <w:rsid w:val="53966ADD"/>
    <w:rsid w:val="53C94B59"/>
    <w:rsid w:val="55AC5BC4"/>
    <w:rsid w:val="574B76B0"/>
    <w:rsid w:val="5C600746"/>
    <w:rsid w:val="5FA12762"/>
    <w:rsid w:val="616232C0"/>
    <w:rsid w:val="64534164"/>
    <w:rsid w:val="647852CA"/>
    <w:rsid w:val="651F4BE2"/>
    <w:rsid w:val="65C67FF7"/>
    <w:rsid w:val="65F9061A"/>
    <w:rsid w:val="67374701"/>
    <w:rsid w:val="684242BE"/>
    <w:rsid w:val="6AA87DF1"/>
    <w:rsid w:val="6BDA67B3"/>
    <w:rsid w:val="6D4159E8"/>
    <w:rsid w:val="6DFD12AC"/>
    <w:rsid w:val="6F3043C4"/>
    <w:rsid w:val="72677449"/>
    <w:rsid w:val="72EE5DE2"/>
    <w:rsid w:val="75C64DAC"/>
    <w:rsid w:val="76695D35"/>
    <w:rsid w:val="77597E6B"/>
    <w:rsid w:val="799A0E3E"/>
    <w:rsid w:val="7B95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5">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4854</Words>
  <Characters>5253</Characters>
  <Lines>0</Lines>
  <Paragraphs>0</Paragraphs>
  <TotalTime>4</TotalTime>
  <ScaleCrop>false</ScaleCrop>
  <LinksUpToDate>false</LinksUpToDate>
  <CharactersWithSpaces>5541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2021-11-03T02:15:00Z</dcterms:created>
  <dc:creator>Administrator</dc:creator>
  <cp:lastModifiedBy>Administrator</cp:lastModifiedBy>
  <cp:lastPrinted>2021-11-04T07:17:00Z</cp:lastPrinted>
  <dcterms:modified xsi:type="dcterms:W3CDTF">2022-09-27T02:11:18Z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8BE9336BD06A47DA81F81A99564C042A</vt:lpwstr>
  </property>
</Properties>
</file>