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2021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/>
          <w:sz w:val="48"/>
          <w:szCs w:val="48"/>
          <w:lang w:val="en-US" w:eastAsia="zh-CN"/>
        </w:rPr>
        <w:t>双牌县文旅广体局</w:t>
      </w:r>
      <w:r>
        <w:rPr>
          <w:rFonts w:ascii="方正小标宋_GBK" w:hAnsi="方正小标宋_GBK"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ascii="方正小标宋_GBK" w:hAnsi="方正小标宋_GBK"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（1）贯彻执行党和国家、省、市有关文化、旅游、广播电视、体育、文物工作的法律法规、规章制度和方针政策；起草有关规范性文件并监督实施。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（2）指导和推进文化、旅游、广播电视、体育、文物领域体制机制改革，推进全县文化旅游融合发展，编制实施全县文化、旅游、广播电视、体育、文物事业的发展战略、发展目标、发展规划和年度计划。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（3）管理全县性重大文化、旅游、体育活动，指导推进全域旅游和全县文化、旅游、广播电视、体育和文物设施项目建设，促进文化、旅游、广播电视、体育产业对外合作交流。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（4）管理全县文学艺术事业，指导艺术创作与生产，重点扶持具有代表性示范性的文艺作品，参与组织重大文化艺术活动。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（5）组织、指导全县文化、旅游、广播电视、体育、文物的公共文化服务，指导公共文化产品的生产；指导社会文化事业和文化艺术普及工作，推进全县文化旅游公共服务体系建设。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（6）指导、监管全县文化市场综合行政执法工作。指导全县文化、旅游、广播电视、体育、文物市场发展，对文化、旅游、广播电视、体育、文物市场经营进行行业监管，推进行业信用体系建设。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（7）负责全县非物质文化遗产保护和优秀民族文化的传承普及工作，组织开展国家级、省级、市级非物质文化遗产代表项目及其传承人的申报、评审工作。组织协调全县性文化遗产展示活动。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统筹规划全县文化、旅游、广播电视、体育产业，组织实施本行业资源普查、挖掘、保护和利用工作，拟定文化、旅游、广播电视、体育、文物行业政府性投资项目和财政性资金分配方案，促进文化、旅游、广播电视、体育、文物事业、产业发展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拟订全县国际旅游市场开发规划，组织全县旅游形象的对外宣传和重大推广活动；拟订我县开拓文化、旅游、广播电视、体育、文物市场的措施并指导实施；协调和指导全县假日旅游和红色旅游工作；负责县内旅行社设立资料的初审和报批；依规对旅行社、旅游饭店、乡村旅游区等实施许可监督管理，负责监测全县文化、旅游、广播电视、体育经济运行和全县文化、旅游、广播电视、体育、文物统计及行业信息发布。  （10）负责全县广播电视安全播出应急体系建设，监督管理全县广播电视机构、广播电视节目的内容和质量；监督管理全县公共视听载体播放的广播电视节目，组织指导查处重大违法违规行为；负责卫星电视监督管理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（11）负责全县文化、旅游、广播电视、体育、文物行业社会团体监督管理工作。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（12）统筹协调全县体育事业和竞技体育发展，组织参加和承办体育竞赛；拟定全县竞技运动项目设置与重点布局；指导和推进青少年体育工作，加强体育后备人才建设。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13）推行全民健身计划，实施国家体育锻炼标准，负责开展国民体质监测；指导、协调、组织群众性体育活动的开展，负责社会体育指导工作队伍建设；负责公共体育设施的监督管理；负责全县体育彩票发行和管理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（14）协调全县公益性文化体育设施的免费开放和公共服务工作。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（15）承办县委县政府交办的其他事项。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预算绩效管理要求，我单位组织对2020年度部门整体支出和专项资金实施了全覆盖性的绩效评价，撰写了整体支出绩效评价报告和项目支出绩效评价报告。涉及项目1个，涉及一般公共预算当年财政拨款306.8万元，自评覆盖率达到100%。绩效自评结果显示，上述项目支出绩效情况较为理想，均达到了项目申请时设定的各项绩效目标。</w:t>
      </w:r>
    </w:p>
    <w:p>
      <w:pPr>
        <w:pStyle w:val="9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pStyle w:val="9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pStyle w:val="9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529</w:t>
      </w:r>
      <w:r>
        <w:rPr>
          <w:rFonts w:hint="eastAsia" w:ascii="仿宋" w:hAnsi="仿宋" w:eastAsia="仿宋" w:cs="仿宋"/>
          <w:sz w:val="32"/>
          <w:szCs w:val="32"/>
        </w:rPr>
        <w:t>万元，占总支出的比重为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sz w:val="32"/>
          <w:szCs w:val="32"/>
        </w:rPr>
        <w:t xml:space="preserve"> %。一般公共预算财政拨款基本支出中人员经费481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.1</w:t>
      </w:r>
      <w:r>
        <w:rPr>
          <w:rFonts w:hint="eastAsia" w:ascii="仿宋" w:hAnsi="仿宋" w:eastAsia="仿宋" w:cs="仿宋"/>
          <w:sz w:val="32"/>
          <w:szCs w:val="32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47.6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9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9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327</w:t>
      </w:r>
      <w:r>
        <w:rPr>
          <w:rFonts w:hint="eastAsia" w:ascii="仿宋" w:hAnsi="仿宋" w:eastAsia="仿宋" w:cs="仿宋"/>
          <w:sz w:val="32"/>
          <w:szCs w:val="32"/>
        </w:rPr>
        <w:t>万元，占总支出的比重为3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%，是指单位为完成特定行政工作任务或事业发展目标而发生的支出，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</w:t>
      </w:r>
      <w:r>
        <w:rPr>
          <w:rFonts w:hint="eastAsia" w:ascii="仿宋" w:hAnsi="仿宋" w:eastAsia="仿宋" w:cs="仿宋"/>
          <w:sz w:val="32"/>
          <w:szCs w:val="32"/>
        </w:rPr>
        <w:t>创区项目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9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三、政府性基金预算支出情况</w:t>
      </w:r>
    </w:p>
    <w:p>
      <w:pPr>
        <w:pStyle w:val="9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政府性性基金预算财政拨款收入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万元，政府性性基金预算财政拨款支出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万元，结余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9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9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pStyle w:val="9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五、社会保险基金预算支出情况</w:t>
      </w:r>
    </w:p>
    <w:p>
      <w:pPr>
        <w:pStyle w:val="9"/>
        <w:spacing w:line="600" w:lineRule="exact"/>
        <w:ind w:firstLine="640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本系统共有六个单位，共有职工57人，各项保险总计76.7万。住房公积金32.8万。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财务支出管理严格依法依规依程序，努力做到公开公平公正。在严格执行财政有关法律法规的同时，制定了系列相关制度，明确了经费审批权限及程序，经费预算管理、财务经费管理、资产购置及处置、财务监督，开展公用经费使用监督和绩效评估，进一步落实厉行节约的各项规定，确保“三公”经费使用合理合规，上述制度规定本年度执行到位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我单位支出绩效总体良好，各项目标基本达到了相应时期执行进度，各专项经费按预算实施，使财政收支预算执行都得了良好的制度保障和实施效果。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从预算配置情况看，预算资金覆盖所有工作的各个需求方面，“三公”经费预算没有超过预算安排，我单位在2020年预算资金能保障单位正常运转需要，分配办法科学，考虑的因素必要合理，分配的结果合理，能基本保证人员经费支出和单位全年工作任务的完成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从预算执行情况看，我局预算资金已经按照规定全额付讫，“三公”经费在年初预算控制范围内。从预算管理看，我单位建立健全了《财务管理》等内部管理制度；在规定时间节点内按照县财政统一部署公开了部门预算和“三公”经费预算。整体支出绩效如下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</w:rPr>
        <w:t>）主要经济社会发展指标完成情况，与年初目标、上年同期、全市平均水平的对比分析情况，以及在全市排位情况：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2021年全年接待游客680.72万人次，实现旅游综合收入56.32亿元，同比分别增加35.48%、39.96%。（因文旅部修改了旅游数据评分方式，故市局暂未要求各县区上报数据，也未进行排名。）特别是今年春节前后（2022年1月31日至2月6日），我县共接待游客38.89万人次，同比增长13%，实现旅游综合收入27611.9万元，同比增长14.68%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）主要亮点工作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1.圆满举办2021年湖南省（春季）乡村文化旅游节暨湖南·阳明山第十三届“和”文化节，并成为省文化和旅游厅举办乡村文化旅游节的活动典范。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2.双牌县文化和旅游真抓实干工作获得了省政府激励表扬。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3.我县在全市旅游发展大会上做典型发言。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4.云台山成功创建国家3A级景区。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5.我县第一季度巩固创建国家公共文化示范区工作获全市第一名，作典型发言。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6.瑶方引子茶酿造技艺成功入选省级“非遗”项目，有望获得省级政策性资金扶持。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7.《亲亲潇湘源》获“三湘群星奖”银奖。组织参加全省“欢乐潇湘”美术书法摄影大赛永州赛区一等奖1个，二等奖3个，三等奖6个。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）重点项目完成情况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云台山3A景区及日湖旅游航线项目。完成航线各景区、景点、码头资源调查与规划设计和云台山景区老茶厂处民房拆迁工作，停车场、游客服务中心已完工，正在对下岭铺村、盘家村村庄进行整治改造。旅游厕所、观景平台、木栈道、景区供电工程、景区供水工程等项目稳步推进。标识标牌已基本安装完毕。启动了日湖航线两艘快艇采购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泷泊国际慢城项目。花千谷改善修建了停车场、游客接待中心、游步道等基础设施配套，开发玫瑰园婚纱摄影基地、萌宠园、潇水河水幕景观等特色旅游项目。月湖航线购买了12张排筏及1艘快艇并开通航线，永水河购买了5张无动力竹排筏，沙背甸慢客中心所有工程基本完工。</w:t>
      </w:r>
    </w:p>
    <w:p>
      <w:pPr>
        <w:snapToGrid w:val="0"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桐子坳4A景区巩固提质项目。完成了新院子公路白改黑、安防工程和景区输电线路改移及专变、景区弱电杆线改移项目。爱国主义教育基地建设初见成效，建成了红六军团纪念浮雕，红六军团老虎口攻坚战大型纪念雕塑，红军井，红军亭等一批红色文化教育、传播平台。建成了商业街片区污水处理项目、农业采摘体验园。完成了核心景区景观质量提质和爱杏花海波斯菊、百日菊种植、景区居民住宅屋顶景观改造、花溪花海观赏向日葵种植等多个项目。无动力儿童乐园项目已投入使用。</w:t>
      </w:r>
    </w:p>
    <w:p>
      <w:pPr>
        <w:pStyle w:val="9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七、存在的问题及原因分析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资金拨付不及时。专项经费由于需要专项核拨，财政核拨需要一定的时间，资金下达不及时，影响了资金的使用率。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32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1.加强专项资金管理。按照专项资金管理使用制度，加强对各部室预算执行管理，及时跟进专项资金使用情况，每季度向党组汇报资金执行进度，完善专项资金使用审批手续，坚持先审批，后使用，确保专项资金专款专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8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.加强资产管理。严格执行固定资产管理规定，对符合固定资产限额标准的财物，我们均纳入固定资产范围进行管理。建立固定资产台账，完善入库出库手续，确保每一件固定资产登记在册，领取人签字，责任落实到人。定期核对账目，确保账账相符、账实相符。完成国有资产全面清查工作，对清查出的毁损待报废资产按程序进行了报废处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8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3.加强内控管理。成立了内控工作领导小组，完成了内部控制基础性评价工作，确定了内部控制建立与实施的重点工作和改进方向。在经费管理方面，我单位严格执行财政有关法律法规，明确部门经费管理职责、开支范围及标准。坚持“先预算，后支出”，实行预算全覆盖，各项收入和支出全部纳入预算管理，统筹安排使用，优化使用结构，保证重点项目实施。我局财务管理制度健全，执行制度严格合规，会计核算符合相关规定，资金专款专用，资金支付依据和开支标准合法合规，严格执行政府采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4.加强绩效评价及绩效监控。按照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财政局的统一部署，我单位高度重视绩效考评工作，制定了绩效总目标，依照国家政策法规规定和本部门实际情况，健全财务基础管理制度和约束机制，依法、有效地使用财政资金。对资金的分配、拨付、使用、核算都严格把关。对部门整体支出和10万元及以上的项目绩效运行进行了监控分析，找出了存在的主要问题，研究落实了工作措施，为全面完成年度目标任务提供了坚强保证。</w:t>
      </w:r>
    </w:p>
    <w:p>
      <w:pPr>
        <w:pStyle w:val="2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九、绩效自评结果拟应用和公开情况</w:t>
      </w:r>
    </w:p>
    <w:p>
      <w:pPr>
        <w:pStyle w:val="2"/>
        <w:ind w:firstLine="640" w:firstLineChars="200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公开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、项目支出绩效自评表</w:t>
      </w:r>
    </w:p>
    <w:p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57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lang w:val="en-US" w:eastAsia="zh-CN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3</w:t>
            </w:r>
            <w:r>
              <w:rPr>
                <w:rFonts w:hint="eastAsia" w:eastAsia="仿宋_GB2312"/>
                <w:kern w:val="0"/>
                <w:lang w:val="en-US" w:eastAsia="zh-CN"/>
              </w:rPr>
              <w:t>.1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5</w:t>
            </w:r>
            <w:r>
              <w:rPr>
                <w:rFonts w:hint="eastAsia" w:eastAsia="仿宋_GB2312"/>
                <w:kern w:val="0"/>
                <w:lang w:val="en-US" w:eastAsia="zh-CN"/>
              </w:rPr>
              <w:t>.</w:t>
            </w:r>
            <w:r>
              <w:rPr>
                <w:rFonts w:hint="eastAsia" w:eastAsia="仿宋_GB2312"/>
                <w:kern w:val="0"/>
              </w:rPr>
              <w:t>09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</w:t>
            </w:r>
            <w:r>
              <w:rPr>
                <w:rFonts w:hint="eastAsia" w:eastAsia="仿宋_GB2312"/>
                <w:kern w:val="0"/>
                <w:lang w:val="en-US" w:eastAsia="zh-CN"/>
              </w:rPr>
              <w:t>.</w:t>
            </w:r>
            <w:r>
              <w:rPr>
                <w:rFonts w:hint="eastAsia" w:eastAsia="仿宋_GB2312"/>
                <w:kern w:val="0"/>
              </w:rPr>
              <w:t>4357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3</w:t>
            </w:r>
            <w:r>
              <w:rPr>
                <w:rFonts w:hint="eastAsia" w:eastAsia="仿宋_GB2312"/>
                <w:kern w:val="0"/>
                <w:lang w:val="en-US" w:eastAsia="zh-CN"/>
              </w:rPr>
              <w:t>.1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5</w:t>
            </w:r>
            <w:r>
              <w:rPr>
                <w:rFonts w:hint="eastAsia" w:eastAsia="仿宋_GB2312"/>
                <w:kern w:val="0"/>
                <w:lang w:val="en-US" w:eastAsia="zh-CN"/>
              </w:rPr>
              <w:t>.</w:t>
            </w:r>
            <w:r>
              <w:rPr>
                <w:rFonts w:hint="eastAsia" w:eastAsia="仿宋_GB2312"/>
                <w:kern w:val="0"/>
              </w:rPr>
              <w:t>09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</w:t>
            </w:r>
            <w:r>
              <w:rPr>
                <w:rFonts w:hint="eastAsia" w:eastAsia="仿宋_GB2312"/>
                <w:kern w:val="0"/>
                <w:lang w:val="en-US" w:eastAsia="zh-CN"/>
              </w:rPr>
              <w:t>.</w:t>
            </w:r>
            <w:r>
              <w:rPr>
                <w:rFonts w:hint="eastAsia" w:eastAsia="仿宋_GB2312"/>
                <w:kern w:val="0"/>
              </w:rPr>
              <w:t>4357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306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eastAsia="仿宋_GB2312"/>
                <w:color w:val="000000"/>
                <w:kern w:val="0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332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327</w:t>
            </w:r>
            <w:r>
              <w:rPr>
                <w:rFonts w:hint="eastAsia" w:eastAsia="仿宋_GB2312"/>
                <w:kern w:val="0"/>
                <w:lang w:val="en-US" w:eastAsia="zh-CN"/>
              </w:rPr>
              <w:t>.6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47.6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2.1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17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13.6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29.7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30.3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8.46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69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69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lang w:eastAsia="zh-CN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</w:tbl>
    <w:p>
      <w:pPr>
        <w:spacing w:line="360" w:lineRule="exact"/>
        <w:rPr>
          <w:rFonts w:ascii="仿宋_GB2312" w:hAnsi="仿宋_GB2312" w:eastAsia="仿宋_GB2312"/>
          <w:kern w:val="0"/>
          <w:sz w:val="22"/>
          <w:szCs w:val="2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单位负责人签字：</w:t>
      </w:r>
    </w:p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  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17"/>
        <w:gridCol w:w="366"/>
        <w:gridCol w:w="1251"/>
        <w:gridCol w:w="383"/>
        <w:gridCol w:w="1700"/>
        <w:gridCol w:w="1067"/>
        <w:gridCol w:w="233"/>
        <w:gridCol w:w="317"/>
        <w:gridCol w:w="816"/>
        <w:gridCol w:w="367"/>
        <w:gridCol w:w="533"/>
        <w:gridCol w:w="184"/>
        <w:gridCol w:w="350"/>
        <w:gridCol w:w="65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省级预算部门名称</w:t>
            </w:r>
          </w:p>
        </w:tc>
        <w:tc>
          <w:tcPr>
            <w:tcW w:w="906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黑体"/>
                <w:kern w:val="0"/>
                <w:szCs w:val="21"/>
                <w:lang w:val="en-US" w:eastAsia="zh-CN"/>
              </w:rPr>
              <w:t>双牌县</w:t>
            </w:r>
            <w:r>
              <w:rPr>
                <w:rFonts w:hint="eastAsia" w:eastAsia="黑体"/>
                <w:kern w:val="0"/>
                <w:szCs w:val="21"/>
                <w:lang w:eastAsia="zh-CN"/>
              </w:rPr>
              <w:t>文旅广体局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年初预算数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全年执行数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年度资金总额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</w:rPr>
              <w:t>866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856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856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98.8%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按收入性质分：</w:t>
            </w:r>
          </w:p>
        </w:tc>
        <w:tc>
          <w:tcPr>
            <w:tcW w:w="44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</w:rPr>
              <w:t>688</w:t>
            </w:r>
          </w:p>
        </w:tc>
        <w:tc>
          <w:tcPr>
            <w:tcW w:w="44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</w:rPr>
              <w:t>52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44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</w:rPr>
              <w:t>32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纳入专户管理的非税收入拨款：</w:t>
            </w:r>
          </w:p>
        </w:tc>
        <w:tc>
          <w:tcPr>
            <w:tcW w:w="44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其他资金：</w:t>
            </w:r>
          </w:p>
        </w:tc>
        <w:tc>
          <w:tcPr>
            <w:tcW w:w="44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6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6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  <w:t xml:space="preserve">1.坚持突出重点，着力推动公共文化服务健康发展；2.坚持安全督查，着力推动群众文体活动广泛开展； 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  <w:t>3..坚持依法行政，全面提升文化市场的监管档次和水平；4.坚持保护利用，全面提升文物管理水平；5.坚持文旅融合，大力推动全域旅游提质增速；6.认真贯彻执行党的基本路线、方针政策和上级组织的决议、指示、命令。</w:t>
            </w:r>
          </w:p>
        </w:tc>
        <w:tc>
          <w:tcPr>
            <w:tcW w:w="46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  <w:t>1.坚持突出重点，着力推动公共文化服务健康发展；2.坚持安全督查，着力推动群众文体活动广泛开展； 3..坚持依法行政，全面提升文化市场的监管档次和水平；4.坚持保护利用，全面提升文物管理水平；5.坚持文旅融合，大力推动全域旅游提质增速；6.认真贯彻执行党的基本路线、方针政策和上级组织的决议、指示、命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完成50场送戏下乡演出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50场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举办大型文体旅游活动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1次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1.保护修缮文物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kern w:val="0"/>
              </w:rPr>
              <w:t>加强对非遗及其保护工作的宣传教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育；2.</w:t>
            </w:r>
            <w:r>
              <w:rPr>
                <w:rFonts w:hint="eastAsia" w:eastAsia="仿宋_GB2312"/>
                <w:color w:val="000000"/>
                <w:kern w:val="0"/>
              </w:rPr>
              <w:t>组织规模文化活动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；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3.</w:t>
            </w:r>
            <w:r>
              <w:rPr>
                <w:rFonts w:hint="eastAsia" w:eastAsia="仿宋_GB2312"/>
                <w:color w:val="000000"/>
                <w:kern w:val="0"/>
              </w:rPr>
              <w:t>加强文化市场监管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kern w:val="0"/>
              </w:rPr>
              <w:t>全面提升文化业场的监管档次和水平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全年完成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压缩非正常性开支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 xml:space="preserve">分） 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经济效益指标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招商引资工作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推动全域旅游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kern w:val="0"/>
              </w:rPr>
              <w:t>做好文旅融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合</w:t>
            </w:r>
            <w:r>
              <w:rPr>
                <w:rFonts w:hint="eastAsia" w:eastAsia="仿宋_GB2312"/>
                <w:color w:val="000000"/>
                <w:kern w:val="0"/>
              </w:rPr>
              <w:t>，展示我县悠久的历史文化底蕴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生态效益指标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文明劝导、义务清扫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创新公共文化服务机制，拓宽服务领域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提高服务质量，使广大人民群众共享文化成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果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7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spacing w:line="600" w:lineRule="exact"/>
        <w:rPr>
          <w:rFonts w:hint="eastAsia" w:eastAsia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rtlGutter w:val="0"/>
          <w:docGrid w:type="lines" w:linePitch="312" w:charSpace="0"/>
        </w:sect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  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51"/>
        <w:gridCol w:w="1266"/>
        <w:gridCol w:w="250"/>
        <w:gridCol w:w="1283"/>
        <w:gridCol w:w="917"/>
        <w:gridCol w:w="802"/>
        <w:gridCol w:w="298"/>
        <w:gridCol w:w="836"/>
        <w:gridCol w:w="231"/>
        <w:gridCol w:w="597"/>
        <w:gridCol w:w="353"/>
        <w:gridCol w:w="520"/>
        <w:gridCol w:w="346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创双牌县公共文化服务区建设项目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双牌县文旅广体局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双牌县文旅广体局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年初预算数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332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332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</w:rPr>
              <w:t>健全基层公共文化服务体系，推进全县创建国家公共文化服务体系建设，通过补短板建设，进一步丰富广大群众精神文化生活。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通过公共文化服务体系建设的完善和提升，不断提高公共文化服务水平，营造了良好的农村文化活动氛围，保障了基层群众基本文化权益，群众满意度逐年提升。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完成50场送戏下乡演出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50场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50场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保质保量完成演出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50场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50场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全年完成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</w:rPr>
              <w:t>0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压缩非正常性开支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</w:rPr>
              <w:t>0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创新公共文化服务机制，拓宽服务领域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</w:rPr>
              <w:t>0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提高服务质量，使广大人民群众共享文化成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果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单位负责人签字：</w:t>
      </w:r>
    </w:p>
    <w:p>
      <w:pPr>
        <w:spacing w:line="600" w:lineRule="exact"/>
      </w:pPr>
      <w:bookmarkStart w:id="0" w:name="_GoBack"/>
      <w:bookmarkEnd w:id="0"/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3009641B"/>
    <w:rsid w:val="2B9718DF"/>
    <w:rsid w:val="3009641B"/>
    <w:rsid w:val="4A3E6B0E"/>
    <w:rsid w:val="7683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5804</Words>
  <Characters>6179</Characters>
  <Lines>0</Lines>
  <Paragraphs>0</Paragraphs>
  <TotalTime>2</TotalTime>
  <ScaleCrop>false</ScaleCrop>
  <LinksUpToDate>false</LinksUpToDate>
  <CharactersWithSpaces>6439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2022-04-19T06:56:00Z</dcterms:created>
  <dc:creator>YCC</dc:creator>
  <cp:lastModifiedBy>Administrator</cp:lastModifiedBy>
  <dcterms:modified xsi:type="dcterms:W3CDTF">2022-09-29T14:50:13Z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54CC05DCA10A48AF9DAE16FEDF435EA0</vt:lpwstr>
  </property>
</Properties>
</file>