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p>
    <w:p>
      <w:pPr>
        <w:jc w:val="center"/>
        <w:rPr>
          <w:rFonts w:eastAsia="方正小标宋_GBK"/>
          <w:sz w:val="48"/>
          <w:szCs w:val="48"/>
        </w:rPr>
      </w:pPr>
    </w:p>
    <w:p>
      <w:pPr>
        <w:jc w:val="center"/>
        <w:rPr>
          <w:rFonts w:eastAsia="方正小标宋_GBK"/>
          <w:sz w:val="48"/>
          <w:szCs w:val="48"/>
        </w:rPr>
      </w:pPr>
    </w:p>
    <w:p>
      <w:pPr>
        <w:jc w:val="center"/>
        <w:rPr>
          <w:rFonts w:eastAsia="方正小标宋_GBK"/>
          <w:sz w:val="48"/>
          <w:szCs w:val="48"/>
        </w:rPr>
      </w:pPr>
    </w:p>
    <w:p>
      <w:pPr>
        <w:jc w:val="center"/>
        <w:rPr>
          <w:rFonts w:hint="eastAsia"/>
          <w:sz w:val="48"/>
          <w:szCs w:val="48"/>
          <w:lang w:val="en-US" w:eastAsia="zh-CN"/>
        </w:rPr>
      </w:pPr>
      <w:r>
        <w:rPr>
          <w:rFonts w:hint="eastAsia"/>
          <w:sz w:val="48"/>
          <w:szCs w:val="48"/>
          <w:lang w:val="en-US" w:eastAsia="zh-CN"/>
        </w:rPr>
        <w:t>2020</w:t>
      </w:r>
      <w:r>
        <w:rPr>
          <w:rFonts w:ascii="方正小标宋_GBK" w:hAnsi="方正小标宋_GBK" w:eastAsia="方正小标宋_GBK"/>
          <w:sz w:val="48"/>
          <w:szCs w:val="48"/>
        </w:rPr>
        <w:t>年度</w:t>
      </w:r>
      <w:r>
        <w:rPr>
          <w:rFonts w:hint="eastAsia"/>
          <w:sz w:val="48"/>
          <w:szCs w:val="48"/>
          <w:lang w:val="en-US" w:eastAsia="zh-CN"/>
        </w:rPr>
        <w:t>双牌县市场监督管理局</w:t>
      </w:r>
    </w:p>
    <w:p>
      <w:pPr>
        <w:jc w:val="center"/>
        <w:rPr>
          <w:rFonts w:eastAsia="方正小标宋_GBK"/>
          <w:sz w:val="48"/>
          <w:szCs w:val="48"/>
        </w:rPr>
      </w:pPr>
      <w:r>
        <w:rPr>
          <w:rFonts w:hint="eastAsia" w:ascii="方正小标宋_GBK" w:hAnsi="方正小标宋_GBK"/>
          <w:sz w:val="48"/>
          <w:szCs w:val="48"/>
          <w:lang w:eastAsia="zh-CN"/>
        </w:rPr>
        <w:t>部门</w:t>
      </w: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hint="default" w:eastAsia="黑体"/>
          <w:sz w:val="36"/>
          <w:szCs w:val="36"/>
          <w:lang w:val="en-US" w:eastAsia="zh-CN"/>
        </w:rPr>
      </w:pPr>
      <w:r>
        <w:rPr>
          <w:rFonts w:ascii="黑体" w:hAnsi="黑体" w:eastAsia="黑体"/>
          <w:sz w:val="36"/>
          <w:szCs w:val="36"/>
        </w:rPr>
        <w:t>单位名称（盖章）：</w:t>
      </w:r>
      <w:r>
        <w:rPr>
          <w:rFonts w:hint="eastAsia" w:ascii="黑体" w:hAnsi="黑体" w:eastAsia="黑体"/>
          <w:sz w:val="36"/>
          <w:szCs w:val="36"/>
          <w:lang w:val="en-US" w:eastAsia="zh-CN"/>
        </w:rPr>
        <w:t>双牌县市场监督管理局</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numPr>
          <w:ilvl w:val="0"/>
          <w:numId w:val="1"/>
        </w:numPr>
        <w:spacing w:line="600" w:lineRule="exact"/>
        <w:ind w:firstLine="640" w:firstLineChars="200"/>
        <w:rPr>
          <w:rFonts w:ascii="黑体" w:hAnsi="黑体" w:eastAsia="黑体"/>
          <w:sz w:val="32"/>
          <w:szCs w:val="32"/>
        </w:rPr>
      </w:pPr>
      <w:r>
        <w:rPr>
          <w:rFonts w:ascii="黑体" w:hAnsi="黑体" w:eastAsia="黑体"/>
          <w:sz w:val="32"/>
          <w:szCs w:val="32"/>
        </w:rPr>
        <w:t>基本情况</w:t>
      </w:r>
    </w:p>
    <w:p>
      <w:pPr>
        <w:widowControl/>
        <w:numPr>
          <w:ilvl w:val="0"/>
          <w:numId w:val="2"/>
        </w:numPr>
        <w:spacing w:line="555" w:lineRule="atLeast"/>
        <w:ind w:firstLine="800" w:firstLineChars="250"/>
        <w:jc w:val="left"/>
        <w:rPr>
          <w:rFonts w:ascii="楷体_GB2312" w:hAnsi="楷体_GB2312" w:eastAsia="楷体_GB2312"/>
          <w:sz w:val="32"/>
          <w:szCs w:val="32"/>
        </w:rPr>
      </w:pPr>
      <w:r>
        <w:rPr>
          <w:rFonts w:ascii="楷体_GB2312" w:hAnsi="楷体_GB2312" w:eastAsia="楷体_GB2312"/>
          <w:sz w:val="32"/>
          <w:szCs w:val="32"/>
        </w:rPr>
        <w:t>单位基本情况</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本单位属县人民政府组成部门，为正科级行政单位，在职在编人员82人，其中：行政编制34人、事业编制48人。人员编制人数97人，其中：行政编制44人、事业编制53人。在编实有车辆8辆，退休人员42人。</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2020年公共预算财政拨款支出1136.80万元,其中：基本支出858.94万元，项目支出277.86万元。</w:t>
      </w:r>
    </w:p>
    <w:p>
      <w:pPr>
        <w:numPr>
          <w:ilvl w:val="0"/>
          <w:numId w:val="2"/>
        </w:numPr>
        <w:spacing w:line="600" w:lineRule="exact"/>
        <w:ind w:left="0" w:leftChars="0" w:firstLine="800" w:firstLineChars="250"/>
        <w:rPr>
          <w:rFonts w:ascii="楷体_GB2312" w:hAnsi="楷体_GB2312" w:eastAsia="楷体_GB2312"/>
          <w:sz w:val="32"/>
          <w:szCs w:val="32"/>
        </w:rPr>
      </w:pPr>
      <w:r>
        <w:rPr>
          <w:rFonts w:ascii="楷体_GB2312" w:hAnsi="楷体_GB2312" w:eastAsia="楷体_GB2312"/>
          <w:sz w:val="32"/>
          <w:szCs w:val="32"/>
        </w:rPr>
        <w:t>单位年度整体支出绩效目标</w:t>
      </w:r>
      <w:r>
        <w:rPr>
          <w:rFonts w:hint="eastAsia" w:ascii="楷体_GB2312" w:hAnsi="楷体_GB2312" w:eastAsia="楷体_GB2312"/>
          <w:sz w:val="32"/>
          <w:szCs w:val="32"/>
          <w:lang w:eastAsia="zh-CN"/>
        </w:rPr>
        <w:t>，</w:t>
      </w:r>
      <w:r>
        <w:rPr>
          <w:rFonts w:hint="eastAsia" w:ascii="楷体_GB2312" w:hAnsi="楷体_GB2312" w:eastAsia="楷体_GB2312"/>
          <w:sz w:val="32"/>
          <w:szCs w:val="32"/>
          <w:lang w:val="en-US" w:eastAsia="zh-CN"/>
        </w:rPr>
        <w:t>项目支出绩效目标</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基本支出是为保障单位正常运转、完成日常工作任务而发生的各项支出，包括用于基本工资、津贴补贴等人员经费和办公费、印刷费、水电费、维修费等日常公用经费。项目支出是为完成各项专项整治而产生的经费。结合单位具体业务详情，支出绩效目标如下：</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目标1：深化商事制度改革，激发市场主体活力。</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目标2：抓好食品、药品安全监管工作。</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目标3：保持高压态势，严厉打击传销制售假冒伪劣产（商）品等违法行为</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目标4：强化特种设备安全监察，确保安全生产“零”事故。</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目标5：做好计量、标准化工作，推动标准体系研究建设，实施商标、品牌战略。</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目标6：强化质量监管，深入开展质量强县工作。</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目标7：改革企业监管方式，做好市场监管工作，维护公平有序的市场环境，加大查处无证无照经营、整治虚假违法广告等专项整治力度。</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目标8：加强消费维权机制建设，维护消费者合法权益。</w:t>
      </w:r>
    </w:p>
    <w:p>
      <w:pPr>
        <w:pStyle w:val="7"/>
        <w:spacing w:line="600" w:lineRule="exact"/>
        <w:ind w:firstLine="640"/>
        <w:rPr>
          <w:rFonts w:ascii="楷体_GB2312" w:hAnsi="楷体_GB2312" w:eastAsia="楷体_GB2312"/>
          <w:sz w:val="32"/>
          <w:szCs w:val="32"/>
        </w:rPr>
      </w:pPr>
      <w:r>
        <w:rPr>
          <w:rFonts w:hint="eastAsia" w:ascii="仿宋_GB2312" w:hAnsi="仿宋_GB2312" w:eastAsia="仿宋_GB2312" w:cs="Times New Roman"/>
          <w:color w:val="000000"/>
          <w:kern w:val="2"/>
          <w:sz w:val="32"/>
          <w:szCs w:val="32"/>
          <w:lang w:val="en-US" w:eastAsia="zh-CN" w:bidi="ar-SA"/>
        </w:rPr>
        <w:t>目标9：强化执法力度，营造宽松平等的准入环境、公平竞争的市场环境、安全放心的消费环境。</w:t>
      </w:r>
    </w:p>
    <w:p>
      <w:pPr>
        <w:pStyle w:val="7"/>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7"/>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pStyle w:val="7"/>
        <w:spacing w:line="600" w:lineRule="exact"/>
        <w:ind w:firstLine="64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2020年度基本支出为887.01万元，占总支出比重为76.15%。一般公共预算财政拨款基本支出中人员经费784.85万元，主要包括：基本工资、津贴补贴、奖金、社会保障缴费、其他工资福利支出、离休费、退休费、抚恤金、奖励金、住房公积金、其他对个人和家庭的补助；一般公共预算财政拨款基本支出中公用经费74.10万元，主要包括：办公费、印刷费、邮电费、差旅费、维修（护）费、会议费、培训费、公务接待费、劳务费、工会经费、福利费、公务用车运行维护费、其他交通费用、其他商品和服务支出、办公设备购置。</w:t>
      </w:r>
    </w:p>
    <w:p>
      <w:pPr>
        <w:pStyle w:val="7"/>
        <w:spacing w:line="600" w:lineRule="exact"/>
        <w:ind w:firstLine="640"/>
        <w:rPr>
          <w:rFonts w:ascii="楷体_GB2312" w:hAnsi="楷体_GB2312" w:eastAsia="楷体_GB2312"/>
          <w:sz w:val="32"/>
          <w:szCs w:val="32"/>
        </w:rPr>
      </w:pPr>
      <w:r>
        <w:rPr>
          <w:rFonts w:ascii="楷体_GB2312" w:hAnsi="楷体_GB2312" w:eastAsia="楷体_GB2312"/>
          <w:sz w:val="32"/>
          <w:szCs w:val="32"/>
        </w:rPr>
        <w:t>（二）项目支出情况</w:t>
      </w:r>
    </w:p>
    <w:p>
      <w:pPr>
        <w:pStyle w:val="7"/>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2020年度项目支出为277.86万元，占总支出的比重为23.85%，是指单位为完成特定行政工作任务或事业发展目标而发生的支出，其中：1、行政运行支出17.90万元；2、一般行政管理事务136.24万元；3、其他市场监督管理事务122.42万元；4、其他城乡社区管理事务支出1.30万元。</w:t>
      </w:r>
    </w:p>
    <w:p>
      <w:pPr>
        <w:pStyle w:val="7"/>
        <w:spacing w:line="600" w:lineRule="exact"/>
        <w:ind w:firstLine="640"/>
        <w:rPr>
          <w:rFonts w:ascii="Times New Roman" w:hAnsi="Times New Roman" w:eastAsia="黑体"/>
          <w:sz w:val="32"/>
          <w:szCs w:val="32"/>
        </w:rPr>
      </w:pPr>
      <w:r>
        <w:rPr>
          <w:rFonts w:ascii="黑体" w:hAnsi="黑体" w:eastAsia="黑体"/>
          <w:sz w:val="32"/>
          <w:szCs w:val="32"/>
        </w:rPr>
        <w:t>三、政府性基金预算支出情况</w:t>
      </w:r>
    </w:p>
    <w:p>
      <w:pPr>
        <w:pStyle w:val="7"/>
        <w:spacing w:line="600" w:lineRule="exact"/>
        <w:ind w:firstLine="640"/>
        <w:rPr>
          <w:rFonts w:ascii="Times New Roman" w:hAnsi="Times New Roman" w:eastAsia="黑体"/>
          <w:sz w:val="32"/>
          <w:szCs w:val="32"/>
        </w:rPr>
      </w:pPr>
      <w:r>
        <w:rPr>
          <w:rFonts w:ascii="黑体" w:hAnsi="黑体" w:eastAsia="黑体"/>
          <w:sz w:val="32"/>
          <w:szCs w:val="32"/>
        </w:rPr>
        <w:t>四、国有资本经营预算支出情况</w:t>
      </w:r>
    </w:p>
    <w:p>
      <w:pPr>
        <w:pStyle w:val="7"/>
        <w:spacing w:line="600" w:lineRule="exact"/>
        <w:ind w:firstLine="640"/>
        <w:rPr>
          <w:rFonts w:ascii="Times New Roman" w:hAnsi="Times New Roman" w:eastAsia="黑体"/>
          <w:sz w:val="32"/>
          <w:szCs w:val="32"/>
        </w:rPr>
      </w:pPr>
      <w:r>
        <w:rPr>
          <w:rFonts w:ascii="黑体" w:hAnsi="黑体" w:eastAsia="黑体"/>
          <w:sz w:val="32"/>
          <w:szCs w:val="32"/>
        </w:rPr>
        <w:t>五、社会保险基金预算支出情况</w:t>
      </w:r>
    </w:p>
    <w:p>
      <w:pPr>
        <w:pStyle w:val="7"/>
        <w:spacing w:line="600" w:lineRule="exact"/>
        <w:ind w:firstLine="640"/>
        <w:rPr>
          <w:rFonts w:hint="default" w:ascii="仿宋_GB2312" w:hAnsi="仿宋_GB2312" w:eastAsia="仿宋_GB2312" w:cs="Times New Roman"/>
          <w:color w:val="000000"/>
          <w:kern w:val="2"/>
          <w:sz w:val="32"/>
          <w:szCs w:val="32"/>
          <w:lang w:val="en-US" w:eastAsia="zh-CN" w:bidi="ar-SA"/>
        </w:rPr>
      </w:pPr>
      <w:r>
        <w:rPr>
          <w:rFonts w:ascii="黑体" w:hAnsi="黑体" w:eastAsia="黑体"/>
          <w:sz w:val="32"/>
          <w:szCs w:val="32"/>
        </w:rPr>
        <w:t>六、部门整体支出绩效情况</w:t>
      </w:r>
    </w:p>
    <w:p>
      <w:pPr>
        <w:spacing w:line="600" w:lineRule="exact"/>
        <w:ind w:firstLine="640" w:firstLineChars="200"/>
        <w:rPr>
          <w:rFonts w:hint="eastAsia" w:ascii="仿宋_GB2312" w:hAnsi="仿宋_GB2312" w:eastAsia="仿宋_GB2312"/>
          <w:color w:val="000000"/>
          <w:sz w:val="32"/>
          <w:szCs w:val="32"/>
        </w:rPr>
      </w:pPr>
      <w:r>
        <w:rPr>
          <w:rFonts w:ascii="楷体_GB2312" w:hAnsi="楷体_GB2312" w:eastAsia="楷体_GB2312"/>
          <w:sz w:val="32"/>
          <w:szCs w:val="32"/>
        </w:rPr>
        <w:t>（一）</w:t>
      </w:r>
      <w:r>
        <w:rPr>
          <w:rFonts w:hint="eastAsia" w:ascii="楷体_GB2312" w:hAnsi="楷体_GB2312" w:eastAsia="楷体_GB2312"/>
          <w:sz w:val="32"/>
          <w:szCs w:val="32"/>
        </w:rPr>
        <w:t>部门职能职责概述</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一是贯彻执行并组织实施工商、质监、食药监等部门的法律法规、规章政策和标准规范。二是制定并组织实施市场和质量监督管理事业发展规划和技术机构建设规划。三是承担全县食品安全委员会日常工作。四是负责全县食品(含食品添加剂、保健食品、酒类食品)和食品相关产品、产（商）品、药品(含中药、民族药)、医疗器械、化妆品、认证认可、计量、标准化、特种设备安全监察等监督管理工作，依法查处其违法行为。五是对各类市场经济秩序、商标、广告、合同和各类企业、农民专业合作社及从事经营活动的单位、个人等市场主体的登记注册、监督管理，依法查处和取缔无证无照经营行为。六是承担产品质量诚信体系建设、实施质量振兴、推进名牌发展战略、产品质量事故的调查、实施地理标志产品保护等工作。七是指导乡镇建立健全食品药品安全监管制度。八是承担县委、县政府和上级部门交办的其他事项。</w:t>
      </w:r>
    </w:p>
    <w:p>
      <w:pPr>
        <w:pStyle w:val="7"/>
        <w:spacing w:line="600" w:lineRule="exact"/>
        <w:ind w:firstLine="640"/>
        <w:rPr>
          <w:rFonts w:hint="default" w:ascii="仿宋_GB2312" w:hAnsi="仿宋_GB2312" w:eastAsia="楷体_GB2312"/>
          <w:color w:val="000000"/>
          <w:sz w:val="32"/>
          <w:szCs w:val="32"/>
          <w:lang w:val="en-US" w:eastAsia="zh-CN"/>
        </w:rPr>
      </w:pPr>
      <w:r>
        <w:rPr>
          <w:rFonts w:ascii="楷体_GB2312" w:hAnsi="楷体_GB2312" w:eastAsia="楷体_GB2312"/>
          <w:sz w:val="32"/>
          <w:szCs w:val="32"/>
        </w:rPr>
        <w:t>（二）</w:t>
      </w:r>
      <w:r>
        <w:rPr>
          <w:rFonts w:hint="eastAsia" w:ascii="楷体_GB2312" w:hAnsi="楷体_GB2312" w:eastAsia="楷体_GB2312"/>
          <w:sz w:val="32"/>
          <w:szCs w:val="32"/>
        </w:rPr>
        <w:t>绩效目标</w:t>
      </w:r>
      <w:r>
        <w:rPr>
          <w:rFonts w:hint="eastAsia" w:ascii="楷体_GB2312" w:hAnsi="楷体_GB2312" w:eastAsia="楷体_GB2312"/>
          <w:sz w:val="32"/>
          <w:szCs w:val="32"/>
          <w:lang w:val="en-US" w:eastAsia="zh-CN"/>
        </w:rPr>
        <w:t>完成情况</w:t>
      </w:r>
    </w:p>
    <w:p>
      <w:pPr>
        <w:widowControl/>
        <w:spacing w:line="600" w:lineRule="exact"/>
        <w:ind w:firstLine="640" w:firstLineChars="200"/>
        <w:jc w:val="left"/>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在县委县政府的正确领导下，全局干部职工凝心聚力、解放思想、开拓思路、攻坚克难，突出“转职能，强服务；强监管，保安全；重执法，维民权；夯基础，见成效”的工作方针，形成了1+1+1大于3的良好局面，全局工作有序开展，取得了较好的成绩，圆满完成县委县政府和上级主管部门交办的工作任务，主要绩效如下：</w:t>
      </w:r>
    </w:p>
    <w:p>
      <w:pPr>
        <w:widowControl/>
        <w:numPr>
          <w:ilvl w:val="0"/>
          <w:numId w:val="3"/>
        </w:numPr>
        <w:spacing w:line="600" w:lineRule="exact"/>
        <w:ind w:firstLine="640" w:firstLineChars="200"/>
        <w:jc w:val="left"/>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积极落实了商事登记制度改革各项措施，随着商事登记制度改革的落实，全县市场主体稳步增长；</w:t>
      </w:r>
    </w:p>
    <w:p>
      <w:pPr>
        <w:widowControl/>
        <w:numPr>
          <w:ilvl w:val="0"/>
          <w:numId w:val="3"/>
        </w:numPr>
        <w:spacing w:line="600" w:lineRule="exact"/>
        <w:ind w:firstLine="640" w:firstLineChars="200"/>
        <w:jc w:val="left"/>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维护市场经济秩序，切实加强对企业监督管理：积极开展个体企业状态的抽查、调查和核实工作，对超市、综合市场、水果店等经营的蔬菜、水果、肉禽、水产品、蛋等进行抽检；</w:t>
      </w:r>
    </w:p>
    <w:p>
      <w:pPr>
        <w:widowControl/>
        <w:numPr>
          <w:ilvl w:val="0"/>
          <w:numId w:val="3"/>
        </w:numPr>
        <w:spacing w:line="600" w:lineRule="exact"/>
        <w:ind w:firstLine="640" w:firstLineChars="200"/>
        <w:jc w:val="left"/>
        <w:rPr>
          <w:rFonts w:ascii="宋体" w:cs="宋体"/>
          <w:color w:val="000000"/>
          <w:kern w:val="0"/>
          <w:sz w:val="28"/>
          <w:szCs w:val="28"/>
        </w:rPr>
      </w:pPr>
      <w:r>
        <w:rPr>
          <w:rFonts w:hint="eastAsia" w:ascii="仿宋_GB2312" w:hAnsi="仿宋_GB2312" w:eastAsia="仿宋_GB2312" w:cs="Times New Roman"/>
          <w:color w:val="000000"/>
          <w:kern w:val="2"/>
          <w:sz w:val="32"/>
          <w:szCs w:val="32"/>
          <w:lang w:val="en-US" w:eastAsia="zh-CN" w:bidi="ar-SA"/>
        </w:rPr>
        <w:t>切实加强特种设备安全监管：我局认真开展了特种设备的监督检验与定期检验工作。协助省特检院永州分院对我县特种设备使用单位的特种设备进行了监督检验与过期检验；</w:t>
      </w:r>
    </w:p>
    <w:p>
      <w:pPr>
        <w:widowControl/>
        <w:numPr>
          <w:ilvl w:val="0"/>
          <w:numId w:val="3"/>
        </w:numPr>
        <w:spacing w:line="600" w:lineRule="exact"/>
        <w:ind w:firstLine="640" w:firstLineChars="200"/>
        <w:jc w:val="left"/>
        <w:rPr>
          <w:rFonts w:ascii="宋体" w:cs="宋体"/>
          <w:color w:val="000000"/>
          <w:kern w:val="0"/>
          <w:sz w:val="28"/>
          <w:szCs w:val="28"/>
        </w:rPr>
      </w:pPr>
      <w:r>
        <w:rPr>
          <w:rFonts w:hint="eastAsia" w:ascii="仿宋_GB2312" w:hAnsi="仿宋_GB2312" w:eastAsia="仿宋_GB2312" w:cs="Times New Roman"/>
          <w:color w:val="000000"/>
          <w:kern w:val="2"/>
          <w:sz w:val="32"/>
          <w:szCs w:val="32"/>
          <w:lang w:val="en-US" w:eastAsia="zh-CN" w:bidi="ar-SA"/>
        </w:rPr>
        <w:t>切实加强计量及认证工作：开展了免检工作、强检工作、计量检测工作和计量认证工作。</w:t>
      </w:r>
    </w:p>
    <w:p>
      <w:pPr>
        <w:widowControl/>
        <w:numPr>
          <w:ilvl w:val="0"/>
          <w:numId w:val="3"/>
        </w:numPr>
        <w:spacing w:line="600" w:lineRule="exact"/>
        <w:ind w:firstLine="640" w:firstLineChars="200"/>
        <w:jc w:val="left"/>
        <w:rPr>
          <w:rFonts w:ascii="宋体" w:cs="宋体"/>
          <w:color w:val="000000"/>
          <w:kern w:val="0"/>
          <w:sz w:val="28"/>
          <w:szCs w:val="28"/>
        </w:rPr>
      </w:pPr>
      <w:r>
        <w:rPr>
          <w:rFonts w:hint="eastAsia" w:ascii="仿宋_GB2312" w:hAnsi="仿宋_GB2312" w:eastAsia="仿宋_GB2312" w:cs="Times New Roman"/>
          <w:color w:val="000000"/>
          <w:kern w:val="2"/>
          <w:sz w:val="32"/>
          <w:szCs w:val="32"/>
          <w:lang w:val="en-US" w:eastAsia="zh-CN" w:bidi="ar-SA"/>
        </w:rPr>
        <w:t>切实加强行政执法工作，开展了执法培训，充分利用局内网等督促指导执法人员学习法律法规、探讨业务工作。</w:t>
      </w:r>
    </w:p>
    <w:p>
      <w:pPr>
        <w:pStyle w:val="7"/>
        <w:numPr>
          <w:ilvl w:val="0"/>
          <w:numId w:val="4"/>
        </w:numPr>
        <w:spacing w:line="600" w:lineRule="exact"/>
        <w:ind w:firstLine="640"/>
        <w:rPr>
          <w:rFonts w:ascii="黑体" w:hAnsi="黑体" w:eastAsia="黑体"/>
          <w:sz w:val="32"/>
          <w:szCs w:val="32"/>
        </w:rPr>
      </w:pPr>
      <w:r>
        <w:rPr>
          <w:rFonts w:ascii="黑体" w:hAnsi="黑体" w:eastAsia="黑体"/>
          <w:sz w:val="32"/>
          <w:szCs w:val="32"/>
        </w:rPr>
        <w:t>存在的问题及原因分析</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宋体" w:hAnsi="宋体"/>
          <w:sz w:val="32"/>
          <w:szCs w:val="32"/>
        </w:rPr>
        <w:t>1、</w:t>
      </w:r>
      <w:r>
        <w:rPr>
          <w:rFonts w:hint="eastAsia" w:ascii="仿宋_GB2312" w:hAnsi="仿宋_GB2312" w:eastAsia="仿宋_GB2312" w:cs="Times New Roman"/>
          <w:color w:val="000000"/>
          <w:kern w:val="2"/>
          <w:sz w:val="32"/>
          <w:szCs w:val="32"/>
          <w:lang w:val="en-US" w:eastAsia="zh-CN" w:bidi="ar-SA"/>
        </w:rPr>
        <w:t>预算执行率有待提高。由于预算项目未及时报账导致年末预算资金未形成支出。</w:t>
      </w:r>
    </w:p>
    <w:p>
      <w:pPr>
        <w:spacing w:line="600" w:lineRule="exact"/>
        <w:ind w:firstLine="640" w:firstLineChars="200"/>
        <w:rPr>
          <w:rFonts w:ascii="宋体" w:hAnsi="宋体"/>
          <w:sz w:val="32"/>
          <w:szCs w:val="32"/>
        </w:rPr>
      </w:pPr>
      <w:r>
        <w:rPr>
          <w:rFonts w:hint="eastAsia" w:ascii="宋体" w:hAnsi="宋体"/>
          <w:sz w:val="32"/>
          <w:szCs w:val="32"/>
        </w:rPr>
        <w:t>2、</w:t>
      </w:r>
      <w:r>
        <w:rPr>
          <w:rFonts w:hint="eastAsia" w:ascii="仿宋_GB2312" w:hAnsi="仿宋_GB2312" w:eastAsia="仿宋_GB2312" w:cs="Times New Roman"/>
          <w:color w:val="000000"/>
          <w:kern w:val="2"/>
          <w:sz w:val="32"/>
          <w:szCs w:val="32"/>
          <w:lang w:val="en-US" w:eastAsia="zh-CN" w:bidi="ar-SA"/>
        </w:rPr>
        <w:t>专项资金少，资金压力大。针对我局经济基础薄弱、资金压力大的现状，重点产业项目尚需进一步的加强。</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宋体" w:hAnsi="宋体"/>
          <w:sz w:val="32"/>
          <w:szCs w:val="32"/>
        </w:rPr>
        <w:t>3、</w:t>
      </w:r>
      <w:r>
        <w:rPr>
          <w:rFonts w:hint="eastAsia" w:ascii="仿宋_GB2312" w:hAnsi="仿宋_GB2312" w:eastAsia="仿宋_GB2312" w:cs="Times New Roman"/>
          <w:color w:val="000000"/>
          <w:kern w:val="2"/>
          <w:sz w:val="32"/>
          <w:szCs w:val="32"/>
          <w:lang w:val="en-US" w:eastAsia="zh-CN" w:bidi="ar-SA"/>
        </w:rPr>
        <w:t>预算编制不够明确和细化，预算编制的合理性需要提高，预算执行力度还要进一步加强。资金使用效益有待进一步提高，绩效目标设立不够明确、细化和量化。</w:t>
      </w:r>
    </w:p>
    <w:p>
      <w:pPr>
        <w:spacing w:line="600" w:lineRule="exact"/>
        <w:ind w:firstLine="640" w:firstLineChars="200"/>
        <w:rPr>
          <w:rFonts w:ascii="黑体" w:hAnsi="黑体" w:eastAsia="黑体"/>
          <w:sz w:val="32"/>
          <w:szCs w:val="32"/>
        </w:rPr>
      </w:pPr>
      <w:r>
        <w:rPr>
          <w:rFonts w:hint="eastAsia" w:ascii="宋体" w:hAnsi="宋体"/>
          <w:sz w:val="32"/>
          <w:szCs w:val="32"/>
        </w:rPr>
        <w:t>4、</w:t>
      </w:r>
      <w:r>
        <w:rPr>
          <w:rFonts w:hint="eastAsia" w:ascii="仿宋_GB2312" w:hAnsi="仿宋_GB2312" w:eastAsia="仿宋_GB2312" w:cs="Times New Roman"/>
          <w:color w:val="000000"/>
          <w:kern w:val="2"/>
          <w:sz w:val="32"/>
          <w:szCs w:val="32"/>
          <w:lang w:val="en-US" w:eastAsia="zh-CN" w:bidi="ar-SA"/>
        </w:rPr>
        <w:t>人员严重缺编与工作任务繁重矛盾日益突出。</w:t>
      </w:r>
    </w:p>
    <w:p>
      <w:pPr>
        <w:spacing w:line="600" w:lineRule="exact"/>
        <w:ind w:firstLine="640" w:firstLineChars="200"/>
        <w:rPr>
          <w:rFonts w:ascii="黑体" w:hAnsi="黑体" w:eastAsia="黑体"/>
          <w:sz w:val="32"/>
          <w:szCs w:val="32"/>
        </w:rPr>
      </w:pPr>
      <w:r>
        <w:rPr>
          <w:rFonts w:ascii="黑体" w:hAnsi="黑体" w:eastAsia="黑体"/>
          <w:sz w:val="32"/>
          <w:szCs w:val="32"/>
        </w:rPr>
        <w:t>八、下一步改进措施</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加强“三公”经费管理，严控“三公”经费规模。我单位在既有的制度办法基础上，进一步研究完善公务接待、公务用车配置使用和因公出国(境)等管理制度和审核程序，将“三公”经费严格纳入预算管理，严控 “三公”经费支出。</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三）加强对公用支出中重点费用的管理。规范会议费、培训费、差旅费、办公费等费用开支标准，按照国家规定的标准和范围列支，控制会议培训的数量、规模，简化会议培训的形式；控制差旅活动的人数和天数，不安排无明确目的的公务考察活动，出差完善审批程序；坚持厉行节约的原则，控制和压缩办公经费支出，各项费用严格控制在预算额度内使用。</w:t>
      </w:r>
    </w:p>
    <w:p>
      <w:pPr>
        <w:spacing w:line="600" w:lineRule="exact"/>
        <w:ind w:firstLine="640" w:firstLineChars="200"/>
        <w:rPr>
          <w:rFonts w:eastAsia="黑体"/>
          <w:sz w:val="32"/>
          <w:szCs w:val="32"/>
        </w:rPr>
      </w:pPr>
      <w:r>
        <w:rPr>
          <w:rFonts w:hint="eastAsia" w:ascii="仿宋_GB2312" w:hAnsi="仿宋_GB2312" w:eastAsia="仿宋_GB2312"/>
          <w:color w:val="000000"/>
          <w:sz w:val="32"/>
          <w:szCs w:val="32"/>
        </w:rPr>
        <w:t>（四）规范资金结算管理。各项支出按照批准的预算和有关规定审核办理，各项费用严格按照经费审批程序审批后才能报销，杜绝不合理的开支。资金支付执行国库集中支付结算方式，规范公务支出中的现金提取和使用，保证资金支付的安全、透明、规范，提高财政资金支付效率。</w:t>
      </w:r>
    </w:p>
    <w:p>
      <w:pPr>
        <w:spacing w:line="60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pPr>
        <w:spacing w:line="600" w:lineRule="exact"/>
        <w:ind w:firstLine="640" w:firstLineChars="200"/>
        <w:rPr>
          <w:rFonts w:ascii="宋体" w:hAnsi="宋体"/>
          <w:sz w:val="32"/>
          <w:szCs w:val="32"/>
        </w:rPr>
      </w:pPr>
      <w:r>
        <w:rPr>
          <w:rFonts w:hint="eastAsia" w:ascii="仿宋_GB2312" w:hAnsi="仿宋_GB2312" w:eastAsia="仿宋_GB2312"/>
          <w:color w:val="000000"/>
          <w:sz w:val="32"/>
          <w:szCs w:val="32"/>
        </w:rPr>
        <w:t>根据部门整体支出绩效评价指标体系，我单位2020年度评价得分为</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分。</w:t>
      </w:r>
    </w:p>
    <w:p>
      <w:pPr>
        <w:spacing w:line="600" w:lineRule="exact"/>
        <w:ind w:firstLine="640" w:firstLineChars="200"/>
        <w:rPr>
          <w:rFonts w:eastAsia="黑体"/>
          <w:sz w:val="32"/>
          <w:szCs w:val="32"/>
        </w:rPr>
      </w:pPr>
      <w:r>
        <w:rPr>
          <w:rFonts w:ascii="黑体" w:hAnsi="黑体" w:eastAsia="黑体"/>
          <w:sz w:val="32"/>
          <w:szCs w:val="32"/>
        </w:rPr>
        <w:t>其他需要说明的情况</w:t>
      </w:r>
    </w:p>
    <w:p>
      <w:pPr>
        <w:spacing w:line="60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rPr>
        <w:t xml:space="preserve"> 无</w:t>
      </w:r>
    </w:p>
    <w:p>
      <w:pPr>
        <w:spacing w:line="600" w:lineRule="exact"/>
        <w:ind w:firstLine="640" w:firstLineChars="200"/>
        <w:rPr>
          <w:rFonts w:ascii="黑体" w:hAnsi="黑体" w:eastAsia="黑体"/>
          <w:sz w:val="32"/>
          <w:szCs w:val="32"/>
        </w:rPr>
      </w:pPr>
    </w:p>
    <w:p>
      <w:pPr>
        <w:widowControl/>
        <w:spacing w:line="580" w:lineRule="exact"/>
        <w:rPr>
          <w:rFonts w:hint="eastAsia" w:ascii="仿宋" w:hAnsi="仿宋" w:eastAsia="仿宋"/>
          <w:sz w:val="32"/>
          <w:szCs w:val="32"/>
          <w:lang w:val="en-US" w:eastAsia="zh-CN"/>
        </w:rPr>
      </w:pPr>
    </w:p>
    <w:p>
      <w:pPr>
        <w:widowControl/>
        <w:spacing w:line="580" w:lineRule="exact"/>
        <w:ind w:firstLine="640" w:firstLineChars="200"/>
        <w:jc w:val="right"/>
        <w:rPr>
          <w:rFonts w:hint="eastAsia" w:ascii="仿宋" w:hAnsi="仿宋" w:eastAsia="仿宋"/>
          <w:sz w:val="32"/>
          <w:szCs w:val="32"/>
          <w:lang w:val="en-US" w:eastAsia="zh-CN"/>
        </w:rPr>
      </w:pPr>
      <w:r>
        <w:rPr>
          <w:rFonts w:hint="eastAsia" w:ascii="仿宋" w:hAnsi="仿宋" w:eastAsia="仿宋"/>
          <w:sz w:val="32"/>
          <w:szCs w:val="32"/>
          <w:lang w:val="en-US" w:eastAsia="zh-CN"/>
        </w:rPr>
        <w:t>双牌县市场监督管理局</w:t>
      </w:r>
    </w:p>
    <w:p>
      <w:pPr>
        <w:widowControl/>
        <w:spacing w:line="580" w:lineRule="exact"/>
        <w:ind w:firstLine="640" w:firstLineChars="2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2021年6</w:t>
      </w:r>
      <w:bookmarkStart w:id="0" w:name="_GoBack"/>
      <w:bookmarkEnd w:id="0"/>
      <w:r>
        <w:rPr>
          <w:rFonts w:hint="eastAsia" w:ascii="仿宋" w:hAnsi="仿宋" w:eastAsia="仿宋"/>
          <w:sz w:val="32"/>
          <w:szCs w:val="32"/>
          <w:lang w:val="en-US" w:eastAsia="zh-CN"/>
        </w:rPr>
        <w:t>月02日</w:t>
      </w:r>
    </w:p>
    <w:p>
      <w:pPr>
        <w:widowControl/>
        <w:spacing w:line="580" w:lineRule="exact"/>
        <w:rPr>
          <w:rFonts w:hint="eastAsia" w:ascii="仿宋" w:hAnsi="仿宋" w:eastAsia="仿宋"/>
          <w:sz w:val="32"/>
          <w:szCs w:val="32"/>
        </w:rPr>
      </w:pPr>
    </w:p>
    <w:p>
      <w:pPr>
        <w:widowControl/>
        <w:spacing w:line="580" w:lineRule="exact"/>
        <w:rPr>
          <w:rFonts w:hint="eastAsia" w:ascii="仿宋" w:hAnsi="仿宋" w:eastAsia="仿宋"/>
          <w:sz w:val="32"/>
          <w:szCs w:val="32"/>
        </w:rPr>
      </w:pPr>
    </w:p>
    <w:p>
      <w:pPr>
        <w:widowControl/>
        <w:spacing w:line="580" w:lineRule="exact"/>
        <w:ind w:firstLine="640" w:firstLineChars="200"/>
        <w:rPr>
          <w:rFonts w:hint="eastAsia" w:eastAsia="方正小标宋_GBK"/>
          <w:kern w:val="0"/>
          <w:sz w:val="36"/>
          <w:szCs w:val="36"/>
        </w:rPr>
      </w:pPr>
      <w:r>
        <w:rPr>
          <w:rFonts w:hint="eastAsia" w:ascii="仿宋" w:hAnsi="仿宋" w:eastAsia="仿宋"/>
          <w:sz w:val="32"/>
          <w:szCs w:val="32"/>
        </w:rPr>
        <w:t>附件：1、部门整体支出绩效评价基础数据表</w:t>
      </w:r>
    </w:p>
    <w:p>
      <w:pPr>
        <w:numPr>
          <w:ilvl w:val="0"/>
          <w:numId w:val="5"/>
        </w:numPr>
        <w:spacing w:line="600" w:lineRule="exact"/>
        <w:ind w:firstLine="1600" w:firstLineChars="500"/>
        <w:rPr>
          <w:rFonts w:hint="eastAsia" w:ascii="仿宋" w:hAnsi="仿宋" w:eastAsia="仿宋"/>
          <w:sz w:val="32"/>
          <w:szCs w:val="32"/>
        </w:rPr>
      </w:pPr>
      <w:r>
        <w:rPr>
          <w:rFonts w:hint="eastAsia" w:ascii="仿宋" w:hAnsi="仿宋" w:eastAsia="仿宋"/>
          <w:sz w:val="32"/>
          <w:szCs w:val="32"/>
        </w:rPr>
        <w:t>部门整体支出绩效自评表</w:t>
      </w:r>
    </w:p>
    <w:p>
      <w:pPr>
        <w:numPr>
          <w:ilvl w:val="0"/>
          <w:numId w:val="5"/>
        </w:numPr>
        <w:spacing w:line="600" w:lineRule="exact"/>
        <w:ind w:firstLine="1600" w:firstLineChars="500"/>
        <w:rPr>
          <w:rFonts w:hint="eastAsia" w:ascii="仿宋" w:hAnsi="仿宋" w:eastAsia="仿宋"/>
          <w:sz w:val="32"/>
          <w:szCs w:val="32"/>
        </w:rPr>
      </w:pPr>
      <w:r>
        <w:rPr>
          <w:rFonts w:ascii="仿宋_GB2312" w:hAnsi="仿宋_GB2312" w:eastAsia="仿宋_GB2312"/>
          <w:sz w:val="32"/>
          <w:szCs w:val="32"/>
        </w:rPr>
        <w:t>项目支出绩效自评表</w:t>
      </w:r>
    </w:p>
    <w:p>
      <w:pPr>
        <w:numPr>
          <w:ilvl w:val="0"/>
          <w:numId w:val="5"/>
        </w:numPr>
        <w:spacing w:line="600" w:lineRule="exact"/>
        <w:ind w:firstLine="1600" w:firstLineChars="500"/>
        <w:rPr>
          <w:rFonts w:hint="eastAsia" w:ascii="仿宋" w:hAnsi="仿宋" w:eastAsia="仿宋"/>
          <w:sz w:val="32"/>
          <w:szCs w:val="32"/>
        </w:rPr>
      </w:pPr>
      <w:r>
        <w:rPr>
          <w:rFonts w:ascii="仿宋_GB2312" w:hAnsi="仿宋_GB2312" w:eastAsia="仿宋_GB2312"/>
          <w:sz w:val="32"/>
          <w:szCs w:val="32"/>
        </w:rPr>
        <w:t>政府性基金预算支出情况表</w:t>
      </w:r>
    </w:p>
    <w:p>
      <w:pPr>
        <w:numPr>
          <w:ilvl w:val="0"/>
          <w:numId w:val="5"/>
        </w:numPr>
        <w:spacing w:line="600" w:lineRule="exact"/>
        <w:ind w:firstLine="1600" w:firstLineChars="500"/>
        <w:rPr>
          <w:rFonts w:hint="eastAsia" w:ascii="仿宋" w:hAnsi="仿宋" w:eastAsia="仿宋"/>
          <w:sz w:val="32"/>
          <w:szCs w:val="32"/>
        </w:rPr>
      </w:pPr>
      <w:r>
        <w:rPr>
          <w:rFonts w:ascii="仿宋_GB2312" w:hAnsi="仿宋_GB2312" w:eastAsia="仿宋_GB2312"/>
          <w:sz w:val="32"/>
          <w:szCs w:val="32"/>
        </w:rPr>
        <w:t>国有资本经营预算支出情况表</w:t>
      </w:r>
    </w:p>
    <w:p>
      <w:pPr>
        <w:widowControl w:val="0"/>
        <w:numPr>
          <w:ilvl w:val="0"/>
          <w:numId w:val="0"/>
        </w:numPr>
        <w:spacing w:line="600" w:lineRule="exact"/>
        <w:jc w:val="both"/>
        <w:rPr>
          <w:rFonts w:hint="eastAsia" w:ascii="仿宋" w:hAnsi="仿宋" w:eastAsia="仿宋"/>
          <w:sz w:val="32"/>
          <w:szCs w:val="32"/>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p>
    <w:p>
      <w:pPr>
        <w:spacing w:line="560" w:lineRule="exact"/>
        <w:jc w:val="center"/>
        <w:rPr>
          <w:rFonts w:hint="eastAsia" w:eastAsia="宋体"/>
          <w:kern w:val="0"/>
          <w:sz w:val="36"/>
          <w:szCs w:val="36"/>
          <w:lang w:eastAsia="zh-CN"/>
        </w:rPr>
      </w:pPr>
      <w:r>
        <w:rPr>
          <w:rFonts w:ascii="方正小标宋_GBK" w:hAnsi="方正小标宋_GBK" w:eastAsia="方正小标宋_GBK"/>
          <w:kern w:val="0"/>
          <w:sz w:val="36"/>
          <w:szCs w:val="36"/>
        </w:rPr>
        <w:t>部门整体支出绩效评价基础数据表</w:t>
      </w:r>
      <w:r>
        <w:rPr>
          <w:rFonts w:hint="eastAsia" w:ascii="方正小标宋_GBK" w:hAnsi="方正小标宋_GBK"/>
          <w:kern w:val="0"/>
          <w:sz w:val="36"/>
          <w:szCs w:val="36"/>
          <w:lang w:eastAsia="zh-CN"/>
        </w:rPr>
        <w:t>（</w:t>
      </w:r>
      <w:r>
        <w:rPr>
          <w:rFonts w:hint="eastAsia" w:ascii="方正小标宋_GBK" w:hAnsi="方正小标宋_GBK"/>
          <w:kern w:val="0"/>
          <w:sz w:val="36"/>
          <w:szCs w:val="36"/>
          <w:lang w:val="en-US" w:eastAsia="zh-CN"/>
        </w:rPr>
        <w:t>单位：万元</w:t>
      </w:r>
      <w:r>
        <w:rPr>
          <w:rFonts w:hint="eastAsia" w:ascii="方正小标宋_GBK" w:hAnsi="方正小标宋_GBK"/>
          <w:kern w:val="0"/>
          <w:sz w:val="36"/>
          <w:szCs w:val="36"/>
          <w:lang w:eastAsia="zh-CN"/>
        </w:rPr>
        <w:t>）</w:t>
      </w:r>
    </w:p>
    <w:p>
      <w:pPr>
        <w:widowControl/>
        <w:ind w:left="91"/>
        <w:jc w:val="center"/>
        <w:rPr>
          <w:rFonts w:eastAsia="仿宋_GB2312"/>
          <w:kern w:val="0"/>
          <w:sz w:val="24"/>
          <w:szCs w:val="24"/>
        </w:rPr>
      </w:pPr>
      <w:r>
        <w:rPr>
          <w:rFonts w:eastAsia="仿宋_GB2312"/>
          <w:kern w:val="0"/>
          <w:sz w:val="24"/>
          <w:szCs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97</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82</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201</w:t>
            </w:r>
            <w:r>
              <w:rPr>
                <w:b/>
                <w:bCs/>
                <w:kern w:val="0"/>
              </w:rPr>
              <w:t>9</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32.1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22</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22</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17</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15.1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ind w:firstLine="840" w:firstLineChars="400"/>
              <w:jc w:val="both"/>
              <w:rPr>
                <w:rFonts w:hint="eastAsia" w:eastAsia="仿宋_GB2312"/>
                <w:kern w:val="0"/>
                <w:lang w:eastAsia="zh-CN"/>
              </w:rPr>
            </w:pPr>
            <w:r>
              <w:rPr>
                <w:rFonts w:hint="eastAsia" w:eastAsia="仿宋_GB2312"/>
                <w:kern w:val="0"/>
                <w:lang w:val="en-US" w:eastAsia="zh-CN"/>
              </w:rPr>
              <w:t>12</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12</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115.76</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340.84</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340.84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115.76</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340.84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340.84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109.36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112.34</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112.34</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6.85</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10.5</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10.5</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5.09</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14.61</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14.61</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15.12</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eastAsia="zh-CN"/>
              </w:rPr>
            </w:pPr>
            <w:r>
              <w:rPr>
                <w:rFonts w:hint="eastAsia" w:eastAsia="仿宋_GB2312"/>
                <w:color w:val="FF0000"/>
                <w:kern w:val="0"/>
                <w:lang w:val="en-US" w:eastAsia="zh-CN"/>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20</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1.加强领导，确保节约落到实处；2.加强宣传，促进正确观念的树立；3.完善机制，确保节约措施的落实；</w:t>
            </w:r>
            <w:r>
              <w:rPr>
                <w:rFonts w:eastAsia="仿宋_GB2312"/>
                <w:kern w:val="0"/>
              </w:rPr>
              <w:t>　</w:t>
            </w:r>
          </w:p>
        </w:tc>
      </w:tr>
    </w:tbl>
    <w:p>
      <w:pPr>
        <w:spacing w:line="360" w:lineRule="exact"/>
        <w:rPr>
          <w:rFonts w:hint="eastAsia" w:ascii="黑体" w:hAnsi="黑体" w:eastAsia="黑体"/>
          <w:sz w:val="32"/>
          <w:szCs w:val="32"/>
          <w:lang w:val="en-US" w:eastAsia="zh-CN"/>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r>
        <w:rPr>
          <w:rFonts w:eastAsia="仿宋_GB2312"/>
          <w:kern w:val="0"/>
          <w:sz w:val="22"/>
          <w:szCs w:val="22"/>
        </w:rPr>
        <w:br w:type="page"/>
      </w:r>
      <w:r>
        <w:rPr>
          <w:rFonts w:ascii="黑体" w:hAnsi="黑体" w:eastAsia="黑体"/>
          <w:sz w:val="32"/>
          <w:szCs w:val="32"/>
        </w:rPr>
        <w:t>附件</w:t>
      </w:r>
      <w:r>
        <w:rPr>
          <w:rFonts w:hint="eastAsia" w:ascii="黑体" w:hAnsi="黑体" w:eastAsia="黑体"/>
          <w:sz w:val="32"/>
          <w:szCs w:val="32"/>
          <w:lang w:val="en-US" w:eastAsia="zh-CN"/>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2020</w:t>
      </w:r>
      <w:r>
        <w:rPr>
          <w:rFonts w:eastAsia="仿宋_GB2312"/>
          <w:color w:val="000000"/>
          <w:kern w:val="0"/>
        </w:rPr>
        <w:t xml:space="preserve"> </w:t>
      </w:r>
      <w:r>
        <w:rPr>
          <w:rFonts w:ascii="仿宋_GB2312" w:hAnsi="仿宋_GB2312" w:eastAsia="仿宋_GB2312"/>
          <w:color w:val="000000"/>
          <w:kern w:val="0"/>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双牌县市场监督管理局</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1549.03</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1227.84</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1227.84</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1177.37</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887.00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hint="eastAsia" w:eastAsia="仿宋_GB2312"/>
                <w:color w:val="000000"/>
                <w:kern w:val="0"/>
                <w:lang w:val="en-US" w:eastAsia="zh-CN"/>
              </w:rPr>
            </w:pPr>
            <w:r>
              <w:rPr>
                <w:rFonts w:eastAsia="仿宋_GB2312"/>
                <w:color w:val="000000"/>
                <w:kern w:val="0"/>
              </w:rPr>
              <w:t>政府性基金拨款：</w:t>
            </w:r>
            <w:r>
              <w:rPr>
                <w:rFonts w:hint="eastAsia" w:eastAsia="仿宋_GB2312"/>
                <w:color w:val="000000"/>
                <w:kern w:val="0"/>
                <w:lang w:val="en-US" w:eastAsia="zh-CN"/>
              </w:rPr>
              <w:t>0</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277.86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纳入专户管理的非税收入拨款：</w:t>
            </w:r>
            <w:r>
              <w:rPr>
                <w:rFonts w:hint="eastAsia" w:eastAsia="仿宋_GB2312"/>
                <w:color w:val="000000"/>
                <w:kern w:val="0"/>
                <w:lang w:val="en-US" w:eastAsia="zh-CN"/>
              </w:rPr>
              <w:t>0</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hint="default" w:eastAsia="仿宋_GB2312"/>
                <w:color w:val="000000"/>
                <w:kern w:val="0"/>
                <w:lang w:val="en-US" w:eastAsia="zh-CN"/>
              </w:rPr>
            </w:pPr>
            <w:r>
              <w:rPr>
                <w:rFonts w:eastAsia="仿宋_GB2312"/>
                <w:color w:val="000000"/>
                <w:kern w:val="0"/>
              </w:rPr>
              <w:t>其他资金：</w:t>
            </w:r>
            <w:r>
              <w:rPr>
                <w:rFonts w:hint="eastAsia" w:eastAsia="仿宋_GB2312"/>
                <w:color w:val="000000"/>
                <w:kern w:val="0"/>
                <w:lang w:val="en-US" w:eastAsia="zh-CN"/>
              </w:rPr>
              <w:t>50.47</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1227.84</w:t>
            </w:r>
            <w:r>
              <w:rPr>
                <w:rFonts w:eastAsia="仿宋_GB2312"/>
                <w:color w:val="000000"/>
                <w:kern w:val="0"/>
              </w:rPr>
              <w:t xml:space="preserve">  </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1227.84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vMerge w:val="restart"/>
            <w:tcBorders>
              <w:top w:val="nil"/>
              <w:left w:val="nil"/>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药品医疗器械监督检查覆盖率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left w:val="nil"/>
              <w:right w:val="single" w:color="auto" w:sz="4" w:space="0"/>
            </w:tcBorders>
            <w:noWrap w:val="0"/>
            <w:vAlign w:val="center"/>
          </w:tcPr>
          <w:p>
            <w:pPr>
              <w:widowControl/>
              <w:jc w:val="center"/>
              <w:rPr>
                <w:rFonts w:eastAsia="仿宋_GB2312"/>
                <w:color w:val="000000"/>
                <w:kern w:val="0"/>
              </w:rPr>
            </w:pPr>
          </w:p>
        </w:tc>
        <w:tc>
          <w:tcPr>
            <w:tcW w:w="1252" w:type="dxa"/>
            <w:vMerge w:val="continue"/>
            <w:tcBorders>
              <w:left w:val="nil"/>
              <w:right w:val="single" w:color="auto" w:sz="4" w:space="0"/>
            </w:tcBorders>
            <w:noWrap w:val="0"/>
            <w:vAlign w:val="center"/>
          </w:tcPr>
          <w:p>
            <w:pPr>
              <w:widowControl/>
              <w:jc w:val="center"/>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开展餐饮单位量化评级工作，量化分级管理率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98%</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98%</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left w:val="nil"/>
              <w:right w:val="single" w:color="auto" w:sz="4" w:space="0"/>
            </w:tcBorders>
            <w:noWrap w:val="0"/>
            <w:vAlign w:val="center"/>
          </w:tcPr>
          <w:p>
            <w:pPr>
              <w:widowControl/>
              <w:jc w:val="left"/>
              <w:rPr>
                <w:rFonts w:eastAsia="仿宋_GB2312"/>
                <w:color w:val="000000"/>
                <w:kern w:val="0"/>
              </w:rPr>
            </w:pPr>
          </w:p>
        </w:tc>
        <w:tc>
          <w:tcPr>
            <w:tcW w:w="1252"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tabs>
                <w:tab w:val="center" w:pos="496"/>
              </w:tabs>
              <w:jc w:val="left"/>
              <w:rPr>
                <w:rFonts w:hint="default" w:eastAsia="仿宋_GB2312"/>
                <w:color w:val="000000"/>
                <w:kern w:val="0"/>
                <w:lang w:val="en-US" w:eastAsia="zh-CN"/>
              </w:rPr>
            </w:pPr>
            <w:r>
              <w:rPr>
                <w:rFonts w:hint="eastAsia" w:eastAsia="仿宋_GB2312"/>
                <w:color w:val="000000"/>
                <w:kern w:val="0"/>
                <w:lang w:val="en-US" w:eastAsia="zh-CN"/>
              </w:rPr>
              <w:t>食用农产品不合格产品后处理率</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left w:val="nil"/>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重要工业产品质量监督抽查合格率</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left w:val="nil"/>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及时支出资金</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left w:val="nil"/>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支出控制在预算内</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促进市场稳步发展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维护消费者权益</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hint="eastAsia" w:eastAsia="仿宋_GB2312"/>
                <w:color w:val="000000"/>
                <w:kern w:val="0"/>
                <w:lang w:val="en-US" w:eastAsia="zh-CN"/>
              </w:rPr>
              <w:t>维护生态和谐</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促进可持续发展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sz w:val="18"/>
                <w:szCs w:val="18"/>
              </w:rPr>
              <w:t>≥100%</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sz w:val="18"/>
                <w:szCs w:val="18"/>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sz w:val="18"/>
                <w:szCs w:val="18"/>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widowControl/>
        <w:spacing w:line="340" w:lineRule="exact"/>
        <w:jc w:val="left"/>
        <w:rPr>
          <w:rFonts w:hint="eastAsia" w:eastAsia="黑体"/>
          <w:sz w:val="32"/>
          <w:szCs w:val="32"/>
        </w:rPr>
      </w:pPr>
      <w:r>
        <w:rPr>
          <w:rFonts w:eastAsia="黑体"/>
          <w:sz w:val="32"/>
          <w:szCs w:val="32"/>
        </w:rPr>
        <w:t xml:space="preserve"> </w:t>
      </w: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hint="eastAsia"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2020</w:t>
      </w:r>
      <w:r>
        <w:rPr>
          <w:rFonts w:eastAsia="仿宋_GB2312"/>
          <w:color w:val="000000"/>
          <w:kern w:val="0"/>
        </w:rPr>
        <w:t xml:space="preserve"> </w:t>
      </w:r>
      <w:r>
        <w:rPr>
          <w:rFonts w:ascii="仿宋_GB2312" w:hAnsi="仿宋_GB2312" w:eastAsia="仿宋_GB2312"/>
          <w:color w:val="000000"/>
          <w:kern w:val="0"/>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食品安全事务、农产品检测、工业企业产品质量定期检测经费、办案经费</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双牌县市场监督管理局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365.22</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340.84</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340.84</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277.86</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277.86</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62.98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62.98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365.22</w:t>
            </w: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食品安全监督检查覆盖率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hint="eastAsia" w:eastAsia="仿宋_GB2312"/>
                <w:color w:val="000000"/>
                <w:kern w:val="0"/>
                <w:lang w:val="en-US" w:eastAsia="zh-CN"/>
              </w:rPr>
              <w:t>农产品检测合格率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98%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重要工业产品质量监督抽查合格率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及时支出资金</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办案成本控制在预算内</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rPr>
              <w:t>促进市场稳步发展</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维护消费者权益</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维护生态和谐</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促进可持续发展</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eastAsia="zh-CN"/>
              </w:rPr>
            </w:pPr>
            <w:r>
              <w:rPr>
                <w:rFonts w:hint="eastAsia" w:eastAsia="仿宋_GB2312"/>
                <w:color w:val="000000"/>
                <w:kern w:val="0"/>
                <w:lang w:val="en-US" w:eastAsia="zh-CN"/>
              </w:rPr>
              <w:t>群众满意度</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sz w:val="18"/>
                <w:szCs w:val="18"/>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18"/>
                <w:szCs w:val="18"/>
                <w:lang w:val="en-US" w:eastAsia="zh-CN"/>
              </w:rPr>
            </w:pPr>
            <w:r>
              <w:rPr>
                <w:rFonts w:eastAsia="仿宋_GB2312"/>
                <w:color w:val="000000"/>
                <w:kern w:val="0"/>
              </w:rPr>
              <w:t>　</w:t>
            </w:r>
            <w:r>
              <w:rPr>
                <w:rFonts w:hint="eastAsia" w:eastAsia="仿宋_GB2312"/>
                <w:color w:val="000000"/>
                <w:kern w:val="0"/>
                <w:sz w:val="18"/>
                <w:szCs w:val="18"/>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tbl>
      <w:tblPr>
        <w:tblStyle w:val="5"/>
        <w:tblW w:w="11205" w:type="dxa"/>
        <w:jc w:val="center"/>
        <w:tblLayout w:type="autofit"/>
        <w:tblCellMar>
          <w:top w:w="0" w:type="dxa"/>
          <w:left w:w="108" w:type="dxa"/>
          <w:bottom w:w="0" w:type="dxa"/>
          <w:right w:w="108" w:type="dxa"/>
        </w:tblCellMar>
      </w:tblPr>
      <w:tblGrid>
        <w:gridCol w:w="707"/>
        <w:gridCol w:w="382"/>
        <w:gridCol w:w="345"/>
        <w:gridCol w:w="376"/>
        <w:gridCol w:w="376"/>
        <w:gridCol w:w="376"/>
        <w:gridCol w:w="606"/>
        <w:gridCol w:w="376"/>
        <w:gridCol w:w="376"/>
        <w:gridCol w:w="376"/>
        <w:gridCol w:w="376"/>
        <w:gridCol w:w="376"/>
        <w:gridCol w:w="376"/>
        <w:gridCol w:w="376"/>
        <w:gridCol w:w="376"/>
        <w:gridCol w:w="376"/>
        <w:gridCol w:w="376"/>
        <w:gridCol w:w="376"/>
        <w:gridCol w:w="391"/>
        <w:gridCol w:w="520"/>
        <w:gridCol w:w="473"/>
        <w:gridCol w:w="472"/>
        <w:gridCol w:w="376"/>
        <w:gridCol w:w="517"/>
        <w:gridCol w:w="1030"/>
        <w:gridCol w:w="122"/>
      </w:tblGrid>
      <w:tr>
        <w:tblPrEx>
          <w:tblCellMar>
            <w:top w:w="0" w:type="dxa"/>
            <w:left w:w="108" w:type="dxa"/>
            <w:bottom w:w="0" w:type="dxa"/>
            <w:right w:w="108" w:type="dxa"/>
          </w:tblCellMar>
        </w:tblPrEx>
        <w:trPr>
          <w:trHeight w:val="2312" w:hRule="atLeast"/>
          <w:jc w:val="center"/>
        </w:trPr>
        <w:tc>
          <w:tcPr>
            <w:tcW w:w="707"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382"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10116" w:type="dxa"/>
            <w:gridSpan w:val="24"/>
            <w:tcBorders>
              <w:top w:val="nil"/>
              <w:left w:val="nil"/>
              <w:bottom w:val="nil"/>
              <w:right w:val="nil"/>
            </w:tcBorders>
            <w:noWrap/>
            <w:vAlign w:val="bottom"/>
          </w:tcPr>
          <w:p>
            <w:pPr>
              <w:widowControl/>
              <w:spacing w:line="300" w:lineRule="exact"/>
              <w:jc w:val="left"/>
              <w:rPr>
                <w:rFonts w:hint="eastAsia" w:ascii="宋体" w:hAnsi="宋体" w:cs="Arial"/>
                <w:color w:val="000000"/>
                <w:kern w:val="0"/>
                <w:sz w:val="24"/>
                <w:szCs w:val="24"/>
              </w:rPr>
            </w:pPr>
          </w:p>
          <w:p>
            <w:pPr>
              <w:widowControl/>
              <w:spacing w:line="300" w:lineRule="exact"/>
              <w:jc w:val="left"/>
              <w:rPr>
                <w:rFonts w:hint="eastAsia" w:ascii="黑体" w:hAnsi="黑体" w:eastAsia="黑体"/>
                <w:sz w:val="32"/>
                <w:szCs w:val="32"/>
              </w:rPr>
            </w:pPr>
            <w:r>
              <w:rPr>
                <w:rFonts w:hint="eastAsia" w:ascii="黑体" w:hAnsi="黑体" w:eastAsia="黑体"/>
                <w:sz w:val="32"/>
                <w:szCs w:val="32"/>
              </w:rPr>
              <w:t>附件：4</w:t>
            </w:r>
          </w:p>
          <w:tbl>
            <w:tblPr>
              <w:tblStyle w:val="5"/>
              <w:tblW w:w="9220" w:type="dxa"/>
              <w:tblInd w:w="0" w:type="dxa"/>
              <w:tblLayout w:type="autofit"/>
              <w:tblCellMar>
                <w:top w:w="0" w:type="dxa"/>
                <w:left w:w="108" w:type="dxa"/>
                <w:bottom w:w="0" w:type="dxa"/>
                <w:right w:w="108" w:type="dxa"/>
              </w:tblCellMar>
            </w:tblPr>
            <w:tblGrid>
              <w:gridCol w:w="376"/>
              <w:gridCol w:w="376"/>
              <w:gridCol w:w="376"/>
              <w:gridCol w:w="376"/>
              <w:gridCol w:w="376"/>
              <w:gridCol w:w="376"/>
              <w:gridCol w:w="376"/>
              <w:gridCol w:w="456"/>
              <w:gridCol w:w="456"/>
              <w:gridCol w:w="456"/>
              <w:gridCol w:w="376"/>
              <w:gridCol w:w="456"/>
              <w:gridCol w:w="456"/>
              <w:gridCol w:w="376"/>
              <w:gridCol w:w="376"/>
              <w:gridCol w:w="456"/>
              <w:gridCol w:w="376"/>
              <w:gridCol w:w="456"/>
              <w:gridCol w:w="456"/>
              <w:gridCol w:w="376"/>
              <w:gridCol w:w="376"/>
              <w:gridCol w:w="376"/>
              <w:gridCol w:w="376"/>
              <w:gridCol w:w="376"/>
            </w:tblGrid>
            <w:tr>
              <w:tblPrEx>
                <w:tblCellMar>
                  <w:top w:w="0" w:type="dxa"/>
                  <w:left w:w="108" w:type="dxa"/>
                  <w:bottom w:w="0" w:type="dxa"/>
                  <w:right w:w="108" w:type="dxa"/>
                </w:tblCellMar>
              </w:tblPrEx>
              <w:trPr>
                <w:trHeight w:val="885" w:hRule="atLeast"/>
              </w:trPr>
              <w:tc>
                <w:tcPr>
                  <w:tcW w:w="9220" w:type="dxa"/>
                  <w:gridSpan w:val="24"/>
                  <w:tcBorders>
                    <w:top w:val="nil"/>
                    <w:left w:val="nil"/>
                    <w:bottom w:val="nil"/>
                    <w:right w:val="nil"/>
                  </w:tcBorders>
                  <w:noWrap w:val="0"/>
                  <w:vAlign w:val="center"/>
                </w:tcPr>
                <w:p>
                  <w:pPr>
                    <w:widowControl/>
                    <w:jc w:val="center"/>
                    <w:rPr>
                      <w:rFonts w:ascii="宋体" w:hAnsi="宋体" w:cs="宋体"/>
                      <w:b/>
                      <w:bCs/>
                      <w:kern w:val="0"/>
                      <w:sz w:val="44"/>
                      <w:szCs w:val="44"/>
                    </w:rPr>
                  </w:pPr>
                  <w:r>
                    <w:rPr>
                      <w:rFonts w:hint="eastAsia" w:ascii="宋体" w:hAnsi="宋体" w:cs="宋体"/>
                      <w:b/>
                      <w:bCs/>
                      <w:kern w:val="0"/>
                      <w:sz w:val="44"/>
                      <w:szCs w:val="44"/>
                    </w:rPr>
                    <w:t>政府性基金支出表</w:t>
                  </w:r>
                </w:p>
              </w:tc>
            </w:tr>
            <w:tr>
              <w:tblPrEx>
                <w:tblCellMar>
                  <w:top w:w="0" w:type="dxa"/>
                  <w:left w:w="108" w:type="dxa"/>
                  <w:bottom w:w="0" w:type="dxa"/>
                  <w:right w:w="108" w:type="dxa"/>
                </w:tblCellMar>
              </w:tblPrEx>
              <w:trPr>
                <w:trHeight w:val="675" w:hRule="atLeast"/>
              </w:trPr>
              <w:tc>
                <w:tcPr>
                  <w:tcW w:w="36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340" w:type="dxa"/>
                  <w:tcBorders>
                    <w:top w:val="nil"/>
                    <w:left w:val="nil"/>
                    <w:bottom w:val="nil"/>
                    <w:right w:val="nil"/>
                  </w:tcBorders>
                  <w:noWrap w:val="0"/>
                  <w:vAlign w:val="center"/>
                </w:tcPr>
                <w:p>
                  <w:pPr>
                    <w:widowControl/>
                    <w:jc w:val="center"/>
                    <w:rPr>
                      <w:rFonts w:ascii="宋体" w:hAnsi="宋体" w:cs="宋体"/>
                      <w:kern w:val="0"/>
                      <w:sz w:val="16"/>
                      <w:szCs w:val="16"/>
                    </w:rPr>
                  </w:pPr>
                </w:p>
              </w:tc>
              <w:tc>
                <w:tcPr>
                  <w:tcW w:w="400" w:type="dxa"/>
                  <w:tcBorders>
                    <w:top w:val="nil"/>
                    <w:left w:val="nil"/>
                    <w:bottom w:val="nil"/>
                    <w:right w:val="nil"/>
                  </w:tcBorders>
                  <w:noWrap w:val="0"/>
                  <w:vAlign w:val="center"/>
                </w:tcPr>
                <w:p>
                  <w:pPr>
                    <w:widowControl/>
                    <w:jc w:val="center"/>
                    <w:rPr>
                      <w:rFonts w:ascii="宋体" w:hAnsi="宋体" w:cs="宋体"/>
                      <w:kern w:val="0"/>
                      <w:sz w:val="16"/>
                      <w:szCs w:val="16"/>
                    </w:rPr>
                  </w:pPr>
                </w:p>
              </w:tc>
              <w:tc>
                <w:tcPr>
                  <w:tcW w:w="34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34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38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340" w:type="dxa"/>
                  <w:tcBorders>
                    <w:top w:val="nil"/>
                    <w:left w:val="nil"/>
                    <w:bottom w:val="nil"/>
                    <w:right w:val="nil"/>
                  </w:tcBorders>
                  <w:noWrap w:val="0"/>
                  <w:vAlign w:val="center"/>
                </w:tcPr>
                <w:p>
                  <w:pPr>
                    <w:widowControl/>
                    <w:jc w:val="right"/>
                    <w:rPr>
                      <w:rFonts w:ascii="宋体" w:hAnsi="宋体" w:cs="宋体"/>
                      <w:kern w:val="0"/>
                      <w:sz w:val="16"/>
                      <w:szCs w:val="16"/>
                    </w:rPr>
                  </w:pPr>
                </w:p>
              </w:tc>
              <w:tc>
                <w:tcPr>
                  <w:tcW w:w="40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52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40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260" w:type="dxa"/>
                  <w:tcBorders>
                    <w:top w:val="nil"/>
                    <w:left w:val="nil"/>
                    <w:bottom w:val="nil"/>
                    <w:right w:val="nil"/>
                  </w:tcBorders>
                  <w:noWrap w:val="0"/>
                  <w:vAlign w:val="center"/>
                </w:tcPr>
                <w:p>
                  <w:pPr>
                    <w:widowControl/>
                    <w:jc w:val="left"/>
                    <w:rPr>
                      <w:rFonts w:ascii="宋体" w:hAnsi="宋体" w:cs="宋体"/>
                      <w:kern w:val="0"/>
                      <w:sz w:val="16"/>
                      <w:szCs w:val="16"/>
                    </w:rPr>
                  </w:pPr>
                </w:p>
              </w:tc>
              <w:tc>
                <w:tcPr>
                  <w:tcW w:w="5140" w:type="dxa"/>
                  <w:gridSpan w:val="13"/>
                  <w:tcBorders>
                    <w:top w:val="nil"/>
                    <w:left w:val="nil"/>
                    <w:bottom w:val="single" w:color="auto" w:sz="4" w:space="0"/>
                    <w:right w:val="nil"/>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单位：万元</w:t>
                  </w:r>
                </w:p>
              </w:tc>
            </w:tr>
            <w:tr>
              <w:tblPrEx>
                <w:tblCellMar>
                  <w:top w:w="0" w:type="dxa"/>
                  <w:left w:w="108" w:type="dxa"/>
                  <w:bottom w:w="0" w:type="dxa"/>
                  <w:right w:w="108" w:type="dxa"/>
                </w:tblCellMar>
              </w:tblPrEx>
              <w:trPr>
                <w:trHeight w:val="40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功能科目</w:t>
                  </w:r>
                </w:p>
              </w:tc>
              <w:tc>
                <w:tcPr>
                  <w:tcW w:w="34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40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3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单位名称</w:t>
                  </w:r>
                </w:p>
              </w:tc>
              <w:tc>
                <w:tcPr>
                  <w:tcW w:w="3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功能科目</w:t>
                  </w:r>
                </w:p>
              </w:tc>
              <w:tc>
                <w:tcPr>
                  <w:tcW w:w="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总计</w:t>
                  </w:r>
                </w:p>
              </w:tc>
              <w:tc>
                <w:tcPr>
                  <w:tcW w:w="166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基本支出</w:t>
                  </w:r>
                </w:p>
              </w:tc>
              <w:tc>
                <w:tcPr>
                  <w:tcW w:w="3700"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项目支出</w:t>
                  </w:r>
                </w:p>
              </w:tc>
              <w:tc>
                <w:tcPr>
                  <w:tcW w:w="3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事业单位经营支出</w:t>
                  </w:r>
                </w:p>
              </w:tc>
              <w:tc>
                <w:tcPr>
                  <w:tcW w:w="3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上缴上级支出</w:t>
                  </w:r>
                </w:p>
              </w:tc>
              <w:tc>
                <w:tcPr>
                  <w:tcW w:w="4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对附属单位补助支出</w:t>
                  </w:r>
                </w:p>
              </w:tc>
              <w:tc>
                <w:tcPr>
                  <w:tcW w:w="2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拨出经费</w:t>
                  </w:r>
                </w:p>
              </w:tc>
              <w:tc>
                <w:tcPr>
                  <w:tcW w:w="3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结转下年</w:t>
                  </w:r>
                </w:p>
              </w:tc>
            </w:tr>
            <w:tr>
              <w:tblPrEx>
                <w:tblCellMar>
                  <w:top w:w="0" w:type="dxa"/>
                  <w:left w:w="108" w:type="dxa"/>
                  <w:bottom w:w="0" w:type="dxa"/>
                  <w:right w:w="108" w:type="dxa"/>
                </w:tblCellMar>
              </w:tblPrEx>
              <w:trPr>
                <w:trHeight w:val="402" w:hRule="atLeast"/>
              </w:trPr>
              <w:tc>
                <w:tcPr>
                  <w:tcW w:w="3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类</w:t>
                  </w:r>
                </w:p>
              </w:tc>
              <w:tc>
                <w:tcPr>
                  <w:tcW w:w="3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款</w:t>
                  </w:r>
                </w:p>
              </w:tc>
              <w:tc>
                <w:tcPr>
                  <w:tcW w:w="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项</w:t>
                  </w:r>
                </w:p>
              </w:tc>
              <w:tc>
                <w:tcPr>
                  <w:tcW w:w="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合计</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301</w:t>
                  </w:r>
                </w:p>
              </w:tc>
              <w:tc>
                <w:tcPr>
                  <w:tcW w:w="5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302</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303</w:t>
                  </w:r>
                </w:p>
              </w:tc>
              <w:tc>
                <w:tcPr>
                  <w:tcW w:w="2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合计</w:t>
                  </w: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302</w:t>
                  </w:r>
                </w:p>
              </w:tc>
              <w:tc>
                <w:tcPr>
                  <w:tcW w:w="4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303</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307</w:t>
                  </w:r>
                </w:p>
              </w:tc>
              <w:tc>
                <w:tcPr>
                  <w:tcW w:w="4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310</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399</w:t>
                  </w:r>
                </w:p>
              </w:tc>
              <w:tc>
                <w:tcPr>
                  <w:tcW w:w="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4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2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2220" w:hRule="atLeast"/>
              </w:trPr>
              <w:tc>
                <w:tcPr>
                  <w:tcW w:w="3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工资福利支出</w:t>
                  </w:r>
                </w:p>
              </w:tc>
              <w:tc>
                <w:tcPr>
                  <w:tcW w:w="5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一般商品和服务支出</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对个人和家庭的补助</w:t>
                  </w:r>
                </w:p>
              </w:tc>
              <w:tc>
                <w:tcPr>
                  <w:tcW w:w="2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专项商品和服务支出</w:t>
                  </w:r>
                </w:p>
              </w:tc>
              <w:tc>
                <w:tcPr>
                  <w:tcW w:w="4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对个人和家庭的补助支出(项目)</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对企事业单位的补贴</w:t>
                  </w:r>
                </w:p>
              </w:tc>
              <w:tc>
                <w:tcPr>
                  <w:tcW w:w="3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赠与</w:t>
                  </w:r>
                </w:p>
              </w:tc>
              <w:tc>
                <w:tcPr>
                  <w:tcW w:w="3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债务利息支出</w:t>
                  </w:r>
                </w:p>
              </w:tc>
              <w:tc>
                <w:tcPr>
                  <w:tcW w:w="4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债务还本支出</w:t>
                  </w:r>
                </w:p>
              </w:tc>
              <w:tc>
                <w:tcPr>
                  <w:tcW w:w="4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其他资本性支出</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其他支出</w:t>
                  </w:r>
                </w:p>
              </w:tc>
              <w:tc>
                <w:tcPr>
                  <w:tcW w:w="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4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2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930" w:hRule="atLeast"/>
              </w:trPr>
              <w:tc>
                <w:tcPr>
                  <w:tcW w:w="360" w:type="dxa"/>
                  <w:tcBorders>
                    <w:top w:val="nil"/>
                    <w:left w:val="single" w:color="auto" w:sz="4" w:space="0"/>
                    <w:bottom w:val="nil"/>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w:t>
                  </w:r>
                </w:p>
              </w:tc>
              <w:tc>
                <w:tcPr>
                  <w:tcW w:w="3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2</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3</w:t>
                  </w:r>
                </w:p>
              </w:tc>
              <w:tc>
                <w:tcPr>
                  <w:tcW w:w="5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4</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5</w:t>
                  </w:r>
                </w:p>
              </w:tc>
              <w:tc>
                <w:tcPr>
                  <w:tcW w:w="2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6</w:t>
                  </w: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7</w:t>
                  </w:r>
                </w:p>
              </w:tc>
              <w:tc>
                <w:tcPr>
                  <w:tcW w:w="4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8</w:t>
                  </w:r>
                </w:p>
              </w:tc>
              <w:tc>
                <w:tcPr>
                  <w:tcW w:w="4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9</w:t>
                  </w:r>
                </w:p>
              </w:tc>
              <w:tc>
                <w:tcPr>
                  <w:tcW w:w="3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10</w:t>
                  </w:r>
                </w:p>
              </w:tc>
              <w:tc>
                <w:tcPr>
                  <w:tcW w:w="3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11</w:t>
                  </w:r>
                </w:p>
              </w:tc>
              <w:tc>
                <w:tcPr>
                  <w:tcW w:w="4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12</w:t>
                  </w:r>
                </w:p>
              </w:tc>
              <w:tc>
                <w:tcPr>
                  <w:tcW w:w="4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13</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14</w:t>
                  </w:r>
                </w:p>
              </w:tc>
              <w:tc>
                <w:tcPr>
                  <w:tcW w:w="3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15</w:t>
                  </w:r>
                </w:p>
              </w:tc>
              <w:tc>
                <w:tcPr>
                  <w:tcW w:w="3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16</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17</w:t>
                  </w:r>
                </w:p>
              </w:tc>
              <w:tc>
                <w:tcPr>
                  <w:tcW w:w="2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18</w:t>
                  </w:r>
                </w:p>
              </w:tc>
              <w:tc>
                <w:tcPr>
                  <w:tcW w:w="3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19</w:t>
                  </w:r>
                </w:p>
              </w:tc>
            </w:tr>
            <w:tr>
              <w:tblPrEx>
                <w:tblCellMar>
                  <w:top w:w="0" w:type="dxa"/>
                  <w:left w:w="108" w:type="dxa"/>
                  <w:bottom w:w="0" w:type="dxa"/>
                  <w:right w:w="108" w:type="dxa"/>
                </w:tblCellMar>
              </w:tblPrEx>
              <w:trPr>
                <w:trHeight w:val="1350" w:hRule="atLeast"/>
              </w:trPr>
              <w:tc>
                <w:tcPr>
                  <w:tcW w:w="3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34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0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4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340"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38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34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0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52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0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2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54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4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0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34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38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6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2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32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32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48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28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c>
                <w:tcPr>
                  <w:tcW w:w="300"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kern w:val="0"/>
                      <w:sz w:val="16"/>
                      <w:szCs w:val="16"/>
                    </w:rPr>
                  </w:pPr>
                  <w:r>
                    <w:rPr>
                      <w:rFonts w:hint="eastAsia" w:ascii="宋体" w:hAnsi="宋体" w:cs="宋体"/>
                      <w:kern w:val="0"/>
                      <w:sz w:val="16"/>
                      <w:szCs w:val="16"/>
                    </w:rPr>
                    <w:t>　</w:t>
                  </w:r>
                </w:p>
              </w:tc>
            </w:tr>
          </w:tbl>
          <w:p>
            <w:pPr>
              <w:widowControl/>
              <w:spacing w:line="300" w:lineRule="exact"/>
              <w:jc w:val="left"/>
              <w:rPr>
                <w:rFonts w:hint="eastAsia" w:ascii="宋体" w:hAnsi="宋体" w:cs="Arial"/>
                <w:color w:val="000000"/>
                <w:kern w:val="0"/>
                <w:sz w:val="24"/>
                <w:szCs w:val="24"/>
              </w:rPr>
            </w:pPr>
          </w:p>
          <w:p>
            <w:pPr>
              <w:widowControl/>
              <w:spacing w:line="300" w:lineRule="exact"/>
              <w:jc w:val="left"/>
              <w:rPr>
                <w:rFonts w:hint="eastAsia" w:ascii="黑体" w:hAnsi="黑体" w:eastAsia="黑体"/>
                <w:sz w:val="32"/>
                <w:szCs w:val="32"/>
              </w:rPr>
            </w:pPr>
          </w:p>
          <w:p>
            <w:pPr>
              <w:widowControl/>
              <w:spacing w:line="300" w:lineRule="exact"/>
              <w:jc w:val="left"/>
              <w:rPr>
                <w:rFonts w:hint="eastAsia" w:ascii="黑体" w:hAnsi="黑体" w:eastAsia="黑体"/>
                <w:sz w:val="32"/>
                <w:szCs w:val="32"/>
              </w:rPr>
            </w:pPr>
          </w:p>
          <w:p>
            <w:pPr>
              <w:widowControl/>
              <w:jc w:val="center"/>
              <w:rPr>
                <w:rFonts w:hint="eastAsia" w:ascii="宋体" w:hAnsi="宋体" w:cs="Arial"/>
                <w:color w:val="000000"/>
                <w:kern w:val="0"/>
                <w:sz w:val="24"/>
                <w:szCs w:val="24"/>
              </w:rPr>
            </w:pPr>
          </w:p>
          <w:p>
            <w:pPr>
              <w:widowControl/>
              <w:jc w:val="center"/>
              <w:rPr>
                <w:rFonts w:ascii="宋体" w:hAnsi="宋体" w:cs="Arial"/>
                <w:color w:val="000000"/>
                <w:kern w:val="0"/>
                <w:sz w:val="24"/>
                <w:szCs w:val="24"/>
              </w:rPr>
            </w:pPr>
          </w:p>
          <w:p>
            <w:pPr>
              <w:widowControl/>
              <w:jc w:val="center"/>
              <w:rPr>
                <w:rFonts w:ascii="宋体" w:hAnsi="宋体" w:cs="Arial"/>
                <w:color w:val="000000"/>
                <w:kern w:val="0"/>
                <w:sz w:val="24"/>
                <w:szCs w:val="24"/>
              </w:rPr>
            </w:pPr>
          </w:p>
          <w:p>
            <w:pPr>
              <w:widowControl/>
              <w:jc w:val="center"/>
              <w:rPr>
                <w:rFonts w:ascii="宋体" w:hAnsi="宋体" w:cs="Arial"/>
                <w:color w:val="000000"/>
                <w:kern w:val="0"/>
                <w:sz w:val="24"/>
                <w:szCs w:val="24"/>
              </w:rPr>
            </w:pPr>
          </w:p>
          <w:p>
            <w:pPr>
              <w:widowControl/>
              <w:jc w:val="center"/>
              <w:rPr>
                <w:rFonts w:ascii="宋体" w:hAnsi="宋体" w:cs="Arial"/>
                <w:color w:val="000000"/>
                <w:kern w:val="0"/>
                <w:sz w:val="24"/>
                <w:szCs w:val="24"/>
              </w:rPr>
            </w:pPr>
          </w:p>
          <w:p>
            <w:pPr>
              <w:widowControl/>
              <w:jc w:val="center"/>
              <w:rPr>
                <w:rFonts w:ascii="宋体" w:hAnsi="宋体" w:cs="Arial"/>
                <w:color w:val="000000"/>
                <w:kern w:val="0"/>
                <w:sz w:val="24"/>
                <w:szCs w:val="24"/>
              </w:rPr>
            </w:pPr>
          </w:p>
          <w:p>
            <w:pPr>
              <w:widowControl/>
              <w:jc w:val="both"/>
              <w:rPr>
                <w:rFonts w:ascii="宋体" w:hAnsi="宋体" w:cs="Arial"/>
                <w:color w:val="000000"/>
                <w:kern w:val="0"/>
                <w:sz w:val="24"/>
                <w:szCs w:val="24"/>
              </w:rPr>
            </w:pPr>
          </w:p>
        </w:tc>
      </w:tr>
      <w:tr>
        <w:tblPrEx>
          <w:tblCellMar>
            <w:top w:w="0" w:type="dxa"/>
            <w:left w:w="108" w:type="dxa"/>
            <w:bottom w:w="0" w:type="dxa"/>
            <w:right w:w="108" w:type="dxa"/>
          </w:tblCellMar>
        </w:tblPrEx>
        <w:trPr>
          <w:gridBefore w:val="3"/>
          <w:gridAfter w:val="1"/>
          <w:wBefore w:w="1434" w:type="dxa"/>
          <w:wAfter w:w="122" w:type="dxa"/>
          <w:trHeight w:val="720" w:hRule="atLeast"/>
          <w:jc w:val="center"/>
        </w:trPr>
        <w:tc>
          <w:tcPr>
            <w:tcW w:w="9649" w:type="dxa"/>
            <w:gridSpan w:val="22"/>
            <w:tcBorders>
              <w:top w:val="nil"/>
              <w:left w:val="nil"/>
              <w:bottom w:val="nil"/>
              <w:right w:val="nil"/>
            </w:tcBorders>
            <w:noWrap/>
            <w:vAlign w:val="bottom"/>
          </w:tcPr>
          <w:p>
            <w:pPr>
              <w:widowControl/>
              <w:spacing w:line="300" w:lineRule="exact"/>
              <w:jc w:val="left"/>
              <w:rPr>
                <w:rFonts w:hint="default" w:ascii="黑体" w:hAnsi="黑体" w:eastAsia="黑体"/>
                <w:sz w:val="32"/>
                <w:szCs w:val="32"/>
                <w:lang w:val="en-US" w:eastAsia="zh-CN"/>
              </w:rPr>
            </w:pPr>
            <w:r>
              <w:rPr>
                <w:rFonts w:hint="eastAsia" w:ascii="黑体" w:hAnsi="黑体" w:eastAsia="黑体"/>
                <w:sz w:val="32"/>
                <w:szCs w:val="32"/>
                <w:lang w:val="en-US" w:eastAsia="zh-CN"/>
              </w:rPr>
              <w:t>附件5</w:t>
            </w:r>
          </w:p>
          <w:p>
            <w:pPr>
              <w:widowControl/>
              <w:jc w:val="center"/>
              <w:rPr>
                <w:rFonts w:ascii="Arial" w:hAnsi="Arial" w:cs="Arial"/>
                <w:color w:val="000000"/>
                <w:kern w:val="0"/>
                <w:sz w:val="32"/>
                <w:szCs w:val="32"/>
              </w:rPr>
            </w:pPr>
            <w:r>
              <w:rPr>
                <w:rFonts w:hint="eastAsia" w:ascii="宋体" w:hAnsi="宋体" w:cs="Arial"/>
                <w:color w:val="000000"/>
                <w:kern w:val="0"/>
                <w:sz w:val="32"/>
                <w:szCs w:val="32"/>
              </w:rPr>
              <w:t>国有资本经营预算财政拨款支出预算明细表</w:t>
            </w:r>
          </w:p>
        </w:tc>
      </w:tr>
      <w:tr>
        <w:tblPrEx>
          <w:tblCellMar>
            <w:top w:w="0" w:type="dxa"/>
            <w:left w:w="108" w:type="dxa"/>
            <w:bottom w:w="0" w:type="dxa"/>
            <w:right w:w="108" w:type="dxa"/>
          </w:tblCellMar>
        </w:tblPrEx>
        <w:trPr>
          <w:gridBefore w:val="3"/>
          <w:gridAfter w:val="1"/>
          <w:wBefore w:w="1434" w:type="dxa"/>
          <w:wAfter w:w="122" w:type="dxa"/>
          <w:trHeight w:val="255" w:hRule="atLeast"/>
          <w:jc w:val="center"/>
        </w:trPr>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0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9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7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7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1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030" w:type="dxa"/>
            <w:tcBorders>
              <w:top w:val="nil"/>
              <w:left w:val="nil"/>
              <w:bottom w:val="nil"/>
              <w:right w:val="nil"/>
            </w:tcBorders>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gridBefore w:val="3"/>
          <w:gridAfter w:val="1"/>
          <w:wBefore w:w="1434" w:type="dxa"/>
          <w:wAfter w:w="122" w:type="dxa"/>
          <w:trHeight w:val="225" w:hRule="atLeast"/>
          <w:jc w:val="center"/>
        </w:trPr>
        <w:tc>
          <w:tcPr>
            <w:tcW w:w="3990" w:type="dxa"/>
            <w:gridSpan w:val="10"/>
            <w:tcBorders>
              <w:top w:val="nil"/>
              <w:left w:val="nil"/>
              <w:bottom w:val="nil"/>
              <w:right w:val="nil"/>
            </w:tcBorders>
            <w:noWrap/>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编制单位：双牌县城北工业小区管理委员会</w:t>
            </w:r>
          </w:p>
        </w:tc>
        <w:tc>
          <w:tcPr>
            <w:tcW w:w="376"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391"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520"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473"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472"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517" w:type="dxa"/>
            <w:tcBorders>
              <w:top w:val="nil"/>
              <w:left w:val="nil"/>
              <w:bottom w:val="nil"/>
              <w:right w:val="nil"/>
            </w:tcBorders>
            <w:noWrap/>
            <w:vAlign w:val="bottom"/>
          </w:tcPr>
          <w:p>
            <w:pPr>
              <w:widowControl/>
              <w:jc w:val="left"/>
              <w:rPr>
                <w:rFonts w:ascii="Arial" w:hAnsi="Arial" w:cs="Arial"/>
                <w:color w:val="000000"/>
                <w:kern w:val="0"/>
                <w:sz w:val="16"/>
                <w:szCs w:val="16"/>
              </w:rPr>
            </w:pPr>
          </w:p>
        </w:tc>
        <w:tc>
          <w:tcPr>
            <w:tcW w:w="1030" w:type="dxa"/>
            <w:tcBorders>
              <w:top w:val="nil"/>
              <w:left w:val="nil"/>
              <w:bottom w:val="nil"/>
              <w:right w:val="nil"/>
            </w:tcBorders>
            <w:noWrap/>
            <w:vAlign w:val="bottom"/>
          </w:tcPr>
          <w:p>
            <w:pPr>
              <w:widowControl/>
              <w:jc w:val="left"/>
              <w:rPr>
                <w:rFonts w:ascii="Arial" w:hAnsi="Arial" w:cs="Arial"/>
                <w:color w:val="000000"/>
                <w:kern w:val="0"/>
                <w:sz w:val="16"/>
                <w:szCs w:val="16"/>
              </w:rPr>
            </w:pPr>
          </w:p>
        </w:tc>
      </w:tr>
      <w:tr>
        <w:tblPrEx>
          <w:tblCellMar>
            <w:top w:w="0" w:type="dxa"/>
            <w:left w:w="108" w:type="dxa"/>
            <w:bottom w:w="0" w:type="dxa"/>
            <w:right w:w="108" w:type="dxa"/>
          </w:tblCellMar>
        </w:tblPrEx>
        <w:trPr>
          <w:gridBefore w:val="3"/>
          <w:gridAfter w:val="1"/>
          <w:wBefore w:w="1434" w:type="dxa"/>
          <w:wAfter w:w="122" w:type="dxa"/>
          <w:trHeight w:val="308" w:hRule="atLeast"/>
          <w:jc w:val="center"/>
        </w:trPr>
        <w:tc>
          <w:tcPr>
            <w:tcW w:w="1734" w:type="dxa"/>
            <w:gridSpan w:val="4"/>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376"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1504" w:type="dxa"/>
            <w:gridSpan w:val="4"/>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工资福利支出</w:t>
            </w:r>
          </w:p>
        </w:tc>
        <w:tc>
          <w:tcPr>
            <w:tcW w:w="1880" w:type="dxa"/>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商品和服务支出</w:t>
            </w:r>
          </w:p>
        </w:tc>
        <w:tc>
          <w:tcPr>
            <w:tcW w:w="1287"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对个人和家庭的补助</w:t>
            </w:r>
          </w:p>
        </w:tc>
        <w:tc>
          <w:tcPr>
            <w:tcW w:w="1321"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债务利息及费用支出</w:t>
            </w:r>
          </w:p>
        </w:tc>
        <w:tc>
          <w:tcPr>
            <w:tcW w:w="1547" w:type="dxa"/>
            <w:gridSpan w:val="2"/>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资本性支出（基本建设）</w:t>
            </w:r>
          </w:p>
        </w:tc>
      </w:tr>
      <w:tr>
        <w:tblPrEx>
          <w:tblCellMar>
            <w:top w:w="0" w:type="dxa"/>
            <w:left w:w="108" w:type="dxa"/>
            <w:bottom w:w="0" w:type="dxa"/>
            <w:right w:w="108" w:type="dxa"/>
          </w:tblCellMar>
        </w:tblPrEx>
        <w:trPr>
          <w:gridBefore w:val="3"/>
          <w:gridAfter w:val="1"/>
          <w:wBefore w:w="1434" w:type="dxa"/>
          <w:wAfter w:w="122" w:type="dxa"/>
          <w:trHeight w:val="645" w:hRule="atLeast"/>
          <w:jc w:val="center"/>
        </w:trPr>
        <w:tc>
          <w:tcPr>
            <w:tcW w:w="1128"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60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科目名称（项目名称、方向）</w:t>
            </w:r>
          </w:p>
        </w:tc>
        <w:tc>
          <w:tcPr>
            <w:tcW w:w="37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6"/>
                <w:szCs w:val="16"/>
              </w:rPr>
            </w:pP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基本工资</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津贴补贴</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奖金</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办公费</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印刷费</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咨询费</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手续费</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391"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离休费</w:t>
            </w:r>
          </w:p>
        </w:tc>
        <w:tc>
          <w:tcPr>
            <w:tcW w:w="520"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其他对个人和家庭的补助</w:t>
            </w:r>
          </w:p>
        </w:tc>
        <w:tc>
          <w:tcPr>
            <w:tcW w:w="473"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472"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国内债务付息</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国外债务付息</w:t>
            </w:r>
          </w:p>
        </w:tc>
        <w:tc>
          <w:tcPr>
            <w:tcW w:w="517"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小计</w:t>
            </w:r>
          </w:p>
        </w:tc>
        <w:tc>
          <w:tcPr>
            <w:tcW w:w="1030"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房屋建筑物购建</w:t>
            </w:r>
          </w:p>
        </w:tc>
      </w:tr>
      <w:tr>
        <w:tblPrEx>
          <w:tblCellMar>
            <w:top w:w="0" w:type="dxa"/>
            <w:left w:w="108" w:type="dxa"/>
            <w:bottom w:w="0" w:type="dxa"/>
            <w:right w:w="108" w:type="dxa"/>
          </w:tblCellMar>
        </w:tblPrEx>
        <w:trPr>
          <w:gridBefore w:val="3"/>
          <w:gridAfter w:val="1"/>
          <w:wBefore w:w="1434" w:type="dxa"/>
          <w:wAfter w:w="122" w:type="dxa"/>
          <w:trHeight w:val="570" w:hRule="atLeast"/>
          <w:jc w:val="center"/>
        </w:trPr>
        <w:tc>
          <w:tcPr>
            <w:tcW w:w="1128"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60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5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47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47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51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10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r>
      <w:tr>
        <w:tblPrEx>
          <w:tblCellMar>
            <w:top w:w="0" w:type="dxa"/>
            <w:left w:w="108" w:type="dxa"/>
            <w:bottom w:w="0" w:type="dxa"/>
            <w:right w:w="108" w:type="dxa"/>
          </w:tblCellMar>
        </w:tblPrEx>
        <w:trPr>
          <w:gridBefore w:val="3"/>
          <w:gridAfter w:val="1"/>
          <w:wBefore w:w="1434" w:type="dxa"/>
          <w:wAfter w:w="122" w:type="dxa"/>
          <w:trHeight w:val="585" w:hRule="atLeast"/>
          <w:jc w:val="center"/>
        </w:trPr>
        <w:tc>
          <w:tcPr>
            <w:tcW w:w="1128"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60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5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47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47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51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c>
          <w:tcPr>
            <w:tcW w:w="10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6"/>
                <w:szCs w:val="16"/>
              </w:rPr>
            </w:pPr>
          </w:p>
        </w:tc>
      </w:tr>
      <w:tr>
        <w:tblPrEx>
          <w:tblCellMar>
            <w:top w:w="0" w:type="dxa"/>
            <w:left w:w="108" w:type="dxa"/>
            <w:bottom w:w="0" w:type="dxa"/>
            <w:right w:w="108" w:type="dxa"/>
          </w:tblCellMar>
        </w:tblPrEx>
        <w:trPr>
          <w:gridBefore w:val="3"/>
          <w:gridAfter w:val="1"/>
          <w:wBefore w:w="1434" w:type="dxa"/>
          <w:wAfter w:w="122" w:type="dxa"/>
          <w:trHeight w:val="510" w:hRule="atLeast"/>
          <w:jc w:val="center"/>
        </w:trPr>
        <w:tc>
          <w:tcPr>
            <w:tcW w:w="376"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60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16</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17</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18</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19</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20</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44</w:t>
            </w:r>
          </w:p>
        </w:tc>
        <w:tc>
          <w:tcPr>
            <w:tcW w:w="391"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45</w:t>
            </w:r>
          </w:p>
        </w:tc>
        <w:tc>
          <w:tcPr>
            <w:tcW w:w="520"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56</w:t>
            </w:r>
          </w:p>
        </w:tc>
        <w:tc>
          <w:tcPr>
            <w:tcW w:w="473"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57</w:t>
            </w:r>
          </w:p>
        </w:tc>
        <w:tc>
          <w:tcPr>
            <w:tcW w:w="472"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58</w:t>
            </w:r>
          </w:p>
        </w:tc>
        <w:tc>
          <w:tcPr>
            <w:tcW w:w="37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59</w:t>
            </w:r>
          </w:p>
        </w:tc>
        <w:tc>
          <w:tcPr>
            <w:tcW w:w="517"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62</w:t>
            </w:r>
          </w:p>
        </w:tc>
        <w:tc>
          <w:tcPr>
            <w:tcW w:w="1030"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63</w:t>
            </w:r>
          </w:p>
        </w:tc>
      </w:tr>
      <w:tr>
        <w:tblPrEx>
          <w:tblCellMar>
            <w:top w:w="0" w:type="dxa"/>
            <w:left w:w="108" w:type="dxa"/>
            <w:bottom w:w="0" w:type="dxa"/>
            <w:right w:w="108" w:type="dxa"/>
          </w:tblCellMar>
        </w:tblPrEx>
        <w:trPr>
          <w:gridBefore w:val="3"/>
          <w:gridAfter w:val="1"/>
          <w:wBefore w:w="1434" w:type="dxa"/>
          <w:wAfter w:w="122" w:type="dxa"/>
          <w:trHeight w:val="645" w:hRule="atLeast"/>
          <w:jc w:val="center"/>
        </w:trPr>
        <w:tc>
          <w:tcPr>
            <w:tcW w:w="376"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6"/>
                <w:szCs w:val="16"/>
              </w:rPr>
            </w:pPr>
          </w:p>
        </w:tc>
        <w:tc>
          <w:tcPr>
            <w:tcW w:w="606" w:type="dxa"/>
            <w:tcBorders>
              <w:top w:val="nil"/>
              <w:left w:val="nil"/>
              <w:bottom w:val="single" w:color="000000" w:sz="4" w:space="0"/>
              <w:right w:val="single" w:color="000000" w:sz="4" w:space="0"/>
            </w:tcBorders>
            <w:shd w:val="clear" w:color="FFFFFF" w:fill="C0C0C0"/>
            <w:noWrap w:val="0"/>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1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c>
          <w:tcPr>
            <w:tcW w:w="10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r>
      <w:tr>
        <w:tblPrEx>
          <w:tblCellMar>
            <w:top w:w="0" w:type="dxa"/>
            <w:left w:w="108" w:type="dxa"/>
            <w:bottom w:w="0" w:type="dxa"/>
            <w:right w:w="108" w:type="dxa"/>
          </w:tblCellMar>
        </w:tblPrEx>
        <w:trPr>
          <w:gridBefore w:val="3"/>
          <w:gridAfter w:val="1"/>
          <w:wBefore w:w="1434" w:type="dxa"/>
          <w:wAfter w:w="122" w:type="dxa"/>
          <w:trHeight w:val="308" w:hRule="atLeast"/>
          <w:jc w:val="center"/>
        </w:trPr>
        <w:tc>
          <w:tcPr>
            <w:tcW w:w="112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60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1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c>
          <w:tcPr>
            <w:tcW w:w="10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r>
      <w:tr>
        <w:tblPrEx>
          <w:tblCellMar>
            <w:top w:w="0" w:type="dxa"/>
            <w:left w:w="108" w:type="dxa"/>
            <w:bottom w:w="0" w:type="dxa"/>
            <w:right w:w="108" w:type="dxa"/>
          </w:tblCellMar>
        </w:tblPrEx>
        <w:trPr>
          <w:gridBefore w:val="3"/>
          <w:gridAfter w:val="1"/>
          <w:wBefore w:w="1434" w:type="dxa"/>
          <w:wAfter w:w="122" w:type="dxa"/>
          <w:trHeight w:val="308" w:hRule="atLeast"/>
          <w:jc w:val="center"/>
        </w:trPr>
        <w:tc>
          <w:tcPr>
            <w:tcW w:w="112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60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1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c>
          <w:tcPr>
            <w:tcW w:w="10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r>
      <w:tr>
        <w:tblPrEx>
          <w:tblCellMar>
            <w:top w:w="0" w:type="dxa"/>
            <w:left w:w="108" w:type="dxa"/>
            <w:bottom w:w="0" w:type="dxa"/>
            <w:right w:w="108" w:type="dxa"/>
          </w:tblCellMar>
        </w:tblPrEx>
        <w:trPr>
          <w:gridBefore w:val="3"/>
          <w:gridAfter w:val="1"/>
          <w:wBefore w:w="1434" w:type="dxa"/>
          <w:wAfter w:w="122" w:type="dxa"/>
          <w:trHeight w:val="308" w:hRule="atLeast"/>
          <w:jc w:val="center"/>
        </w:trPr>
        <w:tc>
          <w:tcPr>
            <w:tcW w:w="112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60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1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c>
          <w:tcPr>
            <w:tcW w:w="10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r>
      <w:tr>
        <w:tblPrEx>
          <w:tblCellMar>
            <w:top w:w="0" w:type="dxa"/>
            <w:left w:w="108" w:type="dxa"/>
            <w:bottom w:w="0" w:type="dxa"/>
            <w:right w:w="108" w:type="dxa"/>
          </w:tblCellMar>
        </w:tblPrEx>
        <w:trPr>
          <w:gridBefore w:val="3"/>
          <w:gridAfter w:val="1"/>
          <w:wBefore w:w="1434" w:type="dxa"/>
          <w:wAfter w:w="122" w:type="dxa"/>
          <w:trHeight w:val="308" w:hRule="atLeast"/>
          <w:jc w:val="center"/>
        </w:trPr>
        <w:tc>
          <w:tcPr>
            <w:tcW w:w="112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60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1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c>
          <w:tcPr>
            <w:tcW w:w="10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r>
      <w:tr>
        <w:tblPrEx>
          <w:tblCellMar>
            <w:top w:w="0" w:type="dxa"/>
            <w:left w:w="108" w:type="dxa"/>
            <w:bottom w:w="0" w:type="dxa"/>
            <w:right w:w="108" w:type="dxa"/>
          </w:tblCellMar>
        </w:tblPrEx>
        <w:trPr>
          <w:gridBefore w:val="3"/>
          <w:gridAfter w:val="1"/>
          <w:wBefore w:w="1434" w:type="dxa"/>
          <w:wAfter w:w="122" w:type="dxa"/>
          <w:trHeight w:val="308" w:hRule="atLeast"/>
          <w:jc w:val="center"/>
        </w:trPr>
        <w:tc>
          <w:tcPr>
            <w:tcW w:w="1128"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60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9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4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51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c>
          <w:tcPr>
            <w:tcW w:w="10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w:t>
            </w:r>
          </w:p>
        </w:tc>
      </w:tr>
      <w:tr>
        <w:tblPrEx>
          <w:tblCellMar>
            <w:top w:w="0" w:type="dxa"/>
            <w:left w:w="108" w:type="dxa"/>
            <w:bottom w:w="0" w:type="dxa"/>
            <w:right w:w="108" w:type="dxa"/>
          </w:tblCellMar>
        </w:tblPrEx>
        <w:trPr>
          <w:gridBefore w:val="3"/>
          <w:gridAfter w:val="1"/>
          <w:wBefore w:w="1434" w:type="dxa"/>
          <w:wAfter w:w="122" w:type="dxa"/>
          <w:trHeight w:val="308" w:hRule="atLeast"/>
          <w:jc w:val="center"/>
        </w:trPr>
        <w:tc>
          <w:tcPr>
            <w:tcW w:w="1128" w:type="dxa"/>
            <w:gridSpan w:val="3"/>
            <w:tcBorders>
              <w:top w:val="nil"/>
              <w:left w:val="single" w:color="000000" w:sz="4" w:space="0"/>
              <w:bottom w:val="single" w:color="000000" w:sz="8"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06" w:type="dxa"/>
            <w:tcBorders>
              <w:top w:val="nil"/>
              <w:left w:val="nil"/>
              <w:bottom w:val="single" w:color="000000" w:sz="8"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1"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3"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2"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6" w:type="dxa"/>
            <w:tcBorders>
              <w:top w:val="nil"/>
              <w:left w:val="nil"/>
              <w:bottom w:val="single" w:color="000000" w:sz="8"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517" w:type="dxa"/>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030" w:type="dxa"/>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2AF" w:usb1="01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DF5C6"/>
    <w:multiLevelType w:val="singleLevel"/>
    <w:tmpl w:val="D37DF5C6"/>
    <w:lvl w:ilvl="0" w:tentative="0">
      <w:start w:val="1"/>
      <w:numFmt w:val="chineseCounting"/>
      <w:suff w:val="nothing"/>
      <w:lvlText w:val="%1、"/>
      <w:lvlJc w:val="left"/>
      <w:rPr>
        <w:rFonts w:hint="eastAsia"/>
      </w:rPr>
    </w:lvl>
  </w:abstractNum>
  <w:abstractNum w:abstractNumId="1">
    <w:nsid w:val="E54CF5B6"/>
    <w:multiLevelType w:val="singleLevel"/>
    <w:tmpl w:val="E54CF5B6"/>
    <w:lvl w:ilvl="0" w:tentative="0">
      <w:start w:val="1"/>
      <w:numFmt w:val="chineseCounting"/>
      <w:suff w:val="nothing"/>
      <w:lvlText w:val="（%1）"/>
      <w:lvlJc w:val="left"/>
      <w:rPr>
        <w:rFonts w:hint="eastAsia"/>
      </w:rPr>
    </w:lvl>
  </w:abstractNum>
  <w:abstractNum w:abstractNumId="2">
    <w:nsid w:val="1638ABEA"/>
    <w:multiLevelType w:val="singleLevel"/>
    <w:tmpl w:val="1638ABEA"/>
    <w:lvl w:ilvl="0" w:tentative="0">
      <w:start w:val="7"/>
      <w:numFmt w:val="chineseCounting"/>
      <w:suff w:val="nothing"/>
      <w:lvlText w:val="%1、"/>
      <w:lvlJc w:val="left"/>
      <w:rPr>
        <w:rFonts w:hint="eastAsia"/>
      </w:rPr>
    </w:lvl>
  </w:abstractNum>
  <w:abstractNum w:abstractNumId="3">
    <w:nsid w:val="4192C1C4"/>
    <w:multiLevelType w:val="singleLevel"/>
    <w:tmpl w:val="4192C1C4"/>
    <w:lvl w:ilvl="0" w:tentative="0">
      <w:start w:val="2"/>
      <w:numFmt w:val="decimal"/>
      <w:suff w:val="nothing"/>
      <w:lvlText w:val="%1、"/>
      <w:lvlJc w:val="left"/>
    </w:lvl>
  </w:abstractNum>
  <w:abstractNum w:abstractNumId="4">
    <w:nsid w:val="7129547D"/>
    <w:multiLevelType w:val="singleLevel"/>
    <w:tmpl w:val="7129547D"/>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76548"/>
    <w:rsid w:val="00546529"/>
    <w:rsid w:val="00E545ED"/>
    <w:rsid w:val="01E47425"/>
    <w:rsid w:val="020411DA"/>
    <w:rsid w:val="034026E5"/>
    <w:rsid w:val="03942A31"/>
    <w:rsid w:val="03D1158F"/>
    <w:rsid w:val="047D1717"/>
    <w:rsid w:val="04AE7B23"/>
    <w:rsid w:val="05151950"/>
    <w:rsid w:val="051931EE"/>
    <w:rsid w:val="055048D0"/>
    <w:rsid w:val="062005AC"/>
    <w:rsid w:val="064029FC"/>
    <w:rsid w:val="066E7569"/>
    <w:rsid w:val="06CE625A"/>
    <w:rsid w:val="070E48A8"/>
    <w:rsid w:val="072916E2"/>
    <w:rsid w:val="07391925"/>
    <w:rsid w:val="07921036"/>
    <w:rsid w:val="087E4707"/>
    <w:rsid w:val="088C2142"/>
    <w:rsid w:val="095D5673"/>
    <w:rsid w:val="096E7880"/>
    <w:rsid w:val="09B47989"/>
    <w:rsid w:val="09B90AFC"/>
    <w:rsid w:val="0A6D18E6"/>
    <w:rsid w:val="0A7B04A7"/>
    <w:rsid w:val="0AA277E2"/>
    <w:rsid w:val="0AB063A2"/>
    <w:rsid w:val="0B1A7CC0"/>
    <w:rsid w:val="0B662F05"/>
    <w:rsid w:val="0B753148"/>
    <w:rsid w:val="0B9C6927"/>
    <w:rsid w:val="0BFA7D7D"/>
    <w:rsid w:val="0CB3217A"/>
    <w:rsid w:val="0D352B8F"/>
    <w:rsid w:val="0D643474"/>
    <w:rsid w:val="0DBC505E"/>
    <w:rsid w:val="0E214EC1"/>
    <w:rsid w:val="0EB14497"/>
    <w:rsid w:val="0F735BF1"/>
    <w:rsid w:val="0F7F0C6F"/>
    <w:rsid w:val="0F8D306D"/>
    <w:rsid w:val="0FA8478A"/>
    <w:rsid w:val="106C2D6C"/>
    <w:rsid w:val="10B17010"/>
    <w:rsid w:val="124B69B1"/>
    <w:rsid w:val="12A54313"/>
    <w:rsid w:val="12D270D2"/>
    <w:rsid w:val="1393060F"/>
    <w:rsid w:val="13B32A60"/>
    <w:rsid w:val="14373691"/>
    <w:rsid w:val="14B7657F"/>
    <w:rsid w:val="14C52A4A"/>
    <w:rsid w:val="14C616BF"/>
    <w:rsid w:val="14EA0703"/>
    <w:rsid w:val="14F96B98"/>
    <w:rsid w:val="15A9236C"/>
    <w:rsid w:val="17794CA3"/>
    <w:rsid w:val="17854713"/>
    <w:rsid w:val="17D9680D"/>
    <w:rsid w:val="185145F5"/>
    <w:rsid w:val="18EA3C7E"/>
    <w:rsid w:val="198C1D89"/>
    <w:rsid w:val="199155F1"/>
    <w:rsid w:val="19CC03D7"/>
    <w:rsid w:val="1A3C201D"/>
    <w:rsid w:val="1A400DC5"/>
    <w:rsid w:val="1AA80DA7"/>
    <w:rsid w:val="1AD25EC1"/>
    <w:rsid w:val="1AD35795"/>
    <w:rsid w:val="1AD53F11"/>
    <w:rsid w:val="1AD734D7"/>
    <w:rsid w:val="1AE6371B"/>
    <w:rsid w:val="1B7D0759"/>
    <w:rsid w:val="1BA1486E"/>
    <w:rsid w:val="1BC021BE"/>
    <w:rsid w:val="1C1918CE"/>
    <w:rsid w:val="1C2344FA"/>
    <w:rsid w:val="1C330BE1"/>
    <w:rsid w:val="1C5A7F82"/>
    <w:rsid w:val="1C6021C4"/>
    <w:rsid w:val="1CA95615"/>
    <w:rsid w:val="1E18667F"/>
    <w:rsid w:val="1E7D6144"/>
    <w:rsid w:val="1E8A38F9"/>
    <w:rsid w:val="1EAB277A"/>
    <w:rsid w:val="1F42113B"/>
    <w:rsid w:val="1FDE2C12"/>
    <w:rsid w:val="1FE10954"/>
    <w:rsid w:val="1FEB3581"/>
    <w:rsid w:val="20730A5A"/>
    <w:rsid w:val="207B4905"/>
    <w:rsid w:val="22317971"/>
    <w:rsid w:val="22342181"/>
    <w:rsid w:val="22BE6D2B"/>
    <w:rsid w:val="23A83C63"/>
    <w:rsid w:val="2419690F"/>
    <w:rsid w:val="2446347C"/>
    <w:rsid w:val="247E43DB"/>
    <w:rsid w:val="24A02B8C"/>
    <w:rsid w:val="24A30154"/>
    <w:rsid w:val="24BE1264"/>
    <w:rsid w:val="24CD14A7"/>
    <w:rsid w:val="25F44A66"/>
    <w:rsid w:val="272B1F61"/>
    <w:rsid w:val="27766A4C"/>
    <w:rsid w:val="28BE7A85"/>
    <w:rsid w:val="29C410CB"/>
    <w:rsid w:val="2B0D4CF3"/>
    <w:rsid w:val="2B5C5333"/>
    <w:rsid w:val="2BFB1773"/>
    <w:rsid w:val="2C047EA4"/>
    <w:rsid w:val="2C196DA0"/>
    <w:rsid w:val="2C2E4F21"/>
    <w:rsid w:val="2C624BCB"/>
    <w:rsid w:val="2C902FDD"/>
    <w:rsid w:val="2CE81574"/>
    <w:rsid w:val="2CF06EF7"/>
    <w:rsid w:val="2D2B01A9"/>
    <w:rsid w:val="2D7B7CF2"/>
    <w:rsid w:val="2D825525"/>
    <w:rsid w:val="2DD6761F"/>
    <w:rsid w:val="2E5D1AEE"/>
    <w:rsid w:val="2F0957D2"/>
    <w:rsid w:val="2F9B28CE"/>
    <w:rsid w:val="2FA554FB"/>
    <w:rsid w:val="30E04E6A"/>
    <w:rsid w:val="30E262DA"/>
    <w:rsid w:val="32E26A66"/>
    <w:rsid w:val="340628FA"/>
    <w:rsid w:val="34DB376C"/>
    <w:rsid w:val="35363B2B"/>
    <w:rsid w:val="3538296D"/>
    <w:rsid w:val="36C24BE4"/>
    <w:rsid w:val="3768578B"/>
    <w:rsid w:val="3825367C"/>
    <w:rsid w:val="389B56ED"/>
    <w:rsid w:val="38A0097F"/>
    <w:rsid w:val="38A24D84"/>
    <w:rsid w:val="3A8D72B7"/>
    <w:rsid w:val="3ABD5DEE"/>
    <w:rsid w:val="3AFE1F63"/>
    <w:rsid w:val="3D2C725B"/>
    <w:rsid w:val="3DBF59D9"/>
    <w:rsid w:val="3E1A5306"/>
    <w:rsid w:val="3E66105E"/>
    <w:rsid w:val="3E7622AE"/>
    <w:rsid w:val="3E8F1850"/>
    <w:rsid w:val="3EC86B10"/>
    <w:rsid w:val="3F6727CC"/>
    <w:rsid w:val="40381A73"/>
    <w:rsid w:val="403A3A3D"/>
    <w:rsid w:val="40541C2A"/>
    <w:rsid w:val="41004C87"/>
    <w:rsid w:val="419369CD"/>
    <w:rsid w:val="4247603F"/>
    <w:rsid w:val="42641245"/>
    <w:rsid w:val="42CD6DEA"/>
    <w:rsid w:val="43236A0A"/>
    <w:rsid w:val="435117C9"/>
    <w:rsid w:val="43D917BF"/>
    <w:rsid w:val="43EF4B3E"/>
    <w:rsid w:val="4439400C"/>
    <w:rsid w:val="45392515"/>
    <w:rsid w:val="462D194E"/>
    <w:rsid w:val="47013507"/>
    <w:rsid w:val="47064679"/>
    <w:rsid w:val="47070F8D"/>
    <w:rsid w:val="47242D51"/>
    <w:rsid w:val="473531B0"/>
    <w:rsid w:val="47515D36"/>
    <w:rsid w:val="47B9793D"/>
    <w:rsid w:val="48547666"/>
    <w:rsid w:val="4907292A"/>
    <w:rsid w:val="4ABF34BD"/>
    <w:rsid w:val="4B1A6945"/>
    <w:rsid w:val="4B306CEB"/>
    <w:rsid w:val="4B82525D"/>
    <w:rsid w:val="4B862E41"/>
    <w:rsid w:val="4B9A5CD8"/>
    <w:rsid w:val="4BD77F4E"/>
    <w:rsid w:val="4BDF193C"/>
    <w:rsid w:val="4C1B0BC7"/>
    <w:rsid w:val="4C7C718B"/>
    <w:rsid w:val="4CAE37E9"/>
    <w:rsid w:val="4CC56D84"/>
    <w:rsid w:val="4CF3569F"/>
    <w:rsid w:val="4DB34E2F"/>
    <w:rsid w:val="4DDD3C5A"/>
    <w:rsid w:val="4E6F51FA"/>
    <w:rsid w:val="4E790239"/>
    <w:rsid w:val="4E7E3270"/>
    <w:rsid w:val="4F3E697A"/>
    <w:rsid w:val="4F6C798B"/>
    <w:rsid w:val="50B05655"/>
    <w:rsid w:val="50F73284"/>
    <w:rsid w:val="510B05B7"/>
    <w:rsid w:val="51475FBA"/>
    <w:rsid w:val="5370182D"/>
    <w:rsid w:val="54574766"/>
    <w:rsid w:val="55827072"/>
    <w:rsid w:val="558E065B"/>
    <w:rsid w:val="55D63DB0"/>
    <w:rsid w:val="56102E1E"/>
    <w:rsid w:val="56705FB3"/>
    <w:rsid w:val="56981066"/>
    <w:rsid w:val="571B7CCD"/>
    <w:rsid w:val="573B211D"/>
    <w:rsid w:val="573D55A2"/>
    <w:rsid w:val="57D354D6"/>
    <w:rsid w:val="57E427B4"/>
    <w:rsid w:val="582F6BBA"/>
    <w:rsid w:val="585A2A77"/>
    <w:rsid w:val="58AE691E"/>
    <w:rsid w:val="58D3782E"/>
    <w:rsid w:val="5A032F1D"/>
    <w:rsid w:val="5A3D43FE"/>
    <w:rsid w:val="5AD03CFA"/>
    <w:rsid w:val="5AD9663A"/>
    <w:rsid w:val="5AD968C9"/>
    <w:rsid w:val="5AE26D53"/>
    <w:rsid w:val="5BB406F0"/>
    <w:rsid w:val="5BB70934"/>
    <w:rsid w:val="5BBE50CA"/>
    <w:rsid w:val="5C2B044A"/>
    <w:rsid w:val="5CBB1351"/>
    <w:rsid w:val="5CE648D9"/>
    <w:rsid w:val="5D380EAD"/>
    <w:rsid w:val="5DB7303B"/>
    <w:rsid w:val="5DEA664B"/>
    <w:rsid w:val="5E9A1E1F"/>
    <w:rsid w:val="5F304531"/>
    <w:rsid w:val="5F6366B5"/>
    <w:rsid w:val="5F864151"/>
    <w:rsid w:val="5FA43462"/>
    <w:rsid w:val="5FF67529"/>
    <w:rsid w:val="601903FE"/>
    <w:rsid w:val="60310561"/>
    <w:rsid w:val="6146003C"/>
    <w:rsid w:val="618F19E3"/>
    <w:rsid w:val="61972646"/>
    <w:rsid w:val="61BC46E9"/>
    <w:rsid w:val="626D7CE5"/>
    <w:rsid w:val="628B2DDD"/>
    <w:rsid w:val="62913539"/>
    <w:rsid w:val="62C751AC"/>
    <w:rsid w:val="6300246C"/>
    <w:rsid w:val="63316ACA"/>
    <w:rsid w:val="63C13424"/>
    <w:rsid w:val="64241D77"/>
    <w:rsid w:val="64607667"/>
    <w:rsid w:val="64D81264"/>
    <w:rsid w:val="652E1331"/>
    <w:rsid w:val="653528A1"/>
    <w:rsid w:val="65442AE4"/>
    <w:rsid w:val="656C203B"/>
    <w:rsid w:val="658E1F91"/>
    <w:rsid w:val="66287D10"/>
    <w:rsid w:val="67032723"/>
    <w:rsid w:val="674A63AC"/>
    <w:rsid w:val="67B657F0"/>
    <w:rsid w:val="67D94241"/>
    <w:rsid w:val="685079F2"/>
    <w:rsid w:val="68C1367F"/>
    <w:rsid w:val="692D583E"/>
    <w:rsid w:val="69937B96"/>
    <w:rsid w:val="69E46644"/>
    <w:rsid w:val="69F07DED"/>
    <w:rsid w:val="6A211646"/>
    <w:rsid w:val="6A220F1A"/>
    <w:rsid w:val="6A3D7B02"/>
    <w:rsid w:val="6AB32E5C"/>
    <w:rsid w:val="6B6C68F1"/>
    <w:rsid w:val="6BAC3191"/>
    <w:rsid w:val="6BF30DC0"/>
    <w:rsid w:val="6C135E51"/>
    <w:rsid w:val="6DB620A5"/>
    <w:rsid w:val="6DB8406F"/>
    <w:rsid w:val="6E3B6A4F"/>
    <w:rsid w:val="6E8977BA"/>
    <w:rsid w:val="6E9A3775"/>
    <w:rsid w:val="6ED8429D"/>
    <w:rsid w:val="6F3516F0"/>
    <w:rsid w:val="6F9C52CB"/>
    <w:rsid w:val="6FE27182"/>
    <w:rsid w:val="71685DAD"/>
    <w:rsid w:val="71866233"/>
    <w:rsid w:val="71EC078C"/>
    <w:rsid w:val="721D0945"/>
    <w:rsid w:val="723D2D95"/>
    <w:rsid w:val="72947E87"/>
    <w:rsid w:val="72A921D9"/>
    <w:rsid w:val="72F35B4A"/>
    <w:rsid w:val="74123DAE"/>
    <w:rsid w:val="743E41A6"/>
    <w:rsid w:val="744A1799"/>
    <w:rsid w:val="74E04731"/>
    <w:rsid w:val="75693EA1"/>
    <w:rsid w:val="758D5DE2"/>
    <w:rsid w:val="75FF0362"/>
    <w:rsid w:val="766C1E9B"/>
    <w:rsid w:val="769D02A6"/>
    <w:rsid w:val="774911D3"/>
    <w:rsid w:val="775F730A"/>
    <w:rsid w:val="778163B0"/>
    <w:rsid w:val="77A85155"/>
    <w:rsid w:val="78146346"/>
    <w:rsid w:val="789631FF"/>
    <w:rsid w:val="79823784"/>
    <w:rsid w:val="79976548"/>
    <w:rsid w:val="79FE72AE"/>
    <w:rsid w:val="7AAD4830"/>
    <w:rsid w:val="7B71585E"/>
    <w:rsid w:val="7B7264F0"/>
    <w:rsid w:val="7B9854E0"/>
    <w:rsid w:val="7C5B09E8"/>
    <w:rsid w:val="7D32101D"/>
    <w:rsid w:val="7D697AC5"/>
    <w:rsid w:val="7D985324"/>
    <w:rsid w:val="7E062BD5"/>
    <w:rsid w:val="7E9B156F"/>
    <w:rsid w:val="7ED14F91"/>
    <w:rsid w:val="7EEE1D4B"/>
    <w:rsid w:val="7F1C1F84"/>
    <w:rsid w:val="7F6556D9"/>
    <w:rsid w:val="7FBB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jc w:val="left"/>
    </w:pPr>
    <w:rPr>
      <w:rFonts w:ascii="宋体" w:hAnsi="宋体" w:cs="宋体"/>
      <w:kern w:val="0"/>
      <w:sz w:val="24"/>
    </w:rPr>
  </w:style>
  <w:style w:type="paragraph" w:customStyle="1" w:styleId="7">
    <w:name w:val="List Paragraph"/>
    <w:basedOn w:val="1"/>
    <w:qFormat/>
    <w:uiPriority w:val="0"/>
    <w:pPr>
      <w:ind w:firstLine="420" w:firstLineChars="200"/>
    </w:pPr>
    <w:rPr>
      <w:rFonts w:ascii="Calibri" w:hAnsi="Calibri"/>
    </w:rPr>
  </w:style>
  <w:style w:type="character" w:customStyle="1" w:styleId="8">
    <w:name w:val="content1"/>
    <w:basedOn w:val="6"/>
    <w:qFormat/>
    <w:uiPriority w:val="99"/>
    <w:rPr>
      <w:rFonts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2021-11-09T01:12:00Z</dcterms:created>
  <dc:creator>a</dc:creator>
  <cp:lastModifiedBy>Administrator</cp:lastModifiedBy>
  <cp:lastPrinted>2021-11-11T07:01:00Z</cp:lastPrinted>
  <dcterms:modified xsi:type="dcterms:W3CDTF">2021-12-09T07:30:09Z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0640634023F148EA99BBC0DBD08C0F35</vt:lpwstr>
  </property>
</Properties>
</file>