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Theme="majorEastAsia" w:hAnsiTheme="majorEastAsia" w:eastAsiaTheme="majorEastAsia" w:cstheme="majorEastAsia"/>
          <w:b/>
          <w:sz w:val="44"/>
          <w:szCs w:val="44"/>
          <w:lang w:eastAsia="zh-CN"/>
        </w:rPr>
      </w:pPr>
      <w:r>
        <w:rPr>
          <w:rFonts w:hint="eastAsia" w:asciiTheme="majorEastAsia" w:hAnsiTheme="majorEastAsia" w:eastAsiaTheme="majorEastAsia" w:cstheme="majorEastAsia"/>
          <w:b/>
          <w:sz w:val="44"/>
          <w:szCs w:val="44"/>
          <w:lang w:val="en-US" w:eastAsia="zh-CN"/>
        </w:rPr>
        <w:t>2020年度</w:t>
      </w:r>
      <w:r>
        <w:rPr>
          <w:rFonts w:hint="eastAsia" w:asciiTheme="majorEastAsia" w:hAnsiTheme="majorEastAsia" w:eastAsiaTheme="majorEastAsia" w:cstheme="majorEastAsia"/>
          <w:b/>
          <w:sz w:val="44"/>
          <w:szCs w:val="44"/>
        </w:rPr>
        <w:t>双牌县机关事务服务中心</w:t>
      </w:r>
      <w:r>
        <w:rPr>
          <w:rFonts w:hint="eastAsia" w:asciiTheme="majorEastAsia" w:hAnsiTheme="majorEastAsia" w:eastAsiaTheme="majorEastAsia" w:cstheme="majorEastAsia"/>
          <w:b/>
          <w:sz w:val="44"/>
          <w:szCs w:val="44"/>
          <w:lang w:eastAsia="zh-CN"/>
        </w:rPr>
        <w:t>部门</w:t>
      </w:r>
    </w:p>
    <w:p>
      <w:pPr>
        <w:spacing w:line="580" w:lineRule="exact"/>
        <w:jc w:val="center"/>
        <w:rPr>
          <w:rFonts w:asciiTheme="majorEastAsia" w:hAnsiTheme="majorEastAsia" w:eastAsiaTheme="majorEastAsia" w:cstheme="majorEastAsia"/>
          <w:b/>
          <w:kern w:val="0"/>
          <w:sz w:val="44"/>
          <w:szCs w:val="44"/>
        </w:rPr>
      </w:pPr>
      <w:r>
        <w:rPr>
          <w:rFonts w:hint="eastAsia" w:asciiTheme="majorEastAsia" w:hAnsiTheme="majorEastAsia" w:eastAsiaTheme="majorEastAsia" w:cstheme="majorEastAsia"/>
          <w:b/>
          <w:kern w:val="0"/>
          <w:sz w:val="44"/>
          <w:szCs w:val="44"/>
        </w:rPr>
        <w:t>整体支出绩效评价报告</w:t>
      </w:r>
    </w:p>
    <w:p>
      <w:pPr>
        <w:spacing w:line="580" w:lineRule="exact"/>
        <w:ind w:firstLine="643" w:firstLineChars="200"/>
        <w:jc w:val="center"/>
        <w:rPr>
          <w:rFonts w:ascii="仿宋" w:hAnsi="仿宋" w:eastAsia="仿宋" w:cs="仿宋"/>
          <w:b/>
          <w:kern w:val="0"/>
          <w:sz w:val="32"/>
          <w:szCs w:val="32"/>
        </w:rPr>
      </w:pP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根据《中共中央国务院关于全面实施预算绩效管理的意见》和《双牌县人民政府办公室关于进一步加强预算绩效管理工作的意见》（双政办发〔2013〕24号）的文件精神，我单位对部门整体支出进行了绩效评价，现报告如下：</w:t>
      </w:r>
    </w:p>
    <w:p>
      <w:pPr>
        <w:spacing w:line="580" w:lineRule="exact"/>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一、基本情况</w:t>
      </w:r>
    </w:p>
    <w:p>
      <w:pPr>
        <w:spacing w:line="580" w:lineRule="exact"/>
        <w:ind w:firstLine="643" w:firstLineChars="200"/>
        <w:rPr>
          <w:rFonts w:ascii="楷体" w:hAnsi="楷体" w:eastAsia="楷体" w:cs="楷体"/>
          <w:b/>
          <w:color w:val="000000"/>
          <w:kern w:val="0"/>
          <w:sz w:val="32"/>
          <w:szCs w:val="32"/>
        </w:rPr>
      </w:pPr>
      <w:r>
        <w:rPr>
          <w:rFonts w:hint="eastAsia" w:ascii="楷体" w:hAnsi="楷体" w:eastAsia="楷体" w:cs="楷体"/>
          <w:b/>
          <w:color w:val="000000"/>
          <w:kern w:val="0"/>
          <w:sz w:val="32"/>
          <w:szCs w:val="32"/>
        </w:rPr>
        <w:t>（一）机构、人员构成</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双牌县机关事务服务中心于2017年1月成立，2019年3月县机关事务服务中心与县委县政府接待科两个单位合并。为县委办主管的事业单位，定编 10人，其中设主任1名，副主任2名，中心目前实有在职职员8人（事业编制8人），临聘人员35人，合计在职人员 43人，管理人员由正式干部职工担任。下设5个科室：综合股、调度股、安全维护股、财务股、接待股。</w:t>
      </w:r>
    </w:p>
    <w:p>
      <w:pPr>
        <w:spacing w:line="580" w:lineRule="exact"/>
        <w:ind w:firstLine="643" w:firstLineChars="200"/>
        <w:rPr>
          <w:rFonts w:ascii="楷体" w:hAnsi="楷体" w:eastAsia="楷体" w:cs="楷体"/>
          <w:b/>
          <w:color w:val="000000"/>
          <w:kern w:val="0"/>
          <w:sz w:val="32"/>
          <w:szCs w:val="32"/>
        </w:rPr>
      </w:pPr>
      <w:r>
        <w:rPr>
          <w:rFonts w:hint="eastAsia" w:ascii="楷体" w:hAnsi="楷体" w:eastAsia="楷体" w:cs="楷体"/>
          <w:b/>
          <w:color w:val="000000"/>
          <w:kern w:val="0"/>
          <w:sz w:val="32"/>
          <w:szCs w:val="32"/>
        </w:rPr>
        <w:t>（二）单位主要职责（因中心三定方案没有出台）</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1、目前承担的主要职能是管理全县的公务用车；</w:t>
      </w:r>
    </w:p>
    <w:p>
      <w:pPr>
        <w:spacing w:line="580" w:lineRule="exact"/>
        <w:ind w:firstLine="640" w:firstLineChars="200"/>
        <w:rPr>
          <w:rFonts w:ascii="仿宋" w:hAnsi="仿宋" w:eastAsia="仿宋" w:cs="仿宋"/>
          <w:color w:val="000000"/>
          <w:kern w:val="0"/>
          <w:sz w:val="32"/>
          <w:szCs w:val="32"/>
        </w:rPr>
      </w:pPr>
      <w:r>
        <w:rPr>
          <w:rFonts w:hint="eastAsia" w:ascii="仿宋" w:hAnsi="仿宋" w:eastAsia="仿宋" w:cs="仿宋"/>
          <w:sz w:val="32"/>
          <w:szCs w:val="32"/>
        </w:rPr>
        <w:t>2、负责县委、县人大、县政府、县政协领导交办的其它事项。</w:t>
      </w:r>
    </w:p>
    <w:p>
      <w:pPr>
        <w:spacing w:line="580" w:lineRule="exact"/>
        <w:ind w:firstLine="643" w:firstLineChars="200"/>
        <w:rPr>
          <w:rFonts w:ascii="楷体" w:hAnsi="楷体" w:eastAsia="楷体" w:cs="楷体"/>
          <w:b/>
          <w:color w:val="000000"/>
          <w:kern w:val="0"/>
          <w:sz w:val="32"/>
          <w:szCs w:val="32"/>
        </w:rPr>
      </w:pPr>
      <w:r>
        <w:rPr>
          <w:rFonts w:hint="eastAsia" w:ascii="楷体" w:hAnsi="楷体" w:eastAsia="楷体" w:cs="楷体"/>
          <w:b/>
          <w:color w:val="000000"/>
          <w:kern w:val="0"/>
          <w:sz w:val="32"/>
          <w:szCs w:val="32"/>
        </w:rPr>
        <w:t>（三）2020年主要工作任务</w:t>
      </w:r>
    </w:p>
    <w:p>
      <w:pPr>
        <w:kinsoku w:val="0"/>
        <w:wordWrap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1、加强理论学习。组织干部职工深入学习习近平新时代中国特色社会主义思想和党的十九大精神，学习相关业务知识，提高广大干部职工的政治理论水平和业务能力，提高工作效率。</w:t>
      </w:r>
    </w:p>
    <w:p>
      <w:pPr>
        <w:wordWrap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加强制度建设。进一步修改完善《双牌县公车平台运行方案》、《公务用车维修制度》、《公务用车油费管理制度》、《双牌县机关事务服务中心财务管理制度》等相关制度，并切实抓好制度的贯彻执行，形成用制度管人管事、按制度办事的良好工作氛围。</w:t>
      </w:r>
    </w:p>
    <w:p>
      <w:pPr>
        <w:wordWrap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3、加强驾驶员管理。定期对驾驶员进行安全教育培训，每月邀请交警大队领导和专家对驾驶员进行一次案例分析和安全事故录像图文教育，不断增强驾驶员的安全意识，防范安全事故发生。</w:t>
      </w:r>
    </w:p>
    <w:p>
      <w:pPr>
        <w:wordWrap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4、持续做好脱贫攻坚、“双创”等中心工作。</w:t>
      </w:r>
    </w:p>
    <w:p>
      <w:pPr>
        <w:wordWrap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5、认真完成县委、县政府临时交办的工作任务。</w:t>
      </w:r>
    </w:p>
    <w:p>
      <w:pPr>
        <w:widowControl/>
        <w:shd w:val="clear" w:color="auto" w:fill="FFFFFF"/>
        <w:spacing w:line="580" w:lineRule="exact"/>
        <w:ind w:firstLine="640" w:firstLineChars="200"/>
        <w:jc w:val="left"/>
        <w:rPr>
          <w:rFonts w:ascii="黑体" w:hAnsi="黑体" w:eastAsia="黑体" w:cs="黑体"/>
          <w:color w:val="000000"/>
          <w:kern w:val="0"/>
          <w:sz w:val="32"/>
          <w:szCs w:val="32"/>
        </w:rPr>
      </w:pPr>
      <w:r>
        <w:rPr>
          <w:rFonts w:hint="eastAsia" w:ascii="黑体" w:hAnsi="黑体" w:eastAsia="黑体" w:cs="黑体"/>
          <w:color w:val="333333"/>
          <w:kern w:val="0"/>
          <w:sz w:val="32"/>
          <w:szCs w:val="32"/>
        </w:rPr>
        <w:t>二、部门整体支出管理及使用情况</w:t>
      </w:r>
    </w:p>
    <w:p>
      <w:pPr>
        <w:spacing w:line="580" w:lineRule="exact"/>
        <w:ind w:firstLine="643" w:firstLineChars="200"/>
        <w:rPr>
          <w:rFonts w:ascii="楷体" w:hAnsi="楷体" w:eastAsia="楷体" w:cs="楷体"/>
          <w:b/>
          <w:color w:val="000000"/>
          <w:kern w:val="0"/>
          <w:sz w:val="32"/>
          <w:szCs w:val="32"/>
        </w:rPr>
      </w:pPr>
      <w:r>
        <w:rPr>
          <w:rFonts w:hint="eastAsia" w:ascii="楷体" w:hAnsi="楷体" w:eastAsia="楷体" w:cs="楷体"/>
          <w:b/>
          <w:color w:val="000000"/>
          <w:kern w:val="0"/>
          <w:sz w:val="32"/>
          <w:szCs w:val="32"/>
        </w:rPr>
        <w:t>（一）2020年部门预算情况</w:t>
      </w:r>
    </w:p>
    <w:p>
      <w:pPr>
        <w:ind w:firstLine="640" w:firstLineChars="200"/>
        <w:jc w:val="left"/>
        <w:rPr>
          <w:rFonts w:ascii="宋体" w:hAnsi="宋体" w:cs="Arial"/>
          <w:color w:val="000000"/>
          <w:kern w:val="0"/>
          <w:sz w:val="20"/>
          <w:szCs w:val="20"/>
        </w:rPr>
      </w:pPr>
      <w:r>
        <w:rPr>
          <w:rFonts w:hint="eastAsia" w:ascii="仿宋" w:hAnsi="仿宋" w:eastAsia="仿宋" w:cs="仿宋"/>
          <w:color w:val="333333"/>
          <w:kern w:val="0"/>
          <w:sz w:val="32"/>
          <w:szCs w:val="32"/>
        </w:rPr>
        <w:t>经县十二届人大五次会议通过的县级部门预算批复，中心2020年收入预算数1094.13万元，其中：正常经费拨款110.72万元，专项拨款500.31万元，事业单位经营收入225.24万元。支出总预算数1094.13万元，其中：基本支出541.34万元，其中：工资福利支出319.1万元，商品和服务支出107.24万元，对个人和家庭的补助0万元，其他资本支出115万元，项目支出552.79万元，其中：专项商品和服务支出552.79万元。</w:t>
      </w:r>
    </w:p>
    <w:p>
      <w:pPr>
        <w:spacing w:line="580" w:lineRule="exact"/>
        <w:ind w:firstLine="643" w:firstLineChars="200"/>
        <w:rPr>
          <w:rFonts w:ascii="楷体" w:hAnsi="楷体" w:eastAsia="楷体" w:cs="楷体"/>
          <w:b/>
          <w:color w:val="000000"/>
          <w:kern w:val="0"/>
          <w:sz w:val="32"/>
          <w:szCs w:val="32"/>
        </w:rPr>
      </w:pPr>
      <w:r>
        <w:rPr>
          <w:rFonts w:hint="eastAsia" w:ascii="楷体" w:hAnsi="楷体" w:eastAsia="楷体" w:cs="楷体"/>
          <w:b/>
          <w:color w:val="000000"/>
          <w:kern w:val="0"/>
          <w:sz w:val="32"/>
          <w:szCs w:val="32"/>
        </w:rPr>
        <w:t>（二）2020年部门决算情况 </w:t>
      </w:r>
    </w:p>
    <w:p>
      <w:pPr>
        <w:ind w:firstLine="640" w:firstLineChars="200"/>
        <w:jc w:val="left"/>
        <w:rPr>
          <w:rFonts w:ascii="宋体" w:hAnsi="宋体" w:cs="Arial"/>
          <w:color w:val="000000"/>
          <w:kern w:val="0"/>
          <w:sz w:val="22"/>
          <w:szCs w:val="22"/>
        </w:rPr>
      </w:pPr>
      <w:r>
        <w:rPr>
          <w:rFonts w:hint="eastAsia" w:ascii="仿宋" w:hAnsi="仿宋" w:eastAsia="仿宋" w:cs="仿宋"/>
          <w:color w:val="333333"/>
          <w:kern w:val="0"/>
          <w:sz w:val="32"/>
          <w:szCs w:val="32"/>
        </w:rPr>
        <w:t>2020年度决算总收入698.65万元。2020年度决算总支出698.65万元，其中：基本支出338.35万元，占总支出的</w:t>
      </w:r>
      <w:r>
        <w:rPr>
          <w:rFonts w:hint="eastAsia" w:ascii="仿宋" w:hAnsi="仿宋" w:eastAsia="仿宋" w:cs="仿宋"/>
          <w:color w:val="000000" w:themeColor="text1"/>
          <w:kern w:val="0"/>
          <w:sz w:val="32"/>
          <w:szCs w:val="32"/>
        </w:rPr>
        <w:t>48.43%；</w:t>
      </w:r>
      <w:r>
        <w:rPr>
          <w:rFonts w:hint="eastAsia" w:ascii="仿宋" w:hAnsi="仿宋" w:eastAsia="仿宋" w:cs="仿宋"/>
          <w:color w:val="333333"/>
          <w:kern w:val="0"/>
          <w:sz w:val="32"/>
          <w:szCs w:val="32"/>
        </w:rPr>
        <w:t>项目支出271.67万元，占总支出的38.88%。</w:t>
      </w:r>
    </w:p>
    <w:p>
      <w:pPr>
        <w:widowControl/>
        <w:shd w:val="clear" w:color="auto" w:fill="FFFFFF"/>
        <w:spacing w:line="580" w:lineRule="exact"/>
        <w:ind w:firstLine="640" w:firstLineChars="200"/>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rPr>
        <w:t>年末结转和结余88.63万元。　</w:t>
      </w:r>
    </w:p>
    <w:p>
      <w:pPr>
        <w:widowControl/>
        <w:shd w:val="clear" w:color="auto" w:fill="FFFFFF"/>
        <w:spacing w:line="580" w:lineRule="exact"/>
        <w:ind w:firstLine="643" w:firstLineChars="200"/>
        <w:jc w:val="left"/>
        <w:rPr>
          <w:rFonts w:ascii="仿宋" w:hAnsi="仿宋" w:eastAsia="仿宋" w:cs="仿宋"/>
          <w:b/>
          <w:bCs/>
          <w:color w:val="333333"/>
          <w:kern w:val="0"/>
          <w:sz w:val="32"/>
          <w:szCs w:val="32"/>
        </w:rPr>
      </w:pPr>
      <w:r>
        <w:rPr>
          <w:rFonts w:hint="eastAsia" w:ascii="仿宋" w:hAnsi="仿宋" w:eastAsia="仿宋" w:cs="仿宋"/>
          <w:b/>
          <w:bCs/>
          <w:color w:val="333333"/>
          <w:kern w:val="0"/>
          <w:sz w:val="32"/>
          <w:szCs w:val="32"/>
        </w:rPr>
        <w:t>　</w:t>
      </w:r>
    </w:p>
    <w:p>
      <w:pPr>
        <w:spacing w:line="580" w:lineRule="exact"/>
        <w:ind w:firstLine="643" w:firstLineChars="200"/>
        <w:rPr>
          <w:rFonts w:ascii="楷体" w:hAnsi="楷体" w:eastAsia="楷体" w:cs="楷体"/>
          <w:b/>
          <w:color w:val="000000"/>
          <w:kern w:val="0"/>
          <w:sz w:val="32"/>
          <w:szCs w:val="32"/>
        </w:rPr>
      </w:pPr>
      <w:r>
        <w:rPr>
          <w:rFonts w:hint="eastAsia" w:ascii="楷体" w:hAnsi="楷体" w:eastAsia="楷体" w:cs="楷体"/>
          <w:b/>
          <w:color w:val="000000"/>
          <w:kern w:val="0"/>
          <w:sz w:val="32"/>
          <w:szCs w:val="32"/>
        </w:rPr>
        <w:t xml:space="preserve">（三）2020年支出分类情况  </w:t>
      </w:r>
    </w:p>
    <w:p>
      <w:pPr>
        <w:widowControl/>
        <w:shd w:val="clear" w:color="auto" w:fill="FFFFFF"/>
        <w:spacing w:line="580" w:lineRule="exact"/>
        <w:ind w:firstLine="643" w:firstLineChars="200"/>
        <w:jc w:val="left"/>
        <w:rPr>
          <w:rFonts w:ascii="仿宋" w:hAnsi="仿宋" w:eastAsia="仿宋" w:cs="仿宋"/>
          <w:b/>
          <w:bCs/>
          <w:color w:val="333333"/>
          <w:kern w:val="0"/>
          <w:sz w:val="32"/>
          <w:szCs w:val="32"/>
        </w:rPr>
      </w:pPr>
      <w:r>
        <w:rPr>
          <w:rFonts w:hint="eastAsia" w:ascii="仿宋" w:hAnsi="仿宋" w:eastAsia="仿宋" w:cs="仿宋"/>
          <w:b/>
          <w:bCs/>
          <w:color w:val="333333"/>
          <w:kern w:val="0"/>
          <w:sz w:val="32"/>
          <w:szCs w:val="32"/>
        </w:rPr>
        <w:t>1、基本支出 </w:t>
      </w:r>
    </w:p>
    <w:p>
      <w:pPr>
        <w:ind w:firstLine="640" w:firstLineChars="200"/>
        <w:jc w:val="left"/>
        <w:rPr>
          <w:rFonts w:ascii="宋体" w:hAnsi="宋体" w:cs="Arial"/>
          <w:color w:val="000000"/>
          <w:kern w:val="0"/>
          <w:sz w:val="22"/>
          <w:szCs w:val="22"/>
        </w:rPr>
      </w:pPr>
      <w:r>
        <w:rPr>
          <w:rFonts w:hint="eastAsia" w:ascii="仿宋" w:hAnsi="仿宋" w:eastAsia="仿宋" w:cs="仿宋"/>
          <w:color w:val="333333"/>
          <w:kern w:val="0"/>
          <w:sz w:val="32"/>
          <w:szCs w:val="32"/>
        </w:rPr>
        <w:t>基本支出系保障我单位机构正常运转、完成日常工作任务而发生的各项支出，包括用于在职和离退休人员基本工资、津贴补贴等人员经费以及办公费、印刷费、水电费、办公设备购置等日常公用经费。2020年基本支出338.35万元，其中：人员经费125.99万元，占基本支出的37.24%，日常公用经费212.36万元，占基本支出的62.76%。　</w:t>
      </w:r>
    </w:p>
    <w:p>
      <w:pPr>
        <w:widowControl/>
        <w:shd w:val="clear" w:color="auto" w:fill="FFFFFF"/>
        <w:spacing w:line="580" w:lineRule="exact"/>
        <w:ind w:firstLine="643" w:firstLineChars="200"/>
        <w:jc w:val="left"/>
        <w:rPr>
          <w:rFonts w:ascii="仿宋" w:hAnsi="仿宋" w:eastAsia="仿宋" w:cs="仿宋"/>
          <w:b/>
          <w:bCs/>
          <w:color w:val="333333"/>
          <w:kern w:val="0"/>
          <w:sz w:val="32"/>
          <w:szCs w:val="32"/>
        </w:rPr>
      </w:pPr>
      <w:r>
        <w:rPr>
          <w:rFonts w:hint="eastAsia" w:ascii="仿宋" w:hAnsi="仿宋" w:eastAsia="仿宋" w:cs="仿宋"/>
          <w:b/>
          <w:bCs/>
          <w:color w:val="333333"/>
          <w:kern w:val="0"/>
          <w:sz w:val="32"/>
          <w:szCs w:val="32"/>
        </w:rPr>
        <w:t>2、项目支出 </w:t>
      </w:r>
    </w:p>
    <w:p>
      <w:pPr>
        <w:widowControl/>
        <w:shd w:val="clear" w:color="auto" w:fill="FFFFFF"/>
        <w:spacing w:line="580" w:lineRule="exact"/>
        <w:ind w:firstLine="640" w:firstLineChars="200"/>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rPr>
        <w:t>项目支出使用内容为业务工作专项，主要包括公务用车智能平台运行维护费，公务车辆维护费等方面。2020年项目支出271.67万元，其中：行政事业类项目271.67万元。</w:t>
      </w:r>
    </w:p>
    <w:p>
      <w:pPr>
        <w:spacing w:line="580" w:lineRule="exact"/>
        <w:ind w:firstLine="643" w:firstLineChars="200"/>
        <w:rPr>
          <w:rFonts w:ascii="楷体" w:hAnsi="楷体" w:eastAsia="楷体" w:cs="楷体"/>
          <w:b/>
          <w:color w:val="000000"/>
          <w:kern w:val="0"/>
          <w:sz w:val="32"/>
          <w:szCs w:val="32"/>
        </w:rPr>
      </w:pPr>
      <w:r>
        <w:rPr>
          <w:rFonts w:hint="eastAsia" w:ascii="楷体" w:hAnsi="楷体" w:eastAsia="楷体" w:cs="楷体"/>
          <w:b/>
          <w:color w:val="000000"/>
          <w:kern w:val="0"/>
          <w:sz w:val="32"/>
          <w:szCs w:val="32"/>
        </w:rPr>
        <w:t>（四）“三公”经费情况</w:t>
      </w:r>
    </w:p>
    <w:p>
      <w:pPr>
        <w:widowControl/>
        <w:shd w:val="clear" w:color="auto" w:fill="FFFFFF"/>
        <w:spacing w:line="580" w:lineRule="exact"/>
        <w:ind w:firstLine="640" w:firstLineChars="200"/>
        <w:jc w:val="left"/>
        <w:rPr>
          <w:rFonts w:ascii="仿宋" w:hAnsi="仿宋" w:eastAsia="仿宋" w:cs="仿宋"/>
          <w:color w:val="666666"/>
          <w:sz w:val="32"/>
          <w:szCs w:val="32"/>
        </w:rPr>
      </w:pPr>
      <w:r>
        <w:rPr>
          <w:rFonts w:hint="eastAsia" w:ascii="仿宋" w:hAnsi="仿宋" w:eastAsia="仿宋" w:cs="仿宋"/>
          <w:color w:val="333333"/>
          <w:sz w:val="32"/>
          <w:szCs w:val="32"/>
        </w:rPr>
        <w:t>2020年度“三公”经费财政拨款支出决算为</w:t>
      </w:r>
      <w:r>
        <w:rPr>
          <w:rFonts w:hint="eastAsia" w:ascii="仿宋" w:hAnsi="仿宋" w:eastAsia="仿宋" w:cs="仿宋"/>
          <w:color w:val="333333"/>
          <w:sz w:val="32"/>
          <w:szCs w:val="32"/>
          <w:lang w:val="en-US" w:eastAsia="zh-CN"/>
        </w:rPr>
        <w:t>87.55</w:t>
      </w:r>
      <w:r>
        <w:rPr>
          <w:rFonts w:hint="eastAsia" w:ascii="仿宋" w:hAnsi="仿宋" w:eastAsia="仿宋" w:cs="仿宋"/>
          <w:color w:val="333333"/>
          <w:sz w:val="32"/>
          <w:szCs w:val="32"/>
        </w:rPr>
        <w:t>万元，比2019年“三公”经费</w:t>
      </w:r>
      <w:r>
        <w:rPr>
          <w:rFonts w:hint="eastAsia" w:ascii="仿宋" w:hAnsi="仿宋" w:eastAsia="仿宋" w:cs="仿宋"/>
          <w:color w:val="333333"/>
          <w:sz w:val="32"/>
          <w:szCs w:val="32"/>
          <w:lang w:val="en-US" w:eastAsia="zh-CN"/>
        </w:rPr>
        <w:t>99.47</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eastAsia="zh-CN"/>
        </w:rPr>
        <w:t>减少</w:t>
      </w:r>
      <w:r>
        <w:rPr>
          <w:rFonts w:hint="eastAsia" w:ascii="仿宋" w:hAnsi="仿宋" w:eastAsia="仿宋" w:cs="仿宋"/>
          <w:color w:val="333333"/>
          <w:sz w:val="32"/>
          <w:szCs w:val="32"/>
        </w:rPr>
        <w:t>了</w:t>
      </w:r>
      <w:r>
        <w:rPr>
          <w:rFonts w:hint="eastAsia" w:ascii="仿宋" w:hAnsi="仿宋" w:eastAsia="仿宋" w:cs="仿宋"/>
          <w:color w:val="333333"/>
          <w:sz w:val="32"/>
          <w:szCs w:val="32"/>
          <w:lang w:val="en-US" w:eastAsia="zh-CN"/>
        </w:rPr>
        <w:t>11.92</w:t>
      </w:r>
      <w:r>
        <w:rPr>
          <w:rFonts w:hint="eastAsia" w:ascii="仿宋" w:hAnsi="仿宋" w:eastAsia="仿宋" w:cs="仿宋"/>
          <w:color w:val="333333"/>
          <w:sz w:val="32"/>
          <w:szCs w:val="32"/>
        </w:rPr>
        <w:t>万元，主要原因是</w:t>
      </w:r>
      <w:r>
        <w:rPr>
          <w:rFonts w:hint="eastAsia" w:ascii="仿宋" w:hAnsi="仿宋" w:eastAsia="仿宋" w:cs="仿宋"/>
          <w:color w:val="333333"/>
          <w:sz w:val="32"/>
          <w:szCs w:val="32"/>
          <w:lang w:eastAsia="zh-CN"/>
        </w:rPr>
        <w:t>原</w:t>
      </w:r>
      <w:r>
        <w:rPr>
          <w:rFonts w:hint="eastAsia" w:ascii="仿宋" w:hAnsi="仿宋" w:eastAsia="仿宋" w:cs="仿宋"/>
          <w:color w:val="000000" w:themeColor="text1"/>
          <w:sz w:val="32"/>
          <w:szCs w:val="32"/>
        </w:rPr>
        <w:t>县委县政府接待科与</w:t>
      </w:r>
      <w:r>
        <w:rPr>
          <w:rFonts w:hint="eastAsia" w:ascii="仿宋" w:hAnsi="仿宋" w:eastAsia="仿宋" w:cs="仿宋"/>
          <w:color w:val="000000" w:themeColor="text1"/>
          <w:sz w:val="32"/>
          <w:szCs w:val="32"/>
          <w:lang w:eastAsia="zh-CN"/>
        </w:rPr>
        <w:t>原</w:t>
      </w:r>
      <w:r>
        <w:rPr>
          <w:rFonts w:hint="eastAsia" w:ascii="仿宋" w:hAnsi="仿宋" w:eastAsia="仿宋" w:cs="仿宋"/>
          <w:color w:val="000000" w:themeColor="text1"/>
          <w:sz w:val="32"/>
          <w:szCs w:val="32"/>
        </w:rPr>
        <w:t>机关事务服务中心</w:t>
      </w:r>
      <w:r>
        <w:rPr>
          <w:rFonts w:hint="eastAsia" w:ascii="仿宋" w:hAnsi="仿宋" w:eastAsia="仿宋" w:cs="仿宋"/>
          <w:color w:val="000000" w:themeColor="text1"/>
          <w:sz w:val="32"/>
          <w:szCs w:val="32"/>
          <w:lang w:eastAsia="zh-CN"/>
        </w:rPr>
        <w:t>于</w:t>
      </w:r>
      <w:r>
        <w:rPr>
          <w:rFonts w:hint="eastAsia" w:ascii="仿宋" w:hAnsi="仿宋" w:eastAsia="仿宋" w:cs="仿宋"/>
          <w:color w:val="000000" w:themeColor="text1"/>
          <w:sz w:val="32"/>
          <w:szCs w:val="32"/>
        </w:rPr>
        <w:t>2019年</w:t>
      </w:r>
      <w:r>
        <w:rPr>
          <w:rFonts w:hint="eastAsia" w:ascii="仿宋" w:hAnsi="仿宋" w:eastAsia="仿宋" w:cs="仿宋"/>
          <w:color w:val="000000" w:themeColor="text1"/>
          <w:sz w:val="32"/>
          <w:szCs w:val="32"/>
          <w:lang w:val="en-US" w:eastAsia="zh-CN"/>
        </w:rPr>
        <w:t>6月</w:t>
      </w:r>
      <w:r>
        <w:rPr>
          <w:rFonts w:hint="eastAsia" w:ascii="仿宋" w:hAnsi="仿宋" w:eastAsia="仿宋" w:cs="仿宋"/>
          <w:color w:val="000000" w:themeColor="text1"/>
          <w:sz w:val="32"/>
          <w:szCs w:val="32"/>
          <w:lang w:eastAsia="zh-CN"/>
        </w:rPr>
        <w:t>正式</w:t>
      </w:r>
      <w:r>
        <w:rPr>
          <w:rFonts w:hint="eastAsia" w:ascii="仿宋" w:hAnsi="仿宋" w:eastAsia="仿宋" w:cs="仿宋"/>
          <w:color w:val="000000" w:themeColor="text1"/>
          <w:sz w:val="32"/>
          <w:szCs w:val="32"/>
        </w:rPr>
        <w:t>合并</w:t>
      </w:r>
      <w:r>
        <w:rPr>
          <w:rFonts w:hint="eastAsia" w:ascii="仿宋" w:hAnsi="仿宋" w:eastAsia="仿宋" w:cs="仿宋"/>
          <w:color w:val="000000" w:themeColor="text1"/>
          <w:sz w:val="32"/>
          <w:szCs w:val="32"/>
          <w:lang w:eastAsia="zh-CN"/>
        </w:rPr>
        <w:t>运营</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由于合并时间为年度中间，</w:t>
      </w:r>
      <w:r>
        <w:rPr>
          <w:rFonts w:hint="eastAsia" w:ascii="仿宋" w:hAnsi="仿宋" w:eastAsia="仿宋" w:cs="仿宋"/>
          <w:color w:val="000000" w:themeColor="text1"/>
          <w:sz w:val="32"/>
          <w:szCs w:val="32"/>
          <w:lang w:val="en-US" w:eastAsia="zh-CN"/>
        </w:rPr>
        <w:t>2019不安上述两个单位的财务依然分别独立核算，“三公”经费也分开列报。2020年1月起，上述两个单位的财务正式合并核算，原县委县政府接待科所列全县五大家接待费并入县机关事务服务中心“三公经费”，且合并后加强管理，厉行节约。故县机关事务服务中心2020年“三公”经费比2019年“三公”</w:t>
      </w:r>
      <w:r>
        <w:rPr>
          <w:rFonts w:hint="eastAsia" w:ascii="仿宋" w:hAnsi="仿宋" w:eastAsia="仿宋" w:cs="仿宋"/>
          <w:color w:val="333333"/>
          <w:sz w:val="32"/>
          <w:szCs w:val="32"/>
          <w:lang w:eastAsia="zh-CN"/>
        </w:rPr>
        <w:t>减少</w:t>
      </w:r>
      <w:r>
        <w:rPr>
          <w:rFonts w:hint="eastAsia" w:ascii="仿宋" w:hAnsi="仿宋" w:eastAsia="仿宋" w:cs="仿宋"/>
          <w:color w:val="333333"/>
          <w:sz w:val="32"/>
          <w:szCs w:val="32"/>
        </w:rPr>
        <w:t>了</w:t>
      </w:r>
      <w:r>
        <w:rPr>
          <w:rFonts w:hint="eastAsia" w:ascii="仿宋" w:hAnsi="仿宋" w:eastAsia="仿宋" w:cs="仿宋"/>
          <w:color w:val="333333"/>
          <w:sz w:val="32"/>
          <w:szCs w:val="32"/>
          <w:lang w:val="en-US" w:eastAsia="zh-CN"/>
        </w:rPr>
        <w:t>17.83</w:t>
      </w:r>
      <w:r>
        <w:rPr>
          <w:rFonts w:hint="eastAsia" w:ascii="仿宋" w:hAnsi="仿宋" w:eastAsia="仿宋" w:cs="仿宋"/>
          <w:color w:val="333333"/>
          <w:sz w:val="32"/>
          <w:szCs w:val="32"/>
        </w:rPr>
        <w:t>万元</w:t>
      </w:r>
      <w:r>
        <w:rPr>
          <w:rFonts w:hint="eastAsia" w:ascii="仿宋" w:hAnsi="仿宋" w:eastAsia="仿宋" w:cs="仿宋"/>
          <w:color w:val="000000" w:themeColor="text1"/>
          <w:sz w:val="32"/>
          <w:szCs w:val="32"/>
          <w:lang w:val="en-US" w:eastAsia="zh-CN"/>
        </w:rPr>
        <w:t>；主要是加强管理，厉行节约。其中：考虑同口径因素，同口径三公经费</w:t>
      </w:r>
      <w:r>
        <w:rPr>
          <w:rFonts w:hint="eastAsia" w:ascii="仿宋" w:hAnsi="仿宋" w:eastAsia="仿宋" w:cs="仿宋"/>
          <w:color w:val="333333"/>
          <w:sz w:val="32"/>
          <w:szCs w:val="32"/>
          <w:lang w:val="en-US" w:eastAsia="zh-CN"/>
        </w:rPr>
        <w:t>99.47</w:t>
      </w:r>
      <w:r>
        <w:rPr>
          <w:rFonts w:hint="eastAsia" w:ascii="仿宋" w:hAnsi="仿宋" w:eastAsia="仿宋" w:cs="仿宋"/>
          <w:color w:val="000000" w:themeColor="text1"/>
          <w:sz w:val="32"/>
          <w:szCs w:val="32"/>
          <w:lang w:val="en-US" w:eastAsia="zh-CN"/>
        </w:rPr>
        <w:t>万，</w:t>
      </w:r>
      <w:r>
        <w:rPr>
          <w:rFonts w:hint="eastAsia" w:ascii="仿宋" w:hAnsi="仿宋" w:eastAsia="仿宋" w:cs="仿宋"/>
          <w:color w:val="333333"/>
          <w:sz w:val="32"/>
          <w:szCs w:val="32"/>
          <w:lang w:eastAsia="zh-CN"/>
        </w:rPr>
        <w:t>减少</w:t>
      </w:r>
      <w:r>
        <w:rPr>
          <w:rFonts w:hint="eastAsia" w:ascii="仿宋" w:hAnsi="仿宋" w:eastAsia="仿宋" w:cs="仿宋"/>
          <w:color w:val="333333"/>
          <w:sz w:val="32"/>
          <w:szCs w:val="32"/>
          <w:lang w:val="en-US" w:eastAsia="zh-CN"/>
        </w:rPr>
        <w:t>17.83</w:t>
      </w:r>
      <w:r>
        <w:rPr>
          <w:rFonts w:hint="eastAsia" w:ascii="仿宋" w:hAnsi="仿宋" w:eastAsia="仿宋" w:cs="仿宋"/>
          <w:color w:val="000000" w:themeColor="text1"/>
          <w:sz w:val="32"/>
          <w:szCs w:val="32"/>
          <w:lang w:val="en-US" w:eastAsia="zh-CN"/>
        </w:rPr>
        <w:t>万元，减少了17.93%。</w:t>
      </w:r>
      <w:r>
        <w:rPr>
          <w:rFonts w:hint="eastAsia" w:ascii="仿宋" w:hAnsi="仿宋" w:eastAsia="仿宋" w:cs="仿宋"/>
          <w:color w:val="333333"/>
          <w:sz w:val="32"/>
          <w:szCs w:val="32"/>
        </w:rPr>
        <w:t>其中：因公出国（境）费支出决算为0万元，占年初预算0 %；公务用车购置及运行维护费支出决算为</w:t>
      </w:r>
      <w:r>
        <w:rPr>
          <w:rFonts w:hint="eastAsia" w:ascii="仿宋" w:hAnsi="仿宋" w:eastAsia="仿宋" w:cs="仿宋"/>
          <w:color w:val="333333"/>
          <w:sz w:val="32"/>
          <w:szCs w:val="32"/>
          <w:lang w:val="en-US" w:eastAsia="zh-CN"/>
        </w:rPr>
        <w:t>5.91</w:t>
      </w:r>
      <w:r>
        <w:rPr>
          <w:rFonts w:hint="eastAsia" w:ascii="仿宋" w:hAnsi="仿宋" w:eastAsia="仿宋" w:cs="仿宋"/>
          <w:color w:val="333333"/>
          <w:sz w:val="32"/>
          <w:szCs w:val="32"/>
        </w:rPr>
        <w:t>万元，占年初预算0%；公务接待费支出决算为</w:t>
      </w:r>
      <w:r>
        <w:rPr>
          <w:rFonts w:hint="eastAsia" w:ascii="仿宋" w:hAnsi="仿宋" w:eastAsia="仿宋" w:cs="仿宋"/>
          <w:color w:val="333333"/>
          <w:sz w:val="32"/>
          <w:szCs w:val="32"/>
          <w:lang w:val="en-US" w:eastAsia="zh-CN"/>
        </w:rPr>
        <w:t>81.64</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eastAsia="zh-CN"/>
        </w:rPr>
        <w:t>，减少</w:t>
      </w:r>
      <w:r>
        <w:rPr>
          <w:rFonts w:hint="eastAsia" w:ascii="仿宋" w:hAnsi="仿宋" w:eastAsia="仿宋" w:cs="仿宋"/>
          <w:color w:val="333333"/>
          <w:sz w:val="32"/>
          <w:szCs w:val="32"/>
          <w:lang w:val="en-US" w:eastAsia="zh-CN"/>
        </w:rPr>
        <w:t>17.83</w:t>
      </w:r>
      <w:r>
        <w:rPr>
          <w:rFonts w:hint="eastAsia" w:ascii="仿宋" w:hAnsi="仿宋" w:eastAsia="仿宋" w:cs="仿宋"/>
          <w:color w:val="333333"/>
          <w:sz w:val="32"/>
          <w:szCs w:val="32"/>
        </w:rPr>
        <w:t>万元。具体情况如下：</w:t>
      </w:r>
    </w:p>
    <w:p>
      <w:pPr>
        <w:pStyle w:val="4"/>
        <w:shd w:val="clear" w:color="auto" w:fill="FFFFFF"/>
        <w:spacing w:before="0" w:beforeAutospacing="0" w:after="0" w:afterAutospacing="0" w:line="580" w:lineRule="exac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1.因公出国（境）费支出决算0 万元，全年因公出国（境）团组共计 0个，累计 0人次。</w:t>
      </w:r>
    </w:p>
    <w:p>
      <w:pPr>
        <w:pStyle w:val="4"/>
        <w:shd w:val="clear" w:color="auto" w:fill="FFFFFF"/>
        <w:spacing w:before="0" w:beforeAutospacing="0" w:after="0" w:afterAutospacing="0" w:line="580" w:lineRule="exac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2.公务用车购置及运行费支出</w:t>
      </w:r>
      <w:r>
        <w:rPr>
          <w:rFonts w:hint="eastAsia" w:ascii="仿宋" w:hAnsi="仿宋" w:eastAsia="仿宋" w:cs="仿宋"/>
          <w:color w:val="333333"/>
          <w:sz w:val="32"/>
          <w:szCs w:val="32"/>
          <w:lang w:val="en-US" w:eastAsia="zh-CN"/>
        </w:rPr>
        <w:t>5.91</w:t>
      </w:r>
      <w:r>
        <w:rPr>
          <w:rFonts w:hint="eastAsia" w:ascii="仿宋" w:hAnsi="仿宋" w:eastAsia="仿宋" w:cs="仿宋"/>
          <w:color w:val="333333"/>
          <w:sz w:val="32"/>
          <w:szCs w:val="32"/>
        </w:rPr>
        <w:t>万元。其中：公务用车购置支出0元。公务用车运行支出</w:t>
      </w:r>
      <w:r>
        <w:rPr>
          <w:rFonts w:hint="eastAsia" w:ascii="仿宋" w:hAnsi="仿宋" w:eastAsia="仿宋" w:cs="仿宋"/>
          <w:color w:val="333333"/>
          <w:sz w:val="32"/>
          <w:szCs w:val="32"/>
          <w:lang w:val="en-US" w:eastAsia="zh-CN"/>
        </w:rPr>
        <w:t>5.91</w:t>
      </w:r>
      <w:r>
        <w:rPr>
          <w:rFonts w:hint="eastAsia" w:ascii="仿宋" w:hAnsi="仿宋" w:eastAsia="仿宋" w:cs="仿宋"/>
          <w:color w:val="333333"/>
          <w:sz w:val="32"/>
          <w:szCs w:val="32"/>
        </w:rPr>
        <w:t>万元。主要用于：公务用车燃料费、维修费、过路过桥费、保险费用等支出。</w:t>
      </w:r>
    </w:p>
    <w:p>
      <w:pPr>
        <w:pStyle w:val="4"/>
        <w:shd w:val="clear" w:color="auto" w:fill="FFFFFF"/>
        <w:spacing w:before="0" w:beforeAutospacing="0" w:after="0" w:afterAutospacing="0" w:line="580" w:lineRule="exact"/>
        <w:ind w:firstLine="640" w:firstLineChars="200"/>
        <w:rPr>
          <w:rFonts w:ascii="仿宋" w:hAnsi="仿宋" w:eastAsia="仿宋" w:cs="仿宋"/>
          <w:color w:val="666666"/>
          <w:sz w:val="32"/>
          <w:szCs w:val="32"/>
        </w:rPr>
      </w:pPr>
      <w:r>
        <w:rPr>
          <w:rFonts w:hint="eastAsia" w:ascii="仿宋" w:hAnsi="仿宋" w:eastAsia="仿宋" w:cs="仿宋"/>
          <w:color w:val="333333"/>
          <w:sz w:val="32"/>
          <w:szCs w:val="32"/>
        </w:rPr>
        <w:t>3.公务接待费支出81.64万元，其中：外事接待支出0万元。国内公务接待支出81.64万元。2020年国内公务接待批次共275个、国内公务接待人次6000人次（不包括陪同人员）。</w:t>
      </w:r>
    </w:p>
    <w:p>
      <w:pPr>
        <w:pStyle w:val="4"/>
        <w:shd w:val="clear" w:color="auto" w:fill="FFFFFF"/>
        <w:spacing w:before="0" w:beforeAutospacing="0" w:after="0" w:afterAutospacing="0" w:line="580" w:lineRule="exact"/>
        <w:ind w:firstLine="640" w:firstLineChars="200"/>
        <w:rPr>
          <w:rFonts w:ascii="仿宋" w:hAnsi="仿宋" w:eastAsia="仿宋" w:cs="仿宋"/>
          <w:color w:val="666666"/>
          <w:sz w:val="32"/>
          <w:szCs w:val="32"/>
        </w:rPr>
      </w:pPr>
      <w:r>
        <w:rPr>
          <w:rFonts w:hint="eastAsia" w:ascii="仿宋" w:hAnsi="仿宋" w:eastAsia="仿宋" w:cs="仿宋"/>
          <w:color w:val="333333"/>
          <w:sz w:val="32"/>
          <w:szCs w:val="32"/>
        </w:rPr>
        <w:t>4.“三公”经费财政拨款支出决算增减变动情况说明</w:t>
      </w:r>
    </w:p>
    <w:p>
      <w:pPr>
        <w:pStyle w:val="4"/>
        <w:shd w:val="clear" w:color="auto" w:fill="FFFFFF"/>
        <w:spacing w:before="0" w:beforeAutospacing="0" w:after="0" w:afterAutospacing="0" w:line="580" w:lineRule="exac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2020年度“三公”经费财政拨款支出决算中，因公出国（境）费支出决算为0万元，增长0%；公务用车购置支出决算为</w:t>
      </w:r>
      <w:r>
        <w:rPr>
          <w:rFonts w:hint="eastAsia" w:ascii="仿宋" w:hAnsi="仿宋" w:eastAsia="仿宋" w:cs="仿宋"/>
          <w:color w:val="333333"/>
          <w:sz w:val="32"/>
          <w:szCs w:val="32"/>
          <w:lang w:val="en-US" w:eastAsia="zh-CN"/>
        </w:rPr>
        <w:t>5.91</w:t>
      </w:r>
      <w:r>
        <w:rPr>
          <w:rFonts w:hint="eastAsia" w:ascii="仿宋" w:hAnsi="仿宋" w:eastAsia="仿宋" w:cs="仿宋"/>
          <w:color w:val="333333"/>
          <w:sz w:val="32"/>
          <w:szCs w:val="32"/>
        </w:rPr>
        <w:t>万元，同比增加</w:t>
      </w:r>
      <w:r>
        <w:rPr>
          <w:rFonts w:hint="eastAsia" w:ascii="仿宋" w:hAnsi="仿宋" w:eastAsia="仿宋" w:cs="仿宋"/>
          <w:color w:val="333333"/>
          <w:sz w:val="32"/>
          <w:szCs w:val="32"/>
          <w:lang w:val="en-US" w:eastAsia="zh-CN"/>
        </w:rPr>
        <w:t>100</w:t>
      </w:r>
      <w:r>
        <w:rPr>
          <w:rFonts w:hint="eastAsia" w:ascii="仿宋" w:hAnsi="仿宋" w:eastAsia="仿宋" w:cs="仿宋"/>
          <w:color w:val="333333"/>
          <w:sz w:val="32"/>
          <w:szCs w:val="32"/>
        </w:rPr>
        <w:t>%；公务接待费支出决算为81.64万元，比2019年公务接待费</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万元</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增加了</w:t>
      </w:r>
      <w:r>
        <w:rPr>
          <w:rFonts w:hint="eastAsia" w:ascii="仿宋" w:hAnsi="仿宋" w:eastAsia="仿宋" w:cs="仿宋"/>
          <w:color w:val="333333"/>
          <w:sz w:val="32"/>
          <w:szCs w:val="32"/>
          <w:lang w:val="en-US" w:eastAsia="zh-CN"/>
        </w:rPr>
        <w:t>81.64</w:t>
      </w:r>
      <w:r>
        <w:rPr>
          <w:rFonts w:hint="eastAsia" w:ascii="仿宋" w:hAnsi="仿宋" w:eastAsia="仿宋" w:cs="仿宋"/>
          <w:color w:val="333333"/>
          <w:sz w:val="32"/>
          <w:szCs w:val="32"/>
        </w:rPr>
        <w:t>万元。</w:t>
      </w:r>
    </w:p>
    <w:p>
      <w:pPr>
        <w:widowControl/>
        <w:shd w:val="clear" w:color="auto" w:fill="FFFFFF"/>
        <w:spacing w:line="580" w:lineRule="exact"/>
        <w:ind w:firstLine="640" w:firstLineChars="200"/>
        <w:jc w:val="left"/>
        <w:rPr>
          <w:rFonts w:ascii="黑体" w:hAnsi="黑体" w:eastAsia="黑体" w:cs="黑体"/>
          <w:color w:val="333333"/>
          <w:kern w:val="0"/>
          <w:sz w:val="32"/>
          <w:szCs w:val="32"/>
        </w:rPr>
      </w:pPr>
      <w:r>
        <w:rPr>
          <w:rFonts w:hint="eastAsia" w:ascii="黑体" w:hAnsi="黑体" w:eastAsia="黑体" w:cs="黑体"/>
          <w:color w:val="333333"/>
          <w:kern w:val="0"/>
          <w:sz w:val="32"/>
          <w:szCs w:val="32"/>
        </w:rPr>
        <w:t>三、部门整体支出绩效指标评价情况 </w:t>
      </w:r>
    </w:p>
    <w:p>
      <w:pPr>
        <w:widowControl/>
        <w:shd w:val="clear" w:color="auto" w:fill="FFFFFF"/>
        <w:spacing w:line="580" w:lineRule="exact"/>
        <w:ind w:firstLine="640" w:firstLineChars="200"/>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rPr>
        <w:t>对照</w:t>
      </w:r>
      <w:r>
        <w:rPr>
          <w:rFonts w:hint="eastAsia" w:ascii="仿宋" w:hAnsi="仿宋" w:eastAsia="仿宋" w:cs="仿宋"/>
          <w:sz w:val="32"/>
          <w:szCs w:val="32"/>
        </w:rPr>
        <w:t>双政办发〔2013〕24号</w:t>
      </w:r>
      <w:r>
        <w:rPr>
          <w:rFonts w:hint="eastAsia" w:ascii="仿宋" w:hAnsi="仿宋" w:eastAsia="仿宋" w:cs="仿宋"/>
          <w:color w:val="333333"/>
          <w:kern w:val="0"/>
          <w:sz w:val="32"/>
          <w:szCs w:val="32"/>
        </w:rPr>
        <w:t>文件规定的考核指标，我单位从预算配置、预算执行、预算管理、职责履行、履职效益等方面对2020年部门整体支出绩效开展了评价，自评得分92分，具体情况如下： </w:t>
      </w:r>
    </w:p>
    <w:p>
      <w:pPr>
        <w:widowControl/>
        <w:shd w:val="clear" w:color="auto" w:fill="FFFFFF"/>
        <w:spacing w:line="580" w:lineRule="exact"/>
        <w:ind w:firstLine="643" w:firstLineChars="200"/>
        <w:jc w:val="left"/>
        <w:rPr>
          <w:rFonts w:ascii="楷体" w:hAnsi="楷体" w:eastAsia="楷体" w:cs="楷体"/>
          <w:b/>
          <w:bCs/>
          <w:color w:val="333333"/>
          <w:kern w:val="0"/>
          <w:sz w:val="32"/>
          <w:szCs w:val="32"/>
        </w:rPr>
      </w:pPr>
      <w:r>
        <w:rPr>
          <w:rFonts w:hint="eastAsia" w:ascii="楷体" w:hAnsi="楷体" w:eastAsia="楷体" w:cs="楷体"/>
          <w:b/>
          <w:bCs/>
          <w:color w:val="333333"/>
          <w:kern w:val="0"/>
          <w:sz w:val="32"/>
          <w:szCs w:val="32"/>
        </w:rPr>
        <w:t>（一）预算配置方面 </w:t>
      </w:r>
    </w:p>
    <w:p>
      <w:pPr>
        <w:widowControl/>
        <w:shd w:val="clear" w:color="auto" w:fill="FFFFFF"/>
        <w:spacing w:line="580" w:lineRule="exact"/>
        <w:ind w:firstLine="640" w:firstLineChars="200"/>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rPr>
        <w:t>在职人员控制率：编制数10人，在职人员8人，在编制控制范围内，在职人员控制率为80%。</w:t>
      </w:r>
    </w:p>
    <w:p>
      <w:pPr>
        <w:widowControl/>
        <w:shd w:val="clear" w:color="auto" w:fill="FFFFFF"/>
        <w:spacing w:line="580" w:lineRule="exact"/>
        <w:ind w:firstLine="640" w:firstLineChars="200"/>
        <w:jc w:val="left"/>
        <w:rPr>
          <w:rFonts w:ascii="仿宋" w:hAnsi="仿宋" w:eastAsia="仿宋" w:cs="仿宋"/>
          <w:b/>
          <w:bCs/>
          <w:color w:val="333333"/>
          <w:kern w:val="0"/>
          <w:sz w:val="32"/>
          <w:szCs w:val="32"/>
        </w:rPr>
      </w:pPr>
      <w:r>
        <w:rPr>
          <w:rFonts w:hint="eastAsia" w:ascii="仿宋" w:hAnsi="仿宋" w:eastAsia="仿宋" w:cs="仿宋"/>
          <w:color w:val="333333"/>
          <w:kern w:val="0"/>
          <w:sz w:val="32"/>
          <w:szCs w:val="32"/>
        </w:rPr>
        <w:t>“三公经费”变动率：三公经费本年预算数</w:t>
      </w:r>
      <w:r>
        <w:rPr>
          <w:rFonts w:hint="eastAsia" w:ascii="仿宋" w:hAnsi="仿宋" w:eastAsia="仿宋" w:cs="仿宋"/>
          <w:color w:val="333333"/>
          <w:kern w:val="0"/>
          <w:sz w:val="32"/>
          <w:szCs w:val="32"/>
          <w:lang w:val="en-US" w:eastAsia="zh-CN"/>
        </w:rPr>
        <w:t>286</w:t>
      </w:r>
      <w:r>
        <w:rPr>
          <w:rFonts w:hint="eastAsia" w:ascii="仿宋" w:hAnsi="仿宋" w:eastAsia="仿宋" w:cs="仿宋"/>
          <w:color w:val="333333"/>
          <w:kern w:val="0"/>
          <w:sz w:val="32"/>
          <w:szCs w:val="32"/>
        </w:rPr>
        <w:t>万元，上年预算数</w:t>
      </w:r>
      <w:r>
        <w:rPr>
          <w:rFonts w:hint="eastAsia" w:ascii="仿宋" w:hAnsi="仿宋" w:eastAsia="仿宋" w:cs="仿宋"/>
          <w:color w:val="333333"/>
          <w:kern w:val="0"/>
          <w:sz w:val="32"/>
          <w:szCs w:val="32"/>
          <w:lang w:val="en-US" w:eastAsia="zh-CN"/>
        </w:rPr>
        <w:t>14.15</w:t>
      </w:r>
      <w:r>
        <w:rPr>
          <w:rFonts w:hint="eastAsia" w:ascii="仿宋" w:hAnsi="仿宋" w:eastAsia="仿宋" w:cs="仿宋"/>
          <w:color w:val="333333"/>
          <w:kern w:val="0"/>
          <w:sz w:val="32"/>
          <w:szCs w:val="32"/>
        </w:rPr>
        <w:t>万元</w:t>
      </w:r>
      <w:r>
        <w:rPr>
          <w:rFonts w:hint="eastAsia" w:ascii="仿宋" w:hAnsi="仿宋" w:eastAsia="仿宋" w:cs="仿宋"/>
          <w:color w:val="333333"/>
          <w:kern w:val="0"/>
          <w:sz w:val="32"/>
          <w:szCs w:val="32"/>
          <w:lang w:eastAsia="zh-CN"/>
        </w:rPr>
        <w:t>，增加</w:t>
      </w:r>
      <w:r>
        <w:rPr>
          <w:rFonts w:hint="eastAsia" w:ascii="仿宋" w:hAnsi="仿宋" w:eastAsia="仿宋" w:cs="仿宋"/>
          <w:color w:val="333333"/>
          <w:kern w:val="0"/>
          <w:sz w:val="32"/>
          <w:szCs w:val="32"/>
          <w:lang w:val="en-US" w:eastAsia="zh-CN"/>
        </w:rPr>
        <w:t>271.85万元</w:t>
      </w:r>
      <w:r>
        <w:rPr>
          <w:rFonts w:hint="eastAsia" w:ascii="仿宋" w:hAnsi="仿宋" w:eastAsia="仿宋" w:cs="仿宋"/>
          <w:color w:val="333333"/>
          <w:kern w:val="0"/>
          <w:sz w:val="32"/>
          <w:szCs w:val="32"/>
        </w:rPr>
        <w:t>，</w:t>
      </w:r>
      <w:r>
        <w:rPr>
          <w:rFonts w:hint="eastAsia" w:ascii="仿宋" w:hAnsi="仿宋" w:eastAsia="仿宋" w:cs="仿宋"/>
          <w:sz w:val="32"/>
          <w:szCs w:val="32"/>
        </w:rPr>
        <w:t>主要原因是</w:t>
      </w:r>
      <w:r>
        <w:rPr>
          <w:rFonts w:hint="eastAsia" w:ascii="仿宋" w:hAnsi="仿宋" w:eastAsia="仿宋" w:cs="仿宋"/>
          <w:color w:val="333333"/>
          <w:sz w:val="32"/>
          <w:szCs w:val="32"/>
          <w:lang w:eastAsia="zh-CN"/>
        </w:rPr>
        <w:t>原</w:t>
      </w:r>
      <w:r>
        <w:rPr>
          <w:rFonts w:hint="eastAsia" w:ascii="仿宋" w:hAnsi="仿宋" w:eastAsia="仿宋" w:cs="仿宋"/>
          <w:color w:val="000000" w:themeColor="text1"/>
          <w:sz w:val="32"/>
          <w:szCs w:val="32"/>
        </w:rPr>
        <w:t>县委县政府接待科与</w:t>
      </w:r>
      <w:r>
        <w:rPr>
          <w:rFonts w:hint="eastAsia" w:ascii="仿宋" w:hAnsi="仿宋" w:eastAsia="仿宋" w:cs="仿宋"/>
          <w:color w:val="000000" w:themeColor="text1"/>
          <w:sz w:val="32"/>
          <w:szCs w:val="32"/>
          <w:lang w:eastAsia="zh-CN"/>
        </w:rPr>
        <w:t>原</w:t>
      </w:r>
      <w:r>
        <w:rPr>
          <w:rFonts w:hint="eastAsia" w:ascii="仿宋" w:hAnsi="仿宋" w:eastAsia="仿宋" w:cs="仿宋"/>
          <w:color w:val="000000" w:themeColor="text1"/>
          <w:sz w:val="32"/>
          <w:szCs w:val="32"/>
        </w:rPr>
        <w:t>机关事务服务中心</w:t>
      </w:r>
      <w:r>
        <w:rPr>
          <w:rFonts w:hint="eastAsia" w:ascii="仿宋" w:hAnsi="仿宋" w:eastAsia="仿宋" w:cs="仿宋"/>
          <w:color w:val="000000" w:themeColor="text1"/>
          <w:sz w:val="32"/>
          <w:szCs w:val="32"/>
          <w:lang w:eastAsia="zh-CN"/>
        </w:rPr>
        <w:t>于</w:t>
      </w:r>
      <w:r>
        <w:rPr>
          <w:rFonts w:hint="eastAsia" w:ascii="仿宋" w:hAnsi="仿宋" w:eastAsia="仿宋" w:cs="仿宋"/>
          <w:color w:val="000000" w:themeColor="text1"/>
          <w:sz w:val="32"/>
          <w:szCs w:val="32"/>
        </w:rPr>
        <w:t>2019年</w:t>
      </w:r>
      <w:r>
        <w:rPr>
          <w:rFonts w:hint="eastAsia" w:ascii="仿宋" w:hAnsi="仿宋" w:eastAsia="仿宋" w:cs="仿宋"/>
          <w:color w:val="000000" w:themeColor="text1"/>
          <w:sz w:val="32"/>
          <w:szCs w:val="32"/>
          <w:lang w:val="en-US" w:eastAsia="zh-CN"/>
        </w:rPr>
        <w:t>6月</w:t>
      </w:r>
      <w:r>
        <w:rPr>
          <w:rFonts w:hint="eastAsia" w:ascii="仿宋" w:hAnsi="仿宋" w:eastAsia="仿宋" w:cs="仿宋"/>
          <w:color w:val="000000" w:themeColor="text1"/>
          <w:sz w:val="32"/>
          <w:szCs w:val="32"/>
          <w:lang w:eastAsia="zh-CN"/>
        </w:rPr>
        <w:t>正式</w:t>
      </w:r>
      <w:r>
        <w:rPr>
          <w:rFonts w:hint="eastAsia" w:ascii="仿宋" w:hAnsi="仿宋" w:eastAsia="仿宋" w:cs="仿宋"/>
          <w:color w:val="000000" w:themeColor="text1"/>
          <w:sz w:val="32"/>
          <w:szCs w:val="32"/>
        </w:rPr>
        <w:t>合并</w:t>
      </w:r>
      <w:r>
        <w:rPr>
          <w:rFonts w:hint="eastAsia" w:ascii="仿宋" w:hAnsi="仿宋" w:eastAsia="仿宋" w:cs="仿宋"/>
          <w:color w:val="000000" w:themeColor="text1"/>
          <w:sz w:val="32"/>
          <w:szCs w:val="32"/>
          <w:lang w:eastAsia="zh-CN"/>
        </w:rPr>
        <w:t>运营</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由于合并时间为年度中间，</w:t>
      </w:r>
      <w:r>
        <w:rPr>
          <w:rFonts w:hint="eastAsia" w:ascii="仿宋" w:hAnsi="仿宋" w:eastAsia="仿宋" w:cs="仿宋"/>
          <w:color w:val="000000" w:themeColor="text1"/>
          <w:sz w:val="32"/>
          <w:szCs w:val="32"/>
          <w:lang w:val="en-US" w:eastAsia="zh-CN"/>
        </w:rPr>
        <w:t>2019不安上述两个单位的财务依然分别独立核算，“三公”经费也分开列报。2020年1月起，上述两个单位的财务正式合并核算，原县委县政府接待科所列全县五大家接待费并入县机关事务服务中心“三公经费”。考虑同口径因素，同口径三公经费184.15万，增加101.85万元，增长55.31%。</w:t>
      </w:r>
    </w:p>
    <w:p>
      <w:pPr>
        <w:widowControl/>
        <w:shd w:val="clear" w:color="auto" w:fill="FFFFFF"/>
        <w:spacing w:line="580" w:lineRule="exact"/>
        <w:ind w:firstLine="643" w:firstLineChars="200"/>
        <w:jc w:val="left"/>
        <w:rPr>
          <w:rFonts w:ascii="仿宋" w:hAnsi="仿宋" w:eastAsia="仿宋" w:cs="仿宋"/>
          <w:b/>
          <w:bCs/>
          <w:color w:val="333333"/>
          <w:kern w:val="0"/>
          <w:sz w:val="32"/>
          <w:szCs w:val="32"/>
        </w:rPr>
      </w:pPr>
      <w:r>
        <w:rPr>
          <w:rFonts w:hint="eastAsia" w:ascii="楷体" w:hAnsi="楷体" w:eastAsia="楷体" w:cs="楷体"/>
          <w:b/>
          <w:bCs/>
          <w:color w:val="333333"/>
          <w:kern w:val="0"/>
          <w:sz w:val="32"/>
          <w:szCs w:val="32"/>
        </w:rPr>
        <w:t xml:space="preserve">    （二）预算执行方面 </w:t>
      </w:r>
    </w:p>
    <w:p>
      <w:pPr>
        <w:ind w:firstLine="640" w:firstLineChars="200"/>
        <w:jc w:val="left"/>
        <w:rPr>
          <w:rFonts w:ascii="宋体" w:hAnsi="宋体" w:cs="Arial"/>
          <w:color w:val="000000" w:themeColor="text1"/>
          <w:kern w:val="0"/>
          <w:sz w:val="22"/>
          <w:szCs w:val="22"/>
        </w:rPr>
      </w:pPr>
      <w:r>
        <w:rPr>
          <w:rFonts w:hint="eastAsia" w:ascii="仿宋" w:hAnsi="仿宋" w:eastAsia="仿宋" w:cs="仿宋"/>
          <w:color w:val="333333"/>
          <w:kern w:val="0"/>
          <w:sz w:val="32"/>
          <w:szCs w:val="32"/>
        </w:rPr>
        <w:t>预算完成率：年初预算1094.13万元，本年追加预算0</w:t>
      </w:r>
      <w:r>
        <w:rPr>
          <w:rFonts w:hint="eastAsia" w:ascii="仿宋" w:hAnsi="仿宋" w:eastAsia="仿宋" w:cs="仿宋"/>
          <w:color w:val="000000" w:themeColor="text1"/>
          <w:kern w:val="0"/>
          <w:sz w:val="32"/>
          <w:szCs w:val="32"/>
        </w:rPr>
        <w:t>万元，年末结余88.63万元，预算完成率63.85%。 </w:t>
      </w:r>
    </w:p>
    <w:p>
      <w:pPr>
        <w:widowControl/>
        <w:shd w:val="clear" w:color="auto" w:fill="FFFFFF"/>
        <w:spacing w:line="580" w:lineRule="exact"/>
        <w:ind w:firstLine="640" w:firstLineChars="200"/>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rPr>
        <w:t>预算控制率：2020年年初预算1094.13万元，年中追加预算0万元，预算控制率100%。 </w:t>
      </w:r>
    </w:p>
    <w:p>
      <w:pPr>
        <w:widowControl/>
        <w:shd w:val="clear" w:color="auto" w:fill="FFFFFF"/>
        <w:spacing w:line="580" w:lineRule="exact"/>
        <w:ind w:firstLine="640" w:firstLineChars="200"/>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rPr>
        <w:t>新建楼堂馆所有关控制率：无新建楼堂馆所情况。 </w:t>
      </w:r>
    </w:p>
    <w:p>
      <w:pPr>
        <w:widowControl/>
        <w:shd w:val="clear" w:color="auto" w:fill="FFFFFF"/>
        <w:spacing w:line="580" w:lineRule="exact"/>
        <w:ind w:firstLine="643" w:firstLineChars="200"/>
        <w:jc w:val="left"/>
        <w:rPr>
          <w:rFonts w:ascii="仿宋" w:hAnsi="仿宋" w:eastAsia="仿宋" w:cs="仿宋"/>
          <w:color w:val="333333"/>
          <w:kern w:val="0"/>
          <w:sz w:val="32"/>
          <w:szCs w:val="32"/>
        </w:rPr>
      </w:pPr>
      <w:r>
        <w:rPr>
          <w:rFonts w:hint="eastAsia" w:ascii="楷体" w:hAnsi="楷体" w:eastAsia="楷体" w:cs="楷体"/>
          <w:b/>
          <w:bCs/>
          <w:color w:val="333333"/>
          <w:kern w:val="0"/>
          <w:sz w:val="32"/>
          <w:szCs w:val="32"/>
        </w:rPr>
        <w:t>（三）预算管理方面 </w:t>
      </w:r>
    </w:p>
    <w:p>
      <w:pPr>
        <w:jc w:val="left"/>
        <w:rPr>
          <w:rFonts w:ascii="宋体" w:hAnsi="宋体" w:cs="Arial"/>
          <w:color w:val="000000"/>
          <w:kern w:val="0"/>
          <w:sz w:val="22"/>
          <w:szCs w:val="22"/>
        </w:rPr>
      </w:pPr>
      <w:r>
        <w:rPr>
          <w:rFonts w:hint="eastAsia" w:ascii="仿宋" w:hAnsi="仿宋" w:eastAsia="仿宋" w:cs="仿宋"/>
          <w:color w:val="333333"/>
          <w:kern w:val="0"/>
          <w:sz w:val="32"/>
          <w:szCs w:val="32"/>
        </w:rPr>
        <w:t>公用经费控制率：2020年我单位预算管理各项指标变动较大。实际支出公用经费总额</w:t>
      </w:r>
      <w:r>
        <w:rPr>
          <w:rFonts w:hint="eastAsia" w:ascii="仿宋" w:hAnsi="仿宋" w:eastAsia="仿宋" w:cs="仿宋"/>
          <w:color w:val="333333"/>
          <w:kern w:val="0"/>
          <w:sz w:val="32"/>
          <w:szCs w:val="32"/>
          <w:lang w:val="en-US" w:eastAsia="zh-CN"/>
        </w:rPr>
        <w:t>14.49</w:t>
      </w:r>
      <w:r>
        <w:rPr>
          <w:rFonts w:hint="eastAsia" w:ascii="仿宋" w:hAnsi="仿宋" w:eastAsia="仿宋" w:cs="仿宋"/>
          <w:color w:val="333333"/>
          <w:kern w:val="0"/>
          <w:sz w:val="32"/>
          <w:szCs w:val="32"/>
        </w:rPr>
        <w:t>万元，</w:t>
      </w:r>
      <w:r>
        <w:rPr>
          <w:rFonts w:hint="eastAsia" w:ascii="仿宋" w:hAnsi="仿宋" w:eastAsia="仿宋" w:cs="仿宋"/>
          <w:color w:val="000000" w:themeColor="text1"/>
          <w:kern w:val="0"/>
          <w:sz w:val="32"/>
          <w:szCs w:val="32"/>
        </w:rPr>
        <w:t>预算安排公用经费总额</w:t>
      </w:r>
      <w:r>
        <w:rPr>
          <w:rFonts w:hint="eastAsia" w:ascii="仿宋" w:hAnsi="仿宋" w:eastAsia="仿宋" w:cs="仿宋"/>
          <w:color w:val="000000" w:themeColor="text1"/>
          <w:kern w:val="0"/>
          <w:sz w:val="32"/>
          <w:szCs w:val="32"/>
          <w:lang w:val="en-US" w:eastAsia="zh-CN"/>
        </w:rPr>
        <w:t>26.2</w:t>
      </w:r>
      <w:r>
        <w:rPr>
          <w:rFonts w:hint="eastAsia" w:ascii="仿宋" w:hAnsi="仿宋" w:eastAsia="仿宋" w:cs="仿宋"/>
          <w:color w:val="000000" w:themeColor="text1"/>
          <w:kern w:val="0"/>
          <w:sz w:val="32"/>
          <w:szCs w:val="32"/>
        </w:rPr>
        <w:t>万元，公用经费控制率</w:t>
      </w:r>
      <w:r>
        <w:rPr>
          <w:rFonts w:hint="eastAsia" w:ascii="仿宋" w:hAnsi="仿宋" w:eastAsia="仿宋" w:cs="仿宋"/>
          <w:color w:val="000000" w:themeColor="text1"/>
          <w:kern w:val="0"/>
          <w:sz w:val="32"/>
          <w:szCs w:val="32"/>
          <w:lang w:val="en-US" w:eastAsia="zh-CN"/>
        </w:rPr>
        <w:t>55.31</w:t>
      </w:r>
      <w:r>
        <w:rPr>
          <w:rFonts w:hint="eastAsia" w:ascii="仿宋" w:hAnsi="仿宋" w:eastAsia="仿宋" w:cs="仿宋"/>
          <w:color w:val="000000" w:themeColor="text1"/>
          <w:kern w:val="0"/>
          <w:sz w:val="32"/>
          <w:szCs w:val="32"/>
        </w:rPr>
        <w:t>%。主要原因是2020年新招聘司机12人并增加12台公车，劳务费和其他交通费用增加。</w:t>
      </w:r>
    </w:p>
    <w:p>
      <w:pPr>
        <w:widowControl/>
        <w:shd w:val="clear" w:color="auto" w:fill="FFFFFF"/>
        <w:spacing w:line="580" w:lineRule="exact"/>
        <w:ind w:firstLine="640" w:firstLineChars="200"/>
        <w:jc w:val="left"/>
        <w:rPr>
          <w:rFonts w:ascii="仿宋" w:hAnsi="仿宋" w:eastAsia="仿宋" w:cs="仿宋"/>
          <w:color w:val="FF0000"/>
          <w:kern w:val="0"/>
          <w:sz w:val="32"/>
          <w:szCs w:val="32"/>
        </w:rPr>
      </w:pPr>
      <w:r>
        <w:rPr>
          <w:rFonts w:hint="eastAsia" w:ascii="仿宋" w:hAnsi="仿宋" w:eastAsia="仿宋" w:cs="仿宋"/>
          <w:color w:val="333333"/>
          <w:kern w:val="0"/>
          <w:sz w:val="32"/>
          <w:szCs w:val="32"/>
        </w:rPr>
        <w:t>“三公经费”控制率：“三公”经费实际支出数为81.64万元</w:t>
      </w:r>
      <w:r>
        <w:rPr>
          <w:rFonts w:hint="eastAsia" w:ascii="仿宋" w:hAnsi="仿宋" w:eastAsia="仿宋" w:cs="仿宋"/>
          <w:color w:val="000000" w:themeColor="text1"/>
          <w:kern w:val="0"/>
          <w:sz w:val="32"/>
          <w:szCs w:val="32"/>
        </w:rPr>
        <w:t>，预算安排数2万元，“三公”经费控制率为2.45%。</w:t>
      </w:r>
      <w:r>
        <w:rPr>
          <w:rFonts w:hint="eastAsia" w:ascii="仿宋" w:hAnsi="仿宋" w:eastAsia="仿宋" w:cs="仿宋"/>
          <w:color w:val="FF0000"/>
          <w:kern w:val="0"/>
          <w:sz w:val="32"/>
          <w:szCs w:val="32"/>
        </w:rPr>
        <w:t xml:space="preserve"> </w:t>
      </w:r>
    </w:p>
    <w:p>
      <w:pPr>
        <w:widowControl/>
        <w:shd w:val="clear" w:color="auto" w:fill="FFFFFF"/>
        <w:spacing w:line="580" w:lineRule="exact"/>
        <w:ind w:firstLine="640" w:firstLineChars="200"/>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rPr>
        <w:t>政府采购执行率：政府采购预算数0万元，实际政府采购金额0万元，政府采购执行率0%，实现了应采尽采。 </w:t>
      </w:r>
    </w:p>
    <w:p>
      <w:pPr>
        <w:widowControl/>
        <w:shd w:val="clear" w:color="auto" w:fill="FFFFFF"/>
        <w:spacing w:line="580" w:lineRule="exact"/>
        <w:ind w:firstLine="640" w:firstLineChars="200"/>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rPr>
        <w:t>管理制度健全性：严格落实《双牌县机关事务服务中心财务管理制度》等有关管理制度，规范财务审批程序，本着厉行节约的原则，严格差旅费和接待费支出标准、范围和程序的审核，有效地控制了我单位一般性支出。 </w:t>
      </w:r>
    </w:p>
    <w:p>
      <w:pPr>
        <w:widowControl/>
        <w:shd w:val="clear" w:color="auto" w:fill="FFFFFF"/>
        <w:spacing w:line="580" w:lineRule="exact"/>
        <w:ind w:firstLine="640" w:firstLineChars="200"/>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rPr>
        <w:t>资金使用合规性：配合机关纪检组开展违反中央八项规定突出问题专项整治，严格落实中央八项规定和有关公务支出标准。配合审计工作，及时整理制作和报送资料，对审计提出的问题认真整改，落实到位。加强经费合法合规性审核和预算控制，严格按制度政策办事，资金使用合法合规，支出手续齐全，程序到位。 </w:t>
      </w:r>
    </w:p>
    <w:p>
      <w:pPr>
        <w:widowControl/>
        <w:shd w:val="clear" w:color="auto" w:fill="FFFFFF"/>
        <w:spacing w:line="580" w:lineRule="exact"/>
        <w:ind w:firstLine="640" w:firstLineChars="200"/>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rPr>
        <w:t>预决算信息公开性：加快预算执行，盘活存量资金，减少追加资金。真实准确编制局机关部门预算和决算，按时上报基础数据资料。对上年度部门整体支出进行了绩效评价，对标找差距。按规定时限和规定内容公开部门预算、部门决算。各项应向社会公开的信息及时、完整、真实，更加细化，部门预决算信息透明度进一步提高。 </w:t>
      </w:r>
    </w:p>
    <w:p>
      <w:pPr>
        <w:widowControl/>
        <w:shd w:val="clear" w:color="auto" w:fill="FFFFFF"/>
        <w:spacing w:line="580" w:lineRule="exact"/>
        <w:ind w:firstLine="643" w:firstLineChars="200"/>
        <w:jc w:val="left"/>
        <w:rPr>
          <w:rFonts w:ascii="楷体" w:hAnsi="楷体" w:eastAsia="楷体" w:cs="楷体"/>
          <w:color w:val="333333"/>
          <w:kern w:val="0"/>
          <w:sz w:val="32"/>
          <w:szCs w:val="32"/>
        </w:rPr>
      </w:pPr>
      <w:r>
        <w:rPr>
          <w:rFonts w:hint="eastAsia" w:ascii="楷体" w:hAnsi="楷体" w:eastAsia="楷体" w:cs="楷体"/>
          <w:b/>
          <w:bCs/>
          <w:color w:val="333333"/>
          <w:kern w:val="0"/>
          <w:sz w:val="32"/>
          <w:szCs w:val="32"/>
        </w:rPr>
        <w:t>（四）职责履行和履职效益方面 </w:t>
      </w:r>
    </w:p>
    <w:p>
      <w:pPr>
        <w:wordWrap w:val="0"/>
        <w:spacing w:line="580" w:lineRule="exact"/>
        <w:ind w:firstLine="643" w:firstLineChars="200"/>
        <w:rPr>
          <w:rFonts w:ascii="仿宋" w:hAnsi="仿宋" w:eastAsia="仿宋" w:cs="仿宋"/>
          <w:sz w:val="32"/>
          <w:szCs w:val="32"/>
        </w:rPr>
      </w:pPr>
      <w:r>
        <w:rPr>
          <w:rFonts w:hint="eastAsia" w:ascii="仿宋" w:hAnsi="仿宋" w:eastAsia="仿宋" w:cs="仿宋"/>
          <w:b/>
          <w:sz w:val="32"/>
          <w:szCs w:val="32"/>
        </w:rPr>
        <w:t>1.用车调度更加高效。</w:t>
      </w:r>
      <w:r>
        <w:rPr>
          <w:rFonts w:hint="eastAsia" w:ascii="仿宋" w:hAnsi="仿宋" w:eastAsia="仿宋" w:cs="仿宋"/>
          <w:sz w:val="32"/>
          <w:szCs w:val="32"/>
        </w:rPr>
        <w:t>实行全天候24小时值班，随时保持网络、信息畅通，及时根据用车单位预约申请和用车信息安排车辆，有效确保了各单位正常用车。</w:t>
      </w:r>
    </w:p>
    <w:p>
      <w:pPr>
        <w:spacing w:line="580" w:lineRule="exact"/>
        <w:ind w:firstLine="643" w:firstLineChars="200"/>
        <w:rPr>
          <w:rFonts w:ascii="仿宋" w:hAnsi="仿宋" w:eastAsia="仿宋" w:cs="仿宋"/>
          <w:sz w:val="32"/>
          <w:szCs w:val="32"/>
        </w:rPr>
      </w:pPr>
      <w:r>
        <w:rPr>
          <w:rFonts w:hint="eastAsia" w:ascii="仿宋" w:hAnsi="仿宋" w:eastAsia="仿宋" w:cs="仿宋"/>
          <w:b/>
          <w:sz w:val="32"/>
          <w:szCs w:val="32"/>
        </w:rPr>
        <w:t>2.车辆管理更加规范。</w:t>
      </w:r>
      <w:r>
        <w:rPr>
          <w:rFonts w:hint="eastAsia" w:ascii="仿宋" w:hAnsi="仿宋" w:eastAsia="仿宋" w:cs="仿宋"/>
          <w:sz w:val="32"/>
          <w:szCs w:val="32"/>
        </w:rPr>
        <w:t>采取集中管理、统一停放的办法，每天安排中心工作人员和驾驶员日、夜轮流值班，定期不定期清点公车数量，随时做好查车记录登记，并要求所有车辆的司勤人员出差回平台后必须主动将车钥匙上交到调度室，以便调度室随时掌握车辆动态。通过严格的值班备勤管理，基本上杜绝了车辆公车私用现象。</w:t>
      </w:r>
    </w:p>
    <w:p>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3.合理分工，明确职责。</w:t>
      </w:r>
      <w:r>
        <w:rPr>
          <w:rFonts w:hint="eastAsia" w:ascii="仿宋" w:hAnsi="仿宋" w:eastAsia="仿宋" w:cs="仿宋"/>
          <w:sz w:val="32"/>
          <w:szCs w:val="32"/>
        </w:rPr>
        <w:t>中心设立四个部门，综合部主要负责中心日常事务和接待工作，以及人事档案工作。调度部主要负责车辆运营调度管理工作，安全维护部主要负责车辆安全、维护保养、车辆加油、年审登记等管理工作，财务部主要负责中心财务收支管理，工资福利发放、票据管理、纳税申报等财务工作。</w:t>
      </w:r>
    </w:p>
    <w:p>
      <w:pPr>
        <w:wordWrap w:val="0"/>
        <w:spacing w:line="580" w:lineRule="exact"/>
        <w:ind w:firstLine="643" w:firstLineChars="200"/>
        <w:rPr>
          <w:rFonts w:ascii="仿宋" w:hAnsi="仿宋" w:eastAsia="仿宋" w:cs="仿宋"/>
          <w:sz w:val="32"/>
          <w:szCs w:val="32"/>
        </w:rPr>
      </w:pPr>
      <w:r>
        <w:rPr>
          <w:rFonts w:hint="eastAsia" w:ascii="仿宋" w:hAnsi="仿宋" w:eastAsia="仿宋" w:cs="仿宋"/>
          <w:b/>
          <w:sz w:val="32"/>
          <w:szCs w:val="32"/>
        </w:rPr>
        <w:t>4.司勤人员管理更加严格。</w:t>
      </w:r>
      <w:r>
        <w:rPr>
          <w:rFonts w:hint="eastAsia" w:ascii="仿宋" w:hAnsi="仿宋" w:eastAsia="仿宋" w:cs="仿宋"/>
          <w:sz w:val="32"/>
          <w:szCs w:val="32"/>
        </w:rPr>
        <w:t>从抓上下班的纪律着手，要求司机早上8点和下午2点半准时上班签到，并列入年终考核，对无故不签到的每次给予20元罚款处理。要求所有司勤人员必须保持 24小时通讯畅通，对无法联系而贻误工作的，每次给予100元以上罚款处理。要求司机必须保持昂扬的精神风貌和最佳的服务态度，以最优质最快捷的服务保证用车单位的正常用车，对用车单位有意见、有投诉的，一经查实将给予严肃处理，给用车单位一个满意的答复。</w:t>
      </w:r>
    </w:p>
    <w:p>
      <w:pPr>
        <w:wordWrap w:val="0"/>
        <w:spacing w:line="580" w:lineRule="exact"/>
        <w:ind w:firstLine="643" w:firstLineChars="200"/>
        <w:rPr>
          <w:rFonts w:ascii="仿宋" w:hAnsi="仿宋" w:eastAsia="仿宋" w:cs="仿宋"/>
          <w:sz w:val="32"/>
          <w:szCs w:val="32"/>
        </w:rPr>
      </w:pPr>
      <w:r>
        <w:rPr>
          <w:rFonts w:hint="eastAsia" w:ascii="仿宋" w:hAnsi="仿宋" w:eastAsia="仿宋" w:cs="仿宋"/>
          <w:b/>
          <w:sz w:val="32"/>
          <w:szCs w:val="32"/>
        </w:rPr>
        <w:t>5.安全工作管理制度更加严格。</w:t>
      </w:r>
      <w:r>
        <w:rPr>
          <w:rFonts w:hint="eastAsia" w:ascii="仿宋" w:hAnsi="仿宋" w:eastAsia="仿宋" w:cs="仿宋"/>
          <w:sz w:val="32"/>
          <w:szCs w:val="32"/>
        </w:rPr>
        <w:t>中心目前的主要职责是给机关事业单位提供后勤保障服务，既要确保各单位公务用车正常用车，又要确保平安出行。为此，中心将安全生产作为重要工作来抓，实行每月一次安全例会，不定期邀请县交警大队领导和安全员到会，给全体人员上交通法规、安全行车、以及安全事故警示教育课，通过不间断的学习教育，使安全二字深深地扎根在每个司机的脑海里。例会的坚持有力地确保了全年无重大安全生产事故的发生。</w:t>
      </w:r>
    </w:p>
    <w:p>
      <w:pPr>
        <w:wordWrap w:val="0"/>
        <w:spacing w:line="580" w:lineRule="exact"/>
        <w:ind w:firstLine="643" w:firstLineChars="200"/>
        <w:rPr>
          <w:rFonts w:ascii="仿宋" w:hAnsi="仿宋" w:eastAsia="仿宋" w:cs="仿宋"/>
          <w:sz w:val="32"/>
          <w:szCs w:val="32"/>
        </w:rPr>
      </w:pPr>
      <w:r>
        <w:rPr>
          <w:rFonts w:hint="eastAsia" w:ascii="仿宋" w:hAnsi="仿宋" w:eastAsia="仿宋" w:cs="仿宋"/>
          <w:b/>
          <w:sz w:val="32"/>
          <w:szCs w:val="32"/>
        </w:rPr>
        <w:t>6.车辆日常开支管理更加科学。</w:t>
      </w:r>
      <w:r>
        <w:rPr>
          <w:rFonts w:hint="eastAsia" w:ascii="仿宋" w:hAnsi="仿宋" w:eastAsia="仿宋" w:cs="仿宋"/>
          <w:sz w:val="32"/>
          <w:szCs w:val="32"/>
        </w:rPr>
        <w:t>维修方面，对车辆实行定点维修，专人管理，一人一车。司机每次出车前和出车完成后都要检查车辆，发现问题及时报告维修部，由维修部专管人员到车上查看核实，确需维修的，立即报请中心领导同意，到指定的定点维修店进行维修。在维修和更换零部件时，由维修管理人员进行现场拍照，留底待查，并由管理人员和司机当场签字验证，确保维修费用不出漏洞。</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bCs/>
          <w:color w:val="000000" w:themeColor="text1"/>
          <w:kern w:val="0"/>
          <w:sz w:val="32"/>
          <w:szCs w:val="32"/>
        </w:rPr>
        <w:t>7.社会满意度不断提升。</w:t>
      </w:r>
      <w:r>
        <w:rPr>
          <w:rFonts w:hint="eastAsia" w:ascii="仿宋" w:hAnsi="仿宋" w:eastAsia="仿宋" w:cs="仿宋"/>
          <w:sz w:val="32"/>
          <w:szCs w:val="32"/>
        </w:rPr>
        <w:t>切实增强大局意识，紧扣县委、县政府的安排部署，积极做好脱贫攻坚、创文创卫等中心工作。脱贫攻坚方面，中心在人手紧缺的情况下派出工作队员1名，结对帮扶麻江镇廖家村贫困户20余户，通过一年的努力，圆满完成各项扶贫任务，在省市检查考核中没有出问题。</w:t>
      </w:r>
    </w:p>
    <w:p>
      <w:pPr>
        <w:spacing w:line="580" w:lineRule="exact"/>
        <w:ind w:firstLine="643" w:firstLineChars="200"/>
        <w:rPr>
          <w:rFonts w:hint="eastAsia" w:ascii="仿宋" w:hAnsi="仿宋" w:eastAsia="仿宋" w:cs="仿宋"/>
          <w:b/>
          <w:bCs/>
          <w:color w:val="000000" w:themeColor="text1"/>
          <w:kern w:val="0"/>
          <w:sz w:val="32"/>
          <w:szCs w:val="32"/>
          <w:lang w:val="en-US" w:eastAsia="zh-CN"/>
        </w:rPr>
      </w:pPr>
      <w:r>
        <w:rPr>
          <w:rFonts w:hint="eastAsia" w:ascii="仿宋" w:hAnsi="仿宋" w:eastAsia="仿宋" w:cs="仿宋"/>
          <w:b/>
          <w:bCs/>
          <w:color w:val="000000" w:themeColor="text1"/>
          <w:kern w:val="0"/>
          <w:sz w:val="32"/>
          <w:szCs w:val="32"/>
          <w:lang w:val="en-US" w:eastAsia="zh-CN"/>
        </w:rPr>
        <w:t>8.公务接待服务工作</w:t>
      </w:r>
      <w:r>
        <w:rPr>
          <w:rFonts w:hint="eastAsia" w:ascii="仿宋" w:hAnsi="仿宋" w:eastAsia="仿宋" w:cs="仿宋"/>
          <w:b/>
          <w:bCs/>
          <w:color w:val="000000" w:themeColor="text1"/>
          <w:kern w:val="0"/>
          <w:sz w:val="32"/>
          <w:szCs w:val="32"/>
        </w:rPr>
        <w:t>满意度不断</w:t>
      </w:r>
      <w:r>
        <w:rPr>
          <w:rFonts w:hint="eastAsia" w:ascii="仿宋" w:hAnsi="仿宋" w:eastAsia="仿宋" w:cs="仿宋"/>
          <w:b/>
          <w:bCs/>
          <w:color w:val="000000" w:themeColor="text1"/>
          <w:kern w:val="0"/>
          <w:sz w:val="32"/>
          <w:szCs w:val="32"/>
          <w:lang w:eastAsia="zh-CN"/>
        </w:rPr>
        <w:t>提升</w:t>
      </w:r>
      <w:r>
        <w:rPr>
          <w:rFonts w:hint="eastAsia" w:ascii="仿宋" w:hAnsi="仿宋" w:eastAsia="仿宋" w:cs="仿宋"/>
          <w:sz w:val="32"/>
          <w:szCs w:val="32"/>
          <w:lang w:val="en-US" w:eastAsia="zh-CN"/>
        </w:rPr>
        <w:t>。</w:t>
      </w:r>
      <w:r>
        <w:rPr>
          <w:rFonts w:hint="eastAsia" w:ascii="仿宋" w:hAnsi="仿宋" w:eastAsia="仿宋" w:cs="仿宋"/>
          <w:b/>
          <w:bCs/>
          <w:color w:val="000000" w:themeColor="text1"/>
          <w:kern w:val="0"/>
          <w:sz w:val="32"/>
          <w:szCs w:val="32"/>
          <w:lang w:val="en-US" w:eastAsia="zh-CN"/>
        </w:rPr>
        <w:t>提升接待服务的范围包括：</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来双视察、检查工作的中央国家机关副部级以上干部，省委、省人大、省政府、省政协十大机关班子人员（副省级），省军区主要领导和省直部门主要负责人，市委、市人大、市政府、市政协班子人员（副厅级）及市军分区主要领导的接待服务工作。</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（2）省委办、省政府办、市委办、市政府办组织的全县综合性检查、督查、视察活动的接待服务工作。</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（3）来双牌考察交流工作的兄弟县（市、区）“四大家”班子人员（副处级）的接待服务工作。</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（4）县委、县人民政府特邀客人和来双重要客商的接待服务工作。</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（5）配合县委、县人大、县政府、县政协有关部门做好重大活动的接待服务工作。</w:t>
      </w:r>
    </w:p>
    <w:p>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（6）做好与接待任务有关单位的协调联络工作，为领导提供接待工作信息，为全县经济建设服务。</w:t>
      </w:r>
    </w:p>
    <w:p>
      <w:pPr>
        <w:spacing w:line="580" w:lineRule="exact"/>
        <w:ind w:firstLine="643" w:firstLineChars="200"/>
        <w:rPr>
          <w:rFonts w:ascii="仿宋" w:hAnsi="仿宋" w:eastAsia="仿宋" w:cs="仿宋"/>
          <w:b/>
          <w:color w:val="000000"/>
          <w:kern w:val="0"/>
          <w:sz w:val="32"/>
          <w:szCs w:val="32"/>
        </w:rPr>
      </w:pPr>
      <w:r>
        <w:rPr>
          <w:rFonts w:hint="eastAsia" w:ascii="仿宋" w:hAnsi="仿宋" w:eastAsia="仿宋" w:cs="仿宋"/>
          <w:b/>
          <w:bCs/>
          <w:color w:val="000000" w:themeColor="text1"/>
          <w:kern w:val="0"/>
          <w:sz w:val="32"/>
          <w:szCs w:val="32"/>
          <w:lang w:val="en-US" w:eastAsia="zh-CN"/>
        </w:rPr>
        <w:t>9</w:t>
      </w:r>
      <w:r>
        <w:rPr>
          <w:rFonts w:hint="eastAsia" w:ascii="仿宋" w:hAnsi="仿宋" w:eastAsia="仿宋" w:cs="仿宋"/>
          <w:b/>
          <w:bCs/>
          <w:color w:val="000000" w:themeColor="text1"/>
          <w:kern w:val="0"/>
          <w:sz w:val="32"/>
          <w:szCs w:val="32"/>
        </w:rPr>
        <w:t>.今后</w:t>
      </w:r>
      <w:r>
        <w:rPr>
          <w:rFonts w:hint="eastAsia" w:ascii="仿宋" w:hAnsi="仿宋" w:eastAsia="仿宋" w:cs="仿宋"/>
          <w:b/>
          <w:color w:val="000000"/>
          <w:kern w:val="0"/>
          <w:sz w:val="32"/>
          <w:szCs w:val="32"/>
        </w:rPr>
        <w:t>财务工作重点</w:t>
      </w:r>
    </w:p>
    <w:p>
      <w:pPr>
        <w:spacing w:line="58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细化预算编制工作，认真做好预算的编制。进一步加强各部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spacing w:line="58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（2）加强财务管理，严格财务审核。在费用报账支付时，按照预算规定的费用项目和用途进行资金使用审核、列报支付、财务核算，杜绝超支现象的发生。</w:t>
      </w:r>
    </w:p>
    <w:p>
      <w:pPr>
        <w:spacing w:line="58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持续抓好“三公”经费控制管理。严格控制“三公”经费的规模和比例，把关“三公”经费支出的审核、审批，杜绝挪用和挤占其他预算资金行为；进一步细化“三公”经费的管理，合理压缩“三公”经费支出。</w:t>
      </w:r>
    </w:p>
    <w:p>
      <w:pPr>
        <w:spacing w:line="580" w:lineRule="exact"/>
        <w:ind w:firstLine="640" w:firstLineChars="200"/>
        <w:rPr>
          <w:rFonts w:ascii="仿宋" w:hAnsi="仿宋" w:eastAsia="仿宋" w:cs="仿宋"/>
          <w:sz w:val="32"/>
          <w:szCs w:val="32"/>
        </w:rPr>
      </w:pPr>
      <w:r>
        <w:rPr>
          <w:rFonts w:hint="eastAsia" w:ascii="仿宋" w:hAnsi="仿宋" w:eastAsia="仿宋" w:cs="仿宋"/>
          <w:color w:val="000000"/>
          <w:kern w:val="0"/>
          <w:sz w:val="32"/>
          <w:szCs w:val="32"/>
        </w:rPr>
        <w:t>（4）加强项目开展进度的跟踪，开展项目绩效评价，确保项目绩效目标的完成。</w:t>
      </w:r>
    </w:p>
    <w:p/>
    <w:p/>
    <w:p/>
    <w:p/>
    <w:p/>
    <w:p/>
    <w:p/>
    <w:p/>
    <w:p/>
    <w:p/>
    <w:p/>
    <w:p/>
    <w:p/>
    <w:p/>
    <w:p/>
    <w:p/>
    <w:p/>
    <w:p/>
    <w:p/>
    <w:p/>
    <w:p/>
    <w:p/>
    <w:p>
      <w:pPr>
        <w:spacing w:line="560" w:lineRule="exact"/>
        <w:rPr>
          <w:rFonts w:ascii="黑体" w:hAnsi="黑体" w:eastAsia="黑体" w:cs="宋体"/>
          <w:kern w:val="0"/>
          <w:sz w:val="32"/>
          <w:szCs w:val="32"/>
        </w:rPr>
      </w:pPr>
      <w:r>
        <w:rPr>
          <w:rFonts w:hint="eastAsia" w:ascii="黑体" w:hAnsi="黑体" w:eastAsia="黑体" w:cs="宋体"/>
          <w:kern w:val="0"/>
          <w:sz w:val="32"/>
          <w:szCs w:val="32"/>
        </w:rPr>
        <w:t>附件1</w:t>
      </w:r>
      <w:r>
        <w:rPr>
          <w:rFonts w:hint="eastAsia" w:ascii="黑体" w:hAnsi="黑体" w:eastAsia="黑体" w:cs="宋体"/>
          <w:kern w:val="0"/>
          <w:sz w:val="32"/>
          <w:szCs w:val="32"/>
        </w:rPr>
        <w:tab/>
      </w:r>
      <w:r>
        <w:rPr>
          <w:rFonts w:hint="eastAsia" w:ascii="黑体" w:hAnsi="黑体" w:eastAsia="黑体" w:cs="宋体"/>
          <w:kern w:val="0"/>
          <w:sz w:val="32"/>
          <w:szCs w:val="32"/>
        </w:rPr>
        <w:tab/>
      </w:r>
    </w:p>
    <w:p>
      <w:pPr>
        <w:spacing w:line="560" w:lineRule="exact"/>
        <w:jc w:val="center"/>
        <w:rPr>
          <w:rFonts w:hint="eastAsia" w:eastAsia="方正小标宋_GBK"/>
          <w:kern w:val="0"/>
          <w:sz w:val="36"/>
          <w:szCs w:val="36"/>
        </w:rPr>
      </w:pPr>
      <w:r>
        <w:rPr>
          <w:rFonts w:ascii="方正小标宋_GBK" w:hAnsi="方正小标宋_GBK" w:eastAsia="方正小标宋_GBK"/>
          <w:kern w:val="0"/>
          <w:sz w:val="36"/>
          <w:szCs w:val="36"/>
        </w:rPr>
        <w:t>部门整体支出绩效评价基础数据表</w:t>
      </w:r>
    </w:p>
    <w:p>
      <w:pPr>
        <w:widowControl/>
        <w:ind w:left="91"/>
        <w:jc w:val="center"/>
        <w:rPr>
          <w:rFonts w:eastAsia="仿宋_GB2312"/>
          <w:kern w:val="0"/>
          <w:sz w:val="24"/>
          <w:szCs w:val="24"/>
        </w:rPr>
      </w:pPr>
      <w:r>
        <w:rPr>
          <w:rFonts w:eastAsia="仿宋_GB2312"/>
          <w:kern w:val="0"/>
          <w:sz w:val="24"/>
          <w:szCs w:val="24"/>
        </w:rPr>
        <w:tab/>
      </w:r>
    </w:p>
    <w:tbl>
      <w:tblPr>
        <w:tblStyle w:val="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20</w:t>
            </w:r>
            <w:r>
              <w:rPr>
                <w:rFonts w:eastAsia="仿宋_GB2312"/>
                <w:b/>
                <w:bCs/>
                <w:kern w:val="0"/>
              </w:rPr>
              <w:t>年实际在职人数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11</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56</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经费控制情况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201</w:t>
            </w:r>
            <w:r>
              <w:rPr>
                <w:b/>
                <w:bCs/>
                <w:kern w:val="0"/>
              </w:rPr>
              <w:t>9</w:t>
            </w:r>
            <w:r>
              <w:rPr>
                <w:rFonts w:eastAsia="仿宋_GB2312"/>
                <w:b/>
                <w:bCs/>
                <w:kern w:val="0"/>
              </w:rPr>
              <w:t>年决算数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20</w:t>
            </w:r>
            <w:r>
              <w:rPr>
                <w:rFonts w:eastAsia="仿宋_GB2312"/>
                <w:b/>
                <w:bCs/>
                <w:kern w:val="0"/>
              </w:rPr>
              <w:t>年预算数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20</w:t>
            </w:r>
            <w:r>
              <w:rPr>
                <w:rFonts w:eastAsia="仿宋_GB2312"/>
                <w:b/>
                <w:bCs/>
                <w:kern w:val="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三公经费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1730000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sz w:val="21"/>
                <w:szCs w:val="21"/>
                <w:lang w:val="en-US" w:eastAsia="zh-CN" w:bidi="ar-SA"/>
              </w:rPr>
            </w:pPr>
            <w:r>
              <w:rPr>
                <w:rFonts w:hint="eastAsia" w:eastAsia="仿宋_GB2312"/>
                <w:kern w:val="0"/>
                <w:lang w:val="en-US" w:eastAsia="zh-CN"/>
              </w:rPr>
              <w:t>249790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sz w:val="21"/>
                <w:szCs w:val="21"/>
                <w:lang w:val="en-US" w:eastAsia="zh-CN" w:bidi="ar-SA"/>
              </w:rPr>
            </w:pPr>
            <w:r>
              <w:rPr>
                <w:rFonts w:hint="eastAsia" w:eastAsia="仿宋_GB2312"/>
                <w:kern w:val="0"/>
                <w:sz w:val="21"/>
                <w:szCs w:val="21"/>
                <w:lang w:val="en-US" w:eastAsia="zh-CN" w:bidi="ar-SA"/>
              </w:rPr>
              <w:t>875500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、公务用车购置和维护经费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1"/>
                <w:szCs w:val="21"/>
                <w:lang w:val="en-US" w:eastAsia="zh-CN" w:bidi="ar-SA"/>
              </w:rPr>
            </w:pPr>
            <w:r>
              <w:rPr>
                <w:rFonts w:hint="eastAsia" w:eastAsia="仿宋_GB2312"/>
                <w:kern w:val="0"/>
                <w:lang w:val="en-US" w:eastAsia="zh-CN"/>
              </w:rPr>
              <w:t>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sz w:val="21"/>
                <w:szCs w:val="21"/>
                <w:lang w:val="en-US" w:eastAsia="zh-CN" w:bidi="ar-SA"/>
              </w:rPr>
            </w:pPr>
            <w:r>
              <w:rPr>
                <w:rFonts w:hint="eastAsia" w:eastAsia="仿宋_GB2312"/>
                <w:kern w:val="0"/>
                <w:sz w:val="21"/>
                <w:szCs w:val="21"/>
                <w:lang w:val="en-US" w:eastAsia="zh-CN" w:bidi="ar-SA"/>
              </w:rPr>
              <w:t>59100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其中：公车购置</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公车运行维护</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59100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、出国经费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3</w:t>
            </w:r>
            <w:r>
              <w:rPr>
                <w:rFonts w:ascii="仿宋_GB2312" w:hAnsi="仿宋_GB2312" w:eastAsia="仿宋_GB2312"/>
                <w:kern w:val="0"/>
              </w:rPr>
              <w:t>、公务接待</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1730000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2497900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816400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项目支出：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2538700</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Calibri" w:hAnsi="Calibri" w:cs="Calibri"/>
                <w:i w:val="0"/>
                <w:iCs w:val="0"/>
                <w:color w:val="000000"/>
                <w:kern w:val="2"/>
                <w:sz w:val="22"/>
                <w:szCs w:val="22"/>
                <w:u w:val="none"/>
                <w:lang w:val="en-US" w:eastAsia="zh-CN" w:bidi="ar-SA"/>
              </w:rPr>
            </w:pPr>
            <w:r>
              <w:rPr>
                <w:rFonts w:hint="eastAsia" w:ascii="Times New Roman" w:hAnsi="Times New Roman" w:eastAsia="仿宋_GB2312" w:cs="Times New Roman"/>
                <w:kern w:val="0"/>
                <w:lang w:val="en-US" w:eastAsia="zh-CN"/>
              </w:rPr>
              <w:t xml:space="preserve">  </w:t>
            </w:r>
            <w:r>
              <w:rPr>
                <w:rFonts w:hint="default" w:ascii="Times New Roman" w:hAnsi="Times New Roman" w:eastAsia="仿宋_GB2312" w:cs="Times New Roman"/>
                <w:kern w:val="0"/>
                <w:lang w:val="en-US" w:eastAsia="zh-CN"/>
              </w:rPr>
              <w:t>3600000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 xml:space="preserve">  2716700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、业务工作经费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、运行维护经费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ascii="仿宋_GB2312" w:hAnsi="仿宋_GB2312"/>
                <w:kern w:val="0"/>
              </w:rPr>
            </w:pPr>
            <w:r>
              <w:rPr>
                <w:rFonts w:eastAsia="仿宋_GB2312"/>
                <w:kern w:val="0"/>
              </w:rPr>
              <w:t>3</w:t>
            </w:r>
            <w:r>
              <w:rPr>
                <w:rFonts w:ascii="仿宋_GB2312" w:hAnsi="仿宋_GB2312" w:eastAsia="仿宋_GB2312"/>
                <w:kern w:val="0"/>
              </w:rPr>
              <w:t>、</w:t>
            </w:r>
            <w:r>
              <w:rPr>
                <w:rFonts w:ascii="仿宋_GB2312" w:hAnsi="仿宋_GB2312"/>
                <w:kern w:val="0"/>
              </w:rPr>
              <w:t>本</w:t>
            </w:r>
            <w:r>
              <w:rPr>
                <w:rFonts w:eastAsia="仿宋_GB2312"/>
                <w:kern w:val="0"/>
              </w:rPr>
              <w:t>级专项资金</w:t>
            </w:r>
          </w:p>
          <w:p>
            <w:pPr>
              <w:widowControl/>
              <w:ind w:firstLine="630" w:firstLineChars="300"/>
              <w:jc w:val="left"/>
              <w:rPr>
                <w:rFonts w:eastAsia="仿宋_GB2312"/>
                <w:kern w:val="0"/>
              </w:rPr>
            </w:pPr>
            <w:r>
              <w:rPr>
                <w:rFonts w:eastAsia="仿宋_GB2312"/>
                <w:kern w:val="0"/>
              </w:rPr>
              <w:t>（一个专项一行）</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eastAsia="仿宋_GB2312"/>
                <w:kern w:val="0"/>
              </w:rPr>
            </w:pPr>
            <w:r>
              <w:rPr>
                <w:rFonts w:eastAsia="仿宋_GB2312"/>
                <w:kern w:val="0"/>
              </w:rPr>
              <w:t>4</w:t>
            </w:r>
            <w:r>
              <w:rPr>
                <w:rFonts w:ascii="仿宋_GB2312" w:hAnsi="仿宋_GB2312" w:eastAsia="仿宋_GB2312"/>
                <w:kern w:val="0"/>
              </w:rPr>
              <w:t>、其他事业类发展资金</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公用经费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1382100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1072375.00</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　1908900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其中：办公费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38538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50000.00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s="Times New Roman"/>
                <w:kern w:val="0"/>
                <w:lang w:val="en-US" w:eastAsia="zh-CN"/>
              </w:rPr>
              <w:t xml:space="preserve">  </w:t>
            </w:r>
            <w:r>
              <w:rPr>
                <w:rFonts w:hint="eastAsia" w:ascii="Times New Roman" w:hAnsi="Times New Roman" w:eastAsia="仿宋_GB2312" w:cs="Times New Roman"/>
                <w:kern w:val="0"/>
                <w:lang w:val="en-US" w:eastAsia="zh-CN"/>
              </w:rPr>
              <w:t>47900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水费、电费、差旅费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44080.5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80000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　56400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会议费、培训费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　31280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120000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政府采购金额</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部门基本支出预算调整 </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eastAsia="仿宋_GB2312"/>
                <w:kern w:val="0"/>
                <w:lang w:eastAsia="zh-CN"/>
              </w:rPr>
            </w:pPr>
            <w:r>
              <w:rPr>
                <w:rFonts w:eastAsia="仿宋_GB2312"/>
                <w:kern w:val="0"/>
              </w:rPr>
              <w:t>楼堂馆所控制情况</w:t>
            </w:r>
          </w:p>
          <w:p>
            <w:pPr>
              <w:widowControl/>
              <w:jc w:val="center"/>
              <w:rPr>
                <w:rFonts w:eastAsia="仿宋_GB2312"/>
                <w:kern w:val="0"/>
              </w:rPr>
            </w:pPr>
            <w:r>
              <w:rPr>
                <w:rFonts w:eastAsia="仿宋_GB2312"/>
                <w:kern w:val="0"/>
              </w:rPr>
              <w:t>（20</w:t>
            </w:r>
            <w:r>
              <w:rPr>
                <w:kern w:val="0"/>
              </w:rPr>
              <w:t>20</w:t>
            </w:r>
            <w:r>
              <w:rPr>
                <w:rFonts w:eastAsia="仿宋_GB2312"/>
                <w:kern w:val="0"/>
              </w:rPr>
              <w:t>年完工项目）</w:t>
            </w:r>
          </w:p>
        </w:tc>
        <w:tc>
          <w:tcPr>
            <w:tcW w:w="11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eastAsia="仿宋_GB2312"/>
                <w:bCs/>
                <w:kern w:val="0"/>
                <w:lang w:eastAsia="zh-CN"/>
              </w:rPr>
            </w:pPr>
            <w:r>
              <w:rPr>
                <w:rFonts w:eastAsia="仿宋_GB2312"/>
                <w:bCs/>
                <w:kern w:val="0"/>
              </w:rPr>
              <w:t>批复规模</w:t>
            </w:r>
          </w:p>
          <w:p>
            <w:pPr>
              <w:widowControl/>
              <w:spacing w:line="240" w:lineRule="exact"/>
              <w:jc w:val="center"/>
              <w:rPr>
                <w:rFonts w:eastAsia="仿宋_GB2312"/>
                <w:bCs/>
                <w:kern w:val="0"/>
              </w:rPr>
            </w:pPr>
            <w:r>
              <w:rPr>
                <w:rFonts w:eastAsia="仿宋_GB2312"/>
                <w:bCs/>
                <w:kern w:val="0"/>
              </w:rPr>
              <w:t>（</w:t>
            </w:r>
            <w:r>
              <w:rPr>
                <w:rFonts w:eastAsia="Batang"/>
                <w:bCs/>
                <w:kern w:val="0"/>
              </w:rPr>
              <w:t>㎡</w:t>
            </w:r>
            <w:r>
              <w:rPr>
                <w:rFonts w:eastAsia="仿宋_GB2312"/>
                <w:bCs/>
                <w:kern w:val="0"/>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实际规模（</w:t>
            </w:r>
            <w:r>
              <w:rPr>
                <w:rFonts w:eastAsia="Batang"/>
                <w:bCs/>
                <w:kern w:val="0"/>
              </w:rPr>
              <w:t>㎡</w:t>
            </w:r>
            <w:r>
              <w:rPr>
                <w:rFonts w:eastAsia="仿宋_GB2312"/>
                <w:bCs/>
                <w:kern w:val="0"/>
              </w:rPr>
              <w:t>）</w:t>
            </w:r>
          </w:p>
        </w:tc>
        <w:tc>
          <w:tcPr>
            <w:tcW w:w="11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规模控制率</w:t>
            </w:r>
          </w:p>
        </w:tc>
        <w:tc>
          <w:tcPr>
            <w:tcW w:w="11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预算投资（万元）</w:t>
            </w:r>
          </w:p>
        </w:tc>
        <w:tc>
          <w:tcPr>
            <w:tcW w:w="9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实际投资（万元）</w:t>
            </w:r>
          </w:p>
        </w:tc>
        <w:tc>
          <w:tcPr>
            <w:tcW w:w="8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118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8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1111"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96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86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厉行节约保障措施</w:t>
            </w:r>
          </w:p>
        </w:tc>
        <w:tc>
          <w:tcPr>
            <w:tcW w:w="6110" w:type="dxa"/>
            <w:gridSpan w:val="6"/>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bl>
    <w:p>
      <w:pPr>
        <w:spacing w:line="360" w:lineRule="exact"/>
        <w:rPr>
          <w:rFonts w:ascii="黑体" w:hAnsi="黑体" w:eastAsia="黑体"/>
          <w:sz w:val="32"/>
          <w:szCs w:val="32"/>
        </w:rPr>
      </w:pPr>
      <w:r>
        <w:rPr>
          <w:rFonts w:ascii="仿宋_GB2312" w:hAnsi="仿宋_GB2312" w:eastAsia="仿宋_GB2312"/>
          <w:kern w:val="0"/>
          <w:sz w:val="22"/>
          <w:szCs w:val="22"/>
        </w:rPr>
        <w:t>说明：</w:t>
      </w:r>
      <w:r>
        <w:rPr>
          <w:rFonts w:eastAsia="仿宋_GB2312"/>
          <w:kern w:val="0"/>
          <w:sz w:val="22"/>
          <w:szCs w:val="22"/>
        </w:rPr>
        <w:t>“</w:t>
      </w:r>
      <w:r>
        <w:rPr>
          <w:rFonts w:ascii="仿宋_GB2312" w:hAnsi="仿宋_GB2312" w:eastAsia="仿宋_GB2312"/>
          <w:kern w:val="0"/>
          <w:sz w:val="22"/>
          <w:szCs w:val="22"/>
        </w:rPr>
        <w:t>项目支出</w:t>
      </w:r>
      <w:r>
        <w:rPr>
          <w:rFonts w:eastAsia="仿宋_GB2312"/>
          <w:kern w:val="0"/>
          <w:sz w:val="22"/>
          <w:szCs w:val="22"/>
        </w:rPr>
        <w:t>”</w:t>
      </w:r>
      <w:r>
        <w:rPr>
          <w:rFonts w:ascii="仿宋_GB2312" w:hAnsi="仿宋_GB2312" w:eastAsia="仿宋_GB2312"/>
          <w:kern w:val="0"/>
          <w:sz w:val="22"/>
          <w:szCs w:val="22"/>
        </w:rPr>
        <w:t>需要填报基本支出以外的所有项目支出情况，</w:t>
      </w:r>
      <w:r>
        <w:rPr>
          <w:rFonts w:eastAsia="仿宋_GB2312"/>
          <w:kern w:val="0"/>
          <w:sz w:val="22"/>
          <w:szCs w:val="22"/>
        </w:rPr>
        <w:t>“</w:t>
      </w:r>
      <w:r>
        <w:rPr>
          <w:rFonts w:ascii="仿宋_GB2312" w:hAnsi="仿宋_GB2312" w:eastAsia="仿宋_GB2312"/>
          <w:kern w:val="0"/>
          <w:sz w:val="22"/>
          <w:szCs w:val="22"/>
        </w:rPr>
        <w:t>公用经费</w:t>
      </w:r>
      <w:r>
        <w:rPr>
          <w:rFonts w:eastAsia="仿宋_GB2312"/>
          <w:kern w:val="0"/>
          <w:sz w:val="22"/>
          <w:szCs w:val="22"/>
        </w:rPr>
        <w:t>”</w:t>
      </w:r>
      <w:r>
        <w:rPr>
          <w:rFonts w:ascii="仿宋_GB2312" w:hAnsi="仿宋_GB2312" w:eastAsia="仿宋_GB2312"/>
          <w:kern w:val="0"/>
          <w:sz w:val="22"/>
          <w:szCs w:val="22"/>
        </w:rPr>
        <w:t>填报基本支出中的一般商品和服务支出。</w:t>
      </w:r>
      <w:r>
        <w:rPr>
          <w:rFonts w:eastAsia="仿宋_GB2312"/>
          <w:kern w:val="0"/>
          <w:sz w:val="22"/>
          <w:szCs w:val="22"/>
        </w:rPr>
        <w:br w:type="page"/>
      </w:r>
      <w:r>
        <w:rPr>
          <w:rFonts w:ascii="黑体" w:hAnsi="黑体" w:eastAsia="黑体"/>
          <w:sz w:val="32"/>
          <w:szCs w:val="32"/>
        </w:rPr>
        <w:t>附件</w:t>
      </w:r>
      <w:r>
        <w:rPr>
          <w:rFonts w:hint="eastAsia" w:eastAsia="黑体"/>
          <w:sz w:val="32"/>
          <w:szCs w:val="32"/>
        </w:rPr>
        <w:t>2</w:t>
      </w:r>
    </w:p>
    <w:p>
      <w:pPr>
        <w:widowControl/>
        <w:jc w:val="center"/>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部门整体支出绩效自评表</w:t>
      </w:r>
    </w:p>
    <w:p>
      <w:pPr>
        <w:widowControl/>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2020</w:t>
      </w:r>
      <w:r>
        <w:rPr>
          <w:rFonts w:ascii="仿宋_GB2312" w:hAnsi="仿宋_GB2312" w:eastAsia="仿宋_GB2312"/>
          <w:color w:val="000000"/>
          <w:kern w:val="0"/>
        </w:rPr>
        <w:t>年度）</w:t>
      </w:r>
    </w:p>
    <w:tbl>
      <w:tblPr>
        <w:tblStyle w:val="5"/>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075"/>
        <w:gridCol w:w="669"/>
        <w:gridCol w:w="1251"/>
        <w:gridCol w:w="65"/>
        <w:gridCol w:w="3116"/>
        <w:gridCol w:w="463"/>
        <w:gridCol w:w="1216"/>
        <w:gridCol w:w="79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省级预算部门名称</w:t>
            </w:r>
          </w:p>
        </w:tc>
        <w:tc>
          <w:tcPr>
            <w:tcW w:w="9344" w:type="dxa"/>
            <w:gridSpan w:val="9"/>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eastAsia="zh-CN"/>
              </w:rPr>
            </w:pPr>
            <w:r>
              <w:rPr>
                <w:rFonts w:eastAsia="仿宋_GB2312"/>
                <w:color w:val="000000"/>
                <w:kern w:val="0"/>
              </w:rPr>
              <w:t>　</w:t>
            </w:r>
            <w:r>
              <w:rPr>
                <w:rFonts w:hint="eastAsia" w:eastAsia="仿宋_GB2312"/>
                <w:color w:val="000000"/>
                <w:kern w:val="0"/>
                <w:lang w:eastAsia="zh-CN"/>
              </w:rPr>
              <w:t>双牌县机关事务服务中心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年度预</w:t>
            </w:r>
          </w:p>
          <w:p>
            <w:pPr>
              <w:widowControl/>
              <w:jc w:val="center"/>
              <w:rPr>
                <w:rFonts w:hint="eastAsia" w:eastAsia="仿宋_GB2312"/>
                <w:color w:val="000000"/>
                <w:kern w:val="0"/>
                <w:lang w:eastAsia="zh-CN"/>
              </w:rPr>
            </w:pPr>
            <w:r>
              <w:rPr>
                <w:rFonts w:eastAsia="仿宋_GB2312"/>
                <w:color w:val="000000"/>
                <w:kern w:val="0"/>
              </w:rPr>
              <w:t>算申请</w:t>
            </w:r>
          </w:p>
          <w:p>
            <w:pPr>
              <w:widowControl/>
              <w:jc w:val="center"/>
              <w:rPr>
                <w:rFonts w:eastAsia="仿宋_GB2312"/>
                <w:color w:val="000000"/>
                <w:kern w:val="0"/>
              </w:rPr>
            </w:pPr>
            <w:r>
              <w:rPr>
                <w:rFonts w:eastAsia="仿宋_GB2312"/>
                <w:color w:val="000000"/>
                <w:kern w:val="0"/>
              </w:rPr>
              <w:t>（万元）</w:t>
            </w:r>
          </w:p>
        </w:tc>
        <w:tc>
          <w:tcPr>
            <w:tcW w:w="214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9462632.46</w:t>
            </w:r>
          </w:p>
        </w:tc>
        <w:tc>
          <w:tcPr>
            <w:tcW w:w="1280"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年初</w:t>
            </w:r>
          </w:p>
          <w:p>
            <w:pPr>
              <w:jc w:val="center"/>
              <w:rPr>
                <w:rFonts w:eastAsia="仿宋_GB2312"/>
              </w:rPr>
            </w:pPr>
            <w:r>
              <w:rPr>
                <w:rFonts w:eastAsia="仿宋_GB2312"/>
              </w:rPr>
              <w:t>预算数</w:t>
            </w:r>
          </w:p>
        </w:tc>
        <w:tc>
          <w:tcPr>
            <w:tcW w:w="1879"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全年预算数</w:t>
            </w:r>
          </w:p>
        </w:tc>
        <w:tc>
          <w:tcPr>
            <w:tcW w:w="49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全年</w:t>
            </w:r>
          </w:p>
          <w:p>
            <w:pPr>
              <w:jc w:val="center"/>
              <w:rPr>
                <w:rFonts w:eastAsia="仿宋_GB2312"/>
              </w:rPr>
            </w:pPr>
            <w:r>
              <w:rPr>
                <w:rFonts w:eastAsia="仿宋_GB2312"/>
              </w:rPr>
              <w:t>执行数</w:t>
            </w:r>
          </w:p>
        </w:tc>
        <w:tc>
          <w:tcPr>
            <w:tcW w:w="1216"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分值</w:t>
            </w:r>
          </w:p>
        </w:tc>
        <w:tc>
          <w:tcPr>
            <w:tcW w:w="1112"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执行率</w:t>
            </w:r>
          </w:p>
        </w:tc>
        <w:tc>
          <w:tcPr>
            <w:tcW w:w="1215"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2147"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color w:val="000000"/>
                <w:kern w:val="0"/>
              </w:rPr>
              <w:t>年度资金总额</w:t>
            </w:r>
          </w:p>
        </w:tc>
        <w:tc>
          <w:tcPr>
            <w:tcW w:w="12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9462632.46</w:t>
            </w:r>
          </w:p>
        </w:tc>
        <w:tc>
          <w:tcPr>
            <w:tcW w:w="1879"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9462632.46</w:t>
            </w:r>
          </w:p>
        </w:tc>
        <w:tc>
          <w:tcPr>
            <w:tcW w:w="495"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p>
        </w:tc>
        <w:tc>
          <w:tcPr>
            <w:tcW w:w="1216"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10</w:t>
            </w:r>
          </w:p>
        </w:tc>
        <w:tc>
          <w:tcPr>
            <w:tcW w:w="1112"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p>
        </w:tc>
        <w:tc>
          <w:tcPr>
            <w:tcW w:w="1215"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306"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按收入性质分：</w:t>
            </w:r>
          </w:p>
        </w:tc>
        <w:tc>
          <w:tcPr>
            <w:tcW w:w="4038"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306"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xml:space="preserve">  其中：  一般公共预算：</w:t>
            </w:r>
            <w:r>
              <w:rPr>
                <w:rFonts w:hint="eastAsia" w:ascii="宋体" w:hAnsi="宋体" w:eastAsia="宋体" w:cs="宋体"/>
                <w:i w:val="0"/>
                <w:iCs w:val="0"/>
                <w:color w:val="000000"/>
                <w:kern w:val="0"/>
                <w:sz w:val="20"/>
                <w:szCs w:val="20"/>
                <w:u w:val="none"/>
                <w:lang w:val="en-US" w:eastAsia="zh-CN" w:bidi="ar"/>
              </w:rPr>
              <w:t>6110264</w:t>
            </w:r>
          </w:p>
        </w:tc>
        <w:tc>
          <w:tcPr>
            <w:tcW w:w="4038"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其中：基本支出：</w:t>
            </w:r>
            <w:r>
              <w:rPr>
                <w:rFonts w:hint="eastAsia" w:ascii="宋体" w:hAnsi="宋体" w:eastAsia="宋体" w:cs="宋体"/>
                <w:i w:val="0"/>
                <w:iCs w:val="0"/>
                <w:color w:val="000000"/>
                <w:kern w:val="0"/>
                <w:sz w:val="20"/>
                <w:szCs w:val="20"/>
                <w:u w:val="none"/>
                <w:lang w:val="en-US" w:eastAsia="zh-CN" w:bidi="ar"/>
              </w:rPr>
              <w:t>3383500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306" w:type="dxa"/>
            <w:gridSpan w:val="5"/>
            <w:tcBorders>
              <w:top w:val="single" w:color="auto" w:sz="4" w:space="0"/>
              <w:left w:val="nil"/>
              <w:bottom w:val="single" w:color="auto" w:sz="4" w:space="0"/>
              <w:right w:val="single" w:color="auto" w:sz="4" w:space="0"/>
            </w:tcBorders>
            <w:noWrap w:val="0"/>
            <w:vAlign w:val="center"/>
          </w:tcPr>
          <w:p>
            <w:pPr>
              <w:widowControl/>
              <w:ind w:firstLine="840" w:firstLineChars="400"/>
              <w:jc w:val="left"/>
              <w:rPr>
                <w:rFonts w:eastAsia="仿宋_GB2312"/>
                <w:color w:val="000000"/>
                <w:kern w:val="0"/>
              </w:rPr>
            </w:pPr>
            <w:r>
              <w:rPr>
                <w:rFonts w:eastAsia="仿宋_GB2312"/>
                <w:color w:val="000000"/>
                <w:kern w:val="0"/>
              </w:rPr>
              <w:t>政府性基金拨款：</w:t>
            </w:r>
          </w:p>
        </w:tc>
        <w:tc>
          <w:tcPr>
            <w:tcW w:w="4038" w:type="dxa"/>
            <w:gridSpan w:val="4"/>
            <w:tcBorders>
              <w:top w:val="single" w:color="auto" w:sz="4" w:space="0"/>
              <w:left w:val="nil"/>
              <w:bottom w:val="single" w:color="auto" w:sz="4" w:space="0"/>
              <w:right w:val="single" w:color="auto" w:sz="4" w:space="0"/>
            </w:tcBorders>
            <w:noWrap w:val="0"/>
            <w:vAlign w:val="center"/>
          </w:tcPr>
          <w:p>
            <w:pPr>
              <w:widowControl/>
              <w:ind w:firstLine="630" w:firstLineChars="300"/>
              <w:jc w:val="left"/>
              <w:rPr>
                <w:rFonts w:hint="default" w:eastAsia="仿宋_GB2312"/>
                <w:color w:val="000000"/>
                <w:kern w:val="0"/>
                <w:lang w:val="en-US" w:eastAsia="zh-CN"/>
              </w:rPr>
            </w:pPr>
            <w:r>
              <w:rPr>
                <w:rFonts w:eastAsia="仿宋_GB2312"/>
                <w:color w:val="000000"/>
                <w:kern w:val="0"/>
              </w:rPr>
              <w:t>项目支出：</w:t>
            </w:r>
            <w:r>
              <w:rPr>
                <w:rFonts w:hint="eastAsia" w:ascii="宋体" w:hAnsi="宋体" w:eastAsia="宋体" w:cs="宋体"/>
                <w:i w:val="0"/>
                <w:iCs w:val="0"/>
                <w:color w:val="000000"/>
                <w:kern w:val="0"/>
                <w:sz w:val="20"/>
                <w:szCs w:val="20"/>
                <w:u w:val="none"/>
                <w:lang w:val="en-US" w:eastAsia="zh-CN" w:bidi="ar"/>
              </w:rPr>
              <w:t>2716700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306"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纳入专户管理的非税收入拨款：</w:t>
            </w:r>
            <w:r>
              <w:rPr>
                <w:rFonts w:hint="eastAsia" w:ascii="宋体" w:hAnsi="宋体" w:eastAsia="宋体" w:cs="宋体"/>
                <w:i w:val="0"/>
                <w:iCs w:val="0"/>
                <w:color w:val="000000"/>
                <w:kern w:val="0"/>
                <w:sz w:val="20"/>
                <w:szCs w:val="20"/>
                <w:u w:val="none"/>
                <w:lang w:val="en-US" w:eastAsia="zh-CN" w:bidi="ar"/>
              </w:rPr>
              <w:t>2252368.46</w:t>
            </w:r>
          </w:p>
        </w:tc>
        <w:tc>
          <w:tcPr>
            <w:tcW w:w="4038"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306" w:type="dxa"/>
            <w:gridSpan w:val="5"/>
            <w:tcBorders>
              <w:top w:val="single" w:color="auto" w:sz="4" w:space="0"/>
              <w:left w:val="nil"/>
              <w:bottom w:val="single" w:color="auto" w:sz="4" w:space="0"/>
              <w:right w:val="single" w:color="auto" w:sz="4" w:space="0"/>
            </w:tcBorders>
            <w:noWrap w:val="0"/>
            <w:vAlign w:val="center"/>
          </w:tcPr>
          <w:p>
            <w:pPr>
              <w:widowControl/>
              <w:ind w:firstLine="1470" w:firstLineChars="700"/>
              <w:jc w:val="left"/>
              <w:rPr>
                <w:rFonts w:hint="default" w:eastAsia="仿宋_GB2312"/>
                <w:color w:val="000000"/>
                <w:kern w:val="0"/>
                <w:lang w:val="en-US" w:eastAsia="zh-CN"/>
              </w:rPr>
            </w:pPr>
            <w:r>
              <w:rPr>
                <w:rFonts w:eastAsia="仿宋_GB2312"/>
                <w:color w:val="000000"/>
                <w:kern w:val="0"/>
              </w:rPr>
              <w:t>其他资金：</w:t>
            </w:r>
            <w:r>
              <w:rPr>
                <w:rFonts w:hint="eastAsia" w:ascii="宋体" w:hAnsi="宋体" w:eastAsia="宋体" w:cs="宋体"/>
                <w:i w:val="0"/>
                <w:iCs w:val="0"/>
                <w:color w:val="000000"/>
                <w:kern w:val="0"/>
                <w:sz w:val="20"/>
                <w:szCs w:val="20"/>
                <w:u w:val="none"/>
                <w:lang w:val="en-US" w:eastAsia="zh-CN" w:bidi="ar"/>
              </w:rPr>
              <w:t>1100000</w:t>
            </w:r>
          </w:p>
        </w:tc>
        <w:tc>
          <w:tcPr>
            <w:tcW w:w="4038"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年度总体目标</w:t>
            </w:r>
          </w:p>
        </w:tc>
        <w:tc>
          <w:tcPr>
            <w:tcW w:w="5306" w:type="dxa"/>
            <w:gridSpan w:val="5"/>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预期目标</w:t>
            </w:r>
          </w:p>
        </w:tc>
        <w:tc>
          <w:tcPr>
            <w:tcW w:w="4038"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306" w:type="dxa"/>
            <w:gridSpan w:val="5"/>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 xml:space="preserve">  </w:t>
            </w:r>
          </w:p>
        </w:tc>
        <w:tc>
          <w:tcPr>
            <w:tcW w:w="4038"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绩</w:t>
            </w:r>
          </w:p>
          <w:p>
            <w:pPr>
              <w:widowControl/>
              <w:jc w:val="center"/>
              <w:rPr>
                <w:rFonts w:eastAsia="仿宋_GB2312"/>
                <w:color w:val="000000"/>
                <w:kern w:val="0"/>
              </w:rPr>
            </w:pPr>
            <w:r>
              <w:rPr>
                <w:rFonts w:eastAsia="仿宋_GB2312"/>
                <w:color w:val="000000"/>
                <w:kern w:val="0"/>
              </w:rPr>
              <w:t>效</w:t>
            </w:r>
          </w:p>
          <w:p>
            <w:pPr>
              <w:widowControl/>
              <w:jc w:val="center"/>
              <w:rPr>
                <w:rFonts w:eastAsia="仿宋_GB2312"/>
                <w:color w:val="000000"/>
                <w:kern w:val="0"/>
              </w:rPr>
            </w:pPr>
            <w:r>
              <w:rPr>
                <w:rFonts w:eastAsia="仿宋_GB2312"/>
                <w:color w:val="000000"/>
                <w:kern w:val="0"/>
              </w:rPr>
              <w:t>指</w:t>
            </w:r>
          </w:p>
          <w:p>
            <w:pPr>
              <w:widowControl/>
              <w:jc w:val="center"/>
              <w:rPr>
                <w:rFonts w:eastAsia="仿宋_GB2312"/>
                <w:color w:val="000000"/>
                <w:kern w:val="0"/>
              </w:rPr>
            </w:pPr>
            <w:r>
              <w:rPr>
                <w:rFonts w:eastAsia="仿宋_GB2312"/>
                <w:color w:val="000000"/>
                <w:kern w:val="0"/>
              </w:rPr>
              <w:t>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一级指标</w:t>
            </w:r>
          </w:p>
        </w:tc>
        <w:tc>
          <w:tcPr>
            <w:tcW w:w="8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二级指标</w:t>
            </w:r>
          </w:p>
        </w:tc>
        <w:tc>
          <w:tcPr>
            <w:tcW w:w="140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三级指标</w:t>
            </w:r>
          </w:p>
        </w:tc>
        <w:tc>
          <w:tcPr>
            <w:tcW w:w="175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年度</w:t>
            </w:r>
          </w:p>
          <w:p>
            <w:pPr>
              <w:widowControl/>
              <w:spacing w:line="240" w:lineRule="exact"/>
              <w:jc w:val="center"/>
              <w:rPr>
                <w:rFonts w:eastAsia="仿宋_GB2312"/>
                <w:color w:val="000000"/>
                <w:kern w:val="0"/>
              </w:rPr>
            </w:pPr>
            <w:r>
              <w:rPr>
                <w:rFonts w:eastAsia="仿宋_GB2312"/>
                <w:color w:val="000000"/>
                <w:kern w:val="0"/>
              </w:rPr>
              <w:t>指标值</w:t>
            </w:r>
          </w:p>
        </w:tc>
        <w:tc>
          <w:tcPr>
            <w:tcW w:w="4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实际</w:t>
            </w:r>
          </w:p>
          <w:p>
            <w:pPr>
              <w:widowControl/>
              <w:spacing w:line="240" w:lineRule="exact"/>
              <w:jc w:val="center"/>
              <w:rPr>
                <w:rFonts w:eastAsia="仿宋_GB2312"/>
                <w:color w:val="000000"/>
                <w:kern w:val="0"/>
              </w:rPr>
            </w:pPr>
            <w:r>
              <w:rPr>
                <w:rFonts w:eastAsia="仿宋_GB2312"/>
                <w:color w:val="000000"/>
                <w:kern w:val="0"/>
              </w:rPr>
              <w:t>完成值</w:t>
            </w:r>
          </w:p>
        </w:tc>
        <w:tc>
          <w:tcPr>
            <w:tcW w:w="12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分值</w:t>
            </w:r>
          </w:p>
        </w:tc>
        <w:tc>
          <w:tcPr>
            <w:tcW w:w="111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得分</w:t>
            </w:r>
          </w:p>
        </w:tc>
        <w:tc>
          <w:tcPr>
            <w:tcW w:w="1215"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ascii="仿宋_GB2312" w:hAnsi="仿宋_GB2312"/>
                <w:color w:val="000000"/>
                <w:kern w:val="0"/>
              </w:rPr>
            </w:pPr>
            <w:r>
              <w:rPr>
                <w:rFonts w:eastAsia="仿宋_GB2312"/>
                <w:color w:val="000000"/>
                <w:kern w:val="0"/>
              </w:rPr>
              <w:t>偏差原因</w:t>
            </w:r>
          </w:p>
          <w:p>
            <w:pPr>
              <w:widowControl/>
              <w:spacing w:line="240" w:lineRule="exact"/>
              <w:jc w:val="center"/>
              <w:rPr>
                <w:rFonts w:ascii="仿宋_GB2312" w:hAnsi="仿宋_GB2312"/>
                <w:color w:val="000000"/>
                <w:kern w:val="0"/>
              </w:rPr>
            </w:pPr>
            <w:r>
              <w:rPr>
                <w:rFonts w:eastAsia="仿宋_GB2312"/>
                <w:color w:val="000000"/>
                <w:kern w:val="0"/>
              </w:rPr>
              <w:t>分析及</w:t>
            </w:r>
          </w:p>
          <w:p>
            <w:pPr>
              <w:widowControl/>
              <w:spacing w:line="24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70"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产出指标</w:t>
            </w:r>
          </w:p>
          <w:p>
            <w:pPr>
              <w:widowControl/>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877"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数量</w:t>
            </w:r>
          </w:p>
          <w:p>
            <w:pPr>
              <w:widowControl/>
              <w:jc w:val="center"/>
              <w:rPr>
                <w:rFonts w:eastAsia="仿宋_GB2312"/>
                <w:color w:val="000000"/>
                <w:kern w:val="0"/>
              </w:rPr>
            </w:pPr>
            <w:r>
              <w:rPr>
                <w:rFonts w:eastAsia="仿宋_GB2312"/>
                <w:color w:val="000000"/>
                <w:kern w:val="0"/>
              </w:rPr>
              <w:t>指标</w:t>
            </w:r>
          </w:p>
        </w:tc>
        <w:tc>
          <w:tcPr>
            <w:tcW w:w="1401"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ascii="仿宋_GB2312" w:hAnsi="宋体" w:eastAsia="仿宋_GB2312" w:cs="宋体"/>
                <w:kern w:val="0"/>
                <w:sz w:val="20"/>
                <w:szCs w:val="20"/>
              </w:rPr>
              <w:t>重点工作实际完成率</w:t>
            </w: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ascii="仿宋_GB2312" w:hAnsi="宋体" w:eastAsia="仿宋_GB2312" w:cs="宋体"/>
                <w:kern w:val="0"/>
                <w:sz w:val="20"/>
                <w:szCs w:val="20"/>
              </w:rPr>
              <w:t>根据绩效办201</w:t>
            </w:r>
            <w:r>
              <w:rPr>
                <w:rFonts w:hint="eastAsia" w:ascii="仿宋_GB2312" w:hAnsi="宋体" w:eastAsia="仿宋_GB2312" w:cs="宋体"/>
                <w:kern w:val="0"/>
                <w:sz w:val="20"/>
                <w:szCs w:val="20"/>
                <w:lang w:val="en-US" w:eastAsia="zh-CN"/>
              </w:rPr>
              <w:t>8</w:t>
            </w:r>
            <w:r>
              <w:rPr>
                <w:rFonts w:hint="eastAsia" w:ascii="仿宋_GB2312" w:hAnsi="宋体" w:eastAsia="仿宋_GB2312" w:cs="宋体"/>
                <w:kern w:val="0"/>
                <w:sz w:val="20"/>
                <w:szCs w:val="20"/>
              </w:rPr>
              <w:t>年对各部门为民办实事和部门重点工程与重点工作考核分数折算。</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该项得分=（绩效办对应部分考核得分/350）*8</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ascii="仿宋_GB2312" w:hAnsi="宋体" w:eastAsia="仿宋_GB2312" w:cs="宋体"/>
                <w:color w:val="FF0000"/>
                <w:kern w:val="0"/>
                <w:sz w:val="20"/>
                <w:szCs w:val="20"/>
              </w:rPr>
              <w:t>该项得分=</w:t>
            </w:r>
            <w:r>
              <w:rPr>
                <w:rFonts w:hint="eastAsia" w:ascii="仿宋_GB2312" w:hAnsi="宋体" w:eastAsia="仿宋_GB2312" w:cs="宋体"/>
                <w:color w:val="FF0000"/>
                <w:kern w:val="0"/>
                <w:sz w:val="20"/>
                <w:szCs w:val="20"/>
                <w:lang w:val="en-US" w:eastAsia="zh-CN"/>
              </w:rPr>
              <w:t>350</w:t>
            </w:r>
            <w:r>
              <w:rPr>
                <w:rFonts w:hint="eastAsia" w:ascii="仿宋_GB2312" w:hAnsi="宋体" w:eastAsia="仿宋_GB2312" w:cs="宋体"/>
                <w:color w:val="FF0000"/>
                <w:kern w:val="0"/>
                <w:sz w:val="20"/>
                <w:szCs w:val="20"/>
              </w:rPr>
              <w:t>/350）*8</w:t>
            </w:r>
          </w:p>
        </w:tc>
        <w:tc>
          <w:tcPr>
            <w:tcW w:w="1112"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val="en-US" w:eastAsia="zh-CN"/>
              </w:rPr>
            </w:pPr>
            <w:r>
              <w:rPr>
                <w:rFonts w:hint="eastAsia" w:eastAsia="仿宋_GB2312"/>
                <w:color w:val="000000"/>
                <w:kern w:val="0"/>
                <w:lang w:val="en-US" w:eastAsia="zh-CN"/>
              </w:rPr>
              <w:t>8</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401"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w:t>
            </w: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vMerge w:val="restart"/>
            <w:tcBorders>
              <w:top w:val="nil"/>
              <w:left w:val="nil"/>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质量</w:t>
            </w:r>
          </w:p>
          <w:p>
            <w:pPr>
              <w:widowControl/>
              <w:jc w:val="center"/>
              <w:rPr>
                <w:rFonts w:eastAsia="仿宋_GB2312"/>
                <w:color w:val="000000"/>
                <w:kern w:val="0"/>
              </w:rPr>
            </w:pPr>
            <w:r>
              <w:rPr>
                <w:rFonts w:eastAsia="仿宋_GB2312"/>
                <w:color w:val="000000"/>
                <w:kern w:val="0"/>
              </w:rPr>
              <w:t>指标</w:t>
            </w:r>
          </w:p>
        </w:tc>
        <w:tc>
          <w:tcPr>
            <w:tcW w:w="1401"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ascii="仿宋_GB2312" w:hAnsi="宋体" w:eastAsia="仿宋_GB2312" w:cs="宋体"/>
                <w:kern w:val="0"/>
                <w:sz w:val="20"/>
                <w:szCs w:val="20"/>
              </w:rPr>
              <w:t>资金使用合规性</w:t>
            </w: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ascii="仿宋_GB2312" w:hAnsi="宋体" w:eastAsia="仿宋_GB2312" w:cs="宋体"/>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以上情况每出现一例不符合要求的扣1分，扣完为止。</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7</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vMerge w:val="continue"/>
            <w:tcBorders>
              <w:left w:val="nil"/>
              <w:right w:val="single" w:color="auto" w:sz="4" w:space="0"/>
            </w:tcBorders>
            <w:noWrap w:val="0"/>
            <w:vAlign w:val="center"/>
          </w:tcPr>
          <w:p>
            <w:pPr>
              <w:widowControl/>
              <w:jc w:val="left"/>
              <w:rPr>
                <w:rFonts w:eastAsia="仿宋_GB2312"/>
                <w:color w:val="000000"/>
                <w:kern w:val="0"/>
              </w:rPr>
            </w:pPr>
          </w:p>
        </w:tc>
        <w:tc>
          <w:tcPr>
            <w:tcW w:w="140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仿宋_GB2312" w:hAnsi="宋体" w:eastAsia="仿宋_GB2312" w:cs="宋体"/>
                <w:kern w:val="0"/>
                <w:sz w:val="20"/>
                <w:szCs w:val="20"/>
                <w:lang w:val="en-US" w:eastAsia="zh-CN" w:bidi="ar-SA"/>
              </w:rPr>
            </w:pPr>
            <w:r>
              <w:rPr>
                <w:rFonts w:hint="eastAsia" w:ascii="仿宋_GB2312" w:hAnsi="宋体" w:eastAsia="仿宋_GB2312" w:cs="宋体"/>
                <w:kern w:val="0"/>
                <w:sz w:val="20"/>
                <w:szCs w:val="20"/>
              </w:rPr>
              <w:t>公用经费控制率</w:t>
            </w:r>
          </w:p>
        </w:tc>
        <w:tc>
          <w:tcPr>
            <w:tcW w:w="1758"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仿宋_GB2312" w:hAnsi="宋体" w:eastAsia="仿宋_GB2312" w:cs="宋体"/>
                <w:kern w:val="0"/>
                <w:sz w:val="20"/>
                <w:szCs w:val="20"/>
                <w:lang w:val="en-US" w:eastAsia="zh-CN" w:bidi="ar-SA"/>
              </w:rPr>
            </w:pPr>
            <w:r>
              <w:rPr>
                <w:rFonts w:hint="eastAsia" w:ascii="仿宋_GB2312" w:hAnsi="宋体" w:eastAsia="仿宋_GB2312" w:cs="宋体"/>
                <w:kern w:val="0"/>
                <w:sz w:val="20"/>
                <w:szCs w:val="20"/>
              </w:rPr>
              <w:t>公用经费控制率=</w:t>
            </w:r>
            <w:r>
              <w:rPr>
                <w:rFonts w:hint="eastAsia" w:ascii="仿宋_GB2312" w:hAnsi="宋体" w:eastAsia="仿宋_GB2312" w:cs="宋体"/>
                <w:kern w:val="0"/>
                <w:sz w:val="20"/>
                <w:szCs w:val="20"/>
                <w:lang w:val="en-US" w:eastAsia="zh-CN"/>
              </w:rPr>
              <w:t>224.26</w:t>
            </w:r>
            <w:r>
              <w:rPr>
                <w:rFonts w:hint="eastAsia" w:ascii="仿宋_GB2312" w:hAnsi="宋体" w:eastAsia="仿宋_GB2312" w:cs="宋体"/>
                <w:kern w:val="0"/>
                <w:sz w:val="20"/>
                <w:szCs w:val="20"/>
              </w:rPr>
              <w:t>/</w:t>
            </w:r>
            <w:r>
              <w:rPr>
                <w:rFonts w:hint="eastAsia" w:ascii="仿宋_GB2312" w:hAnsi="宋体" w:eastAsia="仿宋_GB2312" w:cs="宋体"/>
                <w:kern w:val="0"/>
                <w:sz w:val="20"/>
                <w:szCs w:val="20"/>
                <w:lang w:val="en-US" w:eastAsia="zh-CN"/>
              </w:rPr>
              <w:t>239.95</w:t>
            </w:r>
            <w:r>
              <w:rPr>
                <w:rFonts w:hint="eastAsia" w:ascii="仿宋_GB2312" w:hAnsi="宋体" w:eastAsia="仿宋_GB2312" w:cs="宋体"/>
                <w:kern w:val="0"/>
                <w:sz w:val="20"/>
                <w:szCs w:val="20"/>
              </w:rPr>
              <w:t>×100%</w:t>
            </w:r>
            <w:r>
              <w:rPr>
                <w:rFonts w:hint="eastAsia" w:ascii="仿宋_GB2312" w:hAnsi="宋体" w:eastAsia="仿宋_GB2312" w:cs="宋体"/>
                <w:kern w:val="0"/>
                <w:sz w:val="20"/>
                <w:szCs w:val="20"/>
                <w:lang w:val="en-US" w:eastAsia="zh-CN"/>
              </w:rPr>
              <w:t>=93.46%</w:t>
            </w:r>
            <w:r>
              <w:rPr>
                <w:rFonts w:hint="eastAsia" w:ascii="仿宋_GB2312" w:hAnsi="宋体" w:eastAsia="仿宋_GB2312" w:cs="宋体"/>
                <w:kern w:val="0"/>
                <w:sz w:val="20"/>
                <w:szCs w:val="20"/>
              </w:rPr>
              <w:t>。</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公用经费支出是指部门基本支出中的一般商品和服务支出。</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vMerge w:val="continue"/>
            <w:tcBorders>
              <w:left w:val="nil"/>
              <w:right w:val="single" w:color="auto" w:sz="4" w:space="0"/>
            </w:tcBorders>
            <w:noWrap w:val="0"/>
            <w:vAlign w:val="center"/>
          </w:tcPr>
          <w:p>
            <w:pPr>
              <w:widowControl/>
              <w:jc w:val="left"/>
              <w:rPr>
                <w:rFonts w:eastAsia="仿宋_GB2312"/>
                <w:color w:val="000000"/>
                <w:kern w:val="0"/>
              </w:rPr>
            </w:pPr>
          </w:p>
        </w:tc>
        <w:tc>
          <w:tcPr>
            <w:tcW w:w="140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0"/>
                <w:szCs w:val="20"/>
                <w:lang w:val="en-US" w:eastAsia="zh-CN" w:bidi="ar-SA"/>
              </w:rPr>
            </w:pPr>
            <w:r>
              <w:rPr>
                <w:rFonts w:hint="eastAsia" w:ascii="仿宋_GB2312" w:hAnsi="宋体" w:eastAsia="仿宋_GB2312" w:cs="宋体"/>
                <w:kern w:val="0"/>
                <w:sz w:val="20"/>
                <w:szCs w:val="20"/>
              </w:rPr>
              <w:t>“三公经费”控制率</w:t>
            </w:r>
          </w:p>
        </w:tc>
        <w:tc>
          <w:tcPr>
            <w:tcW w:w="1758"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仿宋_GB2312" w:hAnsi="宋体" w:eastAsia="仿宋_GB2312" w:cs="宋体"/>
                <w:kern w:val="0"/>
                <w:sz w:val="20"/>
                <w:szCs w:val="20"/>
                <w:lang w:val="en-US" w:eastAsia="zh-CN" w:bidi="ar-SA"/>
              </w:rPr>
            </w:pPr>
            <w:r>
              <w:rPr>
                <w:rFonts w:hint="eastAsia" w:ascii="仿宋_GB2312" w:hAnsi="宋体" w:eastAsia="仿宋_GB2312" w:cs="宋体"/>
                <w:kern w:val="0"/>
                <w:sz w:val="20"/>
                <w:szCs w:val="20"/>
              </w:rPr>
              <w:t>“三公经费”控制率</w:t>
            </w:r>
            <w:r>
              <w:rPr>
                <w:rFonts w:hint="eastAsia" w:ascii="仿宋_GB2312" w:hAnsi="宋体" w:eastAsia="仿宋_GB2312" w:cs="宋体"/>
                <w:kern w:val="0"/>
                <w:sz w:val="20"/>
                <w:szCs w:val="20"/>
                <w:lang w:val="en-US" w:eastAsia="zh-CN"/>
              </w:rPr>
              <w:t>=293.54</w:t>
            </w:r>
            <w:r>
              <w:rPr>
                <w:rFonts w:hint="eastAsia" w:ascii="仿宋_GB2312" w:hAnsi="宋体" w:eastAsia="仿宋_GB2312" w:cs="宋体"/>
                <w:kern w:val="0"/>
                <w:sz w:val="20"/>
                <w:szCs w:val="20"/>
              </w:rPr>
              <w:t>/</w:t>
            </w:r>
            <w:r>
              <w:rPr>
                <w:rFonts w:hint="eastAsia" w:ascii="仿宋_GB2312" w:hAnsi="宋体" w:eastAsia="仿宋_GB2312" w:cs="宋体"/>
                <w:kern w:val="0"/>
                <w:sz w:val="20"/>
                <w:szCs w:val="20"/>
                <w:lang w:val="en-US" w:eastAsia="zh-CN"/>
              </w:rPr>
              <w:t>302.14</w:t>
            </w:r>
            <w:r>
              <w:rPr>
                <w:rFonts w:hint="eastAsia" w:ascii="仿宋_GB2312" w:hAnsi="宋体" w:eastAsia="仿宋_GB2312" w:cs="宋体"/>
                <w:kern w:val="0"/>
                <w:sz w:val="20"/>
                <w:szCs w:val="20"/>
              </w:rPr>
              <w:t>×100%</w:t>
            </w:r>
            <w:r>
              <w:rPr>
                <w:rFonts w:hint="eastAsia" w:ascii="仿宋_GB2312" w:hAnsi="宋体" w:eastAsia="仿宋_GB2312" w:cs="宋体"/>
                <w:kern w:val="0"/>
                <w:sz w:val="20"/>
                <w:szCs w:val="20"/>
                <w:lang w:val="en-US" w:eastAsia="zh-CN"/>
              </w:rPr>
              <w:t>=97.15%</w:t>
            </w:r>
            <w:r>
              <w:rPr>
                <w:rFonts w:hint="eastAsia" w:ascii="仿宋_GB2312" w:hAnsi="宋体" w:eastAsia="仿宋_GB2312" w:cs="宋体"/>
                <w:kern w:val="0"/>
                <w:sz w:val="20"/>
                <w:szCs w:val="20"/>
              </w:rPr>
              <w:t>。</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40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0"/>
                <w:szCs w:val="20"/>
                <w:lang w:val="en-US" w:eastAsia="zh-CN" w:bidi="ar-SA"/>
              </w:rPr>
            </w:pPr>
            <w:r>
              <w:rPr>
                <w:rFonts w:hint="eastAsia" w:ascii="仿宋_GB2312" w:hAnsi="宋体" w:eastAsia="仿宋_GB2312" w:cs="宋体"/>
                <w:kern w:val="0"/>
                <w:sz w:val="20"/>
                <w:szCs w:val="20"/>
              </w:rPr>
              <w:t>政府采购执行率</w:t>
            </w:r>
          </w:p>
        </w:tc>
        <w:tc>
          <w:tcPr>
            <w:tcW w:w="1758"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default" w:ascii="仿宋_GB2312" w:hAnsi="宋体" w:eastAsia="仿宋_GB2312" w:cs="宋体"/>
                <w:kern w:val="0"/>
                <w:sz w:val="20"/>
                <w:szCs w:val="20"/>
                <w:lang w:val="en-US" w:eastAsia="zh-CN" w:bidi="ar-SA"/>
              </w:rPr>
            </w:pPr>
            <w:r>
              <w:rPr>
                <w:rFonts w:hint="eastAsia" w:ascii="仿宋_GB2312" w:hAnsi="宋体" w:eastAsia="仿宋_GB2312" w:cs="宋体"/>
                <w:kern w:val="0"/>
                <w:sz w:val="20"/>
                <w:szCs w:val="20"/>
              </w:rPr>
              <w:t>政府采购执行率=</w:t>
            </w:r>
            <w:r>
              <w:rPr>
                <w:rFonts w:hint="eastAsia" w:ascii="仿宋_GB2312" w:hAnsi="宋体" w:eastAsia="仿宋_GB2312" w:cs="宋体"/>
                <w:kern w:val="0"/>
                <w:sz w:val="20"/>
                <w:szCs w:val="20"/>
                <w:lang w:val="en-US" w:eastAsia="zh-CN"/>
              </w:rPr>
              <w:t>75.62</w:t>
            </w:r>
            <w:r>
              <w:rPr>
                <w:rFonts w:hint="eastAsia" w:ascii="仿宋_GB2312" w:hAnsi="宋体" w:eastAsia="仿宋_GB2312" w:cs="宋体"/>
                <w:kern w:val="0"/>
                <w:sz w:val="20"/>
                <w:szCs w:val="20"/>
              </w:rPr>
              <w:t>/</w:t>
            </w:r>
            <w:r>
              <w:rPr>
                <w:rFonts w:hint="eastAsia" w:ascii="仿宋_GB2312" w:hAnsi="宋体" w:eastAsia="仿宋_GB2312" w:cs="宋体"/>
                <w:kern w:val="0"/>
                <w:sz w:val="20"/>
                <w:szCs w:val="20"/>
                <w:lang w:val="en-US" w:eastAsia="zh-CN"/>
              </w:rPr>
              <w:t>78.34</w:t>
            </w:r>
            <w:r>
              <w:rPr>
                <w:rFonts w:hint="eastAsia" w:ascii="仿宋_GB2312" w:hAnsi="宋体" w:eastAsia="仿宋_GB2312" w:cs="宋体"/>
                <w:kern w:val="0"/>
                <w:sz w:val="20"/>
                <w:szCs w:val="20"/>
              </w:rPr>
              <w:t>×100%</w:t>
            </w:r>
            <w:r>
              <w:rPr>
                <w:rFonts w:hint="eastAsia" w:ascii="仿宋_GB2312" w:hAnsi="宋体" w:eastAsia="仿宋_GB2312" w:cs="宋体"/>
                <w:kern w:val="0"/>
                <w:sz w:val="20"/>
                <w:szCs w:val="20"/>
                <w:lang w:val="en-US" w:eastAsia="zh-CN"/>
              </w:rPr>
              <w:t>=96.52</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时效</w:t>
            </w:r>
          </w:p>
          <w:p>
            <w:pPr>
              <w:widowControl/>
              <w:jc w:val="center"/>
              <w:rPr>
                <w:rFonts w:eastAsia="仿宋_GB2312"/>
                <w:color w:val="000000"/>
                <w:kern w:val="0"/>
              </w:rPr>
            </w:pPr>
            <w:r>
              <w:rPr>
                <w:rFonts w:eastAsia="仿宋_GB2312"/>
                <w:color w:val="000000"/>
                <w:kern w:val="0"/>
              </w:rPr>
              <w:t>指标</w:t>
            </w:r>
          </w:p>
        </w:tc>
        <w:tc>
          <w:tcPr>
            <w:tcW w:w="140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仿宋_GB2312" w:hAnsi="宋体" w:eastAsia="仿宋_GB2312" w:cs="宋体"/>
                <w:kern w:val="0"/>
                <w:sz w:val="20"/>
                <w:szCs w:val="20"/>
                <w:lang w:val="en-US" w:eastAsia="zh-CN" w:bidi="ar-SA"/>
              </w:rPr>
            </w:pP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40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仿宋_GB2312" w:hAnsi="宋体" w:eastAsia="仿宋_GB2312" w:cs="宋体"/>
                <w:kern w:val="0"/>
                <w:sz w:val="20"/>
                <w:szCs w:val="20"/>
                <w:lang w:val="en-US" w:eastAsia="zh-CN" w:bidi="ar-SA"/>
              </w:rPr>
            </w:pP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40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0"/>
                <w:szCs w:val="20"/>
              </w:rPr>
            </w:pP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40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0"/>
                <w:szCs w:val="20"/>
              </w:rPr>
            </w:pP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40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0"/>
                <w:szCs w:val="20"/>
              </w:rPr>
            </w:pP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成本</w:t>
            </w:r>
          </w:p>
          <w:p>
            <w:pPr>
              <w:widowControl/>
              <w:jc w:val="center"/>
              <w:rPr>
                <w:rFonts w:eastAsia="仿宋_GB2312"/>
                <w:color w:val="000000"/>
                <w:kern w:val="0"/>
              </w:rPr>
            </w:pPr>
            <w:r>
              <w:rPr>
                <w:rFonts w:eastAsia="仿宋_GB2312"/>
                <w:color w:val="000000"/>
                <w:kern w:val="0"/>
              </w:rPr>
              <w:t>指标</w:t>
            </w:r>
          </w:p>
        </w:tc>
        <w:tc>
          <w:tcPr>
            <w:tcW w:w="1401"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401"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w:t>
            </w: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70"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效益指标</w:t>
            </w:r>
          </w:p>
          <w:p>
            <w:pPr>
              <w:widowControl/>
              <w:ind w:firstLine="210" w:firstLineChars="100"/>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 xml:space="preserve">分） </w:t>
            </w:r>
          </w:p>
        </w:tc>
        <w:tc>
          <w:tcPr>
            <w:tcW w:w="877"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经济效</w:t>
            </w:r>
          </w:p>
          <w:p>
            <w:pPr>
              <w:widowControl/>
              <w:jc w:val="center"/>
              <w:rPr>
                <w:rFonts w:eastAsia="仿宋_GB2312"/>
                <w:color w:val="000000"/>
                <w:kern w:val="0"/>
              </w:rPr>
            </w:pPr>
            <w:r>
              <w:rPr>
                <w:rFonts w:eastAsia="仿宋_GB2312"/>
                <w:color w:val="000000"/>
                <w:kern w:val="0"/>
              </w:rPr>
              <w:t>益指标</w:t>
            </w:r>
          </w:p>
        </w:tc>
        <w:tc>
          <w:tcPr>
            <w:tcW w:w="1401"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ascii="仿宋_GB2312" w:hAnsi="宋体" w:eastAsia="仿宋_GB2312" w:cs="宋体"/>
                <w:kern w:val="0"/>
                <w:sz w:val="20"/>
                <w:szCs w:val="20"/>
              </w:rPr>
              <w:t>此两项指标为设置部门整体支出绩效评价指标时必须考虑的共性要素，可根据部门实际情况有选择的进行设置，并将其细化为相应的个性化指标。</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401"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w:t>
            </w: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社会效</w:t>
            </w:r>
          </w:p>
          <w:p>
            <w:pPr>
              <w:widowControl/>
              <w:jc w:val="center"/>
              <w:rPr>
                <w:rFonts w:eastAsia="仿宋_GB2312"/>
                <w:color w:val="000000"/>
                <w:kern w:val="0"/>
              </w:rPr>
            </w:pPr>
            <w:r>
              <w:rPr>
                <w:rFonts w:eastAsia="仿宋_GB2312"/>
                <w:color w:val="000000"/>
                <w:kern w:val="0"/>
              </w:rPr>
              <w:t>益指标</w:t>
            </w:r>
          </w:p>
        </w:tc>
        <w:tc>
          <w:tcPr>
            <w:tcW w:w="1401"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401"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w:t>
            </w: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生态效</w:t>
            </w:r>
          </w:p>
          <w:p>
            <w:pPr>
              <w:widowControl/>
              <w:jc w:val="center"/>
              <w:rPr>
                <w:rFonts w:eastAsia="仿宋_GB2312"/>
                <w:color w:val="000000"/>
                <w:kern w:val="0"/>
              </w:rPr>
            </w:pPr>
            <w:r>
              <w:rPr>
                <w:rFonts w:eastAsia="仿宋_GB2312"/>
                <w:color w:val="000000"/>
                <w:kern w:val="0"/>
              </w:rPr>
              <w:t>益指标</w:t>
            </w:r>
          </w:p>
        </w:tc>
        <w:tc>
          <w:tcPr>
            <w:tcW w:w="1401"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401"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w:t>
            </w: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可持续影响指标</w:t>
            </w:r>
          </w:p>
        </w:tc>
        <w:tc>
          <w:tcPr>
            <w:tcW w:w="1401"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401"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w:t>
            </w: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270"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满意度</w:t>
            </w:r>
          </w:p>
          <w:p>
            <w:pPr>
              <w:widowControl/>
              <w:jc w:val="center"/>
              <w:rPr>
                <w:rFonts w:eastAsia="仿宋_GB2312"/>
                <w:color w:val="000000"/>
                <w:kern w:val="0"/>
              </w:rPr>
            </w:pPr>
            <w:r>
              <w:rPr>
                <w:rFonts w:eastAsia="仿宋_GB2312"/>
                <w:color w:val="000000"/>
                <w:kern w:val="0"/>
              </w:rPr>
              <w:t>指标</w:t>
            </w:r>
          </w:p>
          <w:p>
            <w:pPr>
              <w:widowControl/>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877"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服务对象满意度指标</w:t>
            </w:r>
          </w:p>
        </w:tc>
        <w:tc>
          <w:tcPr>
            <w:tcW w:w="1401"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eastAsia="zh-CN"/>
              </w:rPr>
              <w:t>满意度：</w:t>
            </w:r>
            <w:r>
              <w:rPr>
                <w:rFonts w:hint="eastAsia" w:ascii="仿宋_GB2312" w:hAnsi="宋体" w:eastAsia="仿宋_GB2312" w:cs="宋体"/>
                <w:kern w:val="0"/>
                <w:sz w:val="20"/>
                <w:szCs w:val="20"/>
              </w:rPr>
              <w:t>90%（含）以上计6分；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80%（含）-90%，计4分；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70%（含）-80%，计2分；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低于70%计0分。</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7</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877"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401"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w:t>
            </w:r>
          </w:p>
        </w:tc>
        <w:tc>
          <w:tcPr>
            <w:tcW w:w="175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49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总分</w:t>
            </w:r>
          </w:p>
        </w:tc>
        <w:tc>
          <w:tcPr>
            <w:tcW w:w="121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100</w:t>
            </w:r>
          </w:p>
        </w:tc>
        <w:tc>
          <w:tcPr>
            <w:tcW w:w="111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c>
          <w:tcPr>
            <w:tcW w:w="1215"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bl>
    <w:p>
      <w:pPr>
        <w:widowControl/>
        <w:spacing w:line="340" w:lineRule="exact"/>
        <w:jc w:val="left"/>
        <w:rPr>
          <w:rFonts w:hint="eastAsia" w:eastAsia="黑体"/>
          <w:sz w:val="32"/>
          <w:szCs w:val="32"/>
        </w:rPr>
      </w:pPr>
      <w:r>
        <w:rPr>
          <w:rFonts w:eastAsia="黑体"/>
          <w:sz w:val="32"/>
          <w:szCs w:val="32"/>
        </w:rPr>
        <w:t xml:space="preserve"> </w:t>
      </w:r>
    </w:p>
    <w:p>
      <w:pPr>
        <w:widowControl/>
        <w:spacing w:line="300" w:lineRule="exact"/>
        <w:jc w:val="left"/>
        <w:rPr>
          <w:rFonts w:ascii="黑体" w:hAnsi="黑体" w:eastAsia="黑体"/>
          <w:sz w:val="32"/>
          <w:szCs w:val="32"/>
        </w:rPr>
      </w:pPr>
    </w:p>
    <w:p>
      <w:pPr>
        <w:widowControl/>
        <w:spacing w:line="300" w:lineRule="exact"/>
        <w:jc w:val="left"/>
        <w:rPr>
          <w:rFonts w:eastAsia="黑体"/>
          <w:sz w:val="32"/>
          <w:szCs w:val="32"/>
        </w:rPr>
      </w:pPr>
      <w:r>
        <w:rPr>
          <w:rFonts w:ascii="黑体" w:hAnsi="黑体" w:eastAsia="黑体"/>
          <w:sz w:val="32"/>
          <w:szCs w:val="32"/>
        </w:rPr>
        <w:t>附件</w:t>
      </w:r>
      <w:r>
        <w:rPr>
          <w:rFonts w:hint="eastAsia" w:eastAsia="黑体"/>
          <w:sz w:val="32"/>
          <w:szCs w:val="32"/>
        </w:rPr>
        <w:t>3</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2020</w:t>
      </w:r>
      <w:r>
        <w:rPr>
          <w:rFonts w:ascii="仿宋_GB2312" w:hAnsi="仿宋_GB2312" w:eastAsia="仿宋_GB2312"/>
          <w:color w:val="000000"/>
          <w:kern w:val="0"/>
        </w:rPr>
        <w:t>年度）</w:t>
      </w:r>
    </w:p>
    <w:tbl>
      <w:tblPr>
        <w:tblStyle w:val="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1071"/>
        <w:gridCol w:w="1067"/>
        <w:gridCol w:w="1214"/>
        <w:gridCol w:w="1204"/>
        <w:gridCol w:w="1130"/>
        <w:gridCol w:w="822"/>
        <w:gridCol w:w="873"/>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项目支</w:t>
            </w:r>
          </w:p>
          <w:p>
            <w:pPr>
              <w:widowControl/>
              <w:spacing w:line="300" w:lineRule="exact"/>
              <w:jc w:val="center"/>
              <w:rPr>
                <w:rFonts w:eastAsia="仿宋_GB2312"/>
                <w:color w:val="000000"/>
                <w:kern w:val="0"/>
              </w:rPr>
            </w:pPr>
            <w:r>
              <w:rPr>
                <w:rFonts w:eastAsia="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eastAsia="zh-CN"/>
              </w:rPr>
            </w:pPr>
            <w:r>
              <w:rPr>
                <w:rFonts w:eastAsia="仿宋_GB2312"/>
                <w:color w:val="000000"/>
                <w:kern w:val="0"/>
              </w:rPr>
              <w:t>　</w:t>
            </w:r>
            <w:r>
              <w:rPr>
                <w:rFonts w:hint="eastAsia" w:eastAsia="仿宋_GB2312"/>
                <w:color w:val="000000"/>
                <w:kern w:val="0"/>
                <w:lang w:eastAsia="zh-CN"/>
              </w:rPr>
              <w:t>接待费、公车维护费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eastAsia="zh-CN"/>
              </w:rPr>
            </w:pPr>
            <w:r>
              <w:rPr>
                <w:rFonts w:eastAsia="仿宋_GB2312"/>
                <w:color w:val="000000"/>
                <w:kern w:val="0"/>
              </w:rPr>
              <w:t>项目资金</w:t>
            </w:r>
          </w:p>
          <w:p>
            <w:pPr>
              <w:widowControl/>
              <w:spacing w:line="300" w:lineRule="exact"/>
              <w:jc w:val="center"/>
              <w:rPr>
                <w:rFonts w:eastAsia="仿宋_GB2312"/>
                <w:color w:val="000000"/>
                <w:kern w:val="0"/>
              </w:rPr>
            </w:pPr>
            <w:r>
              <w:rPr>
                <w:rFonts w:eastAsia="仿宋_GB2312"/>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年初</w:t>
            </w:r>
          </w:p>
          <w:p>
            <w:pPr>
              <w:widowControl/>
              <w:spacing w:line="300" w:lineRule="exact"/>
              <w:jc w:val="center"/>
              <w:rPr>
                <w:rFonts w:eastAsia="仿宋_GB2312"/>
                <w:color w:val="000000"/>
                <w:kern w:val="0"/>
              </w:rPr>
            </w:pPr>
            <w:r>
              <w:rPr>
                <w:rFonts w:eastAsia="仿宋_GB2312"/>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全年</w:t>
            </w:r>
          </w:p>
          <w:p>
            <w:pPr>
              <w:widowControl/>
              <w:spacing w:line="300" w:lineRule="exact"/>
              <w:jc w:val="center"/>
              <w:rPr>
                <w:rFonts w:eastAsia="仿宋_GB2312"/>
                <w:color w:val="000000"/>
                <w:kern w:val="0"/>
              </w:rPr>
            </w:pPr>
            <w:r>
              <w:rPr>
                <w:rFonts w:eastAsia="仿宋_GB2312"/>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仿宋_GB2312"/>
              </w:rPr>
            </w:pPr>
            <w:r>
              <w:rPr>
                <w:rFonts w:eastAsia="仿宋_GB2312"/>
              </w:rPr>
              <w:t>全年</w:t>
            </w:r>
          </w:p>
          <w:p>
            <w:pPr>
              <w:spacing w:line="300" w:lineRule="exact"/>
              <w:jc w:val="center"/>
              <w:rPr>
                <w:rFonts w:eastAsia="仿宋_GB2312"/>
              </w:rPr>
            </w:pPr>
            <w:r>
              <w:rPr>
                <w:rFonts w:eastAsia="仿宋_GB2312"/>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3600000.00</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　3600000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2716700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75.46%</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　3600000.00</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　3600000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　2716700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75.46%</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0</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0</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绩</w:t>
            </w:r>
          </w:p>
          <w:p>
            <w:pPr>
              <w:widowControl/>
              <w:spacing w:line="300" w:lineRule="exact"/>
              <w:jc w:val="center"/>
              <w:rPr>
                <w:rFonts w:eastAsia="仿宋_GB2312"/>
                <w:color w:val="000000"/>
                <w:kern w:val="0"/>
              </w:rPr>
            </w:pPr>
            <w:r>
              <w:rPr>
                <w:rFonts w:eastAsia="仿宋_GB2312"/>
                <w:color w:val="000000"/>
                <w:kern w:val="0"/>
              </w:rPr>
              <w:t>效</w:t>
            </w:r>
          </w:p>
          <w:p>
            <w:pPr>
              <w:widowControl/>
              <w:spacing w:line="300" w:lineRule="exact"/>
              <w:jc w:val="center"/>
              <w:rPr>
                <w:rFonts w:eastAsia="仿宋_GB2312"/>
                <w:color w:val="000000"/>
                <w:kern w:val="0"/>
              </w:rPr>
            </w:pPr>
            <w:r>
              <w:rPr>
                <w:rFonts w:eastAsia="仿宋_GB2312"/>
                <w:color w:val="000000"/>
                <w:kern w:val="0"/>
              </w:rPr>
              <w:t>指</w:t>
            </w:r>
          </w:p>
          <w:p>
            <w:pPr>
              <w:widowControl/>
              <w:spacing w:line="300" w:lineRule="exact"/>
              <w:jc w:val="center"/>
              <w:rPr>
                <w:rFonts w:eastAsia="仿宋_GB2312"/>
                <w:color w:val="000000"/>
                <w:kern w:val="0"/>
              </w:rPr>
            </w:pPr>
            <w:r>
              <w:rPr>
                <w:rFonts w:eastAsia="仿宋_GB2312"/>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年度</w:t>
            </w:r>
          </w:p>
          <w:p>
            <w:pPr>
              <w:widowControl/>
              <w:spacing w:line="30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实际</w:t>
            </w:r>
          </w:p>
          <w:p>
            <w:pPr>
              <w:widowControl/>
              <w:spacing w:line="300" w:lineRule="exact"/>
              <w:jc w:val="center"/>
              <w:rPr>
                <w:rFonts w:eastAsia="仿宋_GB2312"/>
                <w:color w:val="000000"/>
                <w:kern w:val="0"/>
              </w:rPr>
            </w:pPr>
            <w:r>
              <w:rPr>
                <w:rFonts w:eastAsia="仿宋_GB2312"/>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偏差原因</w:t>
            </w:r>
          </w:p>
          <w:p>
            <w:pPr>
              <w:widowControl/>
              <w:spacing w:line="300" w:lineRule="exact"/>
              <w:jc w:val="center"/>
              <w:rPr>
                <w:rFonts w:ascii="仿宋_GB2312" w:hAnsi="仿宋_GB2312"/>
                <w:color w:val="000000"/>
                <w:kern w:val="0"/>
              </w:rPr>
            </w:pPr>
            <w:r>
              <w:rPr>
                <w:rFonts w:eastAsia="仿宋_GB2312"/>
                <w:color w:val="000000"/>
                <w:kern w:val="0"/>
              </w:rPr>
              <w:t>分析及</w:t>
            </w:r>
          </w:p>
          <w:p>
            <w:pPr>
              <w:widowControl/>
              <w:spacing w:line="30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产出指标</w:t>
            </w:r>
          </w:p>
          <w:p>
            <w:pPr>
              <w:widowControl/>
              <w:spacing w:line="300" w:lineRule="exact"/>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效益指标</w:t>
            </w:r>
          </w:p>
          <w:p>
            <w:pPr>
              <w:widowControl/>
              <w:spacing w:line="300" w:lineRule="exact"/>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经济效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社会效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生态效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满意度</w:t>
            </w:r>
          </w:p>
          <w:p>
            <w:pPr>
              <w:widowControl/>
              <w:spacing w:line="300" w:lineRule="exact"/>
              <w:jc w:val="center"/>
              <w:rPr>
                <w:rFonts w:eastAsia="仿宋_GB2312"/>
                <w:color w:val="000000"/>
                <w:kern w:val="0"/>
              </w:rPr>
            </w:pPr>
            <w:r>
              <w:rPr>
                <w:rFonts w:eastAsia="仿宋_GB2312"/>
                <w:color w:val="000000"/>
                <w:kern w:val="0"/>
              </w:rPr>
              <w:t>指标</w:t>
            </w:r>
          </w:p>
          <w:p>
            <w:pPr>
              <w:widowControl/>
              <w:spacing w:line="300" w:lineRule="exact"/>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bl>
    <w:p>
      <w:bookmarkStart w:id="0" w:name="_GoBack"/>
      <w:bookmarkEnd w:id="0"/>
    </w:p>
    <w:sectPr>
      <w:headerReference r:id="rId3" w:type="default"/>
      <w:footerReference r:id="rId4" w:type="default"/>
      <w:footerReference r:id="rId5" w:type="even"/>
      <w:pgSz w:w="11906" w:h="16838"/>
      <w:pgMar w:top="1440" w:right="1860" w:bottom="1440" w:left="18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Batang">
    <w:altName w:val="GulimChe"/>
    <w:panose1 w:val="02030600000101010101"/>
    <w:charset w:val="81"/>
    <w:family w:val="roman"/>
    <w:pitch w:val="default"/>
    <w:sig w:usb0="00000000" w:usb1="00000000" w:usb2="00000030" w:usb3="00000000" w:csb0="4008009F" w:csb1="DFD70000"/>
  </w:font>
  <w:font w:name="Guli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 xml:space="preserve"> </w:t>
    </w:r>
    <w:r>
      <w:rPr>
        <w:rStyle w:val="7"/>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B20565F"/>
    <w:rsid w:val="001B4861"/>
    <w:rsid w:val="00301B8E"/>
    <w:rsid w:val="003F1D8A"/>
    <w:rsid w:val="004B723C"/>
    <w:rsid w:val="006E7404"/>
    <w:rsid w:val="0073738F"/>
    <w:rsid w:val="007630ED"/>
    <w:rsid w:val="007C578D"/>
    <w:rsid w:val="00882DA5"/>
    <w:rsid w:val="008A7FA0"/>
    <w:rsid w:val="009625CA"/>
    <w:rsid w:val="00AF67A9"/>
    <w:rsid w:val="00DA3914"/>
    <w:rsid w:val="00DF0B2C"/>
    <w:rsid w:val="00EF49DE"/>
    <w:rsid w:val="00FE7674"/>
    <w:rsid w:val="0AB47362"/>
    <w:rsid w:val="0CBA6C2F"/>
    <w:rsid w:val="0DD50B56"/>
    <w:rsid w:val="0E684817"/>
    <w:rsid w:val="1B2118D2"/>
    <w:rsid w:val="1DDE20F9"/>
    <w:rsid w:val="2B20565F"/>
    <w:rsid w:val="3926048E"/>
    <w:rsid w:val="3FF25899"/>
    <w:rsid w:val="44CF7E46"/>
    <w:rsid w:val="4DA94B97"/>
    <w:rsid w:val="520E7411"/>
    <w:rsid w:val="683D7E41"/>
    <w:rsid w:val="68A04DFF"/>
    <w:rsid w:val="6E753B50"/>
    <w:rsid w:val="74502ACC"/>
    <w:rsid w:val="7BB41F61"/>
    <w:rsid w:val="7F212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4044</Words>
  <Characters>436</Characters>
  <Lines>3</Lines>
  <Paragraphs>8</Paragraphs>
  <TotalTime>5</TotalTime>
  <ScaleCrop>false</ScaleCrop>
  <LinksUpToDate>false</LinksUpToDate>
  <CharactersWithSpaces>4472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2021-11-11T07:07:00Z</dcterms:created>
  <dc:creator></dc:creator>
  <cp:lastModifiedBy>Administrator</cp:lastModifiedBy>
  <cp:lastPrinted>2021-12-09T01:59:00Z</cp:lastPrinted>
  <dcterms:modified xsi:type="dcterms:W3CDTF">2021-12-21T07:37:15Z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7DE5425EEF57416FB2C1234679BE1AA0</vt:lpwstr>
  </property>
</Properties>
</file>