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F988B">
      <w:pPr>
        <w:pStyle w:val="7"/>
        <w:jc w:val="left"/>
        <w:rPr>
          <w:rFonts w:ascii="方正公文小标宋" w:eastAsia="方正公文小标宋"/>
          <w:b w:val="0"/>
          <w:sz w:val="84"/>
          <w:szCs w:val="84"/>
          <w:lang w:eastAsia="zh-CN"/>
        </w:rPr>
      </w:pPr>
      <w:bookmarkStart w:id="12" w:name="_GoBack"/>
      <w:bookmarkEnd w:id="12"/>
    </w:p>
    <w:p w14:paraId="5D3895A5">
      <w:pPr>
        <w:pStyle w:val="7"/>
        <w:jc w:val="left"/>
        <w:rPr>
          <w:rFonts w:ascii="方正公文小标宋" w:eastAsia="方正公文小标宋"/>
          <w:b w:val="0"/>
          <w:sz w:val="84"/>
          <w:szCs w:val="84"/>
          <w:lang w:eastAsia="zh-CN"/>
        </w:rPr>
      </w:pPr>
    </w:p>
    <w:p w14:paraId="57389F4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湖南省永州市祁阳市羊角塘镇履</w:t>
      </w:r>
    </w:p>
    <w:p w14:paraId="014E0CB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080B674A">
      <w:pPr>
        <w:rPr>
          <w:rFonts w:ascii="方正公文小标宋" w:eastAsia="方正公文小标宋"/>
          <w:sz w:val="84"/>
          <w:szCs w:val="84"/>
          <w:lang w:eastAsia="zh-CN"/>
        </w:rPr>
      </w:pPr>
    </w:p>
    <w:p w14:paraId="3132CDCF">
      <w:pPr>
        <w:rPr>
          <w:rFonts w:ascii="方正公文小标宋" w:eastAsia="方正公文小标宋"/>
          <w:sz w:val="84"/>
          <w:szCs w:val="84"/>
          <w:lang w:eastAsia="zh-CN"/>
        </w:rPr>
      </w:pPr>
    </w:p>
    <w:p w14:paraId="77902B9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shd w:val="clear" w:color="auto" w:fill="auto"/>
          <w:lang w:val="zh-CN" w:eastAsia="en-US"/>
        </w:rPr>
      </w:sdtEndPr>
      <w:sdtContent>
        <w:p w14:paraId="53EE2682">
          <w:pPr>
            <w:pStyle w:val="19"/>
            <w:jc w:val="center"/>
            <w:rPr>
              <w:rFonts w:hint="eastAsia" w:ascii="Times New Roman" w:hAnsi="Times New Roman" w:eastAsia="方正公文小标宋" w:cs="Times New Roman"/>
              <w:color w:val="auto"/>
              <w:sz w:val="44"/>
              <w:szCs w:val="44"/>
              <w:shd w:val="clear" w:color="auto" w:fill="auto"/>
              <w:lang w:val="zh-CN"/>
            </w:rPr>
          </w:pPr>
          <w:r>
            <w:rPr>
              <w:rFonts w:ascii="Times New Roman" w:hAnsi="Times New Roman" w:eastAsia="方正公文小标宋" w:cs="Times New Roman"/>
              <w:color w:val="auto"/>
              <w:sz w:val="44"/>
              <w:szCs w:val="44"/>
              <w:shd w:val="clear" w:color="auto" w:fill="auto"/>
              <w:lang w:val="zh-CN"/>
            </w:rPr>
            <w:t>目</w:t>
          </w:r>
          <w:r>
            <w:rPr>
              <w:rFonts w:hint="eastAsia" w:ascii="Times New Roman" w:hAnsi="Times New Roman" w:eastAsia="方正公文小标宋" w:cs="Times New Roman"/>
              <w:color w:val="auto"/>
              <w:sz w:val="44"/>
              <w:szCs w:val="44"/>
              <w:shd w:val="clear" w:color="auto" w:fill="auto"/>
              <w:lang w:val="zh-CN"/>
            </w:rPr>
            <w:t xml:space="preserve">  </w:t>
          </w:r>
          <w:r>
            <w:rPr>
              <w:rFonts w:ascii="Times New Roman" w:hAnsi="Times New Roman" w:eastAsia="方正公文小标宋" w:cs="Times New Roman"/>
              <w:color w:val="auto"/>
              <w:sz w:val="44"/>
              <w:szCs w:val="44"/>
              <w:shd w:val="clear" w:color="auto" w:fill="auto"/>
              <w:lang w:val="zh-CN"/>
            </w:rPr>
            <w:t>录</w:t>
          </w:r>
        </w:p>
        <w:p w14:paraId="4E255808">
          <w:pPr>
            <w:pStyle w:val="6"/>
            <w:tabs>
              <w:tab w:val="right" w:pos="13991"/>
            </w:tabs>
            <w:rPr>
              <w:rFonts w:cs="Times New Roman" w:eastAsiaTheme="minorEastAsia"/>
              <w:snapToGrid/>
              <w:color w:val="auto"/>
              <w:kern w:val="2"/>
              <w:sz w:val="21"/>
              <w:szCs w:val="22"/>
              <w:shd w:val="clear" w:color="auto" w:fill="auto"/>
              <w:lang w:eastAsia="zh-CN"/>
            </w:rPr>
          </w:pPr>
          <w:r>
            <w:rPr>
              <w:rFonts w:cs="Times New Roman"/>
              <w:szCs w:val="32"/>
              <w:shd w:val="clear" w:color="auto" w:fill="auto"/>
            </w:rPr>
            <w:fldChar w:fldCharType="begin"/>
          </w:r>
          <w:r>
            <w:rPr>
              <w:rFonts w:cs="Times New Roman"/>
              <w:szCs w:val="32"/>
              <w:shd w:val="clear" w:color="auto" w:fill="auto"/>
            </w:rPr>
            <w:instrText xml:space="preserve"> TOC \o "1-3" \n \h \z \u </w:instrText>
          </w:r>
          <w:r>
            <w:rPr>
              <w:rFonts w:cs="Times New Roman"/>
              <w:szCs w:val="32"/>
              <w:shd w:val="clear" w:color="auto" w:fill="auto"/>
            </w:rPr>
            <w:fldChar w:fldCharType="separate"/>
          </w:r>
          <w:r>
            <w:rPr>
              <w:b w:val="0"/>
              <w:bCs w:val="0"/>
              <w:shd w:val="clear" w:color="auto" w:fill="auto"/>
            </w:rPr>
            <w:fldChar w:fldCharType="begin"/>
          </w:r>
          <w:r>
            <w:rPr>
              <w:b w:val="0"/>
              <w:bCs w:val="0"/>
              <w:shd w:val="clear" w:color="auto" w:fill="auto"/>
            </w:rPr>
            <w:instrText xml:space="preserve"> HYPERLINK \l "_Toc172533652" </w:instrText>
          </w:r>
          <w:r>
            <w:rPr>
              <w:b w:val="0"/>
              <w:bCs w:val="0"/>
              <w:shd w:val="clear" w:color="auto" w:fill="auto"/>
            </w:rPr>
            <w:fldChar w:fldCharType="separate"/>
          </w:r>
          <w:r>
            <w:rPr>
              <w:rStyle w:val="11"/>
              <w:rFonts w:eastAsia="方正公文小标宋" w:cs="Times New Roman"/>
              <w:b w:val="0"/>
              <w:bCs w:val="0"/>
              <w:shd w:val="clear" w:color="auto" w:fill="auto"/>
              <w:lang w:eastAsia="zh-CN"/>
            </w:rPr>
            <w:t>基本</w:t>
          </w:r>
          <w:r>
            <w:rPr>
              <w:rFonts w:hint="eastAsia" w:eastAsia="方正公文小标宋" w:cs="Times New Roman"/>
              <w:b w:val="0"/>
              <w:bCs w:val="0"/>
              <w:shd w:val="clear" w:color="auto" w:fill="auto"/>
              <w:lang w:eastAsia="zh-CN"/>
            </w:rPr>
            <w:t>履职事项</w:t>
          </w:r>
          <w:r>
            <w:rPr>
              <w:rStyle w:val="11"/>
              <w:rFonts w:eastAsia="方正公文小标宋" w:cs="Times New Roman"/>
              <w:b w:val="0"/>
              <w:bCs w:val="0"/>
              <w:shd w:val="clear" w:color="auto" w:fill="auto"/>
              <w:lang w:eastAsia="zh-CN"/>
            </w:rPr>
            <w:t>清单</w:t>
          </w:r>
          <w:r>
            <w:rPr>
              <w:rStyle w:val="11"/>
              <w:rFonts w:eastAsia="方正公文小标宋" w:cs="Times New Roman"/>
              <w:b w:val="0"/>
              <w:bCs w:val="0"/>
              <w:shd w:val="clear" w:color="auto" w:fill="auto"/>
              <w:lang w:eastAsia="zh-CN"/>
            </w:rPr>
            <w:fldChar w:fldCharType="end"/>
          </w:r>
          <w:r>
            <w:rPr>
              <w:rStyle w:val="11"/>
              <w:rFonts w:hint="eastAsia" w:eastAsia="方正公文小标宋" w:cs="Times New Roman"/>
              <w:b w:val="0"/>
              <w:bCs w:val="0"/>
              <w:shd w:val="clear" w:color="auto" w:fill="auto"/>
              <w:lang w:val="en-US" w:eastAsia="zh-CN"/>
            </w:rPr>
            <w:t>.</w:t>
          </w:r>
          <w:r>
            <w:rPr>
              <w:rStyle w:val="11"/>
              <w:rFonts w:hint="eastAsia" w:eastAsia="方正公文小标宋" w:cs="Times New Roman"/>
              <w:shd w:val="clear" w:color="auto" w:fill="auto"/>
              <w:lang w:val="en-US" w:eastAsia="zh-CN"/>
            </w:rPr>
            <w:t>..................................................................................................................................1</w:t>
          </w:r>
        </w:p>
        <w:p w14:paraId="6B183E86">
          <w:pPr>
            <w:pStyle w:val="6"/>
            <w:tabs>
              <w:tab w:val="right" w:pos="13991"/>
            </w:tabs>
            <w:rPr>
              <w:rFonts w:cs="Times New Roman" w:eastAsiaTheme="minorEastAsia"/>
              <w:snapToGrid/>
              <w:color w:val="auto"/>
              <w:kern w:val="2"/>
              <w:sz w:val="21"/>
              <w:szCs w:val="22"/>
              <w:shd w:val="clear" w:color="auto" w:fill="auto"/>
              <w:lang w:eastAsia="zh-CN"/>
            </w:rPr>
          </w:pPr>
          <w:r>
            <w:rPr>
              <w:shd w:val="clear" w:color="auto" w:fill="auto"/>
            </w:rPr>
            <w:fldChar w:fldCharType="begin"/>
          </w:r>
          <w:r>
            <w:rPr>
              <w:shd w:val="clear" w:color="auto" w:fill="auto"/>
            </w:rPr>
            <w:instrText xml:space="preserve"> HYPERLINK \l "_Toc172533653" </w:instrText>
          </w:r>
          <w:r>
            <w:rPr>
              <w:shd w:val="clear" w:color="auto" w:fill="auto"/>
            </w:rPr>
            <w:fldChar w:fldCharType="separate"/>
          </w:r>
          <w:r>
            <w:rPr>
              <w:rStyle w:val="11"/>
              <w:rFonts w:eastAsia="方正公文小标宋" w:cs="Times New Roman"/>
              <w:shd w:val="clear" w:color="auto" w:fill="auto"/>
              <w:lang w:eastAsia="zh-CN"/>
            </w:rPr>
            <w:t>配合</w:t>
          </w:r>
          <w:r>
            <w:rPr>
              <w:rFonts w:hint="eastAsia" w:eastAsia="方正公文小标宋" w:cs="Times New Roman"/>
              <w:b w:val="0"/>
              <w:bCs/>
              <w:shd w:val="clear" w:color="auto" w:fill="auto"/>
              <w:lang w:eastAsia="zh-CN"/>
            </w:rPr>
            <w:t>履职事项</w:t>
          </w:r>
          <w:r>
            <w:rPr>
              <w:rStyle w:val="11"/>
              <w:rFonts w:eastAsia="方正公文小标宋" w:cs="Times New Roman"/>
              <w:shd w:val="clear" w:color="auto" w:fill="auto"/>
              <w:lang w:eastAsia="zh-CN"/>
            </w:rPr>
            <w:t>清单</w:t>
          </w:r>
          <w:r>
            <w:rPr>
              <w:rStyle w:val="11"/>
              <w:rFonts w:eastAsia="方正公文小标宋" w:cs="Times New Roman"/>
              <w:shd w:val="clear" w:color="auto" w:fill="auto"/>
              <w:lang w:eastAsia="zh-CN"/>
            </w:rPr>
            <w:fldChar w:fldCharType="end"/>
          </w:r>
          <w:r>
            <w:rPr>
              <w:rStyle w:val="11"/>
              <w:rFonts w:hint="eastAsia" w:eastAsia="方正公文小标宋" w:cs="Times New Roman"/>
              <w:shd w:val="clear" w:color="auto" w:fill="auto"/>
              <w:lang w:val="en-US" w:eastAsia="zh-CN"/>
            </w:rPr>
            <w:t>.................................................................................................................................13</w:t>
          </w:r>
        </w:p>
        <w:p w14:paraId="02828561">
          <w:pPr>
            <w:pStyle w:val="6"/>
            <w:rPr>
              <w:rFonts w:cs="Times New Roman"/>
              <w:b/>
              <w:bCs/>
              <w:shd w:val="clear" w:color="auto" w:fill="auto"/>
              <w:lang w:val="zh-CN"/>
            </w:rPr>
          </w:pPr>
          <w:r>
            <w:rPr>
              <w:shd w:val="clear" w:color="auto" w:fill="auto"/>
            </w:rPr>
            <w:fldChar w:fldCharType="begin"/>
          </w:r>
          <w:r>
            <w:rPr>
              <w:shd w:val="clear" w:color="auto" w:fill="auto"/>
            </w:rPr>
            <w:instrText xml:space="preserve"> HYPERLINK \l "_Toc172533654" </w:instrText>
          </w:r>
          <w:r>
            <w:rPr>
              <w:shd w:val="clear" w:color="auto" w:fill="auto"/>
            </w:rPr>
            <w:fldChar w:fldCharType="separate"/>
          </w:r>
          <w:r>
            <w:rPr>
              <w:rStyle w:val="11"/>
              <w:rFonts w:hint="eastAsia" w:eastAsia="方正公文小标宋" w:cs="Times New Roman"/>
              <w:shd w:val="clear" w:color="auto" w:fill="auto"/>
              <w:lang w:eastAsia="zh-CN"/>
            </w:rPr>
            <w:t>上级部门收回事项清单</w:t>
          </w:r>
          <w:r>
            <w:rPr>
              <w:rStyle w:val="11"/>
              <w:rFonts w:hint="eastAsia" w:eastAsia="方正公文小标宋" w:cs="Times New Roman"/>
              <w:shd w:val="clear" w:color="auto" w:fill="auto"/>
              <w:lang w:eastAsia="zh-CN"/>
            </w:rPr>
            <w:fldChar w:fldCharType="end"/>
          </w:r>
          <w:r>
            <w:rPr>
              <w:rFonts w:cs="Times New Roman"/>
              <w:szCs w:val="32"/>
              <w:shd w:val="clear" w:color="auto" w:fill="auto"/>
            </w:rPr>
            <w:fldChar w:fldCharType="end"/>
          </w:r>
          <w:r>
            <w:rPr>
              <w:rFonts w:hint="eastAsia" w:cs="Times New Roman"/>
              <w:szCs w:val="32"/>
              <w:shd w:val="clear" w:color="auto" w:fill="auto"/>
              <w:lang w:val="en-US" w:eastAsia="zh-CN"/>
            </w:rPr>
            <w:t>.................................................................................................................................43</w:t>
          </w:r>
        </w:p>
      </w:sdtContent>
    </w:sdt>
    <w:p w14:paraId="6D298FB0">
      <w:pPr>
        <w:pStyle w:val="7"/>
        <w:jc w:val="both"/>
        <w:rPr>
          <w:rFonts w:ascii="Times New Roman" w:hAnsi="Times New Roman" w:eastAsia="方正小标宋_GBK" w:cs="Times New Roman"/>
          <w:color w:val="auto"/>
          <w:spacing w:val="7"/>
          <w:sz w:val="44"/>
          <w:szCs w:val="44"/>
          <w:shd w:val="clear" w:color="auto" w:fill="auto"/>
          <w:lang w:eastAsia="zh-CN"/>
        </w:rPr>
      </w:pPr>
    </w:p>
    <w:p w14:paraId="0381DC60">
      <w:pPr>
        <w:jc w:val="center"/>
        <w:rPr>
          <w:rFonts w:hint="eastAsia" w:eastAsiaTheme="minorEastAsia"/>
          <w:shd w:val="clear" w:color="auto" w:fill="auto"/>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12701F8">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1AAC29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018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9B7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385BC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E65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05FE91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B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B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506B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F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0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67146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0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C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65BA15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2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7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4AD990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10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D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225FBC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0F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4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534E9E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3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7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5DE3B9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3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E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做好镇党代表的推荐，县级以上党代表推荐、选举、联络服务工作，推动党代表履职。</w:t>
            </w:r>
          </w:p>
        </w:tc>
      </w:tr>
      <w:tr w14:paraId="06EF8F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A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A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2B1ADB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5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6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626724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A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C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5CFB9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E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8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405F9E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6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C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1D4893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8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4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346A3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9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4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36460B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4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F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63FA4B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B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C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468CFE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F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9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48EE43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9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106329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3D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3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498FE5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3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7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1468B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7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F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6B7AB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8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8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6DD3C2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B84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6BC60A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B3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051D35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6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7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16AFAF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2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4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100710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0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2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6FAEF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3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B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0F3C1C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C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1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15DB6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0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0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促进鞭炮产业健康发展。</w:t>
            </w:r>
          </w:p>
        </w:tc>
      </w:tr>
      <w:tr w14:paraId="324139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69C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54BE6D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B3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2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5ACEC9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8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E66A3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5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3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402A6C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6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8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7E74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4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0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44922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5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5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37CA6E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5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E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10109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6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D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7CBC62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9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2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70395B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C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E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0AABB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E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8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692E99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A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A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4FAC7D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5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2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6C7605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7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6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组织社区申报日间照料中心、老年活动室等居家养老服务项目。</w:t>
            </w:r>
          </w:p>
        </w:tc>
      </w:tr>
      <w:tr w14:paraId="7E9A88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9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C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31B74B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2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5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7EEEB6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1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C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受理保障性住房（或租赁补贴）的申请、初核、公示。</w:t>
            </w:r>
          </w:p>
        </w:tc>
      </w:tr>
      <w:tr w14:paraId="5FA40F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A2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5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22C349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D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76A7B0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1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7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03BF37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3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7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7FF3FC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1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3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77F777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C6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B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6AD94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1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3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59C9A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7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607AFB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0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2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54749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9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A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6C7BC0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6DB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2259C1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66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C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0B3F3F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31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C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1BB823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A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114F85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F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7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167AC2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7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C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6982F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C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0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271CF1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4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5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716E9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4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1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5D43AA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F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6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010A1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6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E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5B015B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F6F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70CFE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6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3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2F57C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1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1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0B94F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B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1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057967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5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6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09B01A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A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9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发展壮大绿色建材产业，帮助亿达建材、长鑫建材提质改造，健康发展。</w:t>
            </w:r>
          </w:p>
        </w:tc>
      </w:tr>
      <w:tr w14:paraId="393A88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735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DD693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E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A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5C0DCA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7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6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3AD145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4B1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514A6C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F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B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0D906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1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A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做好人民建议征集工作，开展人民建议征集工作宣传、调查研究，参与市征集活动，提出改进意见和建议。</w:t>
            </w:r>
          </w:p>
        </w:tc>
      </w:tr>
      <w:tr w14:paraId="70FF5B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76C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15A2A9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D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418F3C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6E6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2B9FE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A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E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1A4909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34F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7D8344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7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2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5BDB1C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FAB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18DD42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3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D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5C6939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C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D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43424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9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A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4BBC0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1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D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2EA04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A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8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68534C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6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B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5BB372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16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51C66A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3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4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7A521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4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04352D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F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1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3D95E2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C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B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19A0E7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5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18B9F2E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D35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十二、城乡建设（9项）</w:t>
            </w:r>
          </w:p>
        </w:tc>
      </w:tr>
      <w:tr w14:paraId="3E867C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7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7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045F25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D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C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2E0C33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F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B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48C4F9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5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0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14B5A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D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8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02C6C1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E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B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6196E8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0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6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638DED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E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8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开展城市建筑房屋白蚁防治宣传工作，对受害房屋进行定期排查并上报。</w:t>
            </w:r>
          </w:p>
        </w:tc>
      </w:tr>
      <w:tr w14:paraId="33499F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D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D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4FF85E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EC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22E07D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5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2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5F0FE6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E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6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24A540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870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2813CC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7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D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25BCFE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5DE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240A25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1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1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047FFE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0D2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十六、综合政务（9项）</w:t>
            </w:r>
          </w:p>
        </w:tc>
      </w:tr>
      <w:tr w14:paraId="4F47FD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2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9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49F714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1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5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6270D5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C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A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0F1A00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C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6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02F64F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6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8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1E8DF2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7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4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689F59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3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1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388429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5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8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010813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35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3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6CCA627E">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E7982E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BC7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DC0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985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0B5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CB2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86B2D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763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29F919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E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F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4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1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20CF2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8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3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6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F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B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6D8A00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84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B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E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2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E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109438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B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D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F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3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F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03ADB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5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A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0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C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6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753F0B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5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7B04">
            <w:pPr>
              <w:widowControl/>
              <w:kinsoku/>
              <w:spacing w:before="0" w:beforeLines="0" w:after="0" w:afterLines="0"/>
              <w:textAlignment w:val="auto"/>
              <w:rPr>
                <w:rFonts w:hint="eastAsia" w:ascii="Times New Roman" w:hAnsi="方正公文仿宋" w:eastAsia="方正公文仿宋"/>
                <w:szCs w:val="21"/>
              </w:rPr>
            </w:pPr>
            <w:r>
              <w:rPr>
                <w:rFonts w:hint="default" w:ascii="￤ﾻ﾿￥ﾮﾋ_GB2312" w:hAnsi="￤ﾻ﾿￥ﾮﾋ_GB2312" w:eastAsia="￤ﾻ﾿￥ﾮﾋ_GB2312"/>
                <w:color w:val="000000"/>
                <w:sz w:val="20"/>
                <w:szCs w:val="24"/>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1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3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E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58794A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B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8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4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1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4.牵头抓总、协同联动相关部门、镇党（工）委，统筹抓好村（社区）党组织书记的任职备案、日常管理等工作。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5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36A3B6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B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9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6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B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1.市委组织部：①负责制定从优秀村（社区）党组织书记中考核招聘镇（街道）事业编制人员工作实施方案；②统筹实施考核招聘工作，开展资格联审、体检、人选考察工作；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7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4AD8EF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E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A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5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6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0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554002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90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5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C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0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B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00774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F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C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7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7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D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3AC3AA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8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2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5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3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5EDC42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CA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4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1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A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3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05F5BA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D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9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6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0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3DE3F7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6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6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3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8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3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1A3803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D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7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5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F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6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46C002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6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9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C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1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60D7F9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F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8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6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A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B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1E569E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0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F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B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1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B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0B48AB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E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0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7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2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E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2F7409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627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12BA0E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D8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1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6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F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4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26961C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B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B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1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5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7291DD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B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0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0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E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7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6F8F29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5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D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A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3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0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05E456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7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D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5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F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A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3BF9B7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E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9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8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F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423424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D1D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7D3A6A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2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6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1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5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0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7AE31E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C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C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5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C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D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193EF6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4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2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1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2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5D4B57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5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F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E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
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3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00F26D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4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2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9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E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7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110EFE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8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5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1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6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D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3775D5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26A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7CB41E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7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9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C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A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4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128F9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A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6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B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7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3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3CBE92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BE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1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A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0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2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7EB23F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DC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2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4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D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18B701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6E8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60B92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2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B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C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2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F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2558A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C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8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C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9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36DD4D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9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9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C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D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4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41C64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9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A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5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9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3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0510F9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A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D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F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8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0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289F0D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1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E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9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3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616A7A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C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7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6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3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6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4B1107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2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8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8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市自然资源局国家电网祁阳分公司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6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9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1F8BA0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2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5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做好易地搬迁群众后续扶持项目建设工作。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C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B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1.负责政策宣传，并结合实际，提出工作方案、建议及措施；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2.统筹协调项目实施工作,督促指导相关部门履职履责；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3.完善易地搬迁安置小区配套设施。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D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1.落实易地搬迁安置小区公共服务；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2.完成湖南省易地搬迁后续扶持系统数据填报；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3.管理维护易地搬迁安置小区公共基础设施；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4.巡逻排查易地搬迁安置小区安全隐患，登记、解决或上报搬迁群众住房出现的质量问题；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5.开展易地搬迁问题排查整改专项行动。</w:t>
            </w:r>
          </w:p>
        </w:tc>
      </w:tr>
      <w:tr w14:paraId="2C874E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3EC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71CA12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D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9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7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C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44C097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E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5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C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6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5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3A8CE9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F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B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9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5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3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7D56E8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3A90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22DCCF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0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4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D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7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3.市民政局：负责健全农村留守儿童和困境儿童救助保护机制，督促镇政府和村（居）民委员会做好对农村留守儿童和困境儿童的暑假期间家庭探访和预防溺水安全教育工作；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5.市直其他相关部门按照各自职责做好预防中小学生溺水工作。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F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4D3447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F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9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9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3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8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3EC6F2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A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4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9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D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2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04E58C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E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7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8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2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2B001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8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5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5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3.市城管局：指导开展马路市场周边秩序维护和整治，开展相关执法检查工作；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D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3A1FE9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C755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298C53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C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D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F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9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2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3233C1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D4E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42B497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8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1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C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5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B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1171F7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157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59CB15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8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7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4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A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4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4B281E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E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7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C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F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7965D5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45ED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十一、生态环保（3项）</w:t>
            </w:r>
          </w:p>
        </w:tc>
      </w:tr>
      <w:tr w14:paraId="772651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6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7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8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E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6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6AFA24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3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F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0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2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2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2E032A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5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0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D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6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B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171CB1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95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36C795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1A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0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B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5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689DB1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A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F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B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7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D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5CA3D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D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1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E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2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2F6F26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3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F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6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C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A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3C03BE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4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0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C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7512B5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453A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660DEE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0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7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E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0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E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7EA6A0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7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6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8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1.市公安局、市交通运输局、市城管局、市公路养护中心、市农业农村局按照职责分工负责道路交通运输领域安全监督管理；组织开展交通顽瘴痼疾集中整治行动；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C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561C92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3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B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3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8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并征求市公安局、市交通运输局意见，提出综合审查意见上报市人民政府；组织学校开展交通安全教育；组织市交通运输局、市公安局、市住建局、市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E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260268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8849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18E923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1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7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D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011B33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7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5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4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6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E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261B4D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E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E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6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8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5EDA75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BD0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7804EB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E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B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A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5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7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4E354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E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9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1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1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3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720930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2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9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B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3AA17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5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E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0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1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3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17EC31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470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十六、应急管理及消防（12项）</w:t>
            </w:r>
          </w:p>
        </w:tc>
      </w:tr>
      <w:tr w14:paraId="193B5E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0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F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2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F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6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676357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8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1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C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A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6BAFCB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2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7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1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B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5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8C132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9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5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6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5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FA8E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9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F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2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C3C74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3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9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7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0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A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502F3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0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F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6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A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7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438484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A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7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跟踪管理危险化学品生产经营单位、烟花爆竹生产经营单位的新（扩、改）建项目工程建设。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A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市发改局
市自然资源局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1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1.市应急管理局：负责项目的审核、审批，对未按规定新（改、扩）建的生产经营企业予以处罚；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2.市发改局：负责项目的立项；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3.市自然资源局、市林业局：按职责分工负责项目的用地审批。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2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2.了解建设项目的进展情况；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3.及时上报生产经营企业违规新（改、扩）建情况。</w:t>
            </w:r>
          </w:p>
        </w:tc>
      </w:tr>
      <w:tr w14:paraId="22DEE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1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E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对烟花爆竹生产企业的监督检查。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9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7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1.监督烟花爆竹生产经营单位贯彻执行安全生产法律法规情况；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2.加强烟花爆竹生产企业“三超一改”安全管理；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3.对烟花爆竹生产企业违法行为的处罚；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4.组织查处烟花爆竹安全生产事故。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5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p>
        </w:tc>
      </w:tr>
      <w:tr w14:paraId="43762D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5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0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加强烟花爆竹化工原料管理。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2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8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市公安局、市应急管理局：①按职责分工负责检查企业是否使用符合国家标准的化工原料生产烟花爆竹；②检查化工原材料的使用、销售的管理登记。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2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2.督促企业加强对化工原料的使用和管理。</w:t>
            </w:r>
          </w:p>
        </w:tc>
      </w:tr>
      <w:tr w14:paraId="4C7B6D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3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E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加强烟花爆竹生产企业运输管理。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8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C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1.市公安局：负责查处非法运输烟花爆竹行为，检查运输车辆是否悬挂或者安装符合国家标准的易燃易爆危险物品警示标志；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2.市交通运输局：负责办理核发《烟花爆竹道路运输许可证》；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3.市应急管理局：负责烟花爆竹生产企业运输行为的日常监管。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3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2.对非法运输烟花爆竹行为进行核实上报。</w:t>
            </w:r>
          </w:p>
        </w:tc>
      </w:tr>
      <w:tr w14:paraId="250F3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E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7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打击烟花爆竹生产企业违法生产经营行为。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2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2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1.市公安局：对违法生产经营行为和非法产品进行查处，打击违法犯罪行为；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2.市应急管理局：组织查处不具备安全生产基本条件的烟花爆竹生产经营单位，组织查处烟花爆竹安全生产事故。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4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3.协助做好打击非法生产经营行为。</w:t>
            </w:r>
          </w:p>
        </w:tc>
      </w:tr>
      <w:tr w14:paraId="4D3662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E0E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2178DE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B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8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E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4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0097F5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7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8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6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C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B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402284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283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3D472D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B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A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E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6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570D22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2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D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5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3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F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725232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6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7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6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5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B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76EE99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F1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F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2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C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5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bl>
    <w:p w14:paraId="25A09FF9">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D4DCC1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708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64A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D77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A22A5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84A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03F90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0D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B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1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99A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10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4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B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429C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D4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6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B776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21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8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8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00E3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C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7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1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587B1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69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7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4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099479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F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B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3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78E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4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F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0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CAB3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15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2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C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5FA20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E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5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2943A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E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6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9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289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02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B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D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7C0D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1B6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46F8C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9C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0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7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1DF73D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3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9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C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40F2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19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B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C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A4F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AD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2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4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0012E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7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5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E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F3EE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E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D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8926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70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9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0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A836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8C7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73C5BD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F6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6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7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7B69EF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7F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7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8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5880CD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CE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6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1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7FE8DC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F5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C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F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F216D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51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4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D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6FBAF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B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E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6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9ED7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49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0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0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工作方式：由市住建局负责对城区损坏的污水井盖及管网进行修复；由市城管局负责对城区损坏的雨水井盖进行更换。</w:t>
            </w:r>
          </w:p>
        </w:tc>
      </w:tr>
      <w:tr w14:paraId="77B14B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1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F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6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0E1342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934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72D0D1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95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7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F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67D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AB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1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3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917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5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8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7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155B25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3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6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B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618B23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B1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E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A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4E3908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6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B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F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2EBE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F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8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5A2F37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79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F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1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06A45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4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0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E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00A8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67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5DBD5D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1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3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B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019B54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E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E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5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7E10F5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4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E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1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42F410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45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7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4A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承接部门：市水利局</w:t>
            </w:r>
          </w:p>
          <w:p w14:paraId="42A99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工作方式：由市水利局负责河道违法建筑设备强制拆除。</w:t>
            </w:r>
          </w:p>
        </w:tc>
      </w:tr>
      <w:tr w14:paraId="109D0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6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9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9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7B2D9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8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6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C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27EEB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1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B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4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26B74E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B2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B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6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E969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11C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D573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99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B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0227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9A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6AE6D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F5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F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2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4F0DB8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F60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0E2B8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0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8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B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132DB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9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7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5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8A267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26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2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2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A3177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61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5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9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AC73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4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3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5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367705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37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3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B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22AE7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50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4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2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755D7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B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6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6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46207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6E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1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B7F6B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1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2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9FC97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38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B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C48CF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DD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2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D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1EA93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38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2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F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CF72F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C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5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4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29E9D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1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2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3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7970C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D8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3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8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0DF6AD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F17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535F8F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5E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9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53AA85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82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B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1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3A4E31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5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3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6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D9F5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C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3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9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087091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A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8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5B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承接部门：市林业局</w:t>
            </w:r>
          </w:p>
          <w:p w14:paraId="47CEC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工作方式：市林业局负责。</w:t>
            </w:r>
          </w:p>
        </w:tc>
      </w:tr>
      <w:tr w14:paraId="56828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DB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B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26DE3C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58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1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7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423F6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78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0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F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267B59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305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22B9CE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75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7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D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5B4B5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2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3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E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255485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3A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5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6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4A4331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1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9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B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54F01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AF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4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E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EE7F1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7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A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市政基础设施工程、道路桥梁安全隐患排查整改。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F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承接部门：市城管局、市住建局、市交通运输局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工作方式：由市城管局、市住建局和市交通运输局按各自职责进行安全隐患排查整改。</w:t>
            </w:r>
          </w:p>
        </w:tc>
      </w:tr>
      <w:tr w14:paraId="42DF94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ED4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十一、交通运输（7项）</w:t>
            </w:r>
          </w:p>
        </w:tc>
      </w:tr>
      <w:tr w14:paraId="5C9C95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E7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C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66A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0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E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2728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8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D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1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6D004F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35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BC81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64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E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2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17ACFC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A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9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F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778B5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2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A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F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20DB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635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1BB6EE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08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8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B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4CF7E9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82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E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70E278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9E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1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3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4599B1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C56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2B1C42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54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8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C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1E388E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C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D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5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3FADB2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64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1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F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023592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F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2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5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0869F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A8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D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5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3BD3D8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9B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B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D91C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36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2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7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1E8F55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0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5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4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工作方式：由市卫健局开展计划生育纪念日、会员日服务活动。</w:t>
            </w:r>
          </w:p>
        </w:tc>
      </w:tr>
      <w:tr w14:paraId="76DA9B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4A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B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B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352EC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3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0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E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1897F0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D7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6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2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49A82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B4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6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97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承担部门：市卫健局</w:t>
            </w:r>
          </w:p>
          <w:p w14:paraId="10D1F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工作方式：由市卫健局负责审批。</w:t>
            </w:r>
          </w:p>
        </w:tc>
      </w:tr>
      <w:tr w14:paraId="7B64CB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A5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6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5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D438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3CA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32E960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B5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7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A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2BDAD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87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5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4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560900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DC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D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1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5F35E0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2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E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F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313E3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3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E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D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087475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82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E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9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5043B7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57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4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0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2FAF5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9A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0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3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3FE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01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3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9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5FAEA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09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5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1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474AC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7D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8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F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23733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3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1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F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40A7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82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F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B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55756F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1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9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2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03D0A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F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9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2683B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46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E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9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ACA89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B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E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3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5D244B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BD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2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F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38F6FA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2F7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383D50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4B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3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3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1F9DE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39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7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3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08DE04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2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5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1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1D0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2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0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7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9871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710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5EEB31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3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6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C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6CB8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07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8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1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1395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6A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A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8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4328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4E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6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B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795F09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7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1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8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01605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D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F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1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4E356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0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8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9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7213EFF3">
      <w:pPr>
        <w:pStyle w:val="2"/>
        <w:spacing w:before="0" w:after="0" w:line="240" w:lineRule="auto"/>
        <w:jc w:val="center"/>
        <w:rPr>
          <w:rFonts w:ascii="Times New Roman" w:hAnsi="Times New Roman" w:eastAsia="方正小标宋_GBK" w:cs="Times New Roman"/>
          <w:color w:val="auto"/>
          <w:spacing w:val="7"/>
          <w:lang w:eastAsia="zh-CN"/>
        </w:rPr>
      </w:pPr>
    </w:p>
    <w:p w14:paraId="263D0FB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ﾻ﾿￥ﾮﾋ_GB2312">
    <w:altName w:val="微软雅黑"/>
    <w:panose1 w:val="00000000000000000000"/>
    <w:charset w:val="00"/>
    <w:family w:val="auto"/>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E9AB5">
    <w:pPr>
      <w:pStyle w:val="4"/>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FE5F290">
                          <w:pPr>
                            <w:pStyle w:val="4"/>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FE5F290">
                    <w:pPr>
                      <w:pStyle w:val="4"/>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75C9">
    <w:pPr>
      <w:pStyle w:val="4"/>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CE36F4F"/>
    <w:rsid w:val="2B2D6C3F"/>
    <w:rsid w:val="42E23511"/>
    <w:rsid w:val="7DBF019C"/>
    <w:rsid w:val="7EDF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qFormat/>
    <w:uiPriority w:val="0"/>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paragraph" w:styleId="7">
    <w:name w:val="Title"/>
    <w:basedOn w:val="1"/>
    <w:next w:val="1"/>
    <w:link w:val="12"/>
    <w:qFormat/>
    <w:uiPriority w:val="0"/>
    <w:pPr>
      <w:spacing w:before="240" w:after="60"/>
      <w:jc w:val="center"/>
      <w:outlineLvl w:val="0"/>
    </w:pPr>
    <w:rPr>
      <w:b/>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7"/>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3"/>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4"/>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2"/>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5"/>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34228</Words>
  <Characters>35570</Characters>
  <Lines>1</Lines>
  <Paragraphs>1</Paragraphs>
  <TotalTime>40</TotalTime>
  <ScaleCrop>false</ScaleCrop>
  <LinksUpToDate>false</LinksUpToDate>
  <CharactersWithSpaces>35572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Administrator</cp:lastModifiedBy>
  <cp:lastPrinted>2025-07-16T17:22:00Z</cp:lastPrinted>
  <dcterms:modified xsi:type="dcterms:W3CDTF">2025-07-18T01:23:46Z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eyJoZGlkIjoiNDVkMTc3NmU0MThmODJjOTBhNWI0MjVkNmJlOTM4NGIiLCJ1c2VySWQiOiIzNDA3MDE1NTcifQ==</vt:lpwstr>
  </property>
  <property fmtid="{D5CDD505-2E9C-101B-9397-08002B2CF9AE}" pid="3" name="KSOProductBuildVer">
    <vt:lpwstr>2052-12.1.0.21915</vt:lpwstr>
  </property>
  <property fmtid="{D5CDD505-2E9C-101B-9397-08002B2CF9AE}" pid="4" name="ICV">
    <vt:lpwstr>8D3CA309FE0545E681DF808EDD9CD574_13</vt:lpwstr>
  </property>
</Properties>
</file>