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cs="Times New Roman"/>
          <w:color w:val="auto"/>
        </w:rPr>
      </w:pPr>
    </w:p>
    <w:p>
      <w:pPr>
        <w:pStyle w:val="14"/>
        <w:tabs>
          <w:tab w:val="right" w:leader="dot" w:pos="9241"/>
          <w:tab w:val="clear" w:pos="9231"/>
        </w:tabs>
        <w:rPr>
          <w:color w:val="auto"/>
        </w:rPr>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color w:val="auto"/>
          <w:spacing w:val="20"/>
          <w:szCs w:val="26"/>
        </w:rPr>
        <w:instrText xml:space="preserve"> HYPERLINK \l _Toc24831 </w:instrText>
      </w:r>
      <w:r>
        <w:rPr>
          <w:rFonts w:hint="default" w:ascii="Times New Roman" w:hAnsi="Times New Roman" w:cs="Times New Roman"/>
          <w:bCs/>
          <w:color w:val="auto"/>
          <w:spacing w:val="20"/>
          <w:szCs w:val="26"/>
        </w:rPr>
        <w:fldChar w:fldCharType="separate"/>
      </w:r>
      <w:r>
        <w:rPr>
          <w:rFonts w:hint="default" w:ascii="Times New Roman" w:hAnsi="Times New Roman" w:eastAsia="仿宋_GB2312" w:cs="Times New Roman"/>
          <w:bCs/>
          <w:color w:val="auto"/>
          <w:kern w:val="44"/>
          <w:szCs w:val="44"/>
          <w:lang w:val="en-US" w:eastAsia="zh-CN" w:bidi="zh-CN"/>
        </w:rPr>
        <w:t>1 划界工作背景</w:t>
      </w:r>
      <w:r>
        <w:rPr>
          <w:color w:val="auto"/>
        </w:rPr>
        <w:tab/>
      </w:r>
      <w:r>
        <w:rPr>
          <w:color w:val="auto"/>
        </w:rPr>
        <w:fldChar w:fldCharType="begin"/>
      </w:r>
      <w:r>
        <w:rPr>
          <w:color w:val="auto"/>
        </w:rPr>
        <w:instrText xml:space="preserve"> PAGEREF _Toc24831 </w:instrText>
      </w:r>
      <w:r>
        <w:rPr>
          <w:color w:val="auto"/>
        </w:rPr>
        <w:fldChar w:fldCharType="separate"/>
      </w:r>
      <w:r>
        <w:rPr>
          <w:color w:val="auto"/>
        </w:rPr>
        <w:t>1</w:t>
      </w:r>
      <w:r>
        <w:rPr>
          <w:color w:val="auto"/>
        </w:rP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_Toc1392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r>
        <w:rPr>
          <w:color w:val="auto"/>
        </w:rPr>
        <w:tab/>
      </w:r>
      <w:r>
        <w:rPr>
          <w:color w:val="auto"/>
        </w:rPr>
        <w:fldChar w:fldCharType="begin"/>
      </w:r>
      <w:r>
        <w:rPr>
          <w:color w:val="auto"/>
        </w:rPr>
        <w:instrText xml:space="preserve"> PAGEREF _Toc1392 </w:instrText>
      </w:r>
      <w:r>
        <w:rPr>
          <w:color w:val="auto"/>
        </w:rPr>
        <w:fldChar w:fldCharType="separate"/>
      </w:r>
      <w:r>
        <w:rPr>
          <w:color w:val="auto"/>
        </w:rPr>
        <w:t>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_Toc12351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r>
        <w:rPr>
          <w:color w:val="auto"/>
        </w:rPr>
        <w:tab/>
      </w:r>
      <w:r>
        <w:rPr>
          <w:color w:val="auto"/>
        </w:rPr>
        <w:fldChar w:fldCharType="begin"/>
      </w:r>
      <w:r>
        <w:rPr>
          <w:color w:val="auto"/>
        </w:rPr>
        <w:instrText xml:space="preserve"> PAGEREF _Toc12351 </w:instrText>
      </w:r>
      <w:r>
        <w:rPr>
          <w:color w:val="auto"/>
        </w:rPr>
        <w:fldChar w:fldCharType="separate"/>
      </w:r>
      <w:r>
        <w:rPr>
          <w:color w:val="auto"/>
        </w:rPr>
        <w:t>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_Toc9817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2.2 河段岸线情况</w:t>
      </w:r>
      <w:r>
        <w:rPr>
          <w:color w:val="auto"/>
        </w:rPr>
        <w:tab/>
      </w:r>
      <w:r>
        <w:rPr>
          <w:color w:val="auto"/>
        </w:rPr>
        <w:fldChar w:fldCharType="begin"/>
      </w:r>
      <w:r>
        <w:rPr>
          <w:color w:val="auto"/>
        </w:rPr>
        <w:instrText xml:space="preserve"> PAGEREF _Toc9817 </w:instrText>
      </w:r>
      <w:r>
        <w:rPr>
          <w:color w:val="auto"/>
        </w:rPr>
        <w:fldChar w:fldCharType="separate"/>
      </w:r>
      <w:r>
        <w:rPr>
          <w:color w:val="auto"/>
        </w:rPr>
        <w:t>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_Toc25510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r>
        <w:rPr>
          <w:color w:val="auto"/>
        </w:rPr>
        <w:tab/>
      </w:r>
      <w:r>
        <w:rPr>
          <w:color w:val="auto"/>
        </w:rPr>
        <w:fldChar w:fldCharType="begin"/>
      </w:r>
      <w:r>
        <w:rPr>
          <w:color w:val="auto"/>
        </w:rPr>
        <w:instrText xml:space="preserve"> PAGEREF _Toc25510 </w:instrText>
      </w:r>
      <w:r>
        <w:rPr>
          <w:color w:val="auto"/>
        </w:rPr>
        <w:fldChar w:fldCharType="separate"/>
      </w:r>
      <w:r>
        <w:rPr>
          <w:color w:val="auto"/>
        </w:rPr>
        <w:t>9</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_Toc863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2.4 土地权属情况</w:t>
      </w:r>
      <w:r>
        <w:rPr>
          <w:color w:val="auto"/>
        </w:rPr>
        <w:tab/>
      </w:r>
      <w:r>
        <w:rPr>
          <w:color w:val="auto"/>
        </w:rPr>
        <w:fldChar w:fldCharType="begin"/>
      </w:r>
      <w:r>
        <w:rPr>
          <w:color w:val="auto"/>
        </w:rPr>
        <w:instrText xml:space="preserve"> PAGEREF _Toc863 </w:instrText>
      </w:r>
      <w:r>
        <w:rPr>
          <w:color w:val="auto"/>
        </w:rPr>
        <w:fldChar w:fldCharType="separate"/>
      </w:r>
      <w:r>
        <w:rPr>
          <w:color w:val="auto"/>
        </w:rPr>
        <w:t>10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_Toc14853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highlight w:val="none"/>
          <w:lang w:val="en-US" w:eastAsia="zh-CN"/>
        </w:rPr>
        <w:t>2.5 历史划界情况</w:t>
      </w:r>
      <w:r>
        <w:rPr>
          <w:color w:val="auto"/>
        </w:rPr>
        <w:tab/>
      </w:r>
      <w:r>
        <w:rPr>
          <w:color w:val="auto"/>
        </w:rPr>
        <w:fldChar w:fldCharType="begin"/>
      </w:r>
      <w:r>
        <w:rPr>
          <w:color w:val="auto"/>
        </w:rPr>
        <w:instrText xml:space="preserve"> PAGEREF _Toc14853 </w:instrText>
      </w:r>
      <w:r>
        <w:rPr>
          <w:color w:val="auto"/>
        </w:rPr>
        <w:fldChar w:fldCharType="separate"/>
      </w:r>
      <w:r>
        <w:rPr>
          <w:color w:val="auto"/>
        </w:rPr>
        <w:t>10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_Toc16015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r>
        <w:rPr>
          <w:color w:val="auto"/>
        </w:rPr>
        <w:tab/>
      </w:r>
      <w:r>
        <w:rPr>
          <w:color w:val="auto"/>
        </w:rPr>
        <w:fldChar w:fldCharType="begin"/>
      </w:r>
      <w:r>
        <w:rPr>
          <w:color w:val="auto"/>
        </w:rPr>
        <w:instrText xml:space="preserve"> PAGEREF _Toc16015 </w:instrText>
      </w:r>
      <w:r>
        <w:rPr>
          <w:color w:val="auto"/>
        </w:rPr>
        <w:fldChar w:fldCharType="separate"/>
      </w:r>
      <w:r>
        <w:rPr>
          <w:color w:val="auto"/>
        </w:rPr>
        <w:t>11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_Toc14767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r>
        <w:rPr>
          <w:color w:val="auto"/>
        </w:rPr>
        <w:tab/>
      </w:r>
      <w:r>
        <w:rPr>
          <w:color w:val="auto"/>
        </w:rPr>
        <w:fldChar w:fldCharType="begin"/>
      </w:r>
      <w:r>
        <w:rPr>
          <w:color w:val="auto"/>
        </w:rPr>
        <w:instrText xml:space="preserve"> PAGEREF _Toc14767 </w:instrText>
      </w:r>
      <w:r>
        <w:rPr>
          <w:color w:val="auto"/>
        </w:rPr>
        <w:fldChar w:fldCharType="separate"/>
      </w:r>
      <w:r>
        <w:rPr>
          <w:color w:val="auto"/>
        </w:rPr>
        <w:t>11</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_Toc26497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r>
        <w:rPr>
          <w:color w:val="auto"/>
        </w:rPr>
        <w:tab/>
      </w:r>
      <w:r>
        <w:rPr>
          <w:color w:val="auto"/>
        </w:rPr>
        <w:fldChar w:fldCharType="begin"/>
      </w:r>
      <w:r>
        <w:rPr>
          <w:color w:val="auto"/>
        </w:rPr>
        <w:instrText xml:space="preserve"> PAGEREF _Toc26497 </w:instrText>
      </w:r>
      <w:r>
        <w:rPr>
          <w:color w:val="auto"/>
        </w:rPr>
        <w:fldChar w:fldCharType="separate"/>
      </w:r>
      <w:r>
        <w:rPr>
          <w:color w:val="auto"/>
        </w:rPr>
        <w:t>12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_Toc5161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r>
        <w:rPr>
          <w:color w:val="auto"/>
        </w:rPr>
        <w:tab/>
      </w:r>
      <w:r>
        <w:rPr>
          <w:color w:val="auto"/>
        </w:rPr>
        <w:fldChar w:fldCharType="begin"/>
      </w:r>
      <w:r>
        <w:rPr>
          <w:color w:val="auto"/>
        </w:rPr>
        <w:instrText xml:space="preserve"> PAGEREF _Toc5161 </w:instrText>
      </w:r>
      <w:r>
        <w:rPr>
          <w:color w:val="auto"/>
        </w:rPr>
        <w:fldChar w:fldCharType="separate"/>
      </w:r>
      <w:r>
        <w:rPr>
          <w:color w:val="auto"/>
        </w:rPr>
        <w:t>12</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_Toc28876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r>
        <w:rPr>
          <w:color w:val="auto"/>
        </w:rPr>
        <w:tab/>
      </w:r>
      <w:r>
        <w:rPr>
          <w:color w:val="auto"/>
        </w:rPr>
        <w:fldChar w:fldCharType="begin"/>
      </w:r>
      <w:r>
        <w:rPr>
          <w:color w:val="auto"/>
        </w:rPr>
        <w:instrText xml:space="preserve"> PAGEREF _Toc28876 </w:instrText>
      </w:r>
      <w:r>
        <w:rPr>
          <w:color w:val="auto"/>
        </w:rPr>
        <w:fldChar w:fldCharType="separate"/>
      </w:r>
      <w:r>
        <w:rPr>
          <w:color w:val="auto"/>
        </w:rPr>
        <w:t>13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_Toc25668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r>
        <w:rPr>
          <w:color w:val="auto"/>
        </w:rPr>
        <w:tab/>
      </w:r>
      <w:r>
        <w:rPr>
          <w:color w:val="auto"/>
        </w:rPr>
        <w:fldChar w:fldCharType="begin"/>
      </w:r>
      <w:r>
        <w:rPr>
          <w:color w:val="auto"/>
        </w:rPr>
        <w:instrText xml:space="preserve"> PAGEREF _Toc25668 </w:instrText>
      </w:r>
      <w:r>
        <w:rPr>
          <w:color w:val="auto"/>
        </w:rPr>
        <w:fldChar w:fldCharType="separate"/>
      </w:r>
      <w:r>
        <w:rPr>
          <w:color w:val="auto"/>
        </w:rPr>
        <w:t>13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_Toc6698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 组织实施情况</w:t>
      </w:r>
      <w:r>
        <w:rPr>
          <w:color w:val="auto"/>
        </w:rPr>
        <w:tab/>
      </w:r>
      <w:r>
        <w:rPr>
          <w:color w:val="auto"/>
        </w:rPr>
        <w:fldChar w:fldCharType="begin"/>
      </w:r>
      <w:r>
        <w:rPr>
          <w:color w:val="auto"/>
        </w:rPr>
        <w:instrText xml:space="preserve"> PAGEREF _Toc6698 </w:instrText>
      </w:r>
      <w:r>
        <w:rPr>
          <w:color w:val="auto"/>
        </w:rPr>
        <w:fldChar w:fldCharType="separate"/>
      </w:r>
      <w:r>
        <w:rPr>
          <w:color w:val="auto"/>
        </w:rPr>
        <w:t>15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_Toc569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rPr>
        <w:t xml:space="preserve">4.1 </w:t>
      </w:r>
      <w:r>
        <w:rPr>
          <w:rFonts w:hint="default" w:ascii="Times New Roman" w:hAnsi="Times New Roman" w:cs="Times New Roman"/>
          <w:color w:val="auto"/>
          <w:lang w:val="en-US" w:eastAsia="zh-CN"/>
        </w:rPr>
        <w:t>总体技术流程</w:t>
      </w:r>
      <w:r>
        <w:rPr>
          <w:color w:val="auto"/>
        </w:rPr>
        <w:tab/>
      </w:r>
      <w:r>
        <w:rPr>
          <w:color w:val="auto"/>
        </w:rPr>
        <w:fldChar w:fldCharType="begin"/>
      </w:r>
      <w:r>
        <w:rPr>
          <w:color w:val="auto"/>
        </w:rPr>
        <w:instrText xml:space="preserve"> PAGEREF _Toc569 </w:instrText>
      </w:r>
      <w:r>
        <w:rPr>
          <w:color w:val="auto"/>
        </w:rPr>
        <w:fldChar w:fldCharType="separate"/>
      </w:r>
      <w:r>
        <w:rPr>
          <w:color w:val="auto"/>
        </w:rPr>
        <w:t>15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_Toc15539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rPr>
        <w:t>4.</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r>
        <w:rPr>
          <w:color w:val="auto"/>
        </w:rPr>
        <w:tab/>
      </w:r>
      <w:r>
        <w:rPr>
          <w:color w:val="auto"/>
        </w:rPr>
        <w:fldChar w:fldCharType="begin"/>
      </w:r>
      <w:r>
        <w:rPr>
          <w:color w:val="auto"/>
        </w:rPr>
        <w:instrText xml:space="preserve"> PAGEREF _Toc15539 </w:instrText>
      </w:r>
      <w:r>
        <w:rPr>
          <w:color w:val="auto"/>
        </w:rPr>
        <w:fldChar w:fldCharType="separate"/>
      </w:r>
      <w:r>
        <w:rPr>
          <w:color w:val="auto"/>
        </w:rPr>
        <w:t>16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_Toc17796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r>
        <w:rPr>
          <w:color w:val="auto"/>
        </w:rPr>
        <w:tab/>
      </w:r>
      <w:r>
        <w:rPr>
          <w:color w:val="auto"/>
        </w:rPr>
        <w:fldChar w:fldCharType="begin"/>
      </w:r>
      <w:r>
        <w:rPr>
          <w:color w:val="auto"/>
        </w:rPr>
        <w:instrText xml:space="preserve"> PAGEREF _Toc17796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_Toc4553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r>
        <w:rPr>
          <w:color w:val="auto"/>
        </w:rPr>
        <w:tab/>
      </w:r>
      <w:r>
        <w:rPr>
          <w:color w:val="auto"/>
        </w:rPr>
        <w:fldChar w:fldCharType="begin"/>
      </w:r>
      <w:r>
        <w:rPr>
          <w:color w:val="auto"/>
        </w:rPr>
        <w:instrText xml:space="preserve"> PAGEREF _Toc4553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_Toc2687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r>
        <w:rPr>
          <w:color w:val="auto"/>
        </w:rPr>
        <w:tab/>
      </w:r>
      <w:r>
        <w:rPr>
          <w:color w:val="auto"/>
        </w:rPr>
        <w:fldChar w:fldCharType="begin"/>
      </w:r>
      <w:r>
        <w:rPr>
          <w:color w:val="auto"/>
        </w:rPr>
        <w:instrText xml:space="preserve"> PAGEREF _Toc2687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_Toc4795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r>
        <w:rPr>
          <w:color w:val="auto"/>
        </w:rPr>
        <w:tab/>
      </w:r>
      <w:r>
        <w:rPr>
          <w:color w:val="auto"/>
        </w:rPr>
        <w:fldChar w:fldCharType="begin"/>
      </w:r>
      <w:r>
        <w:rPr>
          <w:color w:val="auto"/>
        </w:rPr>
        <w:instrText xml:space="preserve"> PAGEREF _Toc4795 </w:instrText>
      </w:r>
      <w:r>
        <w:rPr>
          <w:color w:val="auto"/>
        </w:rPr>
        <w:fldChar w:fldCharType="separate"/>
      </w:r>
      <w:r>
        <w:rPr>
          <w:color w:val="auto"/>
        </w:rPr>
        <w:t>17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_Toc16925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r>
        <w:rPr>
          <w:color w:val="auto"/>
        </w:rPr>
        <w:tab/>
      </w:r>
      <w:r>
        <w:rPr>
          <w:color w:val="auto"/>
        </w:rPr>
        <w:fldChar w:fldCharType="begin"/>
      </w:r>
      <w:r>
        <w:rPr>
          <w:color w:val="auto"/>
        </w:rPr>
        <w:instrText xml:space="preserve"> PAGEREF _Toc16925 </w:instrText>
      </w:r>
      <w:r>
        <w:rPr>
          <w:color w:val="auto"/>
        </w:rPr>
        <w:fldChar w:fldCharType="separate"/>
      </w:r>
      <w:r>
        <w:rPr>
          <w:color w:val="auto"/>
        </w:rPr>
        <w:t>18</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_Toc15909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r>
        <w:rPr>
          <w:color w:val="auto"/>
        </w:rPr>
        <w:tab/>
      </w:r>
      <w:r>
        <w:rPr>
          <w:color w:val="auto"/>
        </w:rPr>
        <w:fldChar w:fldCharType="begin"/>
      </w:r>
      <w:r>
        <w:rPr>
          <w:color w:val="auto"/>
        </w:rPr>
        <w:instrText xml:space="preserve"> PAGEREF _Toc15909 </w:instrText>
      </w:r>
      <w:r>
        <w:rPr>
          <w:color w:val="auto"/>
        </w:rPr>
        <w:fldChar w:fldCharType="separate"/>
      </w:r>
      <w:r>
        <w:rPr>
          <w:color w:val="auto"/>
        </w:rPr>
        <w:t>18</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_Toc17457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.1 洪水位分析计算</w:t>
      </w:r>
      <w:r>
        <w:rPr>
          <w:color w:val="auto"/>
        </w:rPr>
        <w:tab/>
      </w:r>
      <w:r>
        <w:rPr>
          <w:color w:val="auto"/>
        </w:rPr>
        <w:fldChar w:fldCharType="begin"/>
      </w:r>
      <w:r>
        <w:rPr>
          <w:color w:val="auto"/>
        </w:rPr>
        <w:instrText xml:space="preserve"> PAGEREF _Toc17457 </w:instrText>
      </w:r>
      <w:r>
        <w:rPr>
          <w:color w:val="auto"/>
        </w:rPr>
        <w:fldChar w:fldCharType="separate"/>
      </w:r>
      <w:r>
        <w:rPr>
          <w:color w:val="auto"/>
        </w:rPr>
        <w:t>18</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_Toc14736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eastAsia="仿宋_GB2312" w:cs="Times New Roman"/>
          <w:bCs/>
          <w:color w:val="auto"/>
          <w:szCs w:val="32"/>
          <w:lang w:val="en-US" w:eastAsia="zh-CN" w:bidi="zh-CN"/>
        </w:rPr>
        <w:t>4.2  洪水位标图</w:t>
      </w:r>
      <w:r>
        <w:rPr>
          <w:color w:val="auto"/>
        </w:rPr>
        <w:tab/>
      </w:r>
      <w:r>
        <w:rPr>
          <w:color w:val="auto"/>
        </w:rPr>
        <w:fldChar w:fldCharType="begin"/>
      </w:r>
      <w:r>
        <w:rPr>
          <w:color w:val="auto"/>
        </w:rPr>
        <w:instrText xml:space="preserve"> PAGEREF _Toc14736 </w:instrText>
      </w:r>
      <w:r>
        <w:rPr>
          <w:color w:val="auto"/>
        </w:rPr>
        <w:fldChar w:fldCharType="separate"/>
      </w:r>
      <w:r>
        <w:rPr>
          <w:color w:val="auto"/>
        </w:rPr>
        <w:t>34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_Toc8477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.3 管理范围界限初步拟定</w:t>
      </w:r>
      <w:r>
        <w:rPr>
          <w:color w:val="auto"/>
        </w:rPr>
        <w:tab/>
      </w:r>
      <w:r>
        <w:rPr>
          <w:color w:val="auto"/>
        </w:rPr>
        <w:fldChar w:fldCharType="begin"/>
      </w:r>
      <w:r>
        <w:rPr>
          <w:color w:val="auto"/>
        </w:rPr>
        <w:instrText xml:space="preserve"> PAGEREF _Toc8477 </w:instrText>
      </w:r>
      <w:r>
        <w:rPr>
          <w:color w:val="auto"/>
        </w:rPr>
        <w:fldChar w:fldCharType="separate"/>
      </w:r>
      <w:r>
        <w:rPr>
          <w:color w:val="auto"/>
        </w:rPr>
        <w:t>34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_Toc14567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界桩</w:t>
      </w:r>
      <w:r>
        <w:rPr>
          <w:rFonts w:hint="default" w:ascii="Times New Roman" w:hAnsi="Times New Roman" w:cs="Times New Roman"/>
          <w:color w:val="auto"/>
          <w:lang w:val="en-US" w:eastAsia="zh-CN"/>
        </w:rPr>
        <w:t>和告示牌</w:t>
      </w:r>
      <w:r>
        <w:rPr>
          <w:rFonts w:hint="default" w:ascii="Times New Roman" w:hAnsi="Times New Roman" w:cs="Times New Roman"/>
          <w:color w:val="auto"/>
          <w:lang w:val="en-US"/>
        </w:rPr>
        <w:t>布设</w:t>
      </w:r>
      <w:r>
        <w:rPr>
          <w:color w:val="auto"/>
        </w:rPr>
        <w:tab/>
      </w:r>
      <w:r>
        <w:rPr>
          <w:color w:val="auto"/>
        </w:rPr>
        <w:fldChar w:fldCharType="begin"/>
      </w:r>
      <w:r>
        <w:rPr>
          <w:color w:val="auto"/>
        </w:rPr>
        <w:instrText xml:space="preserve"> PAGEREF _Toc14567 </w:instrText>
      </w:r>
      <w:r>
        <w:rPr>
          <w:color w:val="auto"/>
        </w:rPr>
        <w:fldChar w:fldCharType="separate"/>
      </w:r>
      <w:r>
        <w:rPr>
          <w:color w:val="auto"/>
        </w:rPr>
        <w:t>35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_Toc21992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r>
        <w:rPr>
          <w:color w:val="auto"/>
        </w:rPr>
        <w:tab/>
      </w:r>
      <w:r>
        <w:rPr>
          <w:color w:val="auto"/>
        </w:rPr>
        <w:fldChar w:fldCharType="begin"/>
      </w:r>
      <w:r>
        <w:rPr>
          <w:color w:val="auto"/>
        </w:rPr>
        <w:instrText xml:space="preserve"> PAGEREF _Toc21992 </w:instrText>
      </w:r>
      <w:r>
        <w:rPr>
          <w:color w:val="auto"/>
        </w:rPr>
        <w:fldChar w:fldCharType="separate"/>
      </w:r>
      <w:r>
        <w:rPr>
          <w:color w:val="auto"/>
        </w:rPr>
        <w:t>43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_Toc8887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r>
        <w:rPr>
          <w:color w:val="auto"/>
        </w:rPr>
        <w:tab/>
      </w:r>
      <w:r>
        <w:rPr>
          <w:color w:val="auto"/>
        </w:rPr>
        <w:fldChar w:fldCharType="begin"/>
      </w:r>
      <w:r>
        <w:rPr>
          <w:color w:val="auto"/>
        </w:rPr>
        <w:instrText xml:space="preserve"> PAGEREF _Toc8887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_Toc7685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r>
        <w:rPr>
          <w:color w:val="auto"/>
        </w:rPr>
        <w:tab/>
      </w:r>
      <w:r>
        <w:rPr>
          <w:color w:val="auto"/>
        </w:rPr>
        <w:fldChar w:fldCharType="begin"/>
      </w:r>
      <w:r>
        <w:rPr>
          <w:color w:val="auto"/>
        </w:rPr>
        <w:instrText xml:space="preserve"> PAGEREF _Toc7685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_Toc24409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r>
        <w:rPr>
          <w:color w:val="auto"/>
        </w:rPr>
        <w:tab/>
      </w:r>
      <w:r>
        <w:rPr>
          <w:color w:val="auto"/>
        </w:rPr>
        <w:fldChar w:fldCharType="begin"/>
      </w:r>
      <w:r>
        <w:rPr>
          <w:color w:val="auto"/>
        </w:rPr>
        <w:instrText xml:space="preserve"> PAGEREF _Toc24409 </w:instrText>
      </w:r>
      <w:r>
        <w:rPr>
          <w:color w:val="auto"/>
        </w:rPr>
        <w:fldChar w:fldCharType="separate"/>
      </w:r>
      <w:r>
        <w:rPr>
          <w:color w:val="auto"/>
        </w:rPr>
        <w:t>44</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_Toc14419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r>
        <w:rPr>
          <w:color w:val="auto"/>
        </w:rPr>
        <w:tab/>
      </w:r>
      <w:r>
        <w:rPr>
          <w:color w:val="auto"/>
        </w:rPr>
        <w:fldChar w:fldCharType="begin"/>
      </w:r>
      <w:r>
        <w:rPr>
          <w:color w:val="auto"/>
        </w:rPr>
        <w:instrText xml:space="preserve"> PAGEREF _Toc14419 </w:instrText>
      </w:r>
      <w:r>
        <w:rPr>
          <w:color w:val="auto"/>
        </w:rPr>
        <w:fldChar w:fldCharType="separate"/>
      </w:r>
      <w:r>
        <w:rPr>
          <w:color w:val="auto"/>
        </w:rPr>
        <w:t>45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_Toc29297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r>
        <w:rPr>
          <w:color w:val="auto"/>
        </w:rPr>
        <w:tab/>
      </w:r>
      <w:r>
        <w:rPr>
          <w:color w:val="auto"/>
        </w:rPr>
        <w:fldChar w:fldCharType="begin"/>
      </w:r>
      <w:r>
        <w:rPr>
          <w:color w:val="auto"/>
        </w:rPr>
        <w:instrText xml:space="preserve"> PAGEREF _Toc29297 </w:instrText>
      </w:r>
      <w:r>
        <w:rPr>
          <w:color w:val="auto"/>
        </w:rPr>
        <w:fldChar w:fldCharType="separate"/>
      </w:r>
      <w:r>
        <w:rPr>
          <w:color w:val="auto"/>
        </w:rPr>
        <w:t>45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_Toc24863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r>
        <w:rPr>
          <w:color w:val="auto"/>
        </w:rPr>
        <w:tab/>
      </w:r>
      <w:r>
        <w:rPr>
          <w:color w:val="auto"/>
        </w:rPr>
        <w:fldChar w:fldCharType="begin"/>
      </w:r>
      <w:r>
        <w:rPr>
          <w:color w:val="auto"/>
        </w:rPr>
        <w:instrText xml:space="preserve"> PAGEREF _Toc24863 </w:instrText>
      </w:r>
      <w:r>
        <w:rPr>
          <w:color w:val="auto"/>
        </w:rPr>
        <w:fldChar w:fldCharType="separate"/>
      </w:r>
      <w:r>
        <w:rPr>
          <w:color w:val="auto"/>
        </w:rPr>
        <w:t>45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_Toc14701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.3.1  河湖管理范围划界总体原则</w:t>
      </w:r>
      <w:r>
        <w:rPr>
          <w:color w:val="auto"/>
        </w:rPr>
        <w:tab/>
      </w:r>
      <w:r>
        <w:rPr>
          <w:color w:val="auto"/>
        </w:rPr>
        <w:fldChar w:fldCharType="begin"/>
      </w:r>
      <w:r>
        <w:rPr>
          <w:color w:val="auto"/>
        </w:rPr>
        <w:instrText xml:space="preserve"> PAGEREF _Toc14701 </w:instrText>
      </w:r>
      <w:r>
        <w:rPr>
          <w:color w:val="auto"/>
        </w:rPr>
        <w:fldChar w:fldCharType="separate"/>
      </w:r>
      <w:r>
        <w:rPr>
          <w:color w:val="auto"/>
        </w:rPr>
        <w:t>45</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_Toc4397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.3.2  有堤防</w:t>
      </w:r>
      <w:r>
        <w:rPr>
          <w:rFonts w:hint="eastAsia" w:cs="Times New Roman"/>
          <w:color w:val="auto"/>
          <w:lang w:val="en-US" w:eastAsia="zh-CN"/>
        </w:rPr>
        <w:t>河段</w:t>
      </w:r>
      <w:r>
        <w:rPr>
          <w:rFonts w:hint="default" w:ascii="Times New Roman" w:hAnsi="Times New Roman" w:cs="Times New Roman"/>
          <w:color w:val="auto"/>
          <w:lang w:val="en-US"/>
        </w:rPr>
        <w:t>管理范围线划定</w:t>
      </w:r>
      <w:r>
        <w:rPr>
          <w:color w:val="auto"/>
        </w:rPr>
        <w:tab/>
      </w:r>
      <w:r>
        <w:rPr>
          <w:color w:val="auto"/>
        </w:rPr>
        <w:fldChar w:fldCharType="begin"/>
      </w:r>
      <w:r>
        <w:rPr>
          <w:color w:val="auto"/>
        </w:rPr>
        <w:instrText xml:space="preserve"> PAGEREF _Toc4397 </w:instrText>
      </w:r>
      <w:r>
        <w:rPr>
          <w:color w:val="auto"/>
        </w:rPr>
        <w:fldChar w:fldCharType="separate"/>
      </w:r>
      <w:r>
        <w:rPr>
          <w:color w:val="auto"/>
        </w:rPr>
        <w:t>46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_Toc16099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5.3.</w:t>
      </w:r>
      <w:r>
        <w:rPr>
          <w:rFonts w:hint="eastAsia" w:cs="Times New Roman"/>
          <w:color w:val="auto"/>
          <w:lang w:val="en-US" w:eastAsia="zh-CN"/>
        </w:rPr>
        <w:t>3</w:t>
      </w:r>
      <w:r>
        <w:rPr>
          <w:rFonts w:hint="default" w:ascii="Times New Roman" w:hAnsi="Times New Roman" w:cs="Times New Roman"/>
          <w:color w:val="auto"/>
          <w:lang w:val="en-US" w:eastAsia="zh-CN"/>
        </w:rPr>
        <w:t xml:space="preserve"> 无堤防段</w:t>
      </w:r>
      <w:r>
        <w:rPr>
          <w:rFonts w:hint="eastAsia" w:cs="Times New Roman"/>
          <w:color w:val="auto"/>
          <w:lang w:val="en-US" w:eastAsia="zh-CN"/>
        </w:rPr>
        <w:t>河段</w:t>
      </w:r>
      <w:r>
        <w:rPr>
          <w:rFonts w:hint="default" w:ascii="Times New Roman" w:hAnsi="Times New Roman" w:cs="Times New Roman"/>
          <w:color w:val="auto"/>
          <w:lang w:val="en-US" w:eastAsia="zh-CN"/>
        </w:rPr>
        <w:t>管理范围线划定</w:t>
      </w:r>
      <w:r>
        <w:rPr>
          <w:color w:val="auto"/>
        </w:rPr>
        <w:tab/>
      </w:r>
      <w:r>
        <w:rPr>
          <w:color w:val="auto"/>
        </w:rPr>
        <w:fldChar w:fldCharType="begin"/>
      </w:r>
      <w:r>
        <w:rPr>
          <w:color w:val="auto"/>
        </w:rPr>
        <w:instrText xml:space="preserve"> PAGEREF _Toc16099 </w:instrText>
      </w:r>
      <w:r>
        <w:rPr>
          <w:color w:val="auto"/>
        </w:rPr>
        <w:fldChar w:fldCharType="separate"/>
      </w:r>
      <w:r>
        <w:rPr>
          <w:color w:val="auto"/>
        </w:rPr>
        <w:t>47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_Toc21010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cs="Times New Roman"/>
          <w:color w:val="auto"/>
          <w:lang w:val="en-US" w:eastAsia="zh-CN"/>
        </w:rPr>
        <w:t>4</w:t>
      </w:r>
      <w:r>
        <w:rPr>
          <w:rFonts w:hint="default" w:ascii="Times New Roman" w:hAnsi="Times New Roman" w:cs="Times New Roman"/>
          <w:color w:val="auto"/>
          <w:lang w:val="en-US"/>
        </w:rPr>
        <w:t xml:space="preserve"> </w:t>
      </w:r>
      <w:r>
        <w:rPr>
          <w:rFonts w:hint="default" w:ascii="Times New Roman" w:hAnsi="Times New Roman" w:cs="Times New Roman"/>
          <w:color w:val="auto"/>
        </w:rPr>
        <w:t>特殊情况</w:t>
      </w:r>
      <w:r>
        <w:rPr>
          <w:color w:val="auto"/>
        </w:rPr>
        <w:tab/>
      </w:r>
      <w:r>
        <w:rPr>
          <w:color w:val="auto"/>
        </w:rPr>
        <w:fldChar w:fldCharType="begin"/>
      </w:r>
      <w:r>
        <w:rPr>
          <w:color w:val="auto"/>
        </w:rPr>
        <w:instrText xml:space="preserve"> PAGEREF _Toc21010 </w:instrText>
      </w:r>
      <w:r>
        <w:rPr>
          <w:color w:val="auto"/>
        </w:rPr>
        <w:fldChar w:fldCharType="separate"/>
      </w:r>
      <w:r>
        <w:rPr>
          <w:color w:val="auto"/>
        </w:rPr>
        <w:t>48</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_Toc20993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车壁塘河永州市祁阳县</w:t>
      </w:r>
      <w:r>
        <w:rPr>
          <w:rFonts w:hint="default" w:ascii="Times New Roman" w:hAnsi="Times New Roman" w:cs="Times New Roman"/>
          <w:color w:val="auto"/>
          <w:lang w:val="en-US"/>
        </w:rPr>
        <w:t>段河湖管理范围线划定标准成果</w:t>
      </w:r>
      <w:r>
        <w:rPr>
          <w:color w:val="auto"/>
        </w:rPr>
        <w:tab/>
      </w:r>
      <w:r>
        <w:rPr>
          <w:color w:val="auto"/>
        </w:rPr>
        <w:fldChar w:fldCharType="begin"/>
      </w:r>
      <w:r>
        <w:rPr>
          <w:color w:val="auto"/>
        </w:rPr>
        <w:instrText xml:space="preserve"> PAGEREF _Toc20993 </w:instrText>
      </w:r>
      <w:r>
        <w:rPr>
          <w:color w:val="auto"/>
        </w:rPr>
        <w:fldChar w:fldCharType="separate"/>
      </w:r>
      <w:r>
        <w:rPr>
          <w:color w:val="auto"/>
        </w:rPr>
        <w:t>50</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_Toc14956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rPr>
        <w:t>6 其他相关情况说明</w:t>
      </w:r>
      <w:r>
        <w:rPr>
          <w:color w:val="auto"/>
        </w:rPr>
        <w:tab/>
      </w:r>
      <w:r>
        <w:rPr>
          <w:color w:val="auto"/>
        </w:rPr>
        <w:fldChar w:fldCharType="begin"/>
      </w:r>
      <w:r>
        <w:rPr>
          <w:color w:val="auto"/>
        </w:rPr>
        <w:instrText xml:space="preserve"> PAGEREF _Toc14956 </w:instrText>
      </w:r>
      <w:r>
        <w:rPr>
          <w:color w:val="auto"/>
        </w:rPr>
        <w:fldChar w:fldCharType="separate"/>
      </w:r>
      <w:r>
        <w:rPr>
          <w:color w:val="auto"/>
        </w:rPr>
        <w:t>53</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_Toc19059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附表、附图</w:t>
      </w:r>
      <w:r>
        <w:rPr>
          <w:color w:val="auto"/>
        </w:rPr>
        <w:tab/>
      </w:r>
      <w:r>
        <w:rPr>
          <w:color w:val="auto"/>
        </w:rPr>
        <w:fldChar w:fldCharType="begin"/>
      </w:r>
      <w:r>
        <w:rPr>
          <w:color w:val="auto"/>
        </w:rPr>
        <w:instrText xml:space="preserve"> PAGEREF _Toc19059 </w:instrText>
      </w:r>
      <w:r>
        <w:rPr>
          <w:color w:val="auto"/>
        </w:rPr>
        <w:fldChar w:fldCharType="separate"/>
      </w:r>
      <w:r>
        <w:rPr>
          <w:color w:val="auto"/>
        </w:rPr>
        <w:t>56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_Toc30900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车壁塘河祁阳县河段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r>
        <w:rPr>
          <w:color w:val="auto"/>
        </w:rPr>
        <w:tab/>
      </w:r>
      <w:r>
        <w:rPr>
          <w:color w:val="auto"/>
        </w:rPr>
        <w:fldChar w:fldCharType="begin"/>
      </w:r>
      <w:r>
        <w:rPr>
          <w:color w:val="auto"/>
        </w:rPr>
        <w:instrText xml:space="preserve"> PAGEREF _Toc30900 </w:instrText>
      </w:r>
      <w:r>
        <w:rPr>
          <w:color w:val="auto"/>
        </w:rPr>
        <w:fldChar w:fldCharType="separate"/>
      </w:r>
      <w:r>
        <w:rPr>
          <w:color w:val="auto"/>
        </w:rPr>
        <w:t>56</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color w:val="auto"/>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color w:val="auto"/>
          <w:spacing w:val="20"/>
          <w:kern w:val="0"/>
          <w:szCs w:val="26"/>
        </w:rPr>
        <w:instrText xml:space="preserve"> HYPERLINK \l _Toc25697 </w:instrText>
      </w:r>
      <w:r>
        <w:rPr>
          <w:rFonts w:hint="default" w:ascii="Times New Roman" w:hAnsi="Times New Roman" w:eastAsia="仿宋" w:cs="Times New Roman"/>
          <w:bCs w:val="0"/>
          <w:color w:val="auto"/>
          <w:spacing w:val="20"/>
          <w:kern w:val="0"/>
          <w:szCs w:val="26"/>
        </w:rPr>
        <w:fldChar w:fldCharType="separate"/>
      </w:r>
      <w:r>
        <w:rPr>
          <w:rFonts w:hint="default" w:ascii="Times New Roman" w:hAnsi="Times New Roman" w:cs="Times New Roman"/>
          <w:color w:val="auto"/>
          <w:lang w:val="en-US" w:eastAsia="zh-CN"/>
        </w:rPr>
        <w:t>7.2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车壁塘河祁阳县</w:t>
      </w:r>
      <w:r>
        <w:rPr>
          <w:rFonts w:hint="default" w:ascii="Times New Roman" w:hAnsi="Times New Roman" w:cs="Times New Roman"/>
          <w:color w:val="auto"/>
          <w:lang w:val="en-US"/>
        </w:rPr>
        <w:t>河段管理范围线划定图</w:t>
      </w:r>
      <w:r>
        <w:rPr>
          <w:color w:val="auto"/>
        </w:rPr>
        <w:tab/>
      </w:r>
      <w:r>
        <w:rPr>
          <w:color w:val="auto"/>
        </w:rPr>
        <w:fldChar w:fldCharType="begin"/>
      </w:r>
      <w:r>
        <w:rPr>
          <w:color w:val="auto"/>
        </w:rPr>
        <w:instrText xml:space="preserve"> PAGEREF _Toc25697 </w:instrText>
      </w:r>
      <w:r>
        <w:rPr>
          <w:color w:val="auto"/>
        </w:rPr>
        <w:fldChar w:fldCharType="separate"/>
      </w:r>
      <w:r>
        <w:rPr>
          <w:color w:val="auto"/>
        </w:rPr>
        <w:t>57</w:t>
      </w:r>
      <w:r>
        <w:rPr>
          <w:color w:val="auto"/>
        </w:rP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9"/>
        <w:rPr>
          <w:rFonts w:hint="default" w:ascii="Times New Roman" w:hAnsi="Times New Roman" w:eastAsia="仿宋" w:cs="Times New Roman"/>
          <w:bCs w:val="0"/>
          <w:color w:val="auto"/>
          <w:spacing w:val="20"/>
          <w:kern w:val="0"/>
          <w:szCs w:val="26"/>
        </w:rPr>
      </w:pPr>
      <w:r>
        <w:rPr>
          <w:rFonts w:hint="default" w:ascii="Times New Roman" w:hAnsi="Times New Roman" w:eastAsia="仿宋" w:cs="Times New Roman"/>
          <w:bCs w:val="0"/>
          <w:color w:val="auto"/>
          <w:spacing w:val="20"/>
          <w:kern w:val="0"/>
          <w:szCs w:val="26"/>
        </w:rPr>
        <w:fldChar w:fldCharType="end"/>
      </w:r>
      <w:bookmarkStart w:id="0" w:name="_Toc1678_WPSOffice_Level2"/>
      <w:bookmarkStart w:id="1" w:name="_Toc128044504"/>
      <w:bookmarkStart w:id="2" w:name="_Toc16268"/>
      <w:bookmarkStart w:id="3" w:name="_Toc25698"/>
      <w:bookmarkStart w:id="4" w:name="_Toc128128839"/>
      <w:bookmarkStart w:id="5" w:name="_Toc128016205"/>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pPr>
      <w:bookmarkStart w:id="6" w:name="_Toc24831"/>
      <w:r>
        <w:rPr>
          <w:rFonts w:hint="default" w:ascii="Times New Roman" w:hAnsi="Times New Roman" w:eastAsia="仿宋_GB2312" w:cs="Times New Roman"/>
          <w:b/>
          <w:bCs/>
          <w:color w:val="auto"/>
          <w:kern w:val="44"/>
          <w:sz w:val="36"/>
          <w:szCs w:val="44"/>
          <w:lang w:val="en-US" w:eastAsia="zh-CN" w:bidi="zh-CN"/>
        </w:rPr>
        <w:t>1 划界工作背景</w:t>
      </w:r>
      <w:bookmarkEnd w:id="6"/>
      <w:r>
        <w:rPr>
          <w:rFonts w:hint="default" w:ascii="Times New Roman" w:hAnsi="Times New Roman" w:eastAsia="仿宋_GB2312" w:cs="Times New Roman"/>
          <w:b/>
          <w:bCs/>
          <w:color w:val="auto"/>
          <w:kern w:val="44"/>
          <w:sz w:val="36"/>
          <w:szCs w:val="44"/>
          <w:lang w:val="en-US" w:eastAsia="zh-CN" w:bidi="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lang w:val="en-US" w:eastAsia="zh-CN"/>
        </w:rPr>
        <w:t>理</w:t>
      </w:r>
      <w:r>
        <w:rPr>
          <w:rFonts w:hint="default" w:ascii="Times New Roman" w:hAnsi="Times New Roman" w:eastAsia="仿宋_GB2312" w:cs="Times New Roman"/>
          <w:color w:val="auto"/>
          <w:spacing w:val="0"/>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以上河流及常年水域面积在1.0km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受</w:t>
      </w:r>
      <w:r>
        <w:rPr>
          <w:rFonts w:hint="default" w:ascii="Times New Roman" w:hAnsi="Times New Roman" w:eastAsia="仿宋_GB2312" w:cs="Times New Roman"/>
          <w:color w:val="auto"/>
          <w:spacing w:val="0"/>
          <w:lang w:val="en-US" w:eastAsia="zh-CN"/>
        </w:rPr>
        <w:t>祁阳县</w:t>
      </w:r>
      <w:r>
        <w:rPr>
          <w:rFonts w:hint="default" w:ascii="Times New Roman" w:hAnsi="Times New Roman" w:eastAsia="仿宋_GB2312" w:cs="Times New Roman"/>
          <w:color w:val="auto"/>
          <w:spacing w:val="0"/>
          <w:lang w:val="en-US"/>
        </w:rPr>
        <w:t>水利局委托，我公司（</w:t>
      </w:r>
      <w:r>
        <w:rPr>
          <w:rFonts w:hint="default" w:ascii="Times New Roman" w:hAnsi="Times New Roman" w:eastAsia="仿宋_GB2312" w:cs="Times New Roman"/>
          <w:color w:val="auto"/>
          <w:spacing w:val="0"/>
          <w:lang w:val="en-US" w:eastAsia="zh-CN"/>
        </w:rPr>
        <w:t>黄石市振兴勘察设计有限公司</w:t>
      </w:r>
      <w:r>
        <w:rPr>
          <w:rFonts w:hint="default" w:ascii="Times New Roman" w:hAnsi="Times New Roman" w:eastAsia="仿宋_GB2312" w:cs="Times New Roman"/>
          <w:color w:val="auto"/>
          <w:spacing w:val="0"/>
          <w:lang w:val="en-US"/>
        </w:rPr>
        <w:t>）作为技术支持单位，编制了《</w:t>
      </w:r>
      <w:r>
        <w:rPr>
          <w:rFonts w:hint="default" w:ascii="Times New Roman" w:hAnsi="Times New Roman" w:eastAsia="仿宋_GB2312" w:cs="Times New Roman"/>
          <w:color w:val="auto"/>
          <w:spacing w:val="0"/>
          <w:lang w:val="en-US" w:eastAsia="zh-CN"/>
        </w:rPr>
        <w:t>车壁塘河永州市祁阳县</w:t>
      </w:r>
      <w:r>
        <w:rPr>
          <w:rFonts w:hint="default" w:ascii="Times New Roman" w:hAnsi="Times New Roman" w:eastAsia="仿宋_GB2312" w:cs="Times New Roman"/>
          <w:color w:val="auto"/>
          <w:spacing w:val="0"/>
          <w:lang w:val="en-US"/>
        </w:rPr>
        <w:t>河段管理范围划定方案》。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eastAsia="zh-CN"/>
        </w:rPr>
      </w:pPr>
      <w:bookmarkStart w:id="7" w:name="_Toc1392"/>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车壁塘河为祁水一级支流，湘江二级支流，发源祁东县三面山，河道流向大致由东北向西南，下游段河床平均宽40m，地势东北高西南低。车壁塘河流经祁东马社桥镇、白地市镇、祁阳文富市镇。车壁塘流域面积192km2,干流长46km，平均坡降11‰，，其中祁阳境内长度5.7km，该段右岸有1条支流杨家堰水汇入，车壁塘河于祁阳县文富市镇的清太村注入祁水。祁阳境内起止位置为清太村河口～夏江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eastAsia" w:eastAsia="仿宋_GB2312" w:cs="Times New Roman"/>
          <w:color w:val="auto"/>
          <w:szCs w:val="28"/>
          <w:lang w:val="en-US" w:eastAsia="zh-CN"/>
        </w:rPr>
        <w:t>昌木套河</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highlight w:val="red"/>
          <w:lang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spacing w:line="360" w:lineRule="auto"/>
        <w:jc w:val="center"/>
        <w:rPr>
          <w:color w:val="auto"/>
        </w:rPr>
      </w:pPr>
      <w:r>
        <w:rPr>
          <w:color w:val="auto"/>
        </w:rPr>
        <w:drawing>
          <wp:inline distT="0" distB="0" distL="114300" distR="114300">
            <wp:extent cx="5400675" cy="4600575"/>
            <wp:effectExtent l="0" t="0" r="9525" b="952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8"/>
                    <a:stretch>
                      <a:fillRect/>
                    </a:stretch>
                  </pic:blipFill>
                  <pic:spPr>
                    <a:xfrm>
                      <a:off x="0" y="0"/>
                      <a:ext cx="5400675" cy="4600575"/>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车壁塘河祁阳县段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val="en-US" w:eastAsia="zh-CN"/>
        </w:rPr>
        <w:br w:type="page"/>
      </w:r>
    </w:p>
    <w:p>
      <w:pPr>
        <w:pStyle w:val="3"/>
        <w:rPr>
          <w:rFonts w:hint="default" w:ascii="Times New Roman" w:hAnsi="Times New Roman" w:cs="Times New Roman"/>
          <w:bCs w:val="0"/>
          <w:color w:val="auto"/>
          <w:lang w:val="en-US" w:eastAsia="zh-CN"/>
        </w:rPr>
      </w:pPr>
      <w:bookmarkStart w:id="8" w:name="_Toc12351"/>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bookmarkEnd w:id="8"/>
    </w:p>
    <w:p>
      <w:pPr>
        <w:shd w:val="clear"/>
        <w:spacing w:line="360" w:lineRule="auto"/>
        <w:ind w:firstLine="560" w:firstLineChars="200"/>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pacing w:val="0"/>
          <w:sz w:val="28"/>
          <w:szCs w:val="28"/>
          <w:highlight w:val="none"/>
          <w:lang w:val="en-US" w:eastAsia="zh-CN" w:bidi="zh-CN"/>
        </w:rPr>
        <w:t>车壁塘河祁阳段总长5.7km，区段右岸有一条支流杨家堰水汇入，河段无堤防，主要为自然岸坡，洪水期时，洪水有漫滩的情况，洪峰流量计算需分段计算，根据车壁塘河汇水范围图，本次计算分段参数成果如下表</w:t>
      </w:r>
      <w:r>
        <w:rPr>
          <w:rFonts w:hint="eastAsia" w:eastAsia="仿宋_GB2312" w:cs="Times New Roman"/>
          <w:color w:val="auto"/>
          <w:spacing w:val="0"/>
          <w:sz w:val="28"/>
          <w:szCs w:val="28"/>
          <w:highlight w:val="none"/>
          <w:lang w:val="en-US" w:eastAsia="zh-CN" w:bidi="zh-CN"/>
        </w:rPr>
        <w:t>2.1-2</w:t>
      </w:r>
      <w:r>
        <w:rPr>
          <w:rFonts w:hint="default" w:ascii="Times New Roman" w:hAnsi="Times New Roman" w:eastAsia="仿宋_GB2312" w:cs="Times New Roman"/>
          <w:color w:val="auto"/>
          <w:spacing w:val="0"/>
          <w:sz w:val="28"/>
          <w:szCs w:val="28"/>
          <w:highlight w:val="none"/>
          <w:lang w:val="en-US" w:eastAsia="zh-CN" w:bidi="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 xml:space="preserve">表2.1-1             </w:t>
      </w:r>
      <w:r>
        <w:rPr>
          <w:rFonts w:hint="eastAsia" w:eastAsia="仿宋_GB2312" w:cs="Times New Roman"/>
          <w:b/>
          <w:bCs/>
          <w:color w:val="auto"/>
          <w:sz w:val="24"/>
          <w:szCs w:val="24"/>
          <w:highlight w:val="none"/>
          <w:lang w:val="en-US" w:eastAsia="zh-CN" w:bidi="zh-CN"/>
        </w:rPr>
        <w:t xml:space="preserve">          </w:t>
      </w:r>
      <w:r>
        <w:rPr>
          <w:rFonts w:hint="default" w:ascii="Times New Roman" w:hAnsi="Times New Roman" w:eastAsia="仿宋_GB2312" w:cs="Times New Roman"/>
          <w:b/>
          <w:bCs/>
          <w:color w:val="auto"/>
          <w:sz w:val="24"/>
          <w:szCs w:val="24"/>
          <w:highlight w:val="none"/>
          <w:lang w:val="en-US" w:eastAsia="zh-CN" w:bidi="zh-CN"/>
        </w:rPr>
        <w:t xml:space="preserve">    车壁塘（祁阳段）计算参数成果表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631"/>
        <w:gridCol w:w="1650"/>
        <w:gridCol w:w="1575"/>
        <w:gridCol w:w="1644"/>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63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杨家堰水</w:t>
            </w:r>
          </w:p>
        </w:tc>
        <w:tc>
          <w:tcPr>
            <w:tcW w:w="163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K5+480</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129</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39.52</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12.3</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车壁塘河口</w:t>
            </w:r>
          </w:p>
        </w:tc>
        <w:tc>
          <w:tcPr>
            <w:tcW w:w="163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K0+000</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192</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45</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11.0</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shd w:val="clear"/>
        <w:spacing w:line="360" w:lineRule="auto"/>
        <w:ind w:firstLine="560" w:firstLineChars="200"/>
        <w:rPr>
          <w:rFonts w:hint="default" w:ascii="Times New Roman" w:hAnsi="Times New Roman" w:cs="Times New Roman"/>
          <w:b w:val="0"/>
          <w:bCs w:val="0"/>
          <w:color w:val="auto"/>
          <w:spacing w:val="0"/>
          <w:sz w:val="28"/>
          <w:szCs w:val="28"/>
          <w:highlight w:val="none"/>
          <w:lang w:val="en-US" w:eastAsia="zh-CN" w:bidi="zh-CN"/>
        </w:rPr>
      </w:pPr>
      <w:r>
        <w:rPr>
          <w:rFonts w:hint="default" w:ascii="Times New Roman" w:hAnsi="Times New Roman" w:eastAsia="仿宋_GB2312" w:cs="Times New Roman"/>
          <w:b w:val="0"/>
          <w:bCs w:val="0"/>
          <w:color w:val="auto"/>
          <w:spacing w:val="0"/>
          <w:sz w:val="28"/>
          <w:szCs w:val="28"/>
          <w:highlight w:val="none"/>
          <w:lang w:val="en-US" w:eastAsia="zh-CN" w:bidi="zh-CN"/>
        </w:rPr>
        <w:t>根据《查算手册》按推理公式法求得：</w:t>
      </w:r>
      <w:r>
        <w:rPr>
          <w:rFonts w:hint="default" w:ascii="Times New Roman" w:hAnsi="Times New Roman" w:eastAsia="仿宋_GB2312" w:cs="Times New Roman"/>
          <w:color w:val="auto"/>
          <w:szCs w:val="28"/>
          <w:lang w:val="en-US" w:eastAsia="zh-CN"/>
        </w:rPr>
        <w:t>车壁塘河流域面积192km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,干流长46km，平均坡降11‰，河口10年一遇设计洪峰流量为424.17m³/s，洪水总量为1916.41万m³，洪峰流量模数为2.21m³/s·km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；同理计算相邻流域双江口河</w:t>
      </w:r>
      <w:r>
        <w:rPr>
          <w:rFonts w:hint="default" w:ascii="Times New Roman" w:hAnsi="Times New Roman" w:eastAsia="仿宋_GB2312" w:cs="Times New Roman"/>
          <w:color w:val="auto"/>
          <w:sz w:val="28"/>
          <w:szCs w:val="28"/>
          <w:highlight w:val="none"/>
          <w:lang w:val="en-US" w:eastAsia="zh-CN"/>
        </w:rPr>
        <w:t>流域面积244km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,干流长35km，平均坡降3.7‰，河</w:t>
      </w:r>
      <w:r>
        <w:rPr>
          <w:rFonts w:hint="default" w:ascii="Times New Roman" w:hAnsi="Times New Roman" w:eastAsia="仿宋_GB2312" w:cs="Times New Roman"/>
          <w:color w:val="auto"/>
          <w:szCs w:val="28"/>
          <w:lang w:val="en-US" w:eastAsia="zh-CN"/>
        </w:rPr>
        <w:t>口10年一遇设计洪峰流量为524.9m³/s，洪水总量为2380.8万m³，洪峰流量模数为2.15m³/s·km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；分析原因：车壁塘河流域面积略小，其河道比降略陡，所以造成其洪峰流量模数较双江口略偏大，两者成果基本符合流域实际情况。计算成果较为可靠</w:t>
      </w:r>
      <w:r>
        <w:rPr>
          <w:rFonts w:hint="default" w:ascii="Times New Roman" w:hAnsi="Times New Roman" w:cs="Times New Roman"/>
          <w:b w:val="0"/>
          <w:bCs w:val="0"/>
          <w:color w:val="auto"/>
          <w:spacing w:val="0"/>
          <w:sz w:val="28"/>
          <w:szCs w:val="28"/>
          <w:highlight w:val="none"/>
          <w:lang w:val="en-US" w:eastAsia="zh-CN" w:bidi="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根据已确定的参数，其水面线法计算段成果入下表</w:t>
      </w:r>
      <w:r>
        <w:rPr>
          <w:rFonts w:hint="eastAsia" w:eastAsia="仿宋_GB2312" w:cs="Times New Roman"/>
          <w:color w:val="auto"/>
          <w:szCs w:val="28"/>
          <w:lang w:val="en-US" w:eastAsia="zh-CN"/>
        </w:rPr>
        <w:t>2.1</w:t>
      </w:r>
      <w:r>
        <w:rPr>
          <w:rFonts w:hint="default" w:ascii="Times New Roman" w:hAnsi="Times New Roman" w:eastAsia="仿宋_GB2312" w:cs="Times New Roman"/>
          <w:color w:val="auto"/>
          <w:szCs w:val="28"/>
          <w:lang w:val="en-US" w:eastAsia="zh-CN"/>
        </w:rPr>
        <w:t>-2。</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-12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车壁塘河（祁阳段）设计洪水水面线成果表</w:t>
      </w:r>
    </w:p>
    <w:tbl>
      <w:tblPr>
        <w:tblStyle w:val="16"/>
        <w:tblW w:w="92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20"/>
        <w:gridCol w:w="2386"/>
        <w:gridCol w:w="1523"/>
        <w:gridCol w:w="1522"/>
        <w:gridCol w:w="23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blHeader/>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断面号</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地点</w:t>
            </w: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间距（m）</w:t>
            </w: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累距（m）</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blHeader/>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w:t>
            </w:r>
          </w:p>
        </w:tc>
        <w:tc>
          <w:tcPr>
            <w:tcW w:w="152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105.49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坝1下CS4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坝1上CS5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106.01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坝2下CS7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2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坝2上CS8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CS10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坝3下CS11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坝3上CS12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r>
              <w:rPr>
                <w:rFonts w:hint="eastAsia" w:eastAsia="仿宋_GB2312" w:cs="Times New Roman"/>
                <w:i w:val="0"/>
                <w:color w:val="auto"/>
                <w:kern w:val="0"/>
                <w:sz w:val="18"/>
                <w:szCs w:val="18"/>
                <w:u w:val="none"/>
                <w:lang w:val="en-US" w:eastAsia="zh-CN" w:bidi="ar"/>
              </w:rPr>
              <w:t>9</w:t>
            </w:r>
            <w:r>
              <w:rPr>
                <w:rFonts w:hint="default" w:ascii="Times New Roman" w:hAnsi="Times New Roman" w:eastAsia="仿宋_GB2312" w:cs="Times New Roman"/>
                <w:i w:val="0"/>
                <w:color w:val="auto"/>
                <w:kern w:val="0"/>
                <w:sz w:val="18"/>
                <w:szCs w:val="18"/>
                <w:u w:val="none"/>
                <w:lang w:val="en-US" w:eastAsia="zh-CN" w:bidi="ar"/>
              </w:rPr>
              <w:t>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108.94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r>
              <w:rPr>
                <w:rFonts w:hint="eastAsia" w:eastAsia="仿宋_GB2312" w:cs="Times New Roman"/>
                <w:i w:val="0"/>
                <w:color w:val="auto"/>
                <w:kern w:val="0"/>
                <w:sz w:val="18"/>
                <w:szCs w:val="18"/>
                <w:u w:val="none"/>
                <w:lang w:val="en-US" w:eastAsia="zh-CN" w:bidi="ar"/>
              </w:rPr>
              <w:t>1</w:t>
            </w:r>
            <w:r>
              <w:rPr>
                <w:rFonts w:hint="default" w:ascii="Times New Roman" w:hAnsi="Times New Roman" w:eastAsia="仿宋_GB2312" w:cs="Times New Roman"/>
                <w:i w:val="0"/>
                <w:color w:val="auto"/>
                <w:kern w:val="0"/>
                <w:sz w:val="18"/>
                <w:szCs w:val="18"/>
                <w:u w:val="none"/>
                <w:lang w:val="en-US" w:eastAsia="zh-CN" w:bidi="ar"/>
              </w:rPr>
              <w:t>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2820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3220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109.85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坝4下CS16</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110.54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坝4上CS17</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CS18</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111.02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CS19</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CS20</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5220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7" w:hRule="exact"/>
        </w:trPr>
        <w:tc>
          <w:tcPr>
            <w:tcW w:w="15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23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坝5下CS23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57</w:t>
            </w:r>
            <w:r>
              <w:rPr>
                <w:rFonts w:hint="eastAsia" w:eastAsia="仿宋_GB2312" w:cs="Times New Roman"/>
                <w:i w:val="0"/>
                <w:color w:val="auto"/>
                <w:kern w:val="0"/>
                <w:sz w:val="18"/>
                <w:szCs w:val="18"/>
                <w:u w:val="none"/>
                <w:lang w:val="en-US" w:eastAsia="zh-CN" w:bidi="ar"/>
              </w:rPr>
              <w:t>0</w:t>
            </w:r>
            <w:r>
              <w:rPr>
                <w:rFonts w:hint="default" w:ascii="Times New Roman" w:hAnsi="Times New Roman" w:eastAsia="仿宋_GB2312" w:cs="Times New Roman"/>
                <w:i w:val="0"/>
                <w:color w:val="auto"/>
                <w:kern w:val="0"/>
                <w:sz w:val="18"/>
                <w:szCs w:val="18"/>
                <w:u w:val="none"/>
                <w:lang w:val="en-US" w:eastAsia="zh-CN" w:bidi="ar"/>
              </w:rPr>
              <w:t>0</w:t>
            </w:r>
          </w:p>
        </w:tc>
        <w:tc>
          <w:tcPr>
            <w:tcW w:w="23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112.95 </w:t>
            </w:r>
          </w:p>
        </w:tc>
      </w:tr>
    </w:tbl>
    <w:p>
      <w:pPr>
        <w:pStyle w:val="3"/>
        <w:rPr>
          <w:rFonts w:hint="default" w:ascii="Times New Roman" w:hAnsi="Times New Roman" w:cs="Times New Roman"/>
          <w:bCs w:val="0"/>
          <w:color w:val="auto"/>
          <w:lang w:val="en-US" w:eastAsia="zh-CN"/>
        </w:rPr>
      </w:pPr>
      <w:bookmarkStart w:id="9" w:name="_Toc9817"/>
      <w:r>
        <w:rPr>
          <w:rFonts w:hint="default" w:ascii="Times New Roman" w:hAnsi="Times New Roman" w:cs="Times New Roman"/>
          <w:bCs w:val="0"/>
          <w:color w:val="auto"/>
          <w:lang w:val="en-US" w:eastAsia="zh-CN"/>
        </w:rPr>
        <w:t>2.2 河段岸线情况</w:t>
      </w:r>
      <w:bookmarkEnd w:id="9"/>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车壁塘河永州市祁阳县河段岸线由自然岸线组成，主要流经农村区域，河道两旁分布有大量农田。</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.1-1</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eastAsia="zh-CN"/>
        </w:rPr>
        <w:tab/>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车壁塘河左岸祁阳县</w:t>
      </w:r>
      <w:r>
        <w:rPr>
          <w:rFonts w:hint="default" w:ascii="Times New Roman" w:hAnsi="Times New Roman" w:eastAsia="仿宋_GB2312" w:cs="Times New Roman"/>
          <w:b/>
          <w:bCs/>
          <w:color w:val="auto"/>
          <w:sz w:val="24"/>
          <w:lang w:val="en-US"/>
        </w:rPr>
        <w:t>河段岸线基本情况表</w:t>
      </w:r>
    </w:p>
    <w:tbl>
      <w:tblPr>
        <w:tblStyle w:val="16"/>
        <w:tblW w:w="13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05"/>
        <w:gridCol w:w="833"/>
        <w:gridCol w:w="890"/>
        <w:gridCol w:w="975"/>
        <w:gridCol w:w="832"/>
        <w:gridCol w:w="891"/>
        <w:gridCol w:w="975"/>
        <w:gridCol w:w="833"/>
        <w:gridCol w:w="832"/>
        <w:gridCol w:w="864"/>
        <w:gridCol w:w="802"/>
        <w:gridCol w:w="777"/>
        <w:gridCol w:w="924"/>
        <w:gridCol w:w="1083"/>
        <w:gridCol w:w="13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7" w:hRule="atLeast"/>
        </w:trPr>
        <w:tc>
          <w:tcPr>
            <w:tcW w:w="40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2698"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2698"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4108"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200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138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3" w:hRule="atLeast"/>
        </w:trPr>
        <w:tc>
          <w:tcPr>
            <w:tcW w:w="40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1865"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83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1866"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833"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832"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86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80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77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92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108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138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6" w:hRule="atLeast"/>
        </w:trPr>
        <w:tc>
          <w:tcPr>
            <w:tcW w:w="40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83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9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833"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08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38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0.00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583978.072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2961467.609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0.29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584204.637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2961652.193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0.29</w:t>
            </w:r>
          </w:p>
        </w:tc>
        <w:tc>
          <w:tcPr>
            <w:tcW w:w="1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101.9~103.5</w:t>
            </w:r>
          </w:p>
        </w:tc>
        <w:tc>
          <w:tcPr>
            <w:tcW w:w="138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河口-清太村009乡道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0.29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584204.637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2961652.193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0.50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584365.025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2961729.790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0.21</w:t>
            </w:r>
          </w:p>
        </w:tc>
        <w:tc>
          <w:tcPr>
            <w:tcW w:w="1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106.1</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清太村009乡道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0.50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584365.025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2961729.790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2.53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585709.986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2962685.112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2.03</w:t>
            </w:r>
          </w:p>
        </w:tc>
        <w:tc>
          <w:tcPr>
            <w:tcW w:w="1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101.9~105.6</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清太村009乡道-联江村桥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2.53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585709.986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2962685.112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2.61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585746.326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2962620.970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0.08</w:t>
            </w:r>
          </w:p>
        </w:tc>
        <w:tc>
          <w:tcPr>
            <w:tcW w:w="1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112.2</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联江村桥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2.61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585746.326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2962620.970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4.18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586663.234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2962841.991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1.57</w:t>
            </w:r>
          </w:p>
        </w:tc>
        <w:tc>
          <w:tcPr>
            <w:tcW w:w="1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107.3~111.1</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联江村桥-书林寺村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4.18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586663.234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2962841.991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4.59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586950.419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2962919.812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0.41</w:t>
            </w:r>
          </w:p>
        </w:tc>
        <w:tc>
          <w:tcPr>
            <w:tcW w:w="1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110.2~111.7</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书林寺村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4.59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586950.419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2962919.812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5.10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587292.137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2963284.449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0.51</w:t>
            </w:r>
          </w:p>
        </w:tc>
        <w:tc>
          <w:tcPr>
            <w:tcW w:w="1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108.9~110.1</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书林寺村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5.10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587292.137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2963284.449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5.70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587478.888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2963633.121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0.60</w:t>
            </w:r>
          </w:p>
        </w:tc>
        <w:tc>
          <w:tcPr>
            <w:tcW w:w="108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112.1~112.8</w:t>
            </w:r>
          </w:p>
        </w:tc>
        <w:tc>
          <w:tcPr>
            <w:tcW w:w="13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祁东县交界处</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车壁塘河右岸祁阳县</w:t>
      </w:r>
      <w:r>
        <w:rPr>
          <w:rFonts w:hint="default" w:ascii="Times New Roman" w:hAnsi="Times New Roman" w:eastAsia="仿宋_GB2312" w:cs="Times New Roman"/>
          <w:b/>
          <w:bCs/>
          <w:color w:val="auto"/>
          <w:sz w:val="24"/>
          <w:lang w:val="en-US"/>
        </w:rPr>
        <w:t>河段岸线基本情况表</w:t>
      </w:r>
    </w:p>
    <w:tbl>
      <w:tblPr>
        <w:tblStyle w:val="16"/>
        <w:tblW w:w="13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05"/>
        <w:gridCol w:w="833"/>
        <w:gridCol w:w="890"/>
        <w:gridCol w:w="975"/>
        <w:gridCol w:w="832"/>
        <w:gridCol w:w="891"/>
        <w:gridCol w:w="975"/>
        <w:gridCol w:w="833"/>
        <w:gridCol w:w="832"/>
        <w:gridCol w:w="866"/>
        <w:gridCol w:w="804"/>
        <w:gridCol w:w="772"/>
        <w:gridCol w:w="874"/>
        <w:gridCol w:w="1217"/>
        <w:gridCol w:w="12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40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2698"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2698"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4107"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2091"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129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40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1865"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83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1866"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833"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832"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86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80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77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87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121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129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0" w:hRule="atLeast"/>
        </w:trPr>
        <w:tc>
          <w:tcPr>
            <w:tcW w:w="40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9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83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9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833"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1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29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0.00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583978.072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2961467.609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0.50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584365.025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2961729.790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0.40</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105.4~107.1</w:t>
            </w:r>
          </w:p>
        </w:tc>
        <w:tc>
          <w:tcPr>
            <w:tcW w:w="129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河口-清太村009乡道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0.50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584365.025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2961729.790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1.50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584600.857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2962446.152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1.10</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104.3~106.3</w:t>
            </w:r>
          </w:p>
        </w:tc>
        <w:tc>
          <w:tcPr>
            <w:tcW w:w="12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清太村009乡道-中心村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1.50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584600.857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2962446.152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1.64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584838.632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2962640.149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0.14</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109.1~110.2</w:t>
            </w:r>
          </w:p>
        </w:tc>
        <w:tc>
          <w:tcPr>
            <w:tcW w:w="129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中心村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1.64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584838.632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2962640.149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2.29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585483.375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2962657.416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0.65</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106.3~108.3</w:t>
            </w:r>
          </w:p>
        </w:tc>
        <w:tc>
          <w:tcPr>
            <w:tcW w:w="12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中心村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2.29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585483.375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2962657.416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2.53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585709.986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2962685.112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0.24</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107.8~110.9</w:t>
            </w:r>
          </w:p>
        </w:tc>
        <w:tc>
          <w:tcPr>
            <w:tcW w:w="129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中心村-联江村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2.53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585709.986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2962685.112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3.10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586159.909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2962558.949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0.57</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108.3~110.9</w:t>
            </w:r>
          </w:p>
        </w:tc>
        <w:tc>
          <w:tcPr>
            <w:tcW w:w="12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联江村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3.10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586159.909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2962558.949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3.66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586520.440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2962416.590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0.56</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110.4~110.9</w:t>
            </w:r>
          </w:p>
        </w:tc>
        <w:tc>
          <w:tcPr>
            <w:tcW w:w="129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联江村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3.66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586520.440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2962416.590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3.94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586710.604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2962613.391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0.28</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108.1~109.3</w:t>
            </w:r>
          </w:p>
        </w:tc>
        <w:tc>
          <w:tcPr>
            <w:tcW w:w="12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联江村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3.94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586710.604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2962613.391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4.29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586649.481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2962925.491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0.35</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111.1~113.2</w:t>
            </w:r>
          </w:p>
        </w:tc>
        <w:tc>
          <w:tcPr>
            <w:tcW w:w="129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联江村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0" w:hRule="atLeast"/>
        </w:trPr>
        <w:tc>
          <w:tcPr>
            <w:tcW w:w="40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4.29 </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586649.481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2962925.491 </w:t>
            </w:r>
          </w:p>
        </w:tc>
        <w:tc>
          <w:tcPr>
            <w:tcW w:w="8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5.70 </w:t>
            </w:r>
          </w:p>
        </w:tc>
        <w:tc>
          <w:tcPr>
            <w:tcW w:w="8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587478.888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2963633.121 </w:t>
            </w:r>
          </w:p>
        </w:tc>
        <w:tc>
          <w:tcPr>
            <w:tcW w:w="83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3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6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772"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1.41</w:t>
            </w:r>
          </w:p>
        </w:tc>
        <w:tc>
          <w:tcPr>
            <w:tcW w:w="12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110.1~110.8</w:t>
            </w:r>
          </w:p>
        </w:tc>
        <w:tc>
          <w:tcPr>
            <w:tcW w:w="12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联江村-祁东县交界处</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pStyle w:val="3"/>
        <w:rPr>
          <w:rFonts w:hint="default" w:ascii="Times New Roman" w:hAnsi="Times New Roman" w:cs="Times New Roman"/>
          <w:bCs w:val="0"/>
          <w:color w:val="auto"/>
          <w:lang w:val="en-US" w:eastAsia="zh-CN"/>
        </w:rPr>
      </w:pPr>
      <w:bookmarkStart w:id="10" w:name="_Toc25510"/>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bookmarkEnd w:id="10"/>
    </w:p>
    <w:p>
      <w:pPr>
        <w:spacing w:line="360" w:lineRule="auto"/>
        <w:ind w:firstLine="560" w:firstLineChars="200"/>
        <w:jc w:val="left"/>
        <w:rPr>
          <w:rFonts w:hint="default" w:ascii="Times New Roman" w:hAnsi="Times New Roman" w:eastAsia="仿宋_GB2312" w:cs="Times New Roman"/>
          <w:color w:val="auto"/>
          <w:spacing w:val="0"/>
          <w:sz w:val="28"/>
          <w:szCs w:val="28"/>
          <w:highlight w:val="yellow"/>
          <w:lang w:val="en-US" w:eastAsia="zh-CN" w:bidi="zh-CN"/>
        </w:rPr>
      </w:pPr>
      <w:r>
        <w:rPr>
          <w:rFonts w:hint="default" w:ascii="Times New Roman" w:hAnsi="Times New Roman" w:eastAsia="仿宋_GB2312" w:cs="Times New Roman"/>
          <w:color w:val="auto"/>
          <w:szCs w:val="28"/>
          <w:lang w:val="en-US" w:eastAsia="zh-CN"/>
        </w:rPr>
        <w:t>车壁塘河祁阳县段位于湖南省祁</w:t>
      </w:r>
      <w:r>
        <w:rPr>
          <w:rFonts w:hint="default" w:ascii="Times New Roman" w:hAnsi="Times New Roman" w:eastAsia="仿宋_GB2312" w:cs="Times New Roman"/>
          <w:color w:val="auto"/>
          <w:szCs w:val="28"/>
          <w:highlight w:val="none"/>
          <w:lang w:val="en-US" w:eastAsia="zh-CN"/>
        </w:rPr>
        <w:t>阳县，全长5.7km，祁阳县段流域面积63km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沿岸已建拦河坝5处，桥梁2座。具体详见下表2.3-1。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车壁塘河祁阳县段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71"/>
        <w:gridCol w:w="905"/>
        <w:gridCol w:w="978"/>
        <w:gridCol w:w="856"/>
        <w:gridCol w:w="1568"/>
        <w:gridCol w:w="750"/>
        <w:gridCol w:w="768"/>
        <w:gridCol w:w="937"/>
        <w:gridCol w:w="93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项目名称</w:t>
            </w:r>
          </w:p>
        </w:tc>
        <w:tc>
          <w:tcPr>
            <w:tcW w:w="1883"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项目概位坐标</w:t>
            </w:r>
          </w:p>
        </w:tc>
        <w:tc>
          <w:tcPr>
            <w:tcW w:w="85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在建/已建</w:t>
            </w:r>
          </w:p>
        </w:tc>
        <w:tc>
          <w:tcPr>
            <w:tcW w:w="156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所在行政村组</w:t>
            </w:r>
          </w:p>
        </w:tc>
        <w:tc>
          <w:tcPr>
            <w:tcW w:w="75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岸别</w:t>
            </w:r>
          </w:p>
        </w:tc>
        <w:tc>
          <w:tcPr>
            <w:tcW w:w="76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建成时间</w:t>
            </w:r>
          </w:p>
        </w:tc>
        <w:tc>
          <w:tcPr>
            <w:tcW w:w="93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占用岸线长度（m）</w:t>
            </w:r>
          </w:p>
        </w:tc>
        <w:tc>
          <w:tcPr>
            <w:tcW w:w="9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东经</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北纬</w:t>
            </w:r>
          </w:p>
        </w:tc>
        <w:tc>
          <w:tcPr>
            <w:tcW w:w="85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156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75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76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3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c>
          <w:tcPr>
            <w:tcW w:w="93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rPr>
            </w:pPr>
            <w:r>
              <w:rPr>
                <w:rFonts w:hint="default" w:ascii="Times New Roman" w:hAnsi="Times New Roman" w:eastAsia="仿宋" w:cs="Times New Roman"/>
                <w:i w:val="0"/>
                <w:color w:val="auto"/>
                <w:kern w:val="0"/>
                <w:sz w:val="18"/>
                <w:szCs w:val="18"/>
                <w:u w:val="none"/>
                <w:lang w:val="en-US" w:eastAsia="zh-CN" w:bidi="ar"/>
              </w:rPr>
              <w:t>河坝5</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111.885999</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26.777166</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5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lang w:eastAsia="zh-CN"/>
              </w:rPr>
              <w:t>文富市镇夏江口</w:t>
            </w:r>
          </w:p>
        </w:tc>
        <w:tc>
          <w:tcPr>
            <w:tcW w:w="7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左右岸</w:t>
            </w:r>
          </w:p>
        </w:tc>
        <w:tc>
          <w:tcPr>
            <w:tcW w:w="7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rPr>
            </w:pPr>
            <w:r>
              <w:rPr>
                <w:rFonts w:hint="default" w:ascii="Times New Roman" w:hAnsi="Times New Roman" w:eastAsia="仿宋" w:cs="Times New Roman"/>
                <w:i w:val="0"/>
                <w:color w:val="auto"/>
                <w:kern w:val="0"/>
                <w:sz w:val="18"/>
                <w:szCs w:val="18"/>
                <w:u w:val="none"/>
                <w:lang w:val="en-US" w:eastAsia="zh-CN" w:bidi="ar"/>
              </w:rPr>
              <w:t>10</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河坝4</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111.875861</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26.766553</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5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lang w:eastAsia="zh-CN"/>
              </w:rPr>
              <w:t>文富市镇园家岭</w:t>
            </w:r>
          </w:p>
        </w:tc>
        <w:tc>
          <w:tcPr>
            <w:tcW w:w="7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左右岸</w:t>
            </w:r>
          </w:p>
        </w:tc>
        <w:tc>
          <w:tcPr>
            <w:tcW w:w="7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河坝3</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111.864831</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26.768516</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5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lang w:eastAsia="zh-CN"/>
              </w:rPr>
              <w:t>文富市镇农科社区</w:t>
            </w:r>
          </w:p>
        </w:tc>
        <w:tc>
          <w:tcPr>
            <w:tcW w:w="7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左右岸</w:t>
            </w:r>
          </w:p>
        </w:tc>
        <w:tc>
          <w:tcPr>
            <w:tcW w:w="7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河坝2</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111.857134</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26.767726</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5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lang w:eastAsia="zh-CN"/>
              </w:rPr>
              <w:t>文富市镇马埠头</w:t>
            </w:r>
          </w:p>
        </w:tc>
        <w:tc>
          <w:tcPr>
            <w:tcW w:w="7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左右岸</w:t>
            </w:r>
          </w:p>
        </w:tc>
        <w:tc>
          <w:tcPr>
            <w:tcW w:w="7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河坝1</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111.855744</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26.762994</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5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lang w:eastAsia="zh-CN"/>
              </w:rPr>
              <w:t>文富市镇汪家台</w:t>
            </w:r>
          </w:p>
        </w:tc>
        <w:tc>
          <w:tcPr>
            <w:tcW w:w="7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左右岸</w:t>
            </w:r>
          </w:p>
        </w:tc>
        <w:tc>
          <w:tcPr>
            <w:tcW w:w="7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10</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eastAsia="zh-CN"/>
              </w:rPr>
            </w:pPr>
            <w:r>
              <w:rPr>
                <w:rFonts w:hint="default" w:ascii="Times New Roman" w:hAnsi="Times New Roman" w:eastAsia="仿宋" w:cs="Times New Roman"/>
                <w:i w:val="0"/>
                <w:color w:val="auto"/>
                <w:sz w:val="18"/>
                <w:szCs w:val="18"/>
                <w:u w:val="none"/>
                <w:lang w:eastAsia="zh-CN"/>
              </w:rPr>
              <w:t>桥</w:t>
            </w:r>
            <w:r>
              <w:rPr>
                <w:rFonts w:hint="default" w:ascii="Times New Roman" w:hAnsi="Times New Roman" w:eastAsia="仿宋" w:cs="Times New Roman"/>
                <w:i w:val="0"/>
                <w:color w:val="auto"/>
                <w:sz w:val="18"/>
                <w:szCs w:val="18"/>
                <w:u w:val="none"/>
                <w:lang w:val="en-US" w:eastAsia="zh-CN"/>
              </w:rPr>
              <w:t>1</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111.851876</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26.759492</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5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lang w:eastAsia="zh-CN"/>
              </w:rPr>
              <w:t>文富市镇江口桥</w:t>
            </w:r>
          </w:p>
        </w:tc>
        <w:tc>
          <w:tcPr>
            <w:tcW w:w="7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左右岸</w:t>
            </w:r>
          </w:p>
        </w:tc>
        <w:tc>
          <w:tcPr>
            <w:tcW w:w="7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rPr>
            </w:pPr>
            <w:r>
              <w:rPr>
                <w:rFonts w:hint="default" w:ascii="Times New Roman" w:hAnsi="Times New Roman" w:eastAsia="仿宋" w:cs="Times New Roman"/>
                <w:i w:val="0"/>
                <w:color w:val="auto"/>
                <w:kern w:val="0"/>
                <w:sz w:val="18"/>
                <w:szCs w:val="18"/>
                <w:u w:val="none"/>
                <w:lang w:val="en-US" w:eastAsia="zh-CN" w:bidi="ar"/>
              </w:rPr>
              <w:t>22</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57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lang w:eastAsia="zh-CN"/>
              </w:rPr>
              <w:t>桥</w:t>
            </w:r>
            <w:r>
              <w:rPr>
                <w:rFonts w:hint="default" w:ascii="Times New Roman" w:hAnsi="Times New Roman" w:eastAsia="仿宋" w:cs="Times New Roman"/>
                <w:i w:val="0"/>
                <w:color w:val="auto"/>
                <w:sz w:val="18"/>
                <w:szCs w:val="18"/>
                <w:u w:val="none"/>
                <w:lang w:val="en-US" w:eastAsia="zh-CN"/>
              </w:rPr>
              <w:t>2</w:t>
            </w:r>
          </w:p>
        </w:tc>
        <w:tc>
          <w:tcPr>
            <w:tcW w:w="90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111.867138</w:t>
            </w:r>
          </w:p>
        </w:tc>
        <w:tc>
          <w:tcPr>
            <w:tcW w:w="9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sz w:val="18"/>
                <w:szCs w:val="18"/>
                <w:u w:val="none"/>
              </w:rPr>
              <w:t>26.768679</w:t>
            </w:r>
          </w:p>
        </w:tc>
        <w:tc>
          <w:tcPr>
            <w:tcW w:w="85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已建</w:t>
            </w:r>
          </w:p>
        </w:tc>
        <w:tc>
          <w:tcPr>
            <w:tcW w:w="15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eastAsia="zh-CN"/>
              </w:rPr>
            </w:pPr>
            <w:r>
              <w:rPr>
                <w:rFonts w:hint="default" w:ascii="Times New Roman" w:hAnsi="Times New Roman" w:eastAsia="仿宋" w:cs="Times New Roman"/>
                <w:i w:val="0"/>
                <w:color w:val="auto"/>
                <w:sz w:val="18"/>
                <w:szCs w:val="18"/>
                <w:u w:val="none"/>
                <w:lang w:eastAsia="zh-CN"/>
              </w:rPr>
              <w:t>文富市镇联江村</w:t>
            </w:r>
          </w:p>
        </w:tc>
        <w:tc>
          <w:tcPr>
            <w:tcW w:w="7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左右岸</w:t>
            </w:r>
          </w:p>
        </w:tc>
        <w:tc>
          <w:tcPr>
            <w:tcW w:w="76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w:t>
            </w:r>
          </w:p>
        </w:tc>
        <w:tc>
          <w:tcPr>
            <w:tcW w:w="93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lang w:val="en-US"/>
              </w:rPr>
            </w:pPr>
            <w:r>
              <w:rPr>
                <w:rFonts w:hint="default" w:ascii="Times New Roman" w:hAnsi="Times New Roman" w:eastAsia="仿宋" w:cs="Times New Roman"/>
                <w:i w:val="0"/>
                <w:color w:val="auto"/>
                <w:kern w:val="0"/>
                <w:sz w:val="18"/>
                <w:szCs w:val="18"/>
                <w:u w:val="none"/>
                <w:lang w:val="en-US" w:eastAsia="zh-CN" w:bidi="ar"/>
              </w:rPr>
              <w:t>20</w:t>
            </w:r>
          </w:p>
        </w:tc>
        <w:tc>
          <w:tcPr>
            <w:tcW w:w="9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lang w:val="en-US" w:eastAsia="zh-CN"/>
        </w:rPr>
      </w:pPr>
      <w:bookmarkStart w:id="11" w:name="_Toc13711"/>
      <w:r>
        <w:rPr>
          <w:rFonts w:hint="default" w:ascii="Times New Roman" w:hAnsi="Times New Roman" w:eastAsia="仿宋" w:cs="Times New Roman"/>
          <w:b w:val="0"/>
          <w:bCs w:val="0"/>
          <w:color w:val="auto"/>
          <w:sz w:val="18"/>
          <w:szCs w:val="18"/>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rPr>
          <w:rFonts w:hint="default" w:ascii="Times New Roman" w:hAnsi="Times New Roman" w:cs="Times New Roman"/>
          <w:bCs w:val="0"/>
          <w:color w:val="auto"/>
          <w:lang w:val="en-US" w:eastAsia="zh-CN"/>
        </w:rPr>
      </w:pPr>
      <w:r>
        <w:rPr>
          <w:rFonts w:hint="default" w:ascii="Times New Roman" w:hAnsi="Times New Roman" w:cs="Times New Roman"/>
          <w:bCs w:val="0"/>
          <w:color w:val="auto"/>
          <w:lang w:val="en-US" w:eastAsia="zh-CN"/>
        </w:rPr>
        <w:br w:type="page"/>
      </w:r>
    </w:p>
    <w:p>
      <w:pPr>
        <w:pStyle w:val="3"/>
        <w:rPr>
          <w:rFonts w:hint="default" w:ascii="Times New Roman" w:hAnsi="Times New Roman" w:cs="Times New Roman"/>
          <w:bCs w:val="0"/>
          <w:color w:val="auto"/>
          <w:lang w:val="en-US" w:eastAsia="zh-CN"/>
        </w:rPr>
      </w:pPr>
      <w:bookmarkStart w:id="12" w:name="_Toc863"/>
      <w:r>
        <w:rPr>
          <w:rFonts w:hint="default" w:ascii="Times New Roman" w:hAnsi="Times New Roman" w:cs="Times New Roman"/>
          <w:bCs w:val="0"/>
          <w:color w:val="auto"/>
          <w:lang w:val="en-US" w:eastAsia="zh-CN"/>
        </w:rPr>
        <w:t>2.4 土地权属情况</w:t>
      </w:r>
      <w:bookmarkEnd w:id="11"/>
      <w:bookmarkEnd w:id="12"/>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bCs w:val="0"/>
          <w:color w:val="auto"/>
          <w:highlight w:val="none"/>
          <w:lang w:val="en-US" w:eastAsia="zh-CN"/>
        </w:rPr>
      </w:pPr>
      <w:bookmarkStart w:id="13" w:name="_Toc14853"/>
      <w:r>
        <w:rPr>
          <w:rFonts w:hint="default" w:ascii="Times New Roman" w:hAnsi="Times New Roman" w:cs="Times New Roman"/>
          <w:bCs w:val="0"/>
          <w:color w:val="auto"/>
          <w:highlight w:val="none"/>
          <w:lang w:val="en-US" w:eastAsia="zh-CN"/>
        </w:rPr>
        <w:t>2.5 历史划界情况</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车壁塘河祁阳县段以往没进行划界工作，本次将完成车壁塘河祁阳县段管理范围划定工作。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2"/>
        <w:spacing w:line="360" w:lineRule="auto"/>
        <w:jc w:val="both"/>
        <w:rPr>
          <w:rFonts w:hint="default" w:ascii="Times New Roman" w:hAnsi="Times New Roman" w:cs="Times New Roman"/>
          <w:color w:val="auto"/>
        </w:rPr>
      </w:pPr>
      <w:bookmarkStart w:id="14" w:name="_Toc17262"/>
      <w:bookmarkStart w:id="15" w:name="_Toc16015"/>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bookmarkEnd w:id="14"/>
      <w:bookmarkEnd w:id="15"/>
    </w:p>
    <w:p>
      <w:pPr>
        <w:pStyle w:val="3"/>
        <w:rPr>
          <w:rFonts w:hint="default" w:ascii="Times New Roman" w:hAnsi="Times New Roman" w:cs="Times New Roman"/>
          <w:bCs w:val="0"/>
          <w:color w:val="auto"/>
        </w:rPr>
      </w:pPr>
      <w:bookmarkStart w:id="16" w:name="_Toc26860"/>
      <w:bookmarkStart w:id="17" w:name="_Toc14767"/>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lang w:val="en-US" w:eastAsia="zh-CN"/>
        </w:rPr>
        <w:t>国</w:t>
      </w:r>
      <w:bookmarkStart w:id="89" w:name="_GoBack"/>
      <w:bookmarkEnd w:id="89"/>
      <w:r>
        <w:rPr>
          <w:rFonts w:hint="default" w:ascii="Times New Roman" w:hAnsi="Times New Roman" w:eastAsia="仿宋_GB2312" w:cs="Times New Roman"/>
          <w:color w:val="auto"/>
          <w:spacing w:val="0"/>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3）坚持属地管理，分级负责。按照属地管理原则，各县市区水行政主管部门、</w:t>
      </w:r>
      <w:r>
        <w:rPr>
          <w:rFonts w:hint="default" w:ascii="Times New Roman" w:hAnsi="Times New Roman" w:eastAsia="仿宋_GB2312" w:cs="Times New Roman"/>
          <w:color w:val="auto"/>
          <w:spacing w:val="0"/>
          <w:lang w:val="en-US" w:eastAsia="zh-CN"/>
        </w:rPr>
        <w:t>自然</w:t>
      </w:r>
      <w:r>
        <w:rPr>
          <w:rFonts w:hint="default" w:ascii="Times New Roman" w:hAnsi="Times New Roman" w:eastAsia="仿宋_GB2312" w:cs="Times New Roman"/>
          <w:color w:val="auto"/>
          <w:spacing w:val="0"/>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4）坚持统一标准，统一底图。划界工作统一工作底图，统一数据标准。</w:t>
      </w:r>
    </w:p>
    <w:p>
      <w:pPr>
        <w:pStyle w:val="3"/>
        <w:rPr>
          <w:rFonts w:hint="default" w:ascii="Times New Roman" w:hAnsi="Times New Roman" w:eastAsia="宋体" w:cs="Times New Roman"/>
          <w:color w:val="auto"/>
          <w:lang w:val="en-US"/>
        </w:rPr>
      </w:pPr>
      <w:bookmarkStart w:id="18" w:name="_Toc29519"/>
      <w:bookmarkStart w:id="19" w:name="_Toc26497"/>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bookmarkEnd w:id="18"/>
      <w:bookmarkEnd w:id="19"/>
    </w:p>
    <w:p>
      <w:pPr>
        <w:pStyle w:val="4"/>
        <w:rPr>
          <w:rFonts w:hint="default" w:ascii="Times New Roman" w:hAnsi="Times New Roman" w:cs="Times New Roman"/>
          <w:color w:val="auto"/>
        </w:rPr>
      </w:pPr>
      <w:bookmarkStart w:id="20" w:name="_Toc5161"/>
      <w:bookmarkStart w:id="21" w:name="_Toc27397"/>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bookmarkEnd w:id="20"/>
      <w:bookmarkEnd w:id="2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w:t>
      </w:r>
      <w:r>
        <w:rPr>
          <w:rFonts w:hint="default"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）其他相关地方政策法规。</w:t>
      </w:r>
    </w:p>
    <w:p>
      <w:pPr>
        <w:pStyle w:val="4"/>
        <w:rPr>
          <w:rFonts w:hint="default" w:ascii="Times New Roman" w:hAnsi="Times New Roman" w:cs="Times New Roman"/>
          <w:color w:val="auto"/>
        </w:rPr>
      </w:pPr>
      <w:bookmarkStart w:id="22" w:name="_Toc28876"/>
      <w:bookmarkStart w:id="23" w:name="_Toc26871"/>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bookmarkEnd w:id="22"/>
      <w:bookmarkEnd w:id="2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关于开展河湖管理范围和水利工程管理与保护范围划定工作的通知</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9）《自然资源统一确权登记办法（试行）》（国土资发〔2016〕192号）。</w:t>
      </w:r>
    </w:p>
    <w:p>
      <w:pPr>
        <w:pStyle w:val="4"/>
        <w:rPr>
          <w:rFonts w:hint="default" w:ascii="Times New Roman" w:hAnsi="Times New Roman" w:cs="Times New Roman"/>
          <w:color w:val="auto"/>
        </w:rPr>
      </w:pPr>
      <w:bookmarkStart w:id="24" w:name="_Toc25668"/>
      <w:bookmarkStart w:id="25" w:name="_Toc724"/>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bookmarkEnd w:id="24"/>
      <w:bookmarkEnd w:id="2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eastAsia="zh-CN"/>
        </w:rPr>
      </w:pPr>
      <w:bookmarkStart w:id="26" w:name="_Toc6698"/>
      <w:bookmarkStart w:id="27" w:name="_Toc29009"/>
      <w:r>
        <w:rPr>
          <w:rFonts w:hint="default" w:ascii="Times New Roman" w:hAnsi="Times New Roman" w:cs="Times New Roman"/>
          <w:color w:val="auto"/>
          <w:lang w:val="en-US" w:eastAsia="zh-CN"/>
        </w:rPr>
        <w:t>4 组织实施情况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28" w:name="_Toc19470"/>
      <w:r>
        <w:rPr>
          <w:rFonts w:hint="default" w:ascii="Times New Roman" w:hAnsi="Times New Roman" w:eastAsia="仿宋_GB2312" w:cs="Times New Roman"/>
          <w:color w:val="auto"/>
          <w:spacing w:val="0"/>
          <w:sz w:val="28"/>
          <w:szCs w:val="28"/>
          <w:highlight w:val="none"/>
          <w:lang w:val="en-US" w:eastAsia="zh-CN" w:bidi="zh-CN"/>
        </w:rPr>
        <w:t>车壁塘河祁阳县段划界方案编制工作由祁阳县水利局组织实施，由黄石市振兴勘察设计有限公司为车壁塘河祁阳县段河湖管理范围划定工作的技术支持单位，具体组织实施过程如下：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并于2019年7月底完成外业调查</w:t>
      </w:r>
      <w:r>
        <w:rPr>
          <w:rFonts w:hint="default" w:ascii="Times New Roman" w:hAnsi="Times New Roman" w:eastAsia="仿宋_GB2312" w:cs="Times New Roman"/>
          <w:color w:val="auto"/>
          <w:spacing w:val="0"/>
          <w:highlight w:val="none"/>
          <w:lang w:val="en-US"/>
        </w:rPr>
        <w:t>。</w:t>
      </w:r>
    </w:p>
    <w:p>
      <w:pPr>
        <w:pStyle w:val="26"/>
        <w:numPr>
          <w:ilvl w:val="0"/>
          <w:numId w:val="2"/>
        </w:numPr>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bookmarkStart w:id="29" w:name="_Toc569"/>
      <w:r>
        <w:rPr>
          <w:rFonts w:hint="eastAsia" w:ascii="Times New Roman" w:hAnsi="Times New Roman" w:eastAsia="仿宋_GB2312" w:cs="Times New Roman"/>
          <w:color w:val="auto"/>
          <w:spacing w:val="0"/>
          <w:highlight w:val="none"/>
          <w:lang w:val="en-US" w:eastAsia="zh-CN"/>
        </w:rPr>
        <w:t>永州市水利局于</w:t>
      </w:r>
      <w:r>
        <w:rPr>
          <w:rFonts w:hint="default" w:ascii="Times New Roman" w:hAnsi="Times New Roman" w:eastAsia="仿宋_GB2312" w:cs="Times New Roman"/>
          <w:color w:val="auto"/>
          <w:spacing w:val="0"/>
          <w:highlight w:val="none"/>
          <w:lang w:val="en-US" w:eastAsia="zh-CN"/>
        </w:rPr>
        <w:t>2019年9月</w:t>
      </w:r>
      <w:r>
        <w:rPr>
          <w:rFonts w:hint="eastAsia" w:ascii="Times New Roman" w:hAnsi="Times New Roman" w:eastAsia="仿宋_GB2312" w:cs="Times New Roman"/>
          <w:color w:val="auto"/>
          <w:spacing w:val="0"/>
          <w:highlight w:val="none"/>
          <w:lang w:val="en-US" w:eastAsia="zh-CN"/>
        </w:rPr>
        <w:t>23日</w:t>
      </w:r>
      <w:r>
        <w:rPr>
          <w:rFonts w:hint="default" w:ascii="Times New Roman" w:hAnsi="Times New Roman" w:eastAsia="仿宋_GB2312" w:cs="Times New Roman"/>
          <w:color w:val="auto"/>
          <w:spacing w:val="0"/>
          <w:lang w:val="en-US"/>
        </w:rPr>
        <w:t>组织召开</w:t>
      </w:r>
      <w:r>
        <w:rPr>
          <w:rFonts w:hint="eastAsia" w:ascii="Times New Roman" w:hAnsi="Times New Roman" w:eastAsia="仿宋_GB2312" w:cs="Times New Roman"/>
          <w:color w:val="auto"/>
          <w:spacing w:val="0"/>
          <w:highlight w:val="none"/>
          <w:lang w:val="en-US" w:eastAsia="zh-CN"/>
        </w:rPr>
        <w:t>了</w:t>
      </w:r>
      <w:r>
        <w:rPr>
          <w:rFonts w:hint="default" w:ascii="Times New Roman" w:hAnsi="Times New Roman" w:eastAsia="仿宋_GB2312" w:cs="Times New Roman"/>
          <w:color w:val="auto"/>
          <w:spacing w:val="0"/>
          <w:lang w:val="en-US"/>
        </w:rPr>
        <w:t>《</w:t>
      </w:r>
      <w:r>
        <w:rPr>
          <w:rFonts w:hint="eastAsia" w:ascii="Times New Roman" w:hAnsi="Times New Roman" w:eastAsia="仿宋_GB2312" w:cs="Times New Roman"/>
          <w:color w:val="auto"/>
          <w:spacing w:val="0"/>
          <w:lang w:val="en-US" w:eastAsia="zh-CN"/>
        </w:rPr>
        <w:t>祁阳县河道管理范围划定方案专家审查会</w:t>
      </w:r>
      <w:r>
        <w:rPr>
          <w:rFonts w:hint="default" w:ascii="Times New Roman" w:hAnsi="Times New Roman" w:eastAsia="仿宋_GB2312" w:cs="Times New Roman"/>
          <w:color w:val="auto"/>
          <w:spacing w:val="0"/>
          <w:lang w:val="en-US"/>
        </w:rPr>
        <w:t>》</w:t>
      </w:r>
      <w:r>
        <w:rPr>
          <w:rFonts w:hint="eastAsia" w:ascii="Times New Roman" w:hAnsi="Times New Roman" w:eastAsia="仿宋_GB2312" w:cs="Times New Roman"/>
          <w:color w:val="auto"/>
          <w:spacing w:val="0"/>
          <w:lang w:val="en-US" w:eastAsia="zh-CN"/>
        </w:rPr>
        <w:t>，并形成了专家组评审意见</w:t>
      </w:r>
      <w:r>
        <w:rPr>
          <w:rFonts w:hint="default" w:ascii="Times New Roman" w:hAnsi="Times New Roman" w:eastAsia="仿宋_GB2312" w:cs="Times New Roman"/>
          <w:color w:val="auto"/>
          <w:spacing w:val="0"/>
          <w:highlight w:val="none"/>
          <w:lang w:val="en-US" w:eastAsia="zh-CN"/>
        </w:rPr>
        <w:t>。</w:t>
      </w:r>
    </w:p>
    <w:p>
      <w:pPr>
        <w:pStyle w:val="26"/>
        <w:numPr>
          <w:ilvl w:val="0"/>
          <w:numId w:val="2"/>
        </w:numPr>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lang w:val="en-US"/>
        </w:rPr>
        <w:t>根据与会专家意见，2019年</w:t>
      </w:r>
      <w:r>
        <w:rPr>
          <w:rFonts w:hint="eastAsia" w:ascii="Times New Roman" w:hAnsi="Times New Roman" w:eastAsia="仿宋_GB2312" w:cs="Times New Roman"/>
          <w:color w:val="auto"/>
          <w:spacing w:val="0"/>
          <w:lang w:val="en-US" w:eastAsia="zh-CN"/>
        </w:rPr>
        <w:t>11</w:t>
      </w:r>
      <w:r>
        <w:rPr>
          <w:rFonts w:hint="default" w:ascii="Times New Roman" w:hAnsi="Times New Roman" w:eastAsia="仿宋_GB2312" w:cs="Times New Roman"/>
          <w:color w:val="auto"/>
          <w:spacing w:val="0"/>
          <w:lang w:val="en-US"/>
        </w:rPr>
        <w:t>月我公司完成</w:t>
      </w:r>
      <w:r>
        <w:rPr>
          <w:rFonts w:hint="eastAsia" w:ascii="Times New Roman" w:hAnsi="Times New Roman" w:eastAsia="仿宋_GB2312" w:cs="Times New Roman"/>
          <w:color w:val="auto"/>
          <w:spacing w:val="0"/>
          <w:lang w:val="en-US" w:eastAsia="zh-CN"/>
        </w:rPr>
        <w:t>了</w:t>
      </w:r>
      <w:r>
        <w:rPr>
          <w:rFonts w:hint="default" w:ascii="Times New Roman" w:hAnsi="Times New Roman" w:eastAsia="仿宋_GB2312" w:cs="Times New Roman"/>
          <w:color w:val="auto"/>
          <w:spacing w:val="0"/>
          <w:lang w:val="en-US"/>
        </w:rPr>
        <w:t>《</w:t>
      </w:r>
      <w:r>
        <w:rPr>
          <w:rFonts w:hint="eastAsia" w:ascii="Times New Roman" w:hAnsi="Times New Roman" w:eastAsia="仿宋_GB2312" w:cs="Times New Roman"/>
          <w:color w:val="auto"/>
          <w:spacing w:val="0"/>
          <w:lang w:val="en-US" w:eastAsia="zh-CN"/>
        </w:rPr>
        <w:t>车壁塘河永州市祁阳县河段</w:t>
      </w:r>
      <w:r>
        <w:rPr>
          <w:rFonts w:hint="default" w:ascii="Times New Roman" w:hAnsi="Times New Roman" w:eastAsia="仿宋_GB2312" w:cs="Times New Roman"/>
          <w:color w:val="auto"/>
          <w:spacing w:val="0"/>
          <w:lang w:val="en-US"/>
        </w:rPr>
        <w:t>管理范围划定方案》修改完善工作。</w:t>
      </w:r>
    </w:p>
    <w:p>
      <w:pPr>
        <w:pStyle w:val="3"/>
        <w:rPr>
          <w:rFonts w:hint="default" w:ascii="Times New Roman" w:hAnsi="Times New Roman" w:cs="Times New Roman"/>
          <w:color w:val="auto"/>
          <w:lang w:val="en-US"/>
        </w:rPr>
      </w:pPr>
      <w:r>
        <w:rPr>
          <w:rFonts w:hint="default" w:ascii="Times New Roman" w:hAnsi="Times New Roman" w:cs="Times New Roman"/>
          <w:color w:val="auto"/>
          <w:lang w:val="en-US"/>
        </w:rPr>
        <w:t xml:space="preserve">4.1 </w:t>
      </w:r>
      <w:r>
        <w:rPr>
          <w:rFonts w:hint="default" w:ascii="Times New Roman" w:hAnsi="Times New Roman" w:cs="Times New Roman"/>
          <w:color w:val="auto"/>
          <w:lang w:val="en-US" w:eastAsia="zh-CN"/>
        </w:rPr>
        <w:t>总体技术流程</w:t>
      </w:r>
      <w:bookmarkEnd w:id="29"/>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9" r:link="rId20"/>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rPr>
        <w:fldChar w:fldCharType="end"/>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eastAsia="zh-CN"/>
        </w:rPr>
        <w:t>图</w:t>
      </w:r>
      <w:r>
        <w:rPr>
          <w:rFonts w:hint="default" w:ascii="Times New Roman" w:hAnsi="Times New Roman" w:eastAsia="仿宋_GB2312" w:cs="Times New Roman"/>
          <w:b/>
          <w:bCs/>
          <w:color w:val="auto"/>
          <w:sz w:val="24"/>
          <w:szCs w:val="24"/>
          <w:lang w:val="en-US" w:eastAsia="zh-CN"/>
        </w:rPr>
        <w:t>4-1管理范围划界总体工作流程图</w:t>
      </w:r>
    </w:p>
    <w:p>
      <w:pPr>
        <w:pStyle w:val="3"/>
        <w:rPr>
          <w:rFonts w:hint="default" w:ascii="Times New Roman" w:hAnsi="Times New Roman" w:cs="Times New Roman"/>
          <w:color w:val="auto"/>
          <w:lang w:val="en-US"/>
        </w:rPr>
      </w:pPr>
      <w:bookmarkStart w:id="30" w:name="_Toc15539"/>
      <w:r>
        <w:rPr>
          <w:rFonts w:hint="default" w:ascii="Times New Roman" w:hAnsi="Times New Roman" w:cs="Times New Roman"/>
          <w:color w:val="auto"/>
          <w:lang w:val="en-US"/>
        </w:rPr>
        <w:t>4.</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bookmarkEnd w:id="28"/>
      <w:bookmarkEnd w:id="30"/>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6）收集《湖南省重要饮用水源名录》、《</w:t>
      </w:r>
      <w:r>
        <w:rPr>
          <w:rFonts w:hint="default" w:ascii="Times New Roman" w:hAnsi="Times New Roman" w:eastAsia="仿宋_GB2312" w:cs="Times New Roman"/>
          <w:color w:val="auto"/>
          <w:szCs w:val="28"/>
          <w:lang w:val="en-US" w:eastAsia="zh-CN"/>
        </w:rPr>
        <w:t>湖南省车壁塘河重要河段治理工程可行性研究报告</w:t>
      </w:r>
      <w:r>
        <w:rPr>
          <w:rFonts w:hint="default" w:ascii="Times New Roman" w:hAnsi="Times New Roman" w:eastAsia="仿宋_GB2312" w:cs="Times New Roman"/>
          <w:color w:val="auto"/>
          <w:szCs w:val="28"/>
          <w:lang w:val="en-US"/>
        </w:rPr>
        <w:t>》等相关文件。</w:t>
      </w:r>
    </w:p>
    <w:p>
      <w:pPr>
        <w:pStyle w:val="3"/>
        <w:rPr>
          <w:rFonts w:hint="default" w:ascii="Times New Roman" w:hAnsi="Times New Roman" w:cs="Times New Roman"/>
          <w:color w:val="auto"/>
          <w:lang w:val="en-US"/>
        </w:rPr>
      </w:pPr>
      <w:bookmarkStart w:id="31" w:name="_Toc17796"/>
      <w:bookmarkStart w:id="32" w:name="_Toc3121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bookmarkEnd w:id="31"/>
      <w:bookmarkEnd w:id="32"/>
    </w:p>
    <w:p>
      <w:pPr>
        <w:pStyle w:val="4"/>
        <w:rPr>
          <w:rFonts w:hint="default" w:ascii="Times New Roman" w:hAnsi="Times New Roman" w:cs="Times New Roman"/>
          <w:color w:val="auto"/>
        </w:rPr>
      </w:pPr>
      <w:bookmarkStart w:id="33" w:name="_Toc4553"/>
      <w:bookmarkStart w:id="34" w:name="_Toc2561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bookmarkEnd w:id="33"/>
      <w:bookmarkEnd w:id="34"/>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lang w:val="en-US" w:eastAsia="zh-CN"/>
        </w:rPr>
        <w:t>。</w:t>
      </w:r>
    </w:p>
    <w:p>
      <w:pPr>
        <w:pStyle w:val="4"/>
        <w:rPr>
          <w:rFonts w:hint="default" w:ascii="Times New Roman" w:hAnsi="Times New Roman" w:cs="Times New Roman"/>
          <w:color w:val="auto"/>
        </w:rPr>
      </w:pPr>
      <w:bookmarkStart w:id="35" w:name="_Toc178"/>
      <w:bookmarkStart w:id="36" w:name="_Toc2687"/>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bookmarkEnd w:id="35"/>
      <w:bookmarkEnd w:id="3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lang w:val="en-US"/>
        </w:rPr>
        <w:t>。</w:t>
      </w:r>
    </w:p>
    <w:p>
      <w:pPr>
        <w:pStyle w:val="4"/>
        <w:rPr>
          <w:rFonts w:hint="default" w:ascii="Times New Roman" w:hAnsi="Times New Roman" w:cs="Times New Roman"/>
          <w:color w:val="auto"/>
        </w:rPr>
      </w:pPr>
      <w:bookmarkStart w:id="37" w:name="_Toc479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bookmarkEnd w:id="3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对于车壁塘河祁阳县段部分无数字线划图区域，我单位采用</w:t>
      </w:r>
      <w:r>
        <w:rPr>
          <w:rFonts w:hint="default" w:ascii="Times New Roman" w:hAnsi="Times New Roman" w:eastAsia="仿宋_GB2312" w:cs="Times New Roman"/>
          <w:color w:val="auto"/>
          <w:szCs w:val="28"/>
          <w:lang w:val="en-US"/>
        </w:rPr>
        <w:t>野外实测补充测制地形图。技术单位基于1：2000原始航摄影像在立体环境下补充采集了管理范围划定需要的相关辅助要素，重点补充采集对于河湖管理范围划界有参照基准作用的相关地物要素，如堤脚线、堤顶线、河口线、无堤防河道的设计洪水位线或岸线等相关资料作为工作底图。</w:t>
      </w:r>
    </w:p>
    <w:p>
      <w:pPr>
        <w:pStyle w:val="4"/>
        <w:rPr>
          <w:rFonts w:hint="default" w:ascii="Times New Roman" w:hAnsi="Times New Roman" w:cs="Times New Roman"/>
          <w:color w:val="auto"/>
        </w:rPr>
      </w:pPr>
      <w:bookmarkStart w:id="38" w:name="_Toc1692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bookmarkEnd w:id="38"/>
    </w:p>
    <w:p>
      <w:pPr>
        <w:numPr>
          <w:ilvl w:val="0"/>
          <w:numId w:val="3"/>
        </w:num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lang w:val="en-US"/>
        </w:rPr>
        <w:t>，形成河湖及水利工程确权划界的工作底图。</w:t>
      </w:r>
    </w:p>
    <w:p>
      <w:pPr>
        <w:pStyle w:val="3"/>
        <w:rPr>
          <w:rFonts w:hint="default" w:ascii="Times New Roman" w:hAnsi="Times New Roman" w:cs="Times New Roman"/>
          <w:color w:val="auto"/>
          <w:lang w:val="en-US"/>
        </w:rPr>
      </w:pPr>
      <w:bookmarkStart w:id="39" w:name="_Toc15909"/>
      <w:bookmarkStart w:id="40" w:name="_Toc14100"/>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red"/>
          <w:lang w:val="en-US" w:eastAsia="zh-CN"/>
        </w:rPr>
      </w:pPr>
      <w:r>
        <w:rPr>
          <w:rFonts w:hint="default" w:ascii="Times New Roman" w:hAnsi="Times New Roman" w:eastAsia="仿宋_GB2312" w:cs="Times New Roman"/>
          <w:color w:val="auto"/>
          <w:szCs w:val="28"/>
          <w:lang w:val="en-US" w:eastAsia="zh-CN"/>
        </w:rPr>
        <w:t>2019年9月按照河湖管理范围划定的原则和标准，我单位在工作底图上完成了管理范围线初步划定和界桩的预布，车壁塘河祁阳县段管理范围线布设</w:t>
      </w:r>
      <w:r>
        <w:rPr>
          <w:rFonts w:hint="eastAsia" w:eastAsia="仿宋_GB2312" w:cs="Times New Roman"/>
          <w:color w:val="auto"/>
          <w:szCs w:val="28"/>
          <w:highlight w:val="none"/>
          <w:lang w:val="en-US" w:eastAsia="zh-CN"/>
        </w:rPr>
        <w:t>界桩18座</w:t>
      </w:r>
      <w:r>
        <w:rPr>
          <w:rFonts w:hint="default" w:ascii="Times New Roman" w:hAnsi="Times New Roman" w:eastAsia="仿宋_GB2312" w:cs="Times New Roman"/>
          <w:color w:val="auto"/>
          <w:szCs w:val="28"/>
          <w:highlight w:val="none"/>
          <w:lang w:val="en-US" w:eastAsia="zh-CN"/>
        </w:rPr>
        <w:t>和4处告示牌。</w:t>
      </w:r>
    </w:p>
    <w:p>
      <w:pPr>
        <w:pStyle w:val="4"/>
        <w:rPr>
          <w:rFonts w:hint="default" w:ascii="Times New Roman" w:hAnsi="Times New Roman" w:cs="Times New Roman"/>
          <w:color w:val="auto"/>
          <w:lang w:val="en-US"/>
        </w:rPr>
      </w:pPr>
      <w:bookmarkStart w:id="41" w:name="_Toc22173"/>
      <w:bookmarkStart w:id="42" w:name="_Toc17457"/>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.1 洪水位分析计算</w:t>
      </w:r>
      <w:bookmarkEnd w:id="41"/>
      <w:bookmarkEnd w:id="4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bookmarkStart w:id="43" w:name="_Toc17407"/>
      <w:bookmarkStart w:id="44" w:name="_Toc859"/>
      <w:bookmarkStart w:id="45" w:name="_Toc23820"/>
      <w:bookmarkStart w:id="46" w:name="_Toc1663_WPSOffice_Level2"/>
      <w:bookmarkStart w:id="47" w:name="_Toc9295"/>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Cs w:val="28"/>
          <w:lang w:val="en-US" w:eastAsia="zh-CN"/>
        </w:rPr>
        <w:t>车壁塘河为祁水一级支流，湘江二级支流，发源祁东县三面山，河道流向大致由东北向西南，下游段河床平均宽40m，地势东北高西南低。车壁塘河流经祁东马社桥镇、白地市镇、祁阳文富市镇。车壁塘流域面积192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干流长46km，平均坡降11‰，其中祁阳境内长度5.7km，该段右岸有1条支流杨家堰水汇入，车壁塘河于祁阳县文富市镇的清太村注入祁水。祁阳境内起止位置为清太村河口～夏江口，对应河道中心桩号为K0+000～K6+000。车壁塘水系图详见下图</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.1。</w:t>
      </w:r>
    </w:p>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sz w:val="28"/>
          <w:highlight w:val="red"/>
        </w:rPr>
        <w:pict>
          <v:shape id="_x0000_s1196" o:spid="_x0000_s1196" o:spt="202" type="#_x0000_t202" style="position:absolute;left:0pt;margin-left:82.9pt;margin-top:192.8pt;height:23.3pt;width:76.9pt;z-index:-251657216;mso-width-relative:page;mso-height-relative:page;" filled="f" stroked="f" coordsize="21600,21600">
            <v:path/>
            <v:fill on="f" focussize="0,0"/>
            <v:stroke on="f"/>
            <v:imagedata o:title=""/>
            <o:lock v:ext="edit" aspectratio="f"/>
            <v:textbox>
              <w:txbxContent>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车壁塘河</w:t>
                  </w:r>
                </w:p>
              </w:txbxContent>
            </v:textbox>
          </v:shape>
        </w:pict>
      </w:r>
      <w:r>
        <w:rPr>
          <w:rFonts w:hint="default" w:ascii="Times New Roman" w:hAnsi="Times New Roman" w:cs="Times New Roman"/>
          <w:color w:val="auto"/>
          <w:sz w:val="28"/>
        </w:rPr>
        <w:pict>
          <v:shape id="_x0000_s1197" o:spid="_x0000_s1197" style="position:absolute;left:0pt;margin-left:100.05pt;margin-top:194.75pt;height:52.5pt;width:86.65pt;z-index:-251656192;mso-width-relative:page;mso-height-relative:page;" filled="f" stroked="t" coordsize="1733,1050" path="m0,1050hbc4,1028,3,967,33,934hbc63,901,110,917,150,884hbc190,851,206,814,233,767hbc260,720,270,697,283,650hbc296,603,273,567,300,534hbc327,501,366,497,416,484hbc466,471,500,480,550,467hbc600,454,619,424,666,417hbc713,410,736,424,783,434hbc830,444,853,454,900,467hbc947,480,969,487,1016,500hbc1063,513,1086,527,1133,534hbc1180,541,1203,541,1250,534hbc1297,527,1339,530,1366,500hbc1393,470,1370,431,1383,384hbc1396,337,1400,304,1433,267hbc1466,230,1503,230,1550,200hbc1597,170,1629,157,1666,117hbc1703,77,1722,22,1733,0hbe">
            <v:path arrowok="t"/>
            <v:fill on="f" focussize="0,0"/>
            <v:stroke weight="2pt" color="#FF0000"/>
            <v:imagedata o:title=""/>
            <o:lock v:ext="edit" aspectratio="f"/>
          </v:shape>
        </w:pict>
      </w:r>
      <w:r>
        <w:rPr>
          <w:rFonts w:hint="default" w:ascii="Times New Roman" w:hAnsi="Times New Roman" w:cs="Times New Roman"/>
          <w:color w:val="auto"/>
        </w:rPr>
        <w:drawing>
          <wp:inline distT="0" distB="0" distL="114300" distR="114300">
            <wp:extent cx="5481955" cy="4592320"/>
            <wp:effectExtent l="0" t="0" r="4445" b="1778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1"/>
                    <a:stretch>
                      <a:fillRect/>
                    </a:stretch>
                  </pic:blipFill>
                  <pic:spPr>
                    <a:xfrm>
                      <a:off x="0" y="0"/>
                      <a:ext cx="5481955" cy="4592320"/>
                    </a:xfrm>
                    <a:prstGeom prst="rect">
                      <a:avLst/>
                    </a:prstGeom>
                    <a:noFill/>
                    <a:ln>
                      <a:noFill/>
                    </a:ln>
                  </pic:spPr>
                </pic:pic>
              </a:graphicData>
            </a:graphic>
          </wp:inline>
        </w:drawing>
      </w:r>
    </w:p>
    <w:p>
      <w:pPr>
        <w:shd w:val="clear"/>
        <w:spacing w:line="360" w:lineRule="auto"/>
        <w:jc w:val="center"/>
        <w:rPr>
          <w:rFonts w:hint="default" w:ascii="Times New Roman" w:hAnsi="Times New Roman" w:eastAsia="仿宋_GB2312" w:cs="Times New Roman"/>
          <w:b/>
          <w:bCs/>
          <w:color w:val="auto"/>
          <w:sz w:val="24"/>
          <w:szCs w:val="24"/>
          <w:highlight w:val="none"/>
          <w:lang w:val="en-US" w:eastAsia="zh-CN"/>
        </w:rPr>
      </w:pPr>
      <w:r>
        <w:rPr>
          <w:rFonts w:hint="eastAsia" w:ascii="Times New Roman" w:hAnsi="Times New Roman" w:eastAsia="仿宋_GB2312" w:cs="Times New Roman"/>
          <w:b/>
          <w:bCs/>
          <w:color w:val="auto"/>
          <w:sz w:val="24"/>
          <w:szCs w:val="24"/>
          <w:highlight w:val="none"/>
          <w:lang w:val="en-US" w:eastAsia="zh-CN"/>
        </w:rPr>
        <w:t>图图4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.1   车壁塘河水系图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2）气象</w:t>
      </w:r>
      <w:bookmarkEnd w:id="43"/>
      <w:bookmarkEnd w:id="44"/>
      <w:bookmarkEnd w:id="45"/>
      <w:bookmarkEnd w:id="46"/>
      <w:bookmarkEnd w:id="4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车壁塘河流域在祁阳县区域内属中亚热带季风性湿润气候区，具有气候温和、四季分明、严冬期短、暑热期长、春温多变、春夏多雨、夏秋多旱、光热充足、无霜期长等气候特点。根据祁阳县气象站1960-2016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3）基本资料情况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车壁塘河流域内无水文测站，同时区域附近无雨量站，本次设计采用《湖南省暴雨洪水查算手册》（2015修编版）查算河段各控制断面各频率的设计洪峰流量，</w:t>
      </w:r>
      <w:r>
        <w:rPr>
          <w:rFonts w:hint="default" w:ascii="Times New Roman" w:hAnsi="Times New Roman" w:eastAsia="仿宋_GB2312" w:cs="Times New Roman"/>
          <w:color w:val="auto"/>
          <w:szCs w:val="28"/>
          <w:lang w:val="zh-CN" w:eastAsia="zh-CN"/>
        </w:rPr>
        <w:t>以下简称《查算手册》</w:t>
      </w:r>
      <w:r>
        <w:rPr>
          <w:rFonts w:hint="default" w:ascii="Times New Roman" w:hAnsi="Times New Roman" w:eastAsia="仿宋_GB2312" w:cs="Times New Roman"/>
          <w:color w:val="auto"/>
          <w:szCs w:val="28"/>
          <w:lang w:val="en-US" w:eastAsia="zh-CN"/>
        </w:rPr>
        <w:t>。</w:t>
      </w:r>
    </w:p>
    <w:p>
      <w:pPr>
        <w:numPr>
          <w:ilvl w:val="0"/>
          <w:numId w:val="4"/>
        </w:numPr>
        <w:shd w:val="clear"/>
        <w:spacing w:line="360" w:lineRule="auto"/>
        <w:ind w:firstLine="560" w:firstLineChars="200"/>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涉河建筑物</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车壁塘河（祁阳段）共有拦河建筑物5处。详见表</w:t>
      </w: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lang w:val="en-US" w:eastAsia="zh-CN"/>
        </w:rPr>
        <w:t>.</w:t>
      </w:r>
      <w:r>
        <w:rPr>
          <w:rFonts w:hint="eastAsia" w:ascii="Times New Roman" w:hAnsi="Times New Roman" w:eastAsia="仿宋_GB2312" w:cs="Times New Roman"/>
          <w:color w:val="auto"/>
          <w:sz w:val="28"/>
          <w:szCs w:val="28"/>
          <w:highlight w:val="none"/>
          <w:lang w:val="en-US" w:eastAsia="zh-CN"/>
        </w:rPr>
        <w:t>4</w:t>
      </w:r>
      <w:r>
        <w:rPr>
          <w:rFonts w:hint="default" w:ascii="Times New Roman" w:hAnsi="Times New Roman" w:eastAsia="仿宋_GB2312" w:cs="Times New Roman"/>
          <w:color w:val="auto"/>
          <w:sz w:val="28"/>
          <w:szCs w:val="28"/>
          <w:highlight w:val="none"/>
          <w:lang w:val="en-US" w:eastAsia="zh-CN"/>
        </w:rPr>
        <w:t>-1.</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-1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车壁塘（祁阳段）拦河建筑物统计表</w:t>
      </w:r>
    </w:p>
    <w:tbl>
      <w:tblPr>
        <w:tblStyle w:val="16"/>
        <w:tblW w:w="92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615"/>
        <w:gridCol w:w="1601"/>
        <w:gridCol w:w="1960"/>
        <w:gridCol w:w="2536"/>
        <w:gridCol w:w="1296"/>
        <w:gridCol w:w="12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720" w:hRule="atLeast"/>
          <w:tblHeader/>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序号</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lang w:eastAsia="zh-CN"/>
              </w:rPr>
            </w:pPr>
            <w:r>
              <w:rPr>
                <w:rFonts w:hint="default" w:ascii="Times New Roman" w:hAnsi="Times New Roman" w:eastAsia="仿宋_GB2312" w:cs="Times New Roman"/>
                <w:b/>
                <w:color w:val="auto"/>
                <w:kern w:val="0"/>
                <w:sz w:val="18"/>
                <w:szCs w:val="18"/>
                <w:highlight w:val="none"/>
                <w:lang w:eastAsia="zh-CN" w:bidi="ar"/>
              </w:rPr>
              <w:t>桩号</w:t>
            </w:r>
          </w:p>
        </w:tc>
        <w:tc>
          <w:tcPr>
            <w:tcW w:w="1960"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建筑物名称</w:t>
            </w:r>
          </w:p>
        </w:tc>
        <w:tc>
          <w:tcPr>
            <w:tcW w:w="2536"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具体位置</w:t>
            </w:r>
          </w:p>
        </w:tc>
        <w:tc>
          <w:tcPr>
            <w:tcW w:w="1296"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rPr>
            </w:pPr>
            <w:r>
              <w:rPr>
                <w:rFonts w:hint="default" w:ascii="Times New Roman" w:hAnsi="Times New Roman" w:eastAsia="仿宋_GB2312" w:cs="Times New Roman"/>
                <w:b/>
                <w:color w:val="auto"/>
                <w:kern w:val="0"/>
                <w:sz w:val="18"/>
                <w:szCs w:val="18"/>
                <w:highlight w:val="none"/>
                <w:lang w:bidi="ar"/>
              </w:rPr>
              <w:t>建筑物长度（m）</w:t>
            </w:r>
          </w:p>
        </w:tc>
        <w:tc>
          <w:tcPr>
            <w:tcW w:w="1263"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b/>
                <w:color w:val="auto"/>
                <w:sz w:val="18"/>
                <w:szCs w:val="18"/>
                <w:highlight w:val="none"/>
                <w:lang w:eastAsia="zh-CN"/>
              </w:rPr>
            </w:pPr>
            <w:r>
              <w:rPr>
                <w:rFonts w:hint="default" w:ascii="Times New Roman" w:hAnsi="Times New Roman" w:eastAsia="仿宋_GB2312" w:cs="Times New Roman"/>
                <w:b/>
                <w:color w:val="auto"/>
                <w:kern w:val="0"/>
                <w:sz w:val="18"/>
                <w:szCs w:val="18"/>
                <w:highlight w:val="none"/>
                <w:lang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lang w:bidi="ar"/>
              </w:rPr>
              <w:t>1</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K5+720</w:t>
            </w:r>
          </w:p>
        </w:tc>
        <w:tc>
          <w:tcPr>
            <w:tcW w:w="1960" w:type="dxa"/>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kern w:val="0"/>
                <w:sz w:val="18"/>
                <w:szCs w:val="18"/>
              </w:rPr>
              <w:t>河坝</w:t>
            </w:r>
            <w:r>
              <w:rPr>
                <w:rFonts w:hint="default" w:ascii="Times New Roman" w:hAnsi="Times New Roman" w:eastAsia="仿宋_GB2312" w:cs="Times New Roman"/>
                <w:color w:val="auto"/>
                <w:kern w:val="0"/>
                <w:sz w:val="18"/>
                <w:szCs w:val="18"/>
                <w:lang w:val="en-US" w:eastAsia="zh-CN"/>
              </w:rPr>
              <w:t>5</w:t>
            </w:r>
          </w:p>
        </w:tc>
        <w:tc>
          <w:tcPr>
            <w:tcW w:w="2536" w:type="dxa"/>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kern w:val="0"/>
                <w:sz w:val="18"/>
                <w:szCs w:val="18"/>
                <w:lang w:eastAsia="zh-CN"/>
              </w:rPr>
              <w:t>文富市镇夏江口</w:t>
            </w:r>
          </w:p>
        </w:tc>
        <w:tc>
          <w:tcPr>
            <w:tcW w:w="1296"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zh-CN"/>
              </w:rPr>
              <w:t>30</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highlight w:val="none"/>
                <w:lang w:bidi="ar"/>
              </w:rPr>
              <w:t>2</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zh-CN"/>
              </w:rPr>
              <w:t>K3+660</w:t>
            </w:r>
          </w:p>
        </w:tc>
        <w:tc>
          <w:tcPr>
            <w:tcW w:w="1960" w:type="dxa"/>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kern w:val="0"/>
                <w:sz w:val="18"/>
                <w:szCs w:val="18"/>
              </w:rPr>
              <w:t>河坝</w:t>
            </w:r>
            <w:r>
              <w:rPr>
                <w:rFonts w:hint="default" w:ascii="Times New Roman" w:hAnsi="Times New Roman" w:eastAsia="仿宋_GB2312" w:cs="Times New Roman"/>
                <w:color w:val="auto"/>
                <w:kern w:val="0"/>
                <w:sz w:val="18"/>
                <w:szCs w:val="18"/>
                <w:lang w:val="en-US" w:eastAsia="zh-CN"/>
              </w:rPr>
              <w:t>4</w:t>
            </w:r>
          </w:p>
        </w:tc>
        <w:tc>
          <w:tcPr>
            <w:tcW w:w="2536" w:type="dxa"/>
            <w:tcBorders>
              <w:tl2br w:val="nil"/>
              <w:tr2bl w:val="nil"/>
            </w:tcBorders>
            <w:noWrap w:val="0"/>
            <w:vAlign w:val="center"/>
          </w:tcPr>
          <w:p>
            <w:pPr>
              <w:widowControl/>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kern w:val="0"/>
                <w:sz w:val="18"/>
                <w:szCs w:val="18"/>
                <w:lang w:eastAsia="zh-CN"/>
              </w:rPr>
              <w:t>文富市镇园家岭</w:t>
            </w:r>
          </w:p>
        </w:tc>
        <w:tc>
          <w:tcPr>
            <w:tcW w:w="1296"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lang w:eastAsia="zh-CN"/>
              </w:rPr>
            </w:pPr>
            <w:r>
              <w:rPr>
                <w:rFonts w:hint="default" w:ascii="Times New Roman" w:hAnsi="Times New Roman" w:eastAsia="仿宋_GB2312" w:cs="Times New Roman"/>
                <w:color w:val="auto"/>
                <w:sz w:val="18"/>
                <w:szCs w:val="18"/>
                <w:highlight w:val="none"/>
                <w:lang w:val="en-US" w:eastAsia="zh-CN"/>
              </w:rPr>
              <w:t>38</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3</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K2+250</w:t>
            </w:r>
          </w:p>
        </w:tc>
        <w:tc>
          <w:tcPr>
            <w:tcW w:w="1960"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rPr>
              <w:t>河坝</w:t>
            </w:r>
            <w:r>
              <w:rPr>
                <w:rFonts w:hint="default" w:ascii="Times New Roman" w:hAnsi="Times New Roman" w:eastAsia="仿宋_GB2312" w:cs="Times New Roman"/>
                <w:color w:val="auto"/>
                <w:kern w:val="0"/>
                <w:sz w:val="18"/>
                <w:szCs w:val="18"/>
                <w:lang w:val="en-US" w:eastAsia="zh-CN"/>
              </w:rPr>
              <w:t>3</w:t>
            </w:r>
          </w:p>
        </w:tc>
        <w:tc>
          <w:tcPr>
            <w:tcW w:w="253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eastAsia="zh-CN"/>
              </w:rPr>
              <w:t>文富市镇农科社区</w:t>
            </w:r>
          </w:p>
        </w:tc>
        <w:tc>
          <w:tcPr>
            <w:tcW w:w="1296"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38</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4</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K1+450</w:t>
            </w:r>
          </w:p>
        </w:tc>
        <w:tc>
          <w:tcPr>
            <w:tcW w:w="1960"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rPr>
              <w:t>河坝</w:t>
            </w:r>
            <w:r>
              <w:rPr>
                <w:rFonts w:hint="default" w:ascii="Times New Roman" w:hAnsi="Times New Roman" w:eastAsia="仿宋_GB2312" w:cs="Times New Roman"/>
                <w:color w:val="auto"/>
                <w:kern w:val="0"/>
                <w:sz w:val="18"/>
                <w:szCs w:val="18"/>
                <w:lang w:val="en-US" w:eastAsia="zh-CN"/>
              </w:rPr>
              <w:t>2</w:t>
            </w:r>
          </w:p>
        </w:tc>
        <w:tc>
          <w:tcPr>
            <w:tcW w:w="253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eastAsia="zh-CN"/>
              </w:rPr>
              <w:t>文富市镇马埠头</w:t>
            </w:r>
          </w:p>
        </w:tc>
        <w:tc>
          <w:tcPr>
            <w:tcW w:w="1296"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35</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60" w:hRule="atLeast"/>
        </w:trPr>
        <w:tc>
          <w:tcPr>
            <w:tcW w:w="615"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仿宋_GB2312" w:cs="Times New Roman"/>
                <w:color w:val="auto"/>
                <w:kern w:val="0"/>
                <w:sz w:val="18"/>
                <w:szCs w:val="18"/>
                <w:highlight w:val="none"/>
                <w:lang w:val="en-US" w:eastAsia="zh-CN" w:bidi="ar"/>
              </w:rPr>
              <w:t>5</w:t>
            </w:r>
          </w:p>
        </w:tc>
        <w:tc>
          <w:tcPr>
            <w:tcW w:w="1601" w:type="dxa"/>
            <w:tcBorders>
              <w:tl2br w:val="nil"/>
              <w:tr2bl w:val="nil"/>
            </w:tcBorders>
            <w:noWrap w:val="0"/>
            <w:vAlign w:val="center"/>
          </w:tcPr>
          <w:p>
            <w:pPr>
              <w:widowControl/>
              <w:shd w:val="clear"/>
              <w:jc w:val="center"/>
              <w:textAlignment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K0+850</w:t>
            </w:r>
          </w:p>
        </w:tc>
        <w:tc>
          <w:tcPr>
            <w:tcW w:w="1960"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rPr>
              <w:t>河坝</w:t>
            </w:r>
            <w:r>
              <w:rPr>
                <w:rFonts w:hint="default" w:ascii="Times New Roman" w:hAnsi="Times New Roman" w:eastAsia="仿宋_GB2312" w:cs="Times New Roman"/>
                <w:color w:val="auto"/>
                <w:kern w:val="0"/>
                <w:sz w:val="18"/>
                <w:szCs w:val="18"/>
                <w:lang w:val="en-US" w:eastAsia="zh-CN"/>
              </w:rPr>
              <w:t>1</w:t>
            </w:r>
          </w:p>
        </w:tc>
        <w:tc>
          <w:tcPr>
            <w:tcW w:w="2536" w:type="dxa"/>
            <w:tcBorders>
              <w:tl2br w:val="nil"/>
              <w:tr2bl w:val="nil"/>
            </w:tcBorders>
            <w:noWrap w:val="0"/>
            <w:vAlign w:val="center"/>
          </w:tcPr>
          <w:p>
            <w:pPr>
              <w:widowControl/>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eastAsia="zh-CN"/>
              </w:rPr>
              <w:t>文富市镇汪家台</w:t>
            </w:r>
          </w:p>
        </w:tc>
        <w:tc>
          <w:tcPr>
            <w:tcW w:w="1296"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25</w:t>
            </w:r>
          </w:p>
        </w:tc>
        <w:tc>
          <w:tcPr>
            <w:tcW w:w="1263" w:type="dxa"/>
            <w:tcBorders>
              <w:tl2br w:val="nil"/>
              <w:tr2bl w:val="nil"/>
            </w:tcBorders>
            <w:noWrap w:val="0"/>
            <w:vAlign w:val="center"/>
          </w:tcPr>
          <w:p>
            <w:pPr>
              <w:shd w:val="clear"/>
              <w:jc w:val="center"/>
              <w:rPr>
                <w:rFonts w:hint="default" w:ascii="Times New Roman" w:hAnsi="Times New Roman" w:eastAsia="仿宋_GB2312" w:cs="Times New Roman"/>
                <w:color w:val="auto"/>
                <w:sz w:val="18"/>
                <w:szCs w:val="18"/>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5）车壁塘河祁阳段设计洪峰流量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车壁塘河祁阳段总长5.7km，区段右岸有一条支流杨家堰水汇入，洪峰流量计算需分段计算，根据车壁塘河汇水范围图，本次计算分段参数成果如下表</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-2。</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-2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车壁塘（祁阳段）计算参数成果表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631"/>
        <w:gridCol w:w="1650"/>
        <w:gridCol w:w="1575"/>
        <w:gridCol w:w="1644"/>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1"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63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杨家堰水</w:t>
            </w:r>
          </w:p>
        </w:tc>
        <w:tc>
          <w:tcPr>
            <w:tcW w:w="163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K5+480</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129</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39.52</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12.3</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3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车壁塘河口</w:t>
            </w:r>
          </w:p>
        </w:tc>
        <w:tc>
          <w:tcPr>
            <w:tcW w:w="163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K0+000</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192</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yellow"/>
                <w:u w:val="none"/>
                <w:vertAlign w:val="baseline"/>
                <w:lang w:val="en-US" w:eastAsia="zh-CN"/>
              </w:rPr>
              <w:t>4</w:t>
            </w:r>
            <w:r>
              <w:rPr>
                <w:rFonts w:hint="eastAsia" w:eastAsia="仿宋_GB2312" w:cs="Times New Roman"/>
                <w:b w:val="0"/>
                <w:bCs w:val="0"/>
                <w:color w:val="auto"/>
                <w:sz w:val="18"/>
                <w:szCs w:val="18"/>
                <w:highlight w:val="yellow"/>
                <w:u w:val="none"/>
                <w:vertAlign w:val="baseline"/>
                <w:lang w:val="en-US" w:eastAsia="zh-CN"/>
              </w:rPr>
              <w:t>6</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11.0</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6）设计洪峰流量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zh-CN" w:eastAsia="zh-CN"/>
        </w:rPr>
      </w:pPr>
      <w:r>
        <w:rPr>
          <w:rFonts w:hint="default" w:ascii="Times New Roman" w:hAnsi="Times New Roman" w:eastAsia="仿宋_GB2312" w:cs="Times New Roman"/>
          <w:color w:val="auto"/>
          <w:szCs w:val="28"/>
          <w:lang w:val="en-US" w:eastAsia="zh-CN"/>
        </w:rPr>
        <w:t>本次采用《湖南省暴雨洪水查算手册》（2015修编版）查算河段各控制断面各频率的设计洪峰流量，</w:t>
      </w:r>
      <w:r>
        <w:rPr>
          <w:rFonts w:hint="default" w:ascii="Times New Roman" w:hAnsi="Times New Roman" w:eastAsia="仿宋_GB2312" w:cs="Times New Roman"/>
          <w:color w:val="auto"/>
          <w:szCs w:val="28"/>
          <w:lang w:val="zh-CN" w:eastAsia="zh-CN"/>
        </w:rPr>
        <w:t>以下简称《查算手册》。分别采用推理公式法及综合无因次单位线法计算洪峰流量，两值比较取用较大者。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①由《查算手册》查算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根据祁阳县境内车壁塘河控制断面的地理位置和集雨面积，在《查算手册》上查得该区域属湖南省暴雨一致区第8区，产流分区第Ⅱ区（初损I0为32mm）。多年平均最大降雨量H24点为95mm，统计参数Cv为0.4，Cs为3.5Cv。</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②暴雨的时程分配</w:t>
      </w: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r>
        <w:rPr>
          <w:rFonts w:hint="default" w:ascii="Times New Roman" w:hAnsi="Times New Roman" w:eastAsia="仿宋_GB2312" w:cs="Times New Roman"/>
          <w:color w:val="auto"/>
          <w:sz w:val="28"/>
          <w:szCs w:val="28"/>
          <w:lang w:val="en-US" w:eastAsia="zh-CN" w:bidi="zh-CN"/>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r>
        <w:rPr>
          <w:rFonts w:hint="default" w:ascii="Times New Roman" w:hAnsi="Times New Roman" w:eastAsia="仿宋_GB2312" w:cs="Times New Roman"/>
          <w:color w:val="auto"/>
          <w:sz w:val="28"/>
          <w:szCs w:val="28"/>
          <w:lang w:val="en-US" w:eastAsia="zh-CN" w:bidi="zh-CN"/>
        </w:rPr>
        <w:object>
          <v:shape id="_x0000_i1025" o:spt="75" type="#_x0000_t75" style="height:19pt;width:147.05pt;" o:ole="t" filled="f" o:preferrelative="t" stroked="f" coordsize="21600,21600">
            <v:path/>
            <v:fill on="f" focussize="0,0"/>
            <v:stroke on="f"/>
            <v:imagedata r:id="rId23" o:title=""/>
            <o:lock v:ext="edit" aspectratio="t"/>
            <w10:wrap type="none"/>
            <w10:anchorlock/>
          </v:shape>
          <o:OLEObject Type="Embed" ProgID="Equation.3" ShapeID="_x0000_i1025" DrawAspect="Content" ObjectID="_1468075725" r:id="rId22">
            <o:LockedField>false</o:LockedField>
          </o:OLEObject>
        </w:object>
      </w: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r>
        <w:rPr>
          <w:rFonts w:hint="default" w:ascii="Times New Roman" w:hAnsi="Times New Roman" w:eastAsia="仿宋_GB2312" w:cs="Times New Roman"/>
          <w:color w:val="auto"/>
          <w:sz w:val="28"/>
          <w:szCs w:val="28"/>
          <w:lang w:val="en-US" w:eastAsia="zh-CN" w:bidi="zh-CN"/>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r>
        <w:rPr>
          <w:rFonts w:hint="default" w:ascii="Times New Roman" w:hAnsi="Times New Roman" w:eastAsia="仿宋_GB2312" w:cs="Times New Roman"/>
          <w:color w:val="auto"/>
          <w:sz w:val="28"/>
          <w:szCs w:val="28"/>
          <w:lang w:val="en-US" w:eastAsia="zh-CN" w:bidi="zh-CN"/>
        </w:rPr>
        <w:object>
          <v:shape id="_x0000_i1026" o:spt="75" type="#_x0000_t75" style="height:19pt;width:112.05pt;" o:ole="t" filled="f" o:preferrelative="t" stroked="f" coordsize="21600,21600">
            <v:path/>
            <v:fill on="f" focussize="0,0"/>
            <v:stroke on="f"/>
            <v:imagedata r:id="rId25" o:title=""/>
            <o:lock v:ext="edit" aspectratio="t"/>
            <w10:wrap type="none"/>
            <w10:anchorlock/>
          </v:shape>
          <o:OLEObject Type="Embed" ProgID="Equation.3" ShapeID="_x0000_i1026" DrawAspect="Content" ObjectID="_1468075726" r:id="rId24">
            <o:LockedField>false</o:LockedField>
          </o:OLEObject>
        </w:object>
      </w:r>
      <w:r>
        <w:rPr>
          <w:rFonts w:hint="default" w:ascii="Times New Roman" w:hAnsi="Times New Roman" w:eastAsia="仿宋_GB2312" w:cs="Times New Roman"/>
          <w:color w:val="auto"/>
          <w:sz w:val="28"/>
          <w:szCs w:val="28"/>
          <w:lang w:val="en-US" w:eastAsia="zh-CN" w:bidi="zh-CN"/>
        </w:rPr>
        <w:t xml:space="preserve"> </w:t>
      </w: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r>
        <w:rPr>
          <w:rFonts w:hint="default" w:ascii="Times New Roman" w:hAnsi="Times New Roman" w:eastAsia="仿宋_GB2312" w:cs="Times New Roman"/>
          <w:color w:val="auto"/>
          <w:sz w:val="28"/>
          <w:szCs w:val="28"/>
          <w:lang w:val="en-US" w:eastAsia="zh-CN" w:bidi="zh-CN"/>
        </w:rPr>
        <w:t>上述二式中Ht为1～24小时内任一时段的暴雨量，n2及n3是依地理位置、集雨面积及降雨量而变的参数，t是对应Ht的时间。设计暴雨的主要参数及成果详见表5.3-3.</w:t>
      </w: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r>
        <w:rPr>
          <w:rFonts w:hint="default" w:ascii="Times New Roman" w:hAnsi="Times New Roman" w:eastAsia="仿宋_GB2312" w:cs="Times New Roman"/>
          <w:color w:val="auto"/>
          <w:sz w:val="28"/>
          <w:szCs w:val="28"/>
          <w:lang w:val="en-US" w:eastAsia="zh-CN" w:bidi="zh-CN"/>
        </w:rPr>
        <w:t>③列表计算设计暴雨时程分配，将《查算手册》表三概化雨型时程分配的百分数分配与对应时段栏内，即可算出二十四小时暴雨时程分配如下列表</w:t>
      </w:r>
      <w:r>
        <w:rPr>
          <w:rFonts w:hint="eastAsia" w:ascii="Times New Roman" w:hAnsi="Times New Roman" w:cs="Times New Roman"/>
          <w:color w:val="auto"/>
          <w:sz w:val="28"/>
          <w:szCs w:val="28"/>
          <w:lang w:val="en-US" w:eastAsia="zh-CN" w:bidi="zh-CN"/>
        </w:rPr>
        <w:t>4</w:t>
      </w:r>
      <w:r>
        <w:rPr>
          <w:rFonts w:hint="default" w:ascii="Times New Roman" w:hAnsi="Times New Roman" w:eastAsia="仿宋_GB2312" w:cs="Times New Roman"/>
          <w:color w:val="auto"/>
          <w:sz w:val="28"/>
          <w:szCs w:val="28"/>
          <w:lang w:val="en-US" w:eastAsia="zh-CN" w:bidi="zh-CN"/>
        </w:rPr>
        <w:t>.</w:t>
      </w:r>
      <w:r>
        <w:rPr>
          <w:rFonts w:hint="eastAsia" w:ascii="Times New Roman" w:hAnsi="Times New Roman" w:cs="Times New Roman"/>
          <w:color w:val="auto"/>
          <w:sz w:val="28"/>
          <w:szCs w:val="28"/>
          <w:lang w:val="en-US" w:eastAsia="zh-CN" w:bidi="zh-CN"/>
        </w:rPr>
        <w:t>4</w:t>
      </w:r>
      <w:r>
        <w:rPr>
          <w:rFonts w:hint="default" w:ascii="Times New Roman" w:hAnsi="Times New Roman" w:eastAsia="仿宋_GB2312" w:cs="Times New Roman"/>
          <w:color w:val="auto"/>
          <w:sz w:val="28"/>
          <w:szCs w:val="28"/>
          <w:lang w:val="en-US" w:eastAsia="zh-CN" w:bidi="zh-CN"/>
        </w:rPr>
        <w:t>-4，推理公式洪水过程线成果表洪水</w:t>
      </w:r>
      <w:r>
        <w:rPr>
          <w:rFonts w:hint="eastAsia" w:ascii="Times New Roman" w:hAnsi="Times New Roman" w:cs="Times New Roman"/>
          <w:color w:val="auto"/>
          <w:sz w:val="28"/>
          <w:szCs w:val="28"/>
          <w:lang w:val="en-US" w:eastAsia="zh-CN" w:bidi="zh-CN"/>
        </w:rPr>
        <w:t>4</w:t>
      </w:r>
      <w:r>
        <w:rPr>
          <w:rFonts w:hint="default" w:ascii="Times New Roman" w:hAnsi="Times New Roman" w:eastAsia="仿宋_GB2312" w:cs="Times New Roman"/>
          <w:color w:val="auto"/>
          <w:sz w:val="28"/>
          <w:szCs w:val="28"/>
          <w:lang w:val="en-US" w:eastAsia="zh-CN" w:bidi="zh-CN"/>
        </w:rPr>
        <w:t>.</w:t>
      </w:r>
      <w:r>
        <w:rPr>
          <w:rFonts w:hint="eastAsia" w:ascii="Times New Roman" w:hAnsi="Times New Roman" w:cs="Times New Roman"/>
          <w:color w:val="auto"/>
          <w:sz w:val="28"/>
          <w:szCs w:val="28"/>
          <w:lang w:val="en-US" w:eastAsia="zh-CN" w:bidi="zh-CN"/>
        </w:rPr>
        <w:t>4</w:t>
      </w:r>
      <w:r>
        <w:rPr>
          <w:rFonts w:hint="default" w:ascii="Times New Roman" w:hAnsi="Times New Roman" w:eastAsia="仿宋_GB2312" w:cs="Times New Roman"/>
          <w:color w:val="auto"/>
          <w:sz w:val="28"/>
          <w:szCs w:val="28"/>
          <w:lang w:val="en-US" w:eastAsia="zh-CN" w:bidi="zh-CN"/>
        </w:rPr>
        <w:t>-5。单位线法</w:t>
      </w:r>
      <w:r>
        <w:rPr>
          <w:rFonts w:hint="default" w:ascii="Times New Roman" w:hAnsi="Times New Roman" w:eastAsia="仿宋_GB2312" w:cs="Times New Roman"/>
          <w:color w:val="auto"/>
          <w:sz w:val="28"/>
          <w:szCs w:val="28"/>
          <w:lang w:val="zh-CN" w:eastAsia="zh-CN" w:bidi="zh-CN"/>
        </w:rPr>
        <w:t>设计洪水过程线计算表</w:t>
      </w:r>
      <w:r>
        <w:rPr>
          <w:rFonts w:hint="eastAsia" w:ascii="Times New Roman" w:hAnsi="Times New Roman" w:cs="Times New Roman"/>
          <w:color w:val="auto"/>
          <w:sz w:val="28"/>
          <w:szCs w:val="28"/>
          <w:lang w:val="en-US" w:eastAsia="zh-CN" w:bidi="zh-CN"/>
        </w:rPr>
        <w:t>4</w:t>
      </w:r>
      <w:r>
        <w:rPr>
          <w:rFonts w:hint="default" w:ascii="Times New Roman" w:hAnsi="Times New Roman" w:eastAsia="仿宋_GB2312" w:cs="Times New Roman"/>
          <w:color w:val="auto"/>
          <w:sz w:val="28"/>
          <w:szCs w:val="28"/>
          <w:lang w:val="en-US" w:eastAsia="zh-CN" w:bidi="zh-CN"/>
        </w:rPr>
        <w:t>.</w:t>
      </w:r>
      <w:r>
        <w:rPr>
          <w:rFonts w:hint="eastAsia" w:ascii="Times New Roman" w:hAnsi="Times New Roman" w:cs="Times New Roman"/>
          <w:color w:val="auto"/>
          <w:sz w:val="28"/>
          <w:szCs w:val="28"/>
          <w:lang w:val="en-US" w:eastAsia="zh-CN" w:bidi="zh-CN"/>
        </w:rPr>
        <w:t>4</w:t>
      </w:r>
      <w:r>
        <w:rPr>
          <w:rFonts w:hint="default" w:ascii="Times New Roman" w:hAnsi="Times New Roman" w:eastAsia="仿宋_GB2312" w:cs="Times New Roman"/>
          <w:color w:val="auto"/>
          <w:sz w:val="28"/>
          <w:szCs w:val="28"/>
          <w:lang w:val="en-US" w:eastAsia="zh-CN" w:bidi="zh-CN"/>
        </w:rPr>
        <w:t>-6。</w:t>
      </w: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p>
    <w:p>
      <w:pPr>
        <w:pStyle w:val="7"/>
        <w:spacing w:line="360" w:lineRule="auto"/>
        <w:ind w:firstLine="560"/>
        <w:rPr>
          <w:rFonts w:hint="default" w:ascii="Times New Roman" w:hAnsi="Times New Roman" w:eastAsia="仿宋_GB2312" w:cs="Times New Roman"/>
          <w:color w:val="auto"/>
          <w:sz w:val="28"/>
          <w:szCs w:val="28"/>
          <w:lang w:val="en-US" w:eastAsia="zh-CN" w:bidi="zh-CN"/>
        </w:rPr>
      </w:pP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-3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车壁塘河各控制断面设计暴雨参数及成果表</w:t>
      </w:r>
    </w:p>
    <w:tbl>
      <w:tblPr>
        <w:tblStyle w:val="16"/>
        <w:tblW w:w="93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123"/>
        <w:gridCol w:w="1633"/>
        <w:gridCol w:w="1880"/>
        <w:gridCol w:w="1873"/>
        <w:gridCol w:w="18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tblHeader/>
          <w:jc w:val="center"/>
        </w:trPr>
        <w:tc>
          <w:tcPr>
            <w:tcW w:w="212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351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37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杨家堰水</w:t>
            </w: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en-US" w:eastAsia="zh-CN"/>
              </w:rPr>
              <w:t>5</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en-US" w:eastAsia="zh-CN"/>
              </w:rPr>
              <w:t>480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tcBorders>
              <w:tl2br w:val="single" w:color="auto" w:sz="6" w:space="0"/>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 xml:space="preserve">      </w:t>
            </w:r>
            <w:r>
              <w:rPr>
                <w:rFonts w:hint="default" w:ascii="Times New Roman" w:hAnsi="Times New Roman" w:eastAsia="仿宋_GB2312" w:cs="Times New Roman"/>
                <w:color w:val="auto"/>
                <w:sz w:val="18"/>
                <w:szCs w:val="18"/>
              </w:rPr>
              <w:t>P%</w:t>
            </w:r>
          </w:p>
          <w:p>
            <w:pPr>
              <w:pStyle w:val="268"/>
              <w:ind w:firstLine="180" w:firstLineChars="100"/>
              <w:jc w:val="both"/>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项目</w:t>
            </w:r>
          </w:p>
        </w:tc>
        <w:tc>
          <w:tcPr>
            <w:tcW w:w="163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880"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87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87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K</w:t>
            </w:r>
            <w:r>
              <w:rPr>
                <w:rFonts w:hint="default" w:ascii="Times New Roman" w:hAnsi="Times New Roman" w:eastAsia="仿宋_GB2312" w:cs="Times New Roman"/>
                <w:color w:val="auto"/>
                <w:sz w:val="18"/>
                <w:szCs w:val="18"/>
                <w:vertAlign w:val="subscript"/>
              </w:rPr>
              <w:t>P</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1.535</w:t>
            </w:r>
          </w:p>
        </w:tc>
        <w:tc>
          <w:tcPr>
            <w:tcW w:w="1880" w:type="dxa"/>
            <w:vMerge w:val="restart"/>
            <w:vAlign w:val="center"/>
          </w:tcPr>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192</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highlight w:val="yellow"/>
                <w:lang w:eastAsia="zh-CN"/>
              </w:rPr>
            </w:pPr>
            <w:r>
              <w:rPr>
                <w:rFonts w:hint="default" w:ascii="Times New Roman" w:hAnsi="Times New Roman" w:eastAsia="仿宋_GB2312" w:cs="Times New Roman"/>
                <w:color w:val="auto"/>
                <w:sz w:val="18"/>
                <w:szCs w:val="18"/>
                <w:highlight w:val="yellow"/>
                <w:lang w:eastAsia="zh-CN"/>
              </w:rPr>
              <w:t>L=</w:t>
            </w:r>
            <w:r>
              <w:rPr>
                <w:rFonts w:hint="default" w:ascii="Times New Roman" w:hAnsi="Times New Roman" w:eastAsia="仿宋_GB2312" w:cs="Times New Roman"/>
                <w:color w:val="auto"/>
                <w:sz w:val="18"/>
                <w:szCs w:val="18"/>
                <w:highlight w:val="yellow"/>
                <w:lang w:val="en-US" w:eastAsia="zh-CN"/>
              </w:rPr>
              <w:t>4</w:t>
            </w:r>
            <w:r>
              <w:rPr>
                <w:rFonts w:hint="eastAsia" w:eastAsia="仿宋_GB2312" w:cs="Times New Roman"/>
                <w:color w:val="auto"/>
                <w:sz w:val="18"/>
                <w:szCs w:val="18"/>
                <w:highlight w:val="yellow"/>
                <w:lang w:val="en-US" w:eastAsia="zh-CN"/>
              </w:rPr>
              <w:t>6</w:t>
            </w:r>
            <w:r>
              <w:rPr>
                <w:rFonts w:hint="default" w:ascii="Times New Roman" w:hAnsi="Times New Roman" w:eastAsia="仿宋_GB2312" w:cs="Times New Roman"/>
                <w:color w:val="auto"/>
                <w:sz w:val="18"/>
                <w:szCs w:val="18"/>
                <w:highlight w:val="yellow"/>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11</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2.统计参数</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CV=0.4</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CS=3.5CV</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3.点面关系数</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α=</w:t>
            </w:r>
            <w:r>
              <w:rPr>
                <w:rFonts w:hint="default" w:ascii="Times New Roman" w:hAnsi="Times New Roman" w:eastAsia="仿宋_GB2312" w:cs="Times New Roman"/>
                <w:color w:val="auto"/>
                <w:sz w:val="18"/>
                <w:szCs w:val="18"/>
                <w:lang w:val="en-US" w:eastAsia="zh-CN"/>
              </w:rPr>
              <w:t>0.904</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eastAsia="zh-CN"/>
              </w:rPr>
              <w:t>I0=3</w:t>
            </w:r>
            <w:r>
              <w:rPr>
                <w:rFonts w:hint="default" w:ascii="Times New Roman" w:hAnsi="Times New Roman" w:eastAsia="仿宋_GB2312" w:cs="Times New Roman"/>
                <w:color w:val="auto"/>
                <w:sz w:val="18"/>
                <w:szCs w:val="18"/>
                <w:lang w:val="en-US" w:eastAsia="zh-CN"/>
              </w:rPr>
              <w:t>2</w:t>
            </w:r>
            <w:r>
              <w:rPr>
                <w:rFonts w:hint="default" w:ascii="Times New Roman" w:hAnsi="Times New Roman" w:eastAsia="仿宋_GB2312" w:cs="Times New Roman"/>
                <w:color w:val="auto"/>
                <w:sz w:val="18"/>
                <w:szCs w:val="18"/>
                <w:lang w:eastAsia="zh-CN"/>
              </w:rPr>
              <w:t>mm</w:t>
            </w: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1.535</w:t>
            </w:r>
          </w:p>
        </w:tc>
        <w:tc>
          <w:tcPr>
            <w:tcW w:w="1873"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129</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L=</w:t>
            </w:r>
            <w:r>
              <w:rPr>
                <w:rFonts w:hint="default" w:ascii="Times New Roman" w:hAnsi="Times New Roman" w:eastAsia="仿宋_GB2312" w:cs="Times New Roman"/>
                <w:color w:val="auto"/>
                <w:sz w:val="18"/>
                <w:szCs w:val="18"/>
                <w:lang w:val="en-US" w:eastAsia="zh-CN"/>
              </w:rPr>
              <w:t>39.52</w:t>
            </w:r>
            <w:r>
              <w:rPr>
                <w:rFonts w:hint="default" w:ascii="Times New Roman" w:hAnsi="Times New Roman" w:eastAsia="仿宋_GB2312" w:cs="Times New Roman"/>
                <w:color w:val="auto"/>
                <w:sz w:val="18"/>
                <w:szCs w:val="18"/>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12.3</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2.统计参数</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CV=0.4</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CS=3.5CV</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3.点面关系数</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α=</w:t>
            </w:r>
            <w:r>
              <w:rPr>
                <w:rFonts w:hint="default" w:ascii="Times New Roman" w:hAnsi="Times New Roman" w:eastAsia="仿宋_GB2312" w:cs="Times New Roman"/>
                <w:color w:val="auto"/>
                <w:sz w:val="18"/>
                <w:szCs w:val="18"/>
                <w:lang w:val="en-US" w:eastAsia="zh-CN"/>
              </w:rPr>
              <w:t>0.925</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初损</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I0=3</w:t>
            </w:r>
            <w:r>
              <w:rPr>
                <w:rFonts w:hint="default" w:ascii="Times New Roman" w:hAnsi="Times New Roman" w:eastAsia="仿宋_GB2312" w:cs="Times New Roman"/>
                <w:color w:val="auto"/>
                <w:sz w:val="18"/>
                <w:szCs w:val="18"/>
                <w:lang w:val="en-US" w:eastAsia="zh-CN"/>
              </w:rPr>
              <w:t>2</w:t>
            </w:r>
            <w:r>
              <w:rPr>
                <w:rFonts w:hint="default" w:ascii="Times New Roman" w:hAnsi="Times New Roman" w:eastAsia="仿宋_GB2312" w:cs="Times New Roman"/>
                <w:color w:val="auto"/>
                <w:sz w:val="18"/>
                <w:szCs w:val="18"/>
                <w:lang w:eastAsia="zh-CN"/>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929" w:hRule="exact"/>
          <w:jc w:val="center"/>
        </w:trPr>
        <w:tc>
          <w:tcPr>
            <w:tcW w:w="21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24点</w:t>
            </w:r>
            <w:r>
              <w:rPr>
                <w:rFonts w:hint="default" w:ascii="Times New Roman" w:hAnsi="Times New Roman" w:eastAsia="仿宋_GB2312" w:cs="Times New Roman"/>
                <w:color w:val="auto"/>
                <w:sz w:val="18"/>
                <w:szCs w:val="18"/>
              </w:rPr>
              <w:t>(mm)</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145.793</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145.793</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24面</w:t>
            </w:r>
            <w:r>
              <w:rPr>
                <w:rFonts w:hint="default" w:ascii="Times New Roman" w:hAnsi="Times New Roman" w:eastAsia="仿宋_GB2312" w:cs="Times New Roman"/>
                <w:color w:val="auto"/>
                <w:sz w:val="18"/>
                <w:szCs w:val="18"/>
              </w:rPr>
              <w:t>(mm)</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131.813</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134.923</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2</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0.702</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0.705</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3</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0.774</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0.777</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w:t>
            </w:r>
            <w:r>
              <w:rPr>
                <w:rFonts w:hint="default" w:ascii="Times New Roman" w:hAnsi="Times New Roman" w:eastAsia="仿宋_GB2312" w:cs="Times New Roman"/>
                <w:color w:val="auto"/>
                <w:sz w:val="18"/>
                <w:szCs w:val="18"/>
              </w:rPr>
              <w:t>(mm)</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56.472</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58.392</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3</w:t>
            </w:r>
            <w:r>
              <w:rPr>
                <w:rFonts w:hint="default" w:ascii="Times New Roman" w:hAnsi="Times New Roman" w:eastAsia="仿宋_GB2312" w:cs="Times New Roman"/>
                <w:color w:val="auto"/>
                <w:sz w:val="18"/>
                <w:szCs w:val="18"/>
              </w:rPr>
              <w:t>(mm)</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78.366</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80.709</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6</w:t>
            </w:r>
            <w:r>
              <w:rPr>
                <w:rFonts w:hint="default" w:ascii="Times New Roman" w:hAnsi="Times New Roman" w:eastAsia="仿宋_GB2312" w:cs="Times New Roman"/>
                <w:color w:val="auto"/>
                <w:sz w:val="18"/>
                <w:szCs w:val="18"/>
              </w:rPr>
              <w:t>(mm)</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96.362</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98.995</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12</w:t>
            </w:r>
            <w:r>
              <w:rPr>
                <w:rFonts w:hint="default" w:ascii="Times New Roman" w:hAnsi="Times New Roman" w:eastAsia="仿宋_GB2312" w:cs="Times New Roman"/>
                <w:color w:val="auto"/>
                <w:sz w:val="18"/>
                <w:szCs w:val="18"/>
              </w:rPr>
              <w:t>(mm)</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112.702</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115.571</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w:t>
            </w:r>
            <w:r>
              <w:rPr>
                <w:rFonts w:hint="default" w:ascii="Times New Roman" w:hAnsi="Times New Roman" w:eastAsia="仿宋_GB2312" w:cs="Times New Roman"/>
                <w:color w:val="auto"/>
                <w:sz w:val="18"/>
                <w:szCs w:val="18"/>
              </w:rPr>
              <w:t>(mm)</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131.813</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134.923</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总</w:t>
            </w:r>
            <w:r>
              <w:rPr>
                <w:rFonts w:hint="default" w:ascii="Times New Roman" w:hAnsi="Times New Roman" w:eastAsia="仿宋_GB2312" w:cs="Times New Roman"/>
                <w:color w:val="auto"/>
                <w:sz w:val="18"/>
                <w:szCs w:val="18"/>
              </w:rPr>
              <w:t>(mm)</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99.8</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102.9</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ψ</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0.75</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0.75</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2123"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上</w:t>
            </w:r>
            <w:r>
              <w:rPr>
                <w:rFonts w:hint="default" w:ascii="Times New Roman" w:hAnsi="Times New Roman" w:eastAsia="仿宋_GB2312" w:cs="Times New Roman"/>
                <w:color w:val="auto"/>
                <w:sz w:val="18"/>
                <w:szCs w:val="18"/>
              </w:rPr>
              <w:t>(mm)</w:t>
            </w:r>
          </w:p>
        </w:tc>
        <w:tc>
          <w:tcPr>
            <w:tcW w:w="163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74.9</w:t>
            </w:r>
          </w:p>
        </w:tc>
        <w:tc>
          <w:tcPr>
            <w:tcW w:w="1880"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7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zh-CN"/>
              </w:rPr>
              <w:t>77.2</w:t>
            </w:r>
          </w:p>
        </w:tc>
        <w:tc>
          <w:tcPr>
            <w:tcW w:w="1873"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pStyle w:val="7"/>
        <w:spacing w:line="360" w:lineRule="auto"/>
        <w:ind w:firstLine="560"/>
        <w:rPr>
          <w:rFonts w:hint="default" w:ascii="Times New Roman" w:hAnsi="Times New Roman" w:cs="Times New Roman"/>
          <w:color w:val="auto"/>
          <w:sz w:val="28"/>
          <w:szCs w:val="28"/>
          <w:lang w:val="en-US" w:eastAsia="zh-CN"/>
        </w:rPr>
        <w:sectPr>
          <w:footerReference r:id="rId12" w:type="first"/>
          <w:footerReference r:id="rId1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-4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10年一遇设计洪水最大二十四小时概化雨型时程分配表（河口）</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时段</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24</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H1=56.5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H3-H1(%)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H3-H1=21.9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(五)</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H6-H3(%)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(六)</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H6-H3=18.0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(七)</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H12-H6(%)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(八)</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H12-H6=16.3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(九)</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H24-H12(%)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H24-H12=19.1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Ht</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上</w:t>
            </w:r>
            <w:r>
              <w:rPr>
                <w:rFonts w:hint="default" w:ascii="Times New Roman" w:hAnsi="Times New Roman" w:eastAsia="仿宋_GB2312" w:cs="Times New Roman"/>
                <w:color w:val="auto"/>
                <w:sz w:val="18"/>
                <w:szCs w:val="18"/>
                <w:lang w:val="zh-CN"/>
              </w:rPr>
              <w:t>=0.75R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(十四)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74.9</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-5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推理公式法10年一遇</w:t>
      </w:r>
      <w:r>
        <w:rPr>
          <w:rFonts w:hint="default" w:ascii="Times New Roman" w:hAnsi="Times New Roman" w:eastAsia="仿宋_GB2312" w:cs="Times New Roman"/>
          <w:b/>
          <w:bCs/>
          <w:color w:val="auto"/>
          <w:sz w:val="24"/>
          <w:szCs w:val="24"/>
          <w:highlight w:val="none"/>
          <w:lang w:val="zh-CN" w:eastAsia="zh-CN"/>
        </w:rPr>
        <w:t>设计洪水过程线成果</w:t>
      </w:r>
      <w:r>
        <w:rPr>
          <w:rFonts w:hint="default" w:ascii="Times New Roman" w:hAnsi="Times New Roman" w:eastAsia="仿宋_GB2312" w:cs="Times New Roman"/>
          <w:b/>
          <w:bCs/>
          <w:color w:val="auto"/>
          <w:sz w:val="24"/>
          <w:szCs w:val="24"/>
          <w:highlight w:val="none"/>
          <w:lang w:val="en-US" w:eastAsia="zh-CN"/>
        </w:rPr>
        <w:t>表（河口）</w:t>
      </w:r>
    </w:p>
    <w:tbl>
      <w:tblPr>
        <w:tblStyle w:val="16"/>
        <w:tblW w:w="134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347"/>
        <w:gridCol w:w="1347"/>
        <w:gridCol w:w="1347"/>
        <w:gridCol w:w="1347"/>
        <w:gridCol w:w="1347"/>
        <w:gridCol w:w="1347"/>
        <w:gridCol w:w="1347"/>
        <w:gridCol w:w="1347"/>
        <w:gridCol w:w="1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0.972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0.972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34.997</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51.903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53.847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34.024</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111.791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114.707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33.052</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183.656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187.544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32.080</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271.491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4.861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276.352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31.108</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351.342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5.833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357.175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30.136</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417.367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6.805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424.172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29.164</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365.167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372.944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28.192</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339.364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8.749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348.113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27.220</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295.447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9.721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305.168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26.247</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243.544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10.693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254.237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25.275</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207.611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219.277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24.303</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24.303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175.671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12.638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188.309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23.331</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147.723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13.610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161.333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22.359</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22.359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123.768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14.582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138.350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21.387</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103.806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15.554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119.360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20.415</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20.415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87.835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16.526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104.362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19.443</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75.858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17.498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93.356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18.470</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63.880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18.470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82.351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17.498</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17.498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55.895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19.443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75.338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16.526</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47.910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20.415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68.325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15.554</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39.925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21.387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61.312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14.582</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14.582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35.933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22.359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58.292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13.610</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31.940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23.331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55.271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12.638</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27.948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24.303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52.251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11.666</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23.955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25.275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49.230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10.693</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19.963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26.247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46.210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9.721</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19.963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27.220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47.182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8.749</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15.970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28.192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44.162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7.777</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13.974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29.164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43.138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6.805</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11.978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30.136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42.113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5.833</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9.981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31.108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41.089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4.861</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7.985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32.080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40.065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3.889</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5.989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33.052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39.041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2.916</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34.024</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38.017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1.944</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34.997</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36.993</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0.972</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35.969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35.969</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合计</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3992.520</w:t>
            </w:r>
          </w:p>
        </w:tc>
        <w:tc>
          <w:tcPr>
            <w:tcW w:w="1347"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1330.840</w:t>
            </w:r>
          </w:p>
        </w:tc>
        <w:tc>
          <w:tcPr>
            <w:tcW w:w="133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5323.360</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-6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单位线法10年一遇</w:t>
      </w:r>
      <w:r>
        <w:rPr>
          <w:rFonts w:hint="default" w:ascii="Times New Roman" w:hAnsi="Times New Roman" w:eastAsia="仿宋_GB2312" w:cs="Times New Roman"/>
          <w:b/>
          <w:bCs/>
          <w:color w:val="auto"/>
          <w:sz w:val="24"/>
          <w:szCs w:val="24"/>
          <w:highlight w:val="none"/>
          <w:lang w:val="zh-CN" w:eastAsia="zh-CN"/>
        </w:rPr>
        <w:t>设计洪水过程线成果</w:t>
      </w:r>
      <w:r>
        <w:rPr>
          <w:rFonts w:hint="default" w:ascii="Times New Roman" w:hAnsi="Times New Roman" w:eastAsia="仿宋_GB2312" w:cs="Times New Roman"/>
          <w:b/>
          <w:bCs/>
          <w:color w:val="auto"/>
          <w:sz w:val="24"/>
          <w:szCs w:val="24"/>
          <w:highlight w:val="none"/>
          <w:lang w:val="en-US" w:eastAsia="zh-CN"/>
        </w:rPr>
        <w:t>表（河口）</w:t>
      </w:r>
    </w:p>
    <w:tbl>
      <w:tblPr>
        <w:tblStyle w:val="16"/>
        <w:tblW w:w="134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4"/>
        <w:gridCol w:w="612"/>
        <w:gridCol w:w="613"/>
        <w:gridCol w:w="612"/>
        <w:gridCol w:w="614"/>
        <w:gridCol w:w="612"/>
        <w:gridCol w:w="614"/>
        <w:gridCol w:w="612"/>
        <w:gridCol w:w="613"/>
        <w:gridCol w:w="612"/>
        <w:gridCol w:w="614"/>
        <w:gridCol w:w="614"/>
        <w:gridCol w:w="612"/>
        <w:gridCol w:w="613"/>
        <w:gridCol w:w="612"/>
        <w:gridCol w:w="614"/>
        <w:gridCol w:w="612"/>
        <w:gridCol w:w="614"/>
        <w:gridCol w:w="612"/>
        <w:gridCol w:w="613"/>
        <w:gridCol w:w="612"/>
        <w:gridCol w:w="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exact"/>
          <w:tblHeader/>
        </w:trPr>
        <w:tc>
          <w:tcPr>
            <w:tcW w:w="614"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t/k</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u(t,Δt)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R</w:t>
            </w:r>
            <w:r>
              <w:rPr>
                <w:rFonts w:hint="default" w:ascii="Times New Roman" w:hAnsi="Times New Roman" w:eastAsia="仿宋_GB2312" w:cs="Times New Roman"/>
                <w:b/>
                <w:bCs/>
                <w:color w:val="auto"/>
                <w:position w:val="-2"/>
                <w:sz w:val="18"/>
                <w:szCs w:val="18"/>
                <w:lang w:val="zh-CN"/>
              </w:rPr>
              <w:t>上</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Qi(1.1)</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Qi(41.3)</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Qi(8.4)</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Qi(5.8)</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Qi(3.4)</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Qi(2.9)</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Qi(2.2)</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Qi(1.6)</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ΣQi</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w:t>
            </w:r>
            <w:r>
              <w:rPr>
                <w:rFonts w:hint="default" w:ascii="Times New Roman" w:hAnsi="Times New Roman" w:eastAsia="仿宋_GB2312" w:cs="Times New Roman"/>
                <w:b/>
                <w:bCs/>
                <w:color w:val="auto"/>
                <w:position w:val="-2"/>
                <w:sz w:val="18"/>
                <w:szCs w:val="18"/>
                <w:lang w:val="zh-CN"/>
              </w:rPr>
              <w:t>地</w:t>
            </w:r>
          </w:p>
        </w:tc>
        <w:tc>
          <w:tcPr>
            <w:tcW w:w="614"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0.293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52.438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0.585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0.237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73.894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222.10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232.21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239.75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0.878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0.372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0.237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72.009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312.97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44.86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367.68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0.492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0.372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63.935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304.99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63.22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30.79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407.74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1.463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0.594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0.492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54.294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270.79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61.60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43.38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401.12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15.09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416.21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1.756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0.678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0.594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44.912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229.96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54.70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42.28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15.42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373.73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17.61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2.049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0.746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0.678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36.511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46.45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37.54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24.59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21.73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335.81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2.341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0.801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0.746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29.318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154.64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38.42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31.88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296.35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2.634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0.845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0.801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23.326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31.24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26.37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18.54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18.80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262.03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25.16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287.19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2.927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0.879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0.845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18.426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98.80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228.67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0.907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0.879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14.473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78.04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199.92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3.512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0.907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11.315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11.97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174.87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32.70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47.92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145.44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35.22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9.60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58.53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40.25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42.03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42.77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30.63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45.28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21.77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47.80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15.49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52.83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55.35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57.86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55.35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52.83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47.80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45.28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42.77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40.25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35.22</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32.70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27.67</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25.16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22.64</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17.61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15.09</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12.58</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10.06</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w:t>
            </w:r>
          </w:p>
        </w:tc>
        <w:tc>
          <w:tcPr>
            <w:tcW w:w="614" w:type="dxa"/>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w:t>
            </w:r>
          </w:p>
        </w:tc>
      </w:tr>
    </w:tbl>
    <w:p>
      <w:pPr>
        <w:pStyle w:val="7"/>
        <w:spacing w:line="360" w:lineRule="auto"/>
        <w:ind w:firstLine="560"/>
        <w:rPr>
          <w:rFonts w:hint="default" w:ascii="Times New Roman" w:hAnsi="Times New Roman"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④设计洪峰流量及汇流时间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各频率的地面洪峰流量及汇流时间是根据地理参数θ、汇流参数m及Rt/t关系曲线推求的，地理参数θ、汇流参数m按下式计算：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 xml:space="preserve">        θ=L/(F1/4J1/3)；</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 xml:space="preserve">        m=0.123θ0.520（θ≤25时），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 xml:space="preserve">            m=0.0308θ0.950（25＜θ≤100）。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式中：L——坝址以上干流长度（km）；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 xml:space="preserve">  F——坝址控制流域面积（k㎡）；</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 xml:space="preserve">  J——干流比降。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 xml:space="preserve"> 用试算法求净峰流量Qm及汇流时间：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 xml:space="preserve">         Qm=0.278×F×Rt/t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 xml:space="preserve">         τ=0.278L/(m×J1/3Qm1/4)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分别取不同汇流时间进行试算，到两次试算Qm相近为止。各频率的地下径流的洪峰流量按三角形法推求。经过计算求得控制断面各频率洪峰流量及其他主要参数如表</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-7、</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-8。</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-7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车壁塘河控制断面设计洪峰成果表（推理公式）</w:t>
      </w:r>
    </w:p>
    <w:tbl>
      <w:tblPr>
        <w:tblStyle w:val="16"/>
        <w:tblW w:w="92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55"/>
        <w:gridCol w:w="1853"/>
        <w:gridCol w:w="1855"/>
        <w:gridCol w:w="1853"/>
        <w:gridCol w:w="18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39" w:hRule="atLeast"/>
          <w:tblHeader/>
          <w:jc w:val="center"/>
        </w:trPr>
        <w:tc>
          <w:tcPr>
            <w:tcW w:w="1855"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370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370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杨家堰水K</w:t>
            </w:r>
            <w:r>
              <w:rPr>
                <w:rFonts w:hint="default" w:ascii="Times New Roman" w:hAnsi="Times New Roman" w:eastAsia="仿宋_GB2312" w:cs="Times New Roman"/>
                <w:color w:val="auto"/>
                <w:sz w:val="18"/>
                <w:szCs w:val="18"/>
                <w:lang w:val="en-US" w:eastAsia="zh-CN"/>
              </w:rPr>
              <w:t>5</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en-US" w:eastAsia="zh-CN"/>
              </w:rPr>
              <w:t>480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85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855"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10</w:t>
            </w:r>
          </w:p>
        </w:tc>
        <w:tc>
          <w:tcPr>
            <w:tcW w:w="1855"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Q上m(m³/s)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417.367</w:t>
            </w:r>
          </w:p>
        </w:tc>
        <w:tc>
          <w:tcPr>
            <w:tcW w:w="1855" w:type="dxa"/>
            <w:vMerge w:val="restart"/>
            <w:vAlign w:val="center"/>
          </w:tcPr>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192</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highlight w:val="yellow"/>
                <w:lang w:eastAsia="zh-CN"/>
              </w:rPr>
            </w:pPr>
            <w:r>
              <w:rPr>
                <w:rFonts w:hint="default" w:ascii="Times New Roman" w:hAnsi="Times New Roman" w:eastAsia="仿宋_GB2312" w:cs="Times New Roman"/>
                <w:color w:val="auto"/>
                <w:sz w:val="18"/>
                <w:szCs w:val="18"/>
                <w:highlight w:val="yellow"/>
                <w:lang w:eastAsia="zh-CN"/>
              </w:rPr>
              <w:t>L=</w:t>
            </w:r>
            <w:r>
              <w:rPr>
                <w:rFonts w:hint="default" w:ascii="Times New Roman" w:hAnsi="Times New Roman" w:eastAsia="仿宋_GB2312" w:cs="Times New Roman"/>
                <w:color w:val="auto"/>
                <w:sz w:val="18"/>
                <w:szCs w:val="18"/>
                <w:highlight w:val="yellow"/>
                <w:lang w:val="en-US" w:eastAsia="zh-CN"/>
              </w:rPr>
              <w:t>4</w:t>
            </w:r>
            <w:r>
              <w:rPr>
                <w:rFonts w:hint="eastAsia" w:eastAsia="仿宋_GB2312" w:cs="Times New Roman"/>
                <w:color w:val="auto"/>
                <w:sz w:val="18"/>
                <w:szCs w:val="18"/>
                <w:highlight w:val="yellow"/>
                <w:lang w:val="en-US" w:eastAsia="zh-CN"/>
              </w:rPr>
              <w:t>6</w:t>
            </w:r>
            <w:r>
              <w:rPr>
                <w:rFonts w:hint="default" w:ascii="Times New Roman" w:hAnsi="Times New Roman" w:eastAsia="仿宋_GB2312" w:cs="Times New Roman"/>
                <w:color w:val="auto"/>
                <w:sz w:val="18"/>
                <w:szCs w:val="18"/>
                <w:highlight w:val="yellow"/>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11</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54.357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en-US" w:eastAsia="zh-CN"/>
              </w:rPr>
              <w:t>1.371</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291.439</w:t>
            </w:r>
          </w:p>
        </w:tc>
        <w:tc>
          <w:tcPr>
            <w:tcW w:w="1855"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129</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highlight w:val="yellow"/>
                <w:lang w:eastAsia="zh-CN"/>
              </w:rPr>
            </w:pPr>
            <w:r>
              <w:rPr>
                <w:rFonts w:hint="default" w:ascii="Times New Roman" w:hAnsi="Times New Roman" w:eastAsia="仿宋_GB2312" w:cs="Times New Roman"/>
                <w:color w:val="auto"/>
                <w:sz w:val="18"/>
                <w:szCs w:val="18"/>
                <w:highlight w:val="yellow"/>
                <w:lang w:eastAsia="zh-CN"/>
              </w:rPr>
              <w:t>L=</w:t>
            </w:r>
            <w:r>
              <w:rPr>
                <w:rFonts w:hint="eastAsia" w:eastAsia="仿宋_GB2312" w:cs="Times New Roman"/>
                <w:color w:val="auto"/>
                <w:sz w:val="18"/>
                <w:szCs w:val="18"/>
                <w:highlight w:val="yellow"/>
                <w:lang w:val="en-US" w:eastAsia="zh-CN"/>
              </w:rPr>
              <w:t>3</w:t>
            </w:r>
            <w:r>
              <w:rPr>
                <w:rFonts w:hint="default" w:ascii="Times New Roman" w:hAnsi="Times New Roman" w:eastAsia="仿宋_GB2312" w:cs="Times New Roman"/>
                <w:color w:val="auto"/>
                <w:sz w:val="18"/>
                <w:szCs w:val="18"/>
                <w:highlight w:val="yellow"/>
                <w:lang w:val="en-US" w:eastAsia="zh-CN"/>
              </w:rPr>
              <w:t>9.52</w:t>
            </w:r>
            <w:r>
              <w:rPr>
                <w:rFonts w:hint="default" w:ascii="Times New Roman" w:hAnsi="Times New Roman" w:eastAsia="仿宋_GB2312" w:cs="Times New Roman"/>
                <w:color w:val="auto"/>
                <w:sz w:val="18"/>
                <w:szCs w:val="18"/>
                <w:highlight w:val="yellow"/>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12.3</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50.800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en-US" w:eastAsia="zh-CN"/>
              </w:rPr>
              <w:t>1.286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τ(h)</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9.077</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8.960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ΣQi（m³/s）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3992.520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2766.061</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Q上m/∑Qi</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0.105</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0.105</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35.969</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25.612</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0.972</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0.711</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val="0"/>
                <w:bCs w:val="0"/>
                <w:color w:val="auto"/>
                <w:kern w:val="0"/>
                <w:sz w:val="18"/>
                <w:szCs w:val="18"/>
              </w:rPr>
              <w:t>Qmp（m³/s）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424.172</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30</w:t>
            </w:r>
            <w:r>
              <w:rPr>
                <w:rFonts w:hint="default" w:ascii="Times New Roman" w:hAnsi="Times New Roman" w:eastAsia="仿宋_GB2312" w:cs="Times New Roman"/>
                <w:color w:val="auto"/>
                <w:sz w:val="18"/>
                <w:szCs w:val="18"/>
                <w:lang w:val="zh-CN" w:eastAsia="zh-CN"/>
              </w:rPr>
              <w:t>5.707</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pStyle w:val="268"/>
              <w:jc w:val="center"/>
              <w:rPr>
                <w:rFonts w:hint="default" w:ascii="Times New Roman" w:hAnsi="Times New Roman" w:eastAsia="仿宋_GB2312" w:cs="Times New Roman"/>
                <w:color w:val="auto"/>
                <w:sz w:val="18"/>
                <w:szCs w:val="18"/>
                <w:highlight w:val="yellow"/>
                <w:lang w:val="zh-CN" w:eastAsia="zh-CN"/>
              </w:rPr>
            </w:pPr>
            <w:r>
              <w:rPr>
                <w:rFonts w:hint="default" w:ascii="Times New Roman" w:hAnsi="Times New Roman" w:eastAsia="仿宋_GB2312" w:cs="Times New Roman"/>
                <w:color w:val="auto"/>
                <w:sz w:val="18"/>
                <w:szCs w:val="18"/>
                <w:highlight w:val="yellow"/>
                <w:lang w:val="zh-CN" w:eastAsia="zh-CN"/>
              </w:rPr>
              <w:t>W(万m³)</w:t>
            </w:r>
          </w:p>
        </w:tc>
        <w:tc>
          <w:tcPr>
            <w:tcW w:w="1853" w:type="dxa"/>
            <w:vAlign w:val="center"/>
          </w:tcPr>
          <w:p>
            <w:pPr>
              <w:pStyle w:val="268"/>
              <w:jc w:val="center"/>
              <w:rPr>
                <w:rFonts w:hint="default" w:ascii="Times New Roman" w:hAnsi="Times New Roman" w:eastAsia="仿宋_GB2312" w:cs="Times New Roman"/>
                <w:color w:val="auto"/>
                <w:sz w:val="18"/>
                <w:szCs w:val="18"/>
                <w:highlight w:val="yellow"/>
                <w:lang w:val="zh-CN" w:eastAsia="zh-CN"/>
              </w:rPr>
            </w:pPr>
            <w:r>
              <w:rPr>
                <w:rFonts w:hint="eastAsia" w:ascii="宋体" w:hAnsi="宋体"/>
                <w:color w:val="auto"/>
                <w:sz w:val="21"/>
                <w:szCs w:val="24"/>
                <w:highlight w:val="yellow"/>
                <w:lang w:val="zh-CN"/>
              </w:rPr>
              <w:t>1916.410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1327.709</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-8       </w:t>
      </w:r>
      <w:r>
        <w:rPr>
          <w:rFonts w:hint="eastAsia"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 xml:space="preserve">  车壁塘河控制断面设计洪峰成果表（单位线法）</w:t>
      </w:r>
    </w:p>
    <w:tbl>
      <w:tblPr>
        <w:tblStyle w:val="16"/>
        <w:tblW w:w="92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55"/>
        <w:gridCol w:w="1853"/>
        <w:gridCol w:w="1855"/>
        <w:gridCol w:w="1853"/>
        <w:gridCol w:w="18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370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370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杨家堰水K</w:t>
            </w:r>
            <w:r>
              <w:rPr>
                <w:rFonts w:hint="default" w:ascii="Times New Roman" w:hAnsi="Times New Roman" w:eastAsia="仿宋_GB2312" w:cs="Times New Roman"/>
                <w:color w:val="auto"/>
                <w:sz w:val="18"/>
                <w:szCs w:val="18"/>
                <w:lang w:val="en-US" w:eastAsia="zh-CN"/>
              </w:rPr>
              <w:t>5</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en-US" w:eastAsia="zh-CN"/>
              </w:rPr>
              <w:t>480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85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855"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c>
          <w:tcPr>
            <w:tcW w:w="1853"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val="en-US" w:eastAsia="zh-CN"/>
              </w:rPr>
              <w:t>10</w:t>
            </w:r>
          </w:p>
        </w:tc>
        <w:tc>
          <w:tcPr>
            <w:tcW w:w="1855"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Q上m(m³/s)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855" w:type="dxa"/>
            <w:vMerge w:val="restart"/>
            <w:vAlign w:val="center"/>
          </w:tcPr>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eastAsia="zh-CN"/>
              </w:rPr>
            </w:pP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192</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highlight w:val="yellow"/>
                <w:lang w:eastAsia="zh-CN"/>
              </w:rPr>
            </w:pPr>
            <w:r>
              <w:rPr>
                <w:rFonts w:hint="default" w:ascii="Times New Roman" w:hAnsi="Times New Roman" w:eastAsia="仿宋_GB2312" w:cs="Times New Roman"/>
                <w:color w:val="auto"/>
                <w:sz w:val="18"/>
                <w:szCs w:val="18"/>
                <w:highlight w:val="yellow"/>
                <w:lang w:eastAsia="zh-CN"/>
              </w:rPr>
              <w:t>L=</w:t>
            </w:r>
            <w:r>
              <w:rPr>
                <w:rFonts w:hint="default" w:ascii="Times New Roman" w:hAnsi="Times New Roman" w:eastAsia="仿宋_GB2312" w:cs="Times New Roman"/>
                <w:color w:val="auto"/>
                <w:sz w:val="18"/>
                <w:szCs w:val="18"/>
                <w:highlight w:val="yellow"/>
                <w:lang w:val="en-US" w:eastAsia="zh-CN"/>
              </w:rPr>
              <w:t>4</w:t>
            </w:r>
            <w:r>
              <w:rPr>
                <w:rFonts w:hint="eastAsia" w:eastAsia="仿宋_GB2312" w:cs="Times New Roman"/>
                <w:color w:val="auto"/>
                <w:sz w:val="18"/>
                <w:szCs w:val="18"/>
                <w:highlight w:val="yellow"/>
                <w:lang w:val="en-US" w:eastAsia="zh-CN"/>
              </w:rPr>
              <w:t>6</w:t>
            </w:r>
            <w:r>
              <w:rPr>
                <w:rFonts w:hint="default" w:ascii="Times New Roman" w:hAnsi="Times New Roman" w:eastAsia="仿宋_GB2312" w:cs="Times New Roman"/>
                <w:color w:val="auto"/>
                <w:sz w:val="18"/>
                <w:szCs w:val="18"/>
                <w:highlight w:val="yellow"/>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11</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m1j</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en-US" w:eastAsia="zh-CN"/>
              </w:rPr>
              <w:t>5.518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n</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en-US" w:eastAsia="zh-CN"/>
              </w:rPr>
              <w:t>1.510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K=3.417</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855" w:type="dxa"/>
            <w:vMerge w:val="restar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1.流域特征</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F=</w:t>
            </w:r>
            <w:r>
              <w:rPr>
                <w:rFonts w:hint="default" w:ascii="Times New Roman" w:hAnsi="Times New Roman" w:eastAsia="仿宋_GB2312" w:cs="Times New Roman"/>
                <w:color w:val="auto"/>
                <w:sz w:val="18"/>
                <w:szCs w:val="18"/>
                <w:lang w:val="en-US" w:eastAsia="zh-CN"/>
              </w:rPr>
              <w:t>129</w:t>
            </w:r>
            <w:r>
              <w:rPr>
                <w:rFonts w:hint="default" w:ascii="Times New Roman" w:hAnsi="Times New Roman" w:eastAsia="仿宋_GB2312" w:cs="Times New Roman"/>
                <w:color w:val="auto"/>
                <w:sz w:val="18"/>
                <w:szCs w:val="18"/>
                <w:lang w:eastAsia="zh-CN"/>
              </w:rPr>
              <w:t>k㎡</w:t>
            </w:r>
          </w:p>
          <w:p>
            <w:pPr>
              <w:pStyle w:val="268"/>
              <w:jc w:val="center"/>
              <w:rPr>
                <w:rFonts w:hint="default" w:ascii="Times New Roman" w:hAnsi="Times New Roman" w:eastAsia="仿宋_GB2312" w:cs="Times New Roman"/>
                <w:color w:val="auto"/>
                <w:sz w:val="18"/>
                <w:szCs w:val="18"/>
                <w:highlight w:val="yellow"/>
                <w:lang w:eastAsia="zh-CN"/>
              </w:rPr>
            </w:pPr>
            <w:r>
              <w:rPr>
                <w:rFonts w:hint="default" w:ascii="Times New Roman" w:hAnsi="Times New Roman" w:eastAsia="仿宋_GB2312" w:cs="Times New Roman"/>
                <w:color w:val="auto"/>
                <w:sz w:val="18"/>
                <w:szCs w:val="18"/>
                <w:highlight w:val="yellow"/>
                <w:lang w:eastAsia="zh-CN"/>
              </w:rPr>
              <w:t>L=</w:t>
            </w:r>
            <w:r>
              <w:rPr>
                <w:rFonts w:hint="eastAsia" w:eastAsia="仿宋_GB2312" w:cs="Times New Roman"/>
                <w:color w:val="auto"/>
                <w:sz w:val="18"/>
                <w:szCs w:val="18"/>
                <w:highlight w:val="yellow"/>
                <w:lang w:val="en-US" w:eastAsia="zh-CN"/>
              </w:rPr>
              <w:t>3</w:t>
            </w:r>
            <w:r>
              <w:rPr>
                <w:rFonts w:hint="default" w:ascii="Times New Roman" w:hAnsi="Times New Roman" w:eastAsia="仿宋_GB2312" w:cs="Times New Roman"/>
                <w:color w:val="auto"/>
                <w:sz w:val="18"/>
                <w:szCs w:val="18"/>
                <w:highlight w:val="yellow"/>
                <w:lang w:val="en-US" w:eastAsia="zh-CN"/>
              </w:rPr>
              <w:t>9.52</w:t>
            </w:r>
            <w:r>
              <w:rPr>
                <w:rFonts w:hint="default" w:ascii="Times New Roman" w:hAnsi="Times New Roman" w:eastAsia="仿宋_GB2312" w:cs="Times New Roman"/>
                <w:color w:val="auto"/>
                <w:sz w:val="18"/>
                <w:szCs w:val="18"/>
                <w:highlight w:val="yellow"/>
                <w:lang w:eastAsia="zh-CN"/>
              </w:rPr>
              <w:t>km</w:t>
            </w:r>
          </w:p>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J=</w:t>
            </w:r>
            <w:r>
              <w:rPr>
                <w:rFonts w:hint="default" w:ascii="Times New Roman" w:hAnsi="Times New Roman" w:eastAsia="仿宋_GB2312" w:cs="Times New Roman"/>
                <w:color w:val="auto"/>
                <w:sz w:val="18"/>
                <w:szCs w:val="18"/>
                <w:lang w:val="en-US" w:eastAsia="zh-CN"/>
              </w:rPr>
              <w:t>12.3</w:t>
            </w:r>
            <w:r>
              <w:rPr>
                <w:rFonts w:hint="default" w:ascii="Times New Roman" w:hAnsi="Times New Roman" w:eastAsia="仿宋_GB2312" w:cs="Times New Roman"/>
                <w:color w:val="auto"/>
                <w:sz w:val="18"/>
                <w:szCs w:val="18"/>
                <w:lang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m1j</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en-US" w:eastAsia="zh-CN"/>
              </w:rPr>
              <w:t>4.946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n</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en-US" w:eastAsia="zh-CN"/>
              </w:rPr>
              <w:t>1.463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K=3.382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τ(h)</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ΣQi（m³/s）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3992.520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2766.061</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Q上m/∑Qi</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0.000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57.863</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40.088</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2.516</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1.743</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val="0"/>
                <w:bCs w:val="0"/>
                <w:color w:val="auto"/>
                <w:kern w:val="0"/>
                <w:sz w:val="18"/>
                <w:szCs w:val="18"/>
              </w:rPr>
              <w:t>Qmp（m³/s）</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420.317</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302.249</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82" w:hRule="atLeast"/>
          <w:jc w:val="center"/>
        </w:trPr>
        <w:tc>
          <w:tcPr>
            <w:tcW w:w="1855" w:type="dxa"/>
            <w:vAlign w:val="center"/>
          </w:tcPr>
          <w:p>
            <w:pPr>
              <w:widowControl/>
              <w:jc w:val="center"/>
              <w:textAlignment w:val="top"/>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b w:val="0"/>
                <w:bCs w:val="0"/>
                <w:color w:val="auto"/>
                <w:kern w:val="0"/>
                <w:sz w:val="18"/>
                <w:szCs w:val="18"/>
              </w:rPr>
              <w:t>W(万m³)</w:t>
            </w: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1916.410</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c>
          <w:tcPr>
            <w:tcW w:w="185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1327.709</w:t>
            </w:r>
          </w:p>
        </w:tc>
        <w:tc>
          <w:tcPr>
            <w:tcW w:w="1855" w:type="dxa"/>
            <w:vMerge w:val="continue"/>
            <w:vAlign w:val="center"/>
          </w:tcPr>
          <w:p>
            <w:pPr>
              <w:pStyle w:val="268"/>
              <w:jc w:val="center"/>
              <w:rPr>
                <w:rFonts w:hint="default" w:ascii="Times New Roman" w:hAnsi="Times New Roman" w:eastAsia="仿宋_GB2312" w:cs="Times New Roman"/>
                <w:color w:val="auto"/>
                <w:sz w:val="18"/>
                <w:szCs w:val="18"/>
                <w:lang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根据以上计算P=10%工况下河段推理公式计算成果大于单位线法计算成果，本次设计采用推理公式计算成果作为设计洪峰流量成果。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7）设计洪水成果分析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同理根据《查算手册》按推理公式法求得：车壁塘河流域面积192km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,干流长46km，平均坡降11‰，河口10年一遇设计洪峰流量为424.17m³/s，洪水总量为1916.41万m³，洪峰流量模数为2.21m³/s·km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；同理计算相邻流域双江口河</w:t>
      </w:r>
      <w:r>
        <w:rPr>
          <w:rFonts w:hint="default" w:ascii="Times New Roman" w:hAnsi="Times New Roman" w:eastAsia="仿宋_GB2312" w:cs="Times New Roman"/>
          <w:color w:val="auto"/>
          <w:sz w:val="28"/>
          <w:szCs w:val="28"/>
          <w:highlight w:val="none"/>
          <w:lang w:val="en-US" w:eastAsia="zh-CN"/>
        </w:rPr>
        <w:t>流域面积244km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,干流长35km，平均坡降3.7‰，河</w:t>
      </w:r>
      <w:r>
        <w:rPr>
          <w:rFonts w:hint="default" w:ascii="Times New Roman" w:hAnsi="Times New Roman" w:eastAsia="仿宋_GB2312" w:cs="Times New Roman"/>
          <w:color w:val="auto"/>
          <w:szCs w:val="28"/>
          <w:lang w:val="en-US" w:eastAsia="zh-CN"/>
        </w:rPr>
        <w:t>口10年一遇设计洪峰流量为524.9m³/s，洪水总量为2380.8万m³，洪峰流量模数为2.15m³/s·km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；分析原因：车壁塘河流域面积略小，其河道比降略陡，所以造成其洪峰流量模数较双江口略偏大，两者成果基本符合流域实际情况。计算成果较为可靠。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8）设计洪水位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8"/>
          <w:lang w:val="en-US" w:eastAsia="zh-CN"/>
        </w:rPr>
        <w:t>本次以K0+000为下游控制断面，考虑该断面P=10%设计洪水位对应流量为424.1</w:t>
      </w:r>
      <w:r>
        <w:rPr>
          <w:rFonts w:hint="eastAsia" w:eastAsia="仿宋_GB2312" w:cs="Times New Roman"/>
          <w:color w:val="auto"/>
          <w:szCs w:val="28"/>
          <w:lang w:val="en-US" w:eastAsia="zh-CN"/>
        </w:rPr>
        <w:t>7</w:t>
      </w:r>
      <w:r>
        <w:rPr>
          <w:rFonts w:hint="default" w:ascii="Times New Roman" w:hAnsi="Times New Roman" w:eastAsia="仿宋_GB2312" w:cs="Times New Roman"/>
          <w:color w:val="auto"/>
          <w:szCs w:val="28"/>
          <w:lang w:val="en-US" w:eastAsia="zh-CN"/>
        </w:rPr>
        <w:t>m</w:t>
      </w:r>
      <w:r>
        <w:rPr>
          <w:rFonts w:hint="default" w:ascii="Times New Roman" w:hAnsi="Times New Roman" w:eastAsia="仿宋_GB2312" w:cs="Times New Roman"/>
          <w:color w:val="auto"/>
          <w:szCs w:val="28"/>
          <w:vertAlign w:val="superscript"/>
          <w:lang w:val="en-US" w:eastAsia="zh-CN"/>
        </w:rPr>
        <w:t>3</w:t>
      </w:r>
      <w:r>
        <w:rPr>
          <w:rFonts w:hint="default" w:ascii="Times New Roman" w:hAnsi="Times New Roman" w:eastAsia="仿宋_GB2312" w:cs="Times New Roman"/>
          <w:color w:val="auto"/>
          <w:szCs w:val="28"/>
          <w:lang w:val="en-US" w:eastAsia="zh-CN"/>
        </w:rPr>
        <w:t>/s。根据项目区实测断面图，由曼宁公式计算该断面水位流量关系如下所示：</w:t>
      </w:r>
    </w:p>
    <w:p>
      <w:pPr>
        <w:spacing w:line="360" w:lineRule="auto"/>
        <w:ind w:firstLine="480"/>
        <w:jc w:val="center"/>
        <w:rPr>
          <w:rFonts w:hint="default" w:ascii="Times New Roman" w:hAnsi="Times New Roman" w:eastAsia="仿宋_GB2312" w:cs="Times New Roman"/>
          <w:color w:val="auto"/>
          <w:szCs w:val="24"/>
        </w:rPr>
      </w:pPr>
      <m:oMathPara>
        <m:oMath>
          <m:r>
            <m:rPr>
              <m:sty m:val="p"/>
            </m:rPr>
            <w:rPr>
              <w:rFonts w:hint="default" w:ascii="Cambria Math" w:hAnsi="Cambria Math" w:eastAsia="仿宋_GB2312" w:cs="Times New Roman"/>
              <w:color w:val="auto"/>
            </w:rPr>
            <m:t>Q=</m:t>
          </m:r>
          <m:f>
            <m:fPr>
              <m:ctrlPr>
                <w:rPr>
                  <w:rFonts w:hint="default" w:ascii="Cambria Math" w:hAnsi="Cambria Math" w:eastAsia="仿宋_GB2312" w:cs="Times New Roman"/>
                  <w:color w:val="auto"/>
                </w:rPr>
              </m:ctrlPr>
            </m:fPr>
            <m:num>
              <m:r>
                <m:rPr/>
                <w:rPr>
                  <w:rFonts w:hint="default" w:ascii="Cambria Math" w:hAnsi="Cambria Math" w:eastAsia="仿宋_GB2312" w:cs="Times New Roman"/>
                  <w:color w:val="auto"/>
                </w:rPr>
                <m:t>A×</m:t>
              </m:r>
              <m:sSup>
                <m:sSupPr>
                  <m:ctrlPr>
                    <w:rPr>
                      <w:rFonts w:hint="default" w:ascii="Cambria Math" w:hAnsi="Cambria Math" w:eastAsia="仿宋_GB2312" w:cs="Times New Roman"/>
                      <w:i/>
                      <w:color w:val="auto"/>
                    </w:rPr>
                  </m:ctrlPr>
                </m:sSupPr>
                <m:e>
                  <m:r>
                    <m:rPr/>
                    <w:rPr>
                      <w:rFonts w:hint="default" w:ascii="Cambria Math" w:hAnsi="Cambria Math" w:eastAsia="仿宋_GB2312" w:cs="Times New Roman"/>
                      <w:color w:val="auto"/>
                    </w:rPr>
                    <m:t>R</m:t>
                  </m:r>
                  <m:ctrlPr>
                    <w:rPr>
                      <w:rFonts w:hint="default" w:ascii="Cambria Math" w:hAnsi="Cambria Math" w:eastAsia="仿宋_GB2312" w:cs="Times New Roman"/>
                      <w:i/>
                      <w:color w:val="auto"/>
                    </w:rPr>
                  </m:ctrlPr>
                </m:e>
                <m:sup>
                  <m:r>
                    <m:rPr/>
                    <w:rPr>
                      <w:rFonts w:hint="default" w:ascii="Cambria Math" w:hAnsi="Cambria Math" w:eastAsia="仿宋_GB2312" w:cs="Times New Roman"/>
                      <w:color w:val="auto"/>
                    </w:rPr>
                    <m:t>2/3</m:t>
                  </m:r>
                  <m:ctrlPr>
                    <w:rPr>
                      <w:rFonts w:hint="default" w:ascii="Cambria Math" w:hAnsi="Cambria Math" w:eastAsia="仿宋_GB2312" w:cs="Times New Roman"/>
                      <w:i/>
                      <w:color w:val="auto"/>
                    </w:rPr>
                  </m:ctrlPr>
                </m:sup>
              </m:sSup>
              <m:ctrlPr>
                <w:rPr>
                  <w:rFonts w:hint="default" w:ascii="Cambria Math" w:hAnsi="Cambria Math" w:eastAsia="仿宋_GB2312" w:cs="Times New Roman"/>
                  <w:color w:val="auto"/>
                </w:rPr>
              </m:ctrlPr>
            </m:num>
            <m:den>
              <m:r>
                <m:rPr/>
                <w:rPr>
                  <w:rFonts w:hint="default" w:ascii="Cambria Math" w:hAnsi="Cambria Math" w:eastAsia="仿宋_GB2312" w:cs="Times New Roman"/>
                  <w:color w:val="auto"/>
                </w:rPr>
                <m:t>n</m:t>
              </m:r>
              <m:ctrlPr>
                <w:rPr>
                  <w:rFonts w:hint="default" w:ascii="Cambria Math" w:hAnsi="Cambria Math" w:eastAsia="仿宋_GB2312" w:cs="Times New Roman"/>
                  <w:color w:val="auto"/>
                </w:rPr>
              </m:ctrlPr>
            </m:den>
          </m:f>
          <m:rad>
            <m:radPr>
              <m:degHide m:val="1"/>
              <m:ctrlPr>
                <w:rPr>
                  <w:rFonts w:hint="default" w:ascii="Cambria Math" w:hAnsi="Cambria Math" w:eastAsia="仿宋_GB2312" w:cs="Times New Roman"/>
                  <w:i/>
                  <w:color w:val="auto"/>
                </w:rPr>
              </m:ctrlPr>
            </m:radPr>
            <m:deg>
              <m:ctrlPr>
                <w:rPr>
                  <w:rFonts w:hint="default" w:ascii="Cambria Math" w:hAnsi="Cambria Math" w:eastAsia="仿宋_GB2312" w:cs="Times New Roman"/>
                  <w:i/>
                  <w:color w:val="auto"/>
                </w:rPr>
              </m:ctrlPr>
            </m:deg>
            <m:e>
              <m:r>
                <m:rPr/>
                <w:rPr>
                  <w:rFonts w:hint="default" w:ascii="Cambria Math" w:hAnsi="Cambria Math" w:eastAsia="仿宋_GB2312" w:cs="Times New Roman"/>
                  <w:color w:val="auto"/>
                </w:rPr>
                <m:t>J</m:t>
              </m:r>
              <m:ctrlPr>
                <w:rPr>
                  <w:rFonts w:hint="default" w:ascii="Cambria Math" w:hAnsi="Cambria Math" w:eastAsia="仿宋_GB2312" w:cs="Times New Roman"/>
                  <w:i/>
                  <w:color w:val="auto"/>
                </w:rPr>
              </m:ctrlPr>
            </m:e>
          </m:rad>
        </m:oMath>
      </m:oMathPara>
    </w:p>
    <w:p>
      <w:pPr>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其中 Q—流量，m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/s；</w:t>
      </w:r>
    </w:p>
    <w:p>
      <w:pPr>
        <w:spacing w:line="360" w:lineRule="auto"/>
        <w:ind w:firstLine="1260" w:firstLineChars="45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A—计算河段平均过水断面面积，m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w:t>
      </w:r>
    </w:p>
    <w:p>
      <w:pPr>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     R—计算河段平均水利半径，m；</w:t>
      </w:r>
    </w:p>
    <w:p>
      <w:pPr>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     J—计算河段平均水力坡度；</w:t>
      </w:r>
    </w:p>
    <w:p>
      <w:pPr>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     n—河床糙率，n=0.0</w:t>
      </w:r>
      <w:r>
        <w:rPr>
          <w:rFonts w:hint="default" w:ascii="Times New Roman" w:hAnsi="Times New Roman" w:eastAsia="仿宋_GB2312" w:cs="Times New Roman"/>
          <w:color w:val="auto"/>
          <w:szCs w:val="24"/>
          <w:lang w:val="en-US" w:eastAsia="zh-CN"/>
        </w:rPr>
        <w:t>4</w:t>
      </w:r>
      <w:r>
        <w:rPr>
          <w:rFonts w:hint="default" w:ascii="Times New Roman" w:hAnsi="Times New Roman" w:eastAsia="仿宋_GB2312" w:cs="Times New Roman"/>
          <w:color w:val="auto"/>
          <w:szCs w:val="24"/>
        </w:rPr>
        <w:t>。</w:t>
      </w:r>
    </w:p>
    <w:p>
      <w:pPr>
        <w:pStyle w:val="6"/>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根据计算河口P=10%时设计洪水位分别105.08m；同时考虑祁水相应车壁塘河口水位P=10%设计洪水位分别105.07m；本次设计河口水位以105.08m作为起推控制水位。</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本次设计段K0+000以上断面设计洪水位采取水面线法推求河道水面线。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27" o:title=""/>
            <o:lock v:ext="edit" aspectratio="t"/>
            <w10:wrap type="none"/>
            <w10:anchorlock/>
          </v:shape>
          <o:OLEObject Type="Embed" ProgID="Equation.3" ShapeID="_x0000_i1027" DrawAspect="Content" ObjectID="_1468075727" r:id="rId26">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29" o:title=""/>
            <o:lock v:ext="edit" grouping="f" rotation="f" text="f" aspectratio="t"/>
            <w10:wrap type="none"/>
            <w10:anchorlock/>
          </v:shape>
          <o:OLEObject Type="Embed" ProgID="Equation.3" ShapeID="_x0000_i1028" DrawAspect="Content" ObjectID="_1468075728" r:id="rId28">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1" o:title=""/>
            <o:lock v:ext="edit" grouping="f" rotation="f" text="f" aspectratio="t"/>
            <w10:wrap type="none"/>
            <w10:anchorlock/>
          </v:shape>
          <o:OLEObject Type="Embed" ProgID="Equation.3" ShapeID="_x0000_i1029" DrawAspect="Content" ObjectID="_1468075729" r:id="rId30">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3" o:title=""/>
            <o:lock v:ext="edit" aspectratio="t"/>
            <w10:wrap type="none"/>
            <w10:anchorlock/>
          </v:shape>
          <o:OLEObject Type="Embed" ProgID="Equation.3" ShapeID="_x0000_i1030" DrawAspect="Content" ObjectID="_1468075730" r:id="rId32">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5" o:title=""/>
            <o:lock v:ext="edit" aspectratio="t"/>
            <w10:wrap type="none"/>
            <w10:anchorlock/>
          </v:shape>
          <o:OLEObject Type="Embed" ProgID="Equation.3" ShapeID="_x0000_i1031" DrawAspect="Content" ObjectID="_1468075731" r:id="rId34">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37" o:title=""/>
            <o:lock v:ext="edit" grouping="f" rotation="f" text="f" aspectratio="t"/>
            <w10:wrap type="none"/>
            <w10:anchorlock/>
          </v:shape>
          <o:OLEObject Type="Embed" ProgID="Equation.3" ShapeID="_x0000_i1032" DrawAspect="Content" ObjectID="_1468075732" r:id="rId36">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其余符号同前。工程阻水造成的局部水头损失</w:t>
      </w:r>
      <w:r>
        <w:rPr>
          <w:rFonts w:hint="default" w:ascii="Times New Roman" w:hAnsi="Times New Roman" w:eastAsia="仿宋_GB2312" w:cs="Times New Roman"/>
          <w:color w:val="auto"/>
          <w:szCs w:val="28"/>
          <w:lang w:val="en-US" w:eastAsia="zh-CN"/>
        </w:rPr>
        <w:object>
          <v:shape id="_x0000_i1033" o:spt="75" type="#_x0000_t75" style="height:17.55pt;width:12.7pt;" o:ole="t" filled="f" o:preferrelative="t" stroked="f" coordsize="21600,21600">
            <v:path/>
            <v:fill on="f" focussize="0,0"/>
            <v:stroke on="f"/>
            <v:imagedata r:id="rId39" o:title=""/>
            <o:lock v:ext="edit" aspectratio="t"/>
            <w10:wrap type="none"/>
            <w10:anchorlock/>
          </v:shape>
          <o:OLEObject Type="Embed" ProgID="Equation.3" ShapeID="_x0000_i1033" DrawAspect="Content" ObjectID="_1468075733" r:id="rId38">
            <o:LockedField>false</o:LockedField>
          </o:OLEObject>
        </w:object>
      </w:r>
      <w:r>
        <w:rPr>
          <w:rFonts w:hint="default" w:ascii="Times New Roman" w:hAnsi="Times New Roman" w:eastAsia="仿宋_GB2312" w:cs="Times New Roman"/>
          <w:color w:val="auto"/>
          <w:szCs w:val="28"/>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1" o:title=""/>
            <o:lock v:ext="edit" aspectratio="t"/>
            <w10:wrap type="none"/>
            <w10:anchorlock/>
          </v:shape>
          <o:OLEObject Type="Embed" ProgID="Equation.3" ShapeID="_x0000_i1034" DrawAspect="Content" ObjectID="_1468075734" r:id="rId4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式中：ζ与桥墩形状有关的系数，矩形墩ζ=0.35；圆端墩ζ=0.18。</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②基本资料的处理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利用水面线法计算水位，要对基本资料进行必要的处理，包括计算河段的划分、断面资料的整理、河段糙率的确定及河段平均局部水头损失系数的确定等。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a）计算河段的划分与计算断面布设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Ⅰ：要求推算水位的断面；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Ⅱ：根据天然河道的坡度、形状和糙率选取，尽可能使分段水面坡度一致，断面大小无急剧变化，糙率变化不大；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Ⅲ：在一个计算流段内，上下游断面水位差不能过大，一般△Z对平原河流取0.2～1.0m，山区河流取1.0～3.0m；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Ⅳ：当河流有分支或汇合口等流量突变处，在分支或汇合口的上下游选取断面，避免一个分段内有流量的分出或汇入的突变；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Ⅴ：河道上有建筑物如桥梁、码头等处选取断面，对于要求有工程前后的对比分析，应在工程上下游附近加设断面。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b）断面资料的整理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各计算断面的过水面积根据实测断面资料成果计算。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c）河段糙率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3" o:title=""/>
            <o:lock v:ext="edit" grouping="f" rotation="f" text="f" aspectratio="t"/>
            <w10:wrap type="none"/>
            <w10:anchorlock/>
          </v:shape>
          <o:OLEObject Type="Embed" ProgID="Equation.3" ShapeID="_x0000_i1035" DrawAspect="Content" ObjectID="_1468075735" r:id="rId42">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d）局部损失系数ζ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5" o:title=""/>
            <o:lock v:ext="edit" aspectratio="t"/>
            <w10:wrap type="none"/>
            <w10:anchorlock/>
          </v:shape>
          <o:OLEObject Type="Embed" ProgID="Equation.3" ShapeID="_x0000_i1036" DrawAspect="Content" ObjectID="_1468075736" r:id="rId4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分析河段各断面的局部水头损失系数由计算机根据调查水面线和相应洪峰流量推算。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e）动能校正系数α</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动能校正系数α=1～1.05，通常取α=1，且工程建设前、后均不变。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bookmarkStart w:id="48" w:name="_Toc370"/>
      <w:bookmarkStart w:id="49" w:name="_Toc32740"/>
      <w:bookmarkStart w:id="50" w:name="_Toc2518"/>
      <w:r>
        <w:rPr>
          <w:rFonts w:hint="default" w:ascii="Times New Roman" w:hAnsi="Times New Roman" w:eastAsia="仿宋_GB2312" w:cs="Times New Roman"/>
          <w:color w:val="auto"/>
          <w:szCs w:val="28"/>
          <w:lang w:val="en-US" w:eastAsia="zh-CN"/>
        </w:rPr>
        <w:t>③计算成果</w:t>
      </w:r>
      <w:bookmarkEnd w:id="48"/>
      <w:bookmarkEnd w:id="49"/>
      <w:bookmarkEnd w:id="5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根据已确定的参数，其水面线法计算段成果入下表</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4</w:t>
      </w:r>
      <w:r>
        <w:rPr>
          <w:rFonts w:hint="default" w:ascii="Times New Roman" w:hAnsi="Times New Roman" w:eastAsia="仿宋_GB2312" w:cs="Times New Roman"/>
          <w:color w:val="auto"/>
          <w:szCs w:val="28"/>
          <w:lang w:val="en-US" w:eastAsia="zh-CN"/>
        </w:rPr>
        <w:t>-12。</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4</w:t>
      </w:r>
      <w:r>
        <w:rPr>
          <w:rFonts w:hint="default" w:ascii="Times New Roman" w:hAnsi="Times New Roman" w:eastAsia="仿宋_GB2312" w:cs="Times New Roman"/>
          <w:b/>
          <w:bCs/>
          <w:color w:val="auto"/>
          <w:sz w:val="24"/>
          <w:szCs w:val="24"/>
          <w:highlight w:val="none"/>
          <w:lang w:val="en-US" w:eastAsia="zh-CN"/>
        </w:rPr>
        <w:t xml:space="preserve">-12       </w:t>
      </w:r>
      <w:r>
        <w:rPr>
          <w:rFonts w:hint="eastAsia"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rPr>
        <w:t>车壁塘河（祁阳段）设计洪水水面线成果表</w:t>
      </w:r>
    </w:p>
    <w:tbl>
      <w:tblPr>
        <w:tblStyle w:val="16"/>
        <w:tblW w:w="92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20"/>
        <w:gridCol w:w="2386"/>
        <w:gridCol w:w="1523"/>
        <w:gridCol w:w="1522"/>
        <w:gridCol w:w="23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blHeader/>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断面号</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地点</w:t>
            </w: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间距（m）</w:t>
            </w: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累距（m）</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sz w:val="18"/>
                <w:szCs w:val="18"/>
                <w:u w:val="none"/>
              </w:rPr>
            </w:pPr>
            <w:r>
              <w:rPr>
                <w:rFonts w:hint="default" w:ascii="Times New Roman" w:hAnsi="Times New Roman" w:eastAsia="仿宋_GB2312" w:cs="Times New Roman"/>
                <w:b w:val="0"/>
                <w:bCs w:val="0"/>
                <w:i w:val="0"/>
                <w:color w:val="auto"/>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blHeader/>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w:t>
            </w:r>
          </w:p>
        </w:tc>
        <w:tc>
          <w:tcPr>
            <w:tcW w:w="152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105.49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坝1下CS4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105.75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坝1上CS5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106.01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CS6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106.82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坝2下CS7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107.77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2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坝2上CS8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CS9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CS10　</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坝3下CS11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坝3上CS12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r>
              <w:rPr>
                <w:rFonts w:hint="eastAsia" w:eastAsia="仿宋_GB2312" w:cs="Times New Roman"/>
                <w:i w:val="0"/>
                <w:color w:val="auto"/>
                <w:kern w:val="0"/>
                <w:sz w:val="18"/>
                <w:szCs w:val="18"/>
                <w:u w:val="none"/>
                <w:lang w:val="en-US" w:eastAsia="zh-CN" w:bidi="ar"/>
              </w:rPr>
              <w:t>9</w:t>
            </w:r>
            <w:r>
              <w:rPr>
                <w:rFonts w:hint="default" w:ascii="Times New Roman" w:hAnsi="Times New Roman" w:eastAsia="仿宋_GB2312" w:cs="Times New Roman"/>
                <w:i w:val="0"/>
                <w:color w:val="auto"/>
                <w:kern w:val="0"/>
                <w:sz w:val="18"/>
                <w:szCs w:val="18"/>
                <w:u w:val="none"/>
                <w:lang w:val="en-US" w:eastAsia="zh-CN" w:bidi="ar"/>
              </w:rPr>
              <w:t>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108.94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r>
              <w:rPr>
                <w:rFonts w:hint="eastAsia" w:eastAsia="仿宋_GB2312" w:cs="Times New Roman"/>
                <w:i w:val="0"/>
                <w:color w:val="auto"/>
                <w:kern w:val="0"/>
                <w:sz w:val="18"/>
                <w:szCs w:val="18"/>
                <w:u w:val="none"/>
                <w:lang w:val="en-US" w:eastAsia="zh-CN" w:bidi="ar"/>
              </w:rPr>
              <w:t>1</w:t>
            </w:r>
            <w:r>
              <w:rPr>
                <w:rFonts w:hint="default" w:ascii="Times New Roman" w:hAnsi="Times New Roman" w:eastAsia="仿宋_GB2312" w:cs="Times New Roman"/>
                <w:i w:val="0"/>
                <w:color w:val="auto"/>
                <w:kern w:val="0"/>
                <w:sz w:val="18"/>
                <w:szCs w:val="18"/>
                <w:u w:val="none"/>
                <w:lang w:val="en-US" w:eastAsia="zh-CN" w:bidi="ar"/>
              </w:rPr>
              <w:t>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2500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CS14</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2820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109.37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CS15</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3220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109.85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坝4下CS16</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110.54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17</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坝4上CS17</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3660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110.76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CS18</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3850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111.02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450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19</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CS19</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4300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111.47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500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CS20</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4800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420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CS21</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5220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112.47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260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22</w:t>
            </w:r>
          </w:p>
        </w:tc>
        <w:tc>
          <w:tcPr>
            <w:tcW w:w="238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CS22</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5480</w:t>
            </w:r>
          </w:p>
        </w:tc>
        <w:tc>
          <w:tcPr>
            <w:tcW w:w="232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112.76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exact"/>
        </w:trPr>
        <w:tc>
          <w:tcPr>
            <w:tcW w:w="15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8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240</w:t>
            </w:r>
          </w:p>
        </w:tc>
        <w:tc>
          <w:tcPr>
            <w:tcW w:w="152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7" w:hRule="exact"/>
        </w:trPr>
        <w:tc>
          <w:tcPr>
            <w:tcW w:w="15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23</w:t>
            </w:r>
          </w:p>
        </w:tc>
        <w:tc>
          <w:tcPr>
            <w:tcW w:w="23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坝5下CS23</w:t>
            </w:r>
          </w:p>
        </w:tc>
        <w:tc>
          <w:tcPr>
            <w:tcW w:w="15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5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57</w:t>
            </w:r>
            <w:r>
              <w:rPr>
                <w:rFonts w:hint="eastAsia" w:eastAsia="仿宋_GB2312" w:cs="Times New Roman"/>
                <w:i w:val="0"/>
                <w:color w:val="auto"/>
                <w:kern w:val="0"/>
                <w:sz w:val="18"/>
                <w:szCs w:val="18"/>
                <w:u w:val="none"/>
                <w:lang w:val="en-US" w:eastAsia="zh-CN" w:bidi="ar"/>
              </w:rPr>
              <w:t>0</w:t>
            </w:r>
            <w:r>
              <w:rPr>
                <w:rFonts w:hint="default" w:ascii="Times New Roman" w:hAnsi="Times New Roman" w:eastAsia="仿宋_GB2312" w:cs="Times New Roman"/>
                <w:i w:val="0"/>
                <w:color w:val="auto"/>
                <w:kern w:val="0"/>
                <w:sz w:val="18"/>
                <w:szCs w:val="18"/>
                <w:u w:val="none"/>
                <w:lang w:val="en-US" w:eastAsia="zh-CN" w:bidi="ar"/>
              </w:rPr>
              <w:t>0</w:t>
            </w:r>
          </w:p>
        </w:tc>
        <w:tc>
          <w:tcPr>
            <w:tcW w:w="232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113.32</w:t>
            </w:r>
          </w:p>
        </w:tc>
      </w:tr>
    </w:tbl>
    <w:p>
      <w:pPr>
        <w:keepNext w:val="0"/>
        <w:keepLines w:val="0"/>
        <w:pageBreakBefore w:val="0"/>
        <w:widowControl w:val="0"/>
        <w:kinsoku/>
        <w:wordWrap/>
        <w:overflowPunct/>
        <w:topLinePunct w:val="0"/>
        <w:autoSpaceDE/>
        <w:autoSpaceDN/>
        <w:bidi w:val="0"/>
        <w:adjustRightInd/>
        <w:snapToGrid/>
        <w:spacing w:before="240" w:after="240" w:line="420" w:lineRule="auto"/>
        <w:textAlignment w:val="auto"/>
        <w:outlineLvl w:val="2"/>
        <w:rPr>
          <w:rFonts w:hint="default" w:ascii="Times New Roman" w:hAnsi="Times New Roman" w:eastAsia="仿宋_GB2312" w:cs="Times New Roman"/>
          <w:b/>
          <w:bCs/>
          <w:color w:val="auto"/>
          <w:sz w:val="28"/>
          <w:szCs w:val="32"/>
          <w:lang w:val="en-US" w:eastAsia="zh-CN" w:bidi="zh-CN"/>
        </w:rPr>
      </w:pPr>
      <w:bookmarkStart w:id="51" w:name="_Toc14569"/>
      <w:bookmarkStart w:id="52" w:name="_Toc14736"/>
      <w:r>
        <w:rPr>
          <w:rFonts w:hint="default" w:ascii="Times New Roman" w:hAnsi="Times New Roman" w:eastAsia="仿宋_GB2312" w:cs="Times New Roman"/>
          <w:b/>
          <w:bCs/>
          <w:color w:val="auto"/>
          <w:sz w:val="28"/>
          <w:szCs w:val="32"/>
          <w:lang w:val="en-US" w:eastAsia="zh-CN" w:bidi="zh-CN"/>
        </w:rPr>
        <w:t>4.2  洪水位标图</w:t>
      </w:r>
      <w:bookmarkEnd w:id="51"/>
      <w:bookmarkEnd w:id="52"/>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w:t>
      </w:r>
      <w:r>
        <w:rPr>
          <w:rFonts w:hint="default" w:ascii="Times New Roman" w:hAnsi="Times New Roman" w:eastAsia="仿宋_GB2312" w:cs="Times New Roman"/>
          <w:color w:val="auto"/>
          <w:szCs w:val="28"/>
          <w:lang w:val="en-US"/>
        </w:rPr>
        <w:t>工作底图上的高程点和等高线等高程信息标注各河段的设计洪水位，然后在工作底图上将离散的点，连接成设计洪水位线。</w:t>
      </w:r>
    </w:p>
    <w:p>
      <w:pPr>
        <w:pStyle w:val="4"/>
        <w:rPr>
          <w:rFonts w:hint="default" w:ascii="Times New Roman" w:hAnsi="Times New Roman" w:cs="Times New Roman"/>
          <w:color w:val="auto"/>
          <w:lang w:val="en-US"/>
        </w:rPr>
      </w:pPr>
      <w:bookmarkStart w:id="53" w:name="_Toc29822"/>
      <w:bookmarkStart w:id="54" w:name="_Toc8477"/>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.3 管理范围界限初步拟定</w:t>
      </w:r>
      <w:bookmarkEnd w:id="53"/>
      <w:bookmarkEnd w:id="54"/>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车壁塘河祁阳县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default" w:ascii="Times New Roman" w:hAnsi="Times New Roman" w:eastAsia="仿宋_GB2312" w:cs="Times New Roman"/>
          <w:color w:val="auto"/>
          <w:szCs w:val="28"/>
          <w:highlight w:val="none"/>
          <w:lang w:val="en-US" w:eastAsia="zh-CN"/>
        </w:rPr>
        <w:t>车壁塘河祁阳县</w:t>
      </w:r>
      <w:r>
        <w:rPr>
          <w:rFonts w:hint="default" w:ascii="Times New Roman" w:hAnsi="Times New Roman" w:eastAsia="仿宋_GB2312" w:cs="Times New Roman"/>
          <w:color w:val="auto"/>
          <w:szCs w:val="28"/>
          <w:highlight w:val="none"/>
          <w:lang w:val="en-US"/>
        </w:rPr>
        <w:t>段共</w:t>
      </w:r>
      <w:r>
        <w:rPr>
          <w:rFonts w:hint="eastAsia" w:eastAsia="仿宋_GB2312" w:cs="Times New Roman"/>
          <w:color w:val="auto"/>
          <w:szCs w:val="28"/>
          <w:highlight w:val="none"/>
          <w:lang w:val="en-US" w:eastAsia="zh-CN"/>
        </w:rPr>
        <w:t>布设界桩22座，其中公共界桩8座</w:t>
      </w:r>
      <w:r>
        <w:rPr>
          <w:rFonts w:hint="eastAsia" w:ascii="Times New Roman" w:hAnsi="Times New Roman" w:eastAsia="仿宋_GB2312" w:cs="Times New Roman"/>
          <w:color w:val="auto"/>
          <w:szCs w:val="28"/>
          <w:highlight w:val="none"/>
          <w:lang w:val="en-US" w:eastAsia="zh-CN"/>
        </w:rPr>
        <w:t>，告示牌4块</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车壁塘河祁阳县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eastAsia"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种：</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无堤防段，</w:t>
      </w:r>
      <w:r>
        <w:rPr>
          <w:rFonts w:hint="default" w:ascii="Times New Roman" w:hAnsi="Times New Roman" w:eastAsia="仿宋_GB2312" w:cs="Times New Roman"/>
          <w:color w:val="auto"/>
          <w:szCs w:val="28"/>
          <w:highlight w:val="none"/>
          <w:lang w:val="en-US"/>
        </w:rPr>
        <w:t>按设计洪水位（P=</w:t>
      </w:r>
      <w:r>
        <w:rPr>
          <w:rFonts w:hint="default" w:ascii="Times New Roman" w:hAnsi="Times New Roman"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）确定管理范围线。</w:t>
      </w:r>
    </w:p>
    <w:p>
      <w:pPr>
        <w:pStyle w:val="4"/>
        <w:rPr>
          <w:rFonts w:hint="default" w:ascii="Times New Roman" w:hAnsi="Times New Roman" w:cs="Times New Roman"/>
          <w:color w:val="auto"/>
          <w:lang w:val="en-US"/>
        </w:rPr>
      </w:pPr>
      <w:bookmarkStart w:id="55" w:name="_Toc14567"/>
      <w:bookmarkStart w:id="56" w:name="_Toc2733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界桩</w:t>
      </w:r>
      <w:r>
        <w:rPr>
          <w:rFonts w:hint="default" w:ascii="Times New Roman" w:hAnsi="Times New Roman" w:cs="Times New Roman"/>
          <w:color w:val="auto"/>
          <w:lang w:val="en-US" w:eastAsia="zh-CN"/>
        </w:rPr>
        <w:t>和告示牌</w:t>
      </w:r>
      <w:r>
        <w:rPr>
          <w:rFonts w:hint="default" w:ascii="Times New Roman" w:hAnsi="Times New Roman" w:cs="Times New Roman"/>
          <w:color w:val="auto"/>
          <w:lang w:val="en-US"/>
        </w:rPr>
        <w:t>布设</w:t>
      </w:r>
      <w:bookmarkEnd w:id="55"/>
      <w:bookmarkEnd w:id="56"/>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管理范围界桩要一般间距：城镇河段不宜小于200m；其他河道不宜小于1000m。</w:t>
      </w:r>
      <w:r>
        <w:rPr>
          <w:rFonts w:hint="default" w:ascii="Times New Roman" w:hAnsi="Times New Roman" w:eastAsia="仿宋_GB2312" w:cs="Times New Roman"/>
          <w:color w:val="auto"/>
          <w:szCs w:val="28"/>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干、支河交汇处</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10200" cy="32004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6"/>
                    <a:stretch>
                      <a:fillRect/>
                    </a:stretch>
                  </pic:blipFill>
                  <pic:spPr>
                    <a:xfrm>
                      <a:off x="0" y="0"/>
                      <a:ext cx="5410200" cy="3200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干支流交汇无控制性建筑物</w:t>
      </w:r>
      <w:r>
        <w:rPr>
          <w:rFonts w:hint="default" w:ascii="Times New Roman" w:hAnsi="Times New Roman" w:eastAsia="仿宋_GB2312" w:cs="Times New Roman"/>
          <w:b/>
          <w:bCs/>
          <w:color w:val="auto"/>
          <w:sz w:val="24"/>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7"/>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eastAsia="zh-CN"/>
        </w:rPr>
        <w:t>③</w:t>
      </w:r>
      <w:r>
        <w:rPr>
          <w:rFonts w:hint="default" w:ascii="Times New Roman" w:hAnsi="Times New Roman" w:eastAsia="仿宋_GB2312" w:cs="Times New Roman"/>
          <w:color w:val="auto"/>
          <w:szCs w:val="28"/>
          <w:lang w:val="en-US"/>
        </w:rPr>
        <w:t>相邻行政区</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8"/>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rPr>
        <w:t>桩仅作为管理范围界线标识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8"/>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3</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界桩埋设后，水利管理部门可与有关行政村和单位签订</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界桩保护协议书</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⑥</w:t>
      </w:r>
      <w:r>
        <w:rPr>
          <w:rFonts w:hint="default" w:ascii="Times New Roman" w:hAnsi="Times New Roman" w:eastAsia="仿宋_GB2312" w:cs="Times New Roman"/>
          <w:color w:val="auto"/>
          <w:szCs w:val="28"/>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⑦</w:t>
      </w:r>
      <w:r>
        <w:rPr>
          <w:rFonts w:hint="default" w:ascii="Times New Roman" w:hAnsi="Times New Roman" w:eastAsia="仿宋_GB2312" w:cs="Times New Roman"/>
          <w:color w:val="auto"/>
          <w:szCs w:val="28"/>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4）界桩制作与埋设</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采用长方形柱体，尺寸150</w:t>
      </w:r>
      <w:r>
        <w:rPr>
          <w:rFonts w:hint="default" w:ascii="Times New Roman" w:hAnsi="Times New Roman" w:eastAsia="仿宋_GB2312" w:cs="Times New Roman"/>
          <w:color w:val="auto"/>
          <w:szCs w:val="28"/>
          <w:lang w:val="en-US" w:eastAsia="zh-CN"/>
        </w:rPr>
        <w:t>mm×l</w:t>
      </w:r>
      <w:r>
        <w:rPr>
          <w:rFonts w:hint="default" w:ascii="Times New Roman" w:hAnsi="Times New Roman" w:eastAsia="仿宋_GB2312" w:cs="Times New Roman"/>
          <w:color w:val="auto"/>
          <w:szCs w:val="28"/>
          <w:lang w:val="en-US"/>
        </w:rPr>
        <w:t>30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1000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，四角切除棱角，切除棱角边长10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。地面以上高度为400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。刻注以下内容：</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①界桩在向河道面喷涂“严禁破坏”(竖排，字规格为50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jc w:val="left"/>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②背河道面喷涂</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严禁移动</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③向河道面面左侧面从上至下分别刻注水利标志(蓝色，</w:t>
      </w:r>
      <w:r>
        <w:rPr>
          <w:rFonts w:hint="default" w:ascii="Times New Roman" w:hAnsi="Times New Roman" w:eastAsia="仿宋_GB2312" w:cs="Times New Roman"/>
          <w:color w:val="auto"/>
          <w:szCs w:val="28"/>
          <w:lang w:val="en-US" w:eastAsia="zh-CN"/>
        </w:rPr>
        <w:t>长50mm×50mm)，</w:t>
      </w:r>
      <w:r>
        <w:rPr>
          <w:rFonts w:hint="default" w:ascii="Times New Roman" w:hAnsi="Times New Roman" w:eastAsia="仿宋_GB2312" w:cs="Times New Roman"/>
          <w:color w:val="auto"/>
          <w:szCs w:val="28"/>
          <w:lang w:val="en-US"/>
        </w:rPr>
        <w:t>河名(红色，字规格为</w:t>
      </w:r>
      <w:r>
        <w:rPr>
          <w:rFonts w:hint="default" w:ascii="Times New Roman" w:hAnsi="Times New Roman" w:eastAsia="仿宋_GB2312" w:cs="Times New Roman"/>
          <w:color w:val="auto"/>
          <w:szCs w:val="28"/>
          <w:lang w:val="en-US" w:eastAsia="zh-CN"/>
        </w:rPr>
        <w:t>50mm×50mm，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河道名称较长时，字高不变</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宽度可适当调整)、管理范围线(蓝色，字规格</w:t>
      </w:r>
      <w:r>
        <w:rPr>
          <w:rFonts w:hint="default" w:ascii="Times New Roman" w:hAnsi="Times New Roman" w:eastAsia="仿宋_GB2312" w:cs="Times New Roman"/>
          <w:color w:val="auto"/>
          <w:szCs w:val="28"/>
          <w:lang w:val="en-US" w:eastAsia="zh-CN"/>
        </w:rPr>
        <w:t>35mm×35mm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，与河道名称行间距</w:t>
      </w:r>
      <w:r>
        <w:rPr>
          <w:rFonts w:hint="default" w:ascii="Times New Roman" w:hAnsi="Times New Roman" w:eastAsia="仿宋_GB2312" w:cs="Times New Roman"/>
          <w:color w:val="auto"/>
          <w:szCs w:val="28"/>
          <w:lang w:val="en-US" w:eastAsia="zh-CN"/>
        </w:rPr>
        <w:t>20mm)，</w:t>
      </w:r>
      <w:r>
        <w:rPr>
          <w:rFonts w:hint="default" w:ascii="Times New Roman" w:hAnsi="Times New Roman" w:eastAsia="仿宋_GB2312" w:cs="Times New Roman"/>
          <w:color w:val="auto"/>
          <w:szCs w:val="28"/>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，行间距10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④在向河道面面右侧面刻注“</w:t>
      </w:r>
      <w:r>
        <w:rPr>
          <w:rFonts w:hint="default" w:ascii="Times New Roman" w:hAnsi="Times New Roman" w:eastAsia="仿宋_GB2312" w:cs="Times New Roman"/>
          <w:color w:val="auto"/>
          <w:szCs w:val="28"/>
          <w:lang w:val="zh-CN" w:eastAsia="zh-CN"/>
        </w:rPr>
        <w:t>XX</w:t>
      </w:r>
      <w:r>
        <w:rPr>
          <w:rFonts w:hint="default" w:ascii="Times New Roman" w:hAnsi="Times New Roman" w:eastAsia="仿宋_GB2312" w:cs="Times New Roman"/>
          <w:color w:val="auto"/>
          <w:szCs w:val="28"/>
          <w:lang w:val="en-US"/>
        </w:rPr>
        <w:t>县(区)人民政府”，文字采用红色、竖排，字规格为40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，字距顶面20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 xml:space="preserve"> ，字间距5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右下角刻注埋设时间‘"</w:t>
      </w:r>
      <w:r>
        <w:rPr>
          <w:rFonts w:hint="default" w:ascii="Times New Roman" w:hAnsi="Times New Roman" w:eastAsia="仿宋_GB2312" w:cs="Times New Roman"/>
          <w:color w:val="auto"/>
          <w:szCs w:val="28"/>
          <w:lang w:val="en-US" w:eastAsia="zh-CN"/>
        </w:rPr>
        <w:t>xxxx</w:t>
      </w:r>
      <w:r>
        <w:rPr>
          <w:rFonts w:hint="default" w:ascii="Times New Roman" w:hAnsi="Times New Roman" w:eastAsia="仿宋_GB2312" w:cs="Times New Roman"/>
          <w:color w:val="auto"/>
          <w:szCs w:val="28"/>
          <w:lang w:val="en-US"/>
        </w:rPr>
        <w:t>年</w:t>
      </w:r>
      <w:r>
        <w:rPr>
          <w:rFonts w:hint="default" w:ascii="Times New Roman" w:hAnsi="Times New Roman" w:eastAsia="仿宋_GB2312" w:cs="Times New Roman"/>
          <w:color w:val="auto"/>
          <w:szCs w:val="28"/>
          <w:lang w:val="en-US" w:eastAsia="zh-CN"/>
        </w:rPr>
        <w:t>xx</w:t>
      </w:r>
      <w:r>
        <w:rPr>
          <w:rFonts w:hint="default" w:ascii="Times New Roman" w:hAnsi="Times New Roman" w:eastAsia="仿宋_GB2312" w:cs="Times New Roman"/>
          <w:color w:val="auto"/>
          <w:szCs w:val="28"/>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⑤一般管理界桩盖顶刷亮蓝色，公共界桩界桩顶部采用红色油漆喷涂，厚度15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⑥</w:t>
      </w:r>
      <w:r>
        <w:rPr>
          <w:rFonts w:hint="default" w:ascii="Times New Roman" w:hAnsi="Times New Roman" w:eastAsia="仿宋_GB2312" w:cs="Times New Roman"/>
          <w:color w:val="auto"/>
          <w:szCs w:val="28"/>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⑦</w:t>
      </w:r>
      <w:r>
        <w:rPr>
          <w:rFonts w:hint="default" w:ascii="Times New Roman" w:hAnsi="Times New Roman" w:eastAsia="仿宋_GB2312" w:cs="Times New Roman"/>
          <w:color w:val="auto"/>
          <w:szCs w:val="28"/>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5）</w:t>
      </w:r>
      <w:r>
        <w:rPr>
          <w:rFonts w:hint="default" w:ascii="Times New Roman" w:hAnsi="Times New Roman" w:eastAsia="仿宋_GB2312" w:cs="Times New Roman"/>
          <w:color w:val="auto"/>
          <w:szCs w:val="28"/>
          <w:lang w:val="en-US"/>
        </w:rPr>
        <w:t>制作材料：钢筋混凝土预制、青石料或大理石，混凝土安装时现浇(混凝土标号不低于</w:t>
      </w:r>
      <w:r>
        <w:rPr>
          <w:rFonts w:hint="default" w:ascii="Times New Roman" w:hAnsi="Times New Roman" w:eastAsia="仿宋_GB2312" w:cs="Times New Roman"/>
          <w:color w:val="auto"/>
          <w:szCs w:val="28"/>
          <w:lang w:val="en-US" w:eastAsia="zh-CN"/>
        </w:rPr>
        <w:t>C</w:t>
      </w:r>
      <w:r>
        <w:rPr>
          <w:rFonts w:hint="default" w:ascii="Times New Roman" w:hAnsi="Times New Roman" w:eastAsia="仿宋_GB2312" w:cs="Times New Roman"/>
          <w:color w:val="auto"/>
          <w:szCs w:val="28"/>
          <w:lang w:val="en-US"/>
        </w:rPr>
        <w:t>20)，采用混凝土材料时，需外喷仿花岗岩外墙漆，并在四角配置四根长度700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以上的直径12钢筋。</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6）</w:t>
      </w:r>
      <w:r>
        <w:rPr>
          <w:rFonts w:hint="default" w:ascii="Times New Roman" w:hAnsi="Times New Roman" w:eastAsia="仿宋_GB2312" w:cs="Times New Roman"/>
          <w:color w:val="auto"/>
          <w:szCs w:val="28"/>
          <w:lang w:val="en-US"/>
        </w:rPr>
        <w:t>埋设要求：地面以下600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地上露出400mm,周围用泥土填筑密实。界桩安装埋设点为坚硬岩石基础时，可直接开凿基坑，将界桩桩体镶嵌于岩石基坑内或在岩石上直接雕刻。</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49"/>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界桩结构图</w:t>
      </w:r>
      <w:r>
        <w:rPr>
          <w:rFonts w:hint="default" w:ascii="Times New Roman" w:hAnsi="Times New Roman" w:cs="Times New Roman"/>
          <w:color w:val="auto"/>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0"/>
                    <a:stretch>
                      <a:fillRect/>
                    </a:stretch>
                  </pic:blipFill>
                  <pic:spPr>
                    <a:xfrm>
                      <a:off x="0" y="0"/>
                      <a:ext cx="5676900" cy="49530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1）总体布置原则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lang w:val="en-US" w:eastAsia="zh-CN"/>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lang w:val="en-US" w:eastAsia="zh-CN"/>
        </w:rPr>
        <w:t>。</w:t>
      </w:r>
    </w:p>
    <w:p>
      <w:pPr>
        <w:numPr>
          <w:ilvl w:val="0"/>
          <w:numId w:val="6"/>
        </w:num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告示牌制作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制作规格：告示牌总宽1600mm，高2300mm(地面以上)，其中面板尺寸1500mm</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l000mm(宽</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高)。告示牌采用蓝底白字，落款为</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rPr>
        <w:t>XXX</w:t>
      </w:r>
      <w:r>
        <w:rPr>
          <w:rFonts w:hint="default" w:ascii="Times New Roman" w:hAnsi="Times New Roman" w:eastAsia="仿宋_GB2312" w:cs="Times New Roman"/>
          <w:color w:val="auto"/>
          <w:szCs w:val="28"/>
          <w:lang w:val="en-US"/>
        </w:rPr>
        <w:t>县(区、市)人民政府</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埋设要求：告示牌立柱管埋入地下400mm</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四周浇筑600</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600mm的C20砼底座固定。</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一般告示牌在城市规划区不少于3处，乡镇规划区不少于1处，告示牌应尽量设置在穿越城镇规划区上下游、重要下河通道（车行通道）、人口密集或人流聚集地点河岸。</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1"/>
                    <a:stretch>
                      <a:fillRect/>
                    </a:stretch>
                  </pic:blipFill>
                  <pic:spPr>
                    <a:xfrm>
                      <a:off x="0" y="0"/>
                      <a:ext cx="5295900" cy="498157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6</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告示牌正面示意图</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2"/>
                    <a:stretch>
                      <a:fillRect/>
                    </a:stretch>
                  </pic:blipFill>
                  <pic:spPr>
                    <a:xfrm>
                      <a:off x="0" y="0"/>
                      <a:ext cx="5486400" cy="511492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告示牌背面示意图</w:t>
      </w:r>
    </w:p>
    <w:p>
      <w:pPr>
        <w:pStyle w:val="3"/>
        <w:rPr>
          <w:rFonts w:hint="default" w:ascii="Times New Roman" w:hAnsi="Times New Roman" w:cs="Times New Roman"/>
          <w:color w:val="auto"/>
        </w:rPr>
      </w:pPr>
      <w:bookmarkStart w:id="57" w:name="_Toc21992"/>
      <w:bookmarkStart w:id="58" w:name="_Toc2512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lang w:val="en-US" w:eastAsia="zh-CN"/>
        </w:rPr>
      </w:pPr>
      <w:bookmarkStart w:id="59" w:name="_Toc1960"/>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cs="Times New Roman"/>
          <w:color w:val="auto"/>
        </w:rPr>
      </w:pPr>
      <w:bookmarkStart w:id="60" w:name="_Toc8887"/>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bookmarkEnd w:id="59"/>
      <w:bookmarkEnd w:id="6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3"/>
        <w:rPr>
          <w:rFonts w:hint="default" w:ascii="Times New Roman" w:hAnsi="Times New Roman" w:cs="Times New Roman"/>
          <w:bCs w:val="0"/>
          <w:color w:val="auto"/>
          <w:lang w:val="en-US"/>
        </w:rPr>
      </w:pPr>
      <w:bookmarkStart w:id="61" w:name="_Toc7685"/>
      <w:bookmarkStart w:id="62" w:name="_Toc24337"/>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bookmarkEnd w:id="61"/>
      <w:bookmarkEnd w:id="62"/>
    </w:p>
    <w:p>
      <w:pPr>
        <w:pStyle w:val="4"/>
        <w:rPr>
          <w:rFonts w:hint="default" w:ascii="Times New Roman" w:hAnsi="Times New Roman" w:cs="Times New Roman"/>
          <w:color w:val="auto"/>
          <w:spacing w:val="30"/>
          <w:szCs w:val="28"/>
          <w:lang w:val="en-US"/>
        </w:rPr>
      </w:pPr>
      <w:bookmarkStart w:id="63" w:name="_Toc24409"/>
      <w:bookmarkStart w:id="64" w:name="_Toc26251"/>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bookmarkEnd w:id="63"/>
      <w:bookmarkEnd w:id="6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rPr>
        <w:t>结合河流对应的保护人口从而确定工程规模和工程等别，如下表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再根据工程等别确定主要建筑物工程级别，如下表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最后由工程级别确定河湖管理范围划界防洪标准，如下表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.1-3。</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.1-3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eastAsia="en-US"/>
              </w:rPr>
              <w:t>≥1</w:t>
            </w:r>
            <w:r>
              <w:rPr>
                <w:rFonts w:hint="default" w:ascii="Times New Roman" w:hAnsi="Times New Roman" w:eastAsia="仿宋_GB2312" w:cs="Times New Roman"/>
                <w:color w:val="auto"/>
                <w:sz w:val="18"/>
                <w:szCs w:val="18"/>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≥10且&lt;20</w:t>
            </w:r>
          </w:p>
        </w:tc>
      </w:tr>
    </w:tbl>
    <w:p>
      <w:pPr>
        <w:pStyle w:val="4"/>
        <w:rPr>
          <w:rFonts w:hint="default" w:ascii="Times New Roman" w:hAnsi="Times New Roman" w:cs="Times New Roman"/>
          <w:color w:val="auto"/>
          <w:spacing w:val="30"/>
          <w:szCs w:val="28"/>
          <w:lang w:val="en-US" w:eastAsia="en-US"/>
        </w:rPr>
      </w:pPr>
      <w:bookmarkStart w:id="65" w:name="_Toc14419"/>
      <w:bookmarkStart w:id="66" w:name="_Toc1380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bookmarkEnd w:id="65"/>
      <w:bookmarkEnd w:id="66"/>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车壁塘河永州市祁阳县段</w:t>
      </w:r>
      <w:r>
        <w:rPr>
          <w:rFonts w:hint="default" w:ascii="Times New Roman" w:hAnsi="Times New Roman" w:eastAsia="仿宋_GB2312" w:cs="Times New Roman"/>
          <w:color w:val="auto"/>
          <w:highlight w:val="none"/>
          <w:lang w:val="en-US"/>
        </w:rPr>
        <w:t>长为</w:t>
      </w:r>
      <w:r>
        <w:rPr>
          <w:rFonts w:hint="eastAsia" w:ascii="Times New Roman" w:hAnsi="Times New Roman" w:eastAsia="仿宋_GB2312" w:cs="Times New Roman"/>
          <w:color w:val="auto"/>
          <w:highlight w:val="none"/>
          <w:lang w:val="en-US" w:eastAsia="zh-CN"/>
        </w:rPr>
        <w:t>5.7</w:t>
      </w:r>
      <w:r>
        <w:rPr>
          <w:rFonts w:hint="default" w:ascii="Times New Roman" w:hAnsi="Times New Roman" w:eastAsia="仿宋_GB2312" w:cs="Times New Roman"/>
          <w:color w:val="auto"/>
          <w:highlight w:val="none"/>
          <w:lang w:val="en-US"/>
        </w:rPr>
        <w:t>km，</w:t>
      </w:r>
      <w:r>
        <w:rPr>
          <w:rFonts w:hint="default" w:ascii="Times New Roman" w:hAnsi="Times New Roman" w:eastAsia="仿宋_GB2312" w:cs="Times New Roman"/>
          <w:color w:val="auto"/>
          <w:szCs w:val="28"/>
          <w:lang w:val="en-US" w:eastAsia="zh-CN"/>
        </w:rPr>
        <w:t>祁阳境内起止位置为清太村河口～夏江口</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车壁塘河祁阳县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车壁塘河永州市祁阳县段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FFFFFF"/>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2823" w:type="dxa"/>
            <w:tcBorders>
              <w:tl2br w:val="nil"/>
              <w:tr2bl w:val="nil"/>
            </w:tcBorders>
            <w:vAlign w:val="center"/>
          </w:tcPr>
          <w:p>
            <w:pPr>
              <w:pStyle w:val="26"/>
              <w:shd w:val="clear" w:color="auto" w:fill="FFFFFF"/>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清太村河口～夏江口</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5.7</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3"/>
        <w:rPr>
          <w:rFonts w:hint="default" w:ascii="Times New Roman" w:hAnsi="Times New Roman" w:cs="Times New Roman"/>
          <w:bCs w:val="0"/>
          <w:color w:val="auto"/>
          <w:lang w:val="en-US"/>
        </w:rPr>
      </w:pPr>
      <w:bookmarkStart w:id="67" w:name="_Toc10656"/>
      <w:bookmarkStart w:id="68" w:name="_Toc29297"/>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bookmarkEnd w:id="67"/>
      <w:bookmarkEnd w:id="6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lang w:val="en-US"/>
        </w:rPr>
        <w:t>。依据河段现状基本情况，河湖管理范围划定主要分为三大类：有堤防、无堤防、特殊情况。</w:t>
      </w:r>
    </w:p>
    <w:p>
      <w:pPr>
        <w:pStyle w:val="3"/>
        <w:rPr>
          <w:rFonts w:hint="default" w:ascii="Times New Roman" w:hAnsi="Times New Roman" w:cs="Times New Roman"/>
          <w:bCs w:val="0"/>
          <w:color w:val="auto"/>
        </w:rPr>
      </w:pPr>
      <w:bookmarkStart w:id="69" w:name="_Toc24863"/>
      <w:bookmarkStart w:id="70" w:name="_Toc12156"/>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bookmarkEnd w:id="69"/>
      <w:bookmarkEnd w:id="70"/>
    </w:p>
    <w:p>
      <w:pPr>
        <w:pStyle w:val="4"/>
        <w:rPr>
          <w:rFonts w:hint="default" w:ascii="Times New Roman" w:hAnsi="Times New Roman" w:cs="Times New Roman"/>
          <w:color w:val="auto"/>
          <w:lang w:val="en-US"/>
        </w:rPr>
      </w:pPr>
      <w:bookmarkStart w:id="71" w:name="_Toc14701"/>
      <w:bookmarkStart w:id="72" w:name="_Toc10125"/>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.3.1  河湖管理范围划界总体原则</w:t>
      </w:r>
      <w:bookmarkEnd w:id="71"/>
      <w:bookmarkEnd w:id="72"/>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0"/>
          <w:lang w:val="en-US"/>
        </w:rPr>
        <w:t>2）对于特别重要的堤防工程或重点险工险段，根据工程安全和</w:t>
      </w:r>
      <w:r>
        <w:rPr>
          <w:rFonts w:hint="default" w:ascii="Times New Roman" w:hAnsi="Times New Roman" w:eastAsia="仿宋_GB2312" w:cs="Times New Roman"/>
          <w:color w:val="auto"/>
        </w:rPr>
        <w:t>管理运行需要，可适当扩大护堤地范围。</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4"/>
        <w:rPr>
          <w:rFonts w:hint="default" w:ascii="Times New Roman" w:hAnsi="Times New Roman" w:cs="Times New Roman"/>
          <w:color w:val="auto"/>
          <w:lang w:val="en-US"/>
        </w:rPr>
      </w:pPr>
      <w:bookmarkStart w:id="73" w:name="_Toc23642"/>
      <w:bookmarkStart w:id="74" w:name="_Toc4397"/>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.3.2  有堤防</w:t>
      </w:r>
      <w:r>
        <w:rPr>
          <w:rFonts w:hint="eastAsia" w:cs="Times New Roman"/>
          <w:color w:val="auto"/>
          <w:lang w:val="en-US" w:eastAsia="zh-CN"/>
        </w:rPr>
        <w:t>河段</w:t>
      </w:r>
      <w:r>
        <w:rPr>
          <w:rFonts w:hint="default" w:ascii="Times New Roman" w:hAnsi="Times New Roman" w:cs="Times New Roman"/>
          <w:color w:val="auto"/>
          <w:lang w:val="en-US"/>
        </w:rPr>
        <w:t>管理范围线划定</w:t>
      </w:r>
      <w:bookmarkEnd w:id="73"/>
      <w:bookmarkEnd w:id="7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eastAsia="zh-CN"/>
        </w:rPr>
        <w:t>依据《</w:t>
      </w:r>
      <w:r>
        <w:rPr>
          <w:rFonts w:hint="default" w:ascii="Times New Roman" w:hAnsi="Times New Roman" w:eastAsia="仿宋_GB2312" w:cs="Times New Roman"/>
          <w:color w:val="auto"/>
          <w:lang w:val="en-US" w:eastAsia="zh-CN"/>
        </w:rPr>
        <w:t>中华人民共和国河道管理条例</w:t>
      </w:r>
      <w:r>
        <w:rPr>
          <w:rFonts w:hint="default" w:ascii="Times New Roman" w:hAnsi="Times New Roman" w:eastAsia="仿宋_GB2312" w:cs="Times New Roman"/>
          <w:color w:val="auto"/>
          <w:lang w:eastAsia="zh-CN"/>
        </w:rPr>
        <w:t>》及</w:t>
      </w:r>
      <w:r>
        <w:rPr>
          <w:rFonts w:hint="default" w:ascii="Times New Roman" w:hAnsi="Times New Roman" w:eastAsia="仿宋_GB2312" w:cs="Times New Roman"/>
          <w:color w:val="auto"/>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lang w:val="en-US"/>
        </w:rPr>
        <w:t>.3-1。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lang w:val="en-US" w:eastAsia="en-US"/>
              </w:rPr>
            </w:pPr>
            <w:r>
              <w:rPr>
                <w:rFonts w:hint="default" w:ascii="Times New Roman" w:hAnsi="Times New Roman" w:eastAsia="仿宋_GB2312" w:cs="Times New Roman"/>
                <w:color w:val="auto"/>
                <w:sz w:val="21"/>
                <w:szCs w:val="21"/>
                <w:lang w:val="en-US" w:eastAsia="en-US"/>
              </w:rPr>
              <w:t>10～5</w:t>
            </w:r>
          </w:p>
        </w:tc>
      </w:tr>
    </w:tbl>
    <w:p>
      <w:pPr>
        <w:spacing w:line="360" w:lineRule="auto"/>
        <w:ind w:firstLine="560" w:firstLineChars="200"/>
        <w:rPr>
          <w:rFonts w:hint="default" w:ascii="Times New Roman" w:hAnsi="Times New Roman" w:eastAsia="仿宋_GB2312" w:cs="Times New Roman"/>
          <w:b/>
          <w:bCs/>
          <w:color w:val="auto"/>
          <w:sz w:val="24"/>
          <w:szCs w:val="24"/>
          <w:highlight w:val="yellow"/>
          <w:lang w:val="en-US"/>
        </w:rPr>
      </w:pPr>
      <w:r>
        <w:rPr>
          <w:rFonts w:hint="default" w:ascii="Times New Roman" w:hAnsi="Times New Roman" w:eastAsia="仿宋_GB2312" w:cs="Times New Roman"/>
          <w:color w:val="auto"/>
          <w:highlight w:val="none"/>
          <w:lang w:eastAsia="zh-CN"/>
        </w:rPr>
        <w:t>同时，</w:t>
      </w:r>
      <w:r>
        <w:rPr>
          <w:rFonts w:hint="default" w:ascii="Times New Roman" w:hAnsi="Times New Roman" w:eastAsia="仿宋_GB2312" w:cs="Times New Roman"/>
          <w:color w:val="auto"/>
          <w:highlight w:val="none"/>
          <w:lang w:val="en-US" w:eastAsia="zh-CN"/>
        </w:rPr>
        <w:t>《湖南省实施&lt;中华人民共和国水法&gt;》（第十六条）中第十六条明确规定“</w:t>
      </w:r>
      <w:r>
        <w:rPr>
          <w:rFonts w:hint="default" w:ascii="Times New Roman" w:hAnsi="Times New Roman" w:eastAsia="仿宋_GB2312" w:cs="Times New Roman"/>
          <w:color w:val="auto"/>
          <w:highlight w:val="none"/>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eastAsia="zh-CN"/>
        </w:rPr>
        <w:t>。依据以上原则并结合祁阳县实际情况，此次祁阳县划定标准为现有</w:t>
      </w:r>
      <w:r>
        <w:rPr>
          <w:rFonts w:hint="eastAsia" w:eastAsia="仿宋_GB2312" w:cs="Times New Roman"/>
          <w:color w:val="auto"/>
          <w:highlight w:val="none"/>
          <w:lang w:eastAsia="zh-CN"/>
        </w:rPr>
        <w:t>达标</w:t>
      </w:r>
      <w:r>
        <w:rPr>
          <w:rFonts w:hint="default" w:ascii="Times New Roman" w:hAnsi="Times New Roman" w:eastAsia="仿宋_GB2312" w:cs="Times New Roman"/>
          <w:color w:val="auto"/>
          <w:highlight w:val="none"/>
          <w:lang w:eastAsia="zh-CN"/>
        </w:rPr>
        <w:t>堤防和规划防洪堤（经县级以上人民政府批复的防洪规划，其堤防设计可作为划线依据）</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按堤防背水坡脚向外水平延伸</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eastAsia="zh-CN"/>
        </w:rPr>
        <w:t>0m划定，经过城镇段（居民集中段）的堤段不少于</w:t>
      </w:r>
      <w:r>
        <w:rPr>
          <w:rFonts w:hint="eastAsia" w:eastAsia="仿宋_GB2312" w:cs="Times New Roman"/>
          <w:color w:val="auto"/>
          <w:highlight w:val="none"/>
          <w:lang w:val="en-US" w:eastAsia="zh-CN"/>
        </w:rPr>
        <w:t>10</w:t>
      </w:r>
      <w:r>
        <w:rPr>
          <w:rFonts w:hint="default" w:ascii="Times New Roman" w:hAnsi="Times New Roman" w:eastAsia="仿宋_GB2312" w:cs="Times New Roman"/>
          <w:color w:val="auto"/>
          <w:highlight w:val="none"/>
          <w:lang w:val="en-US" w:eastAsia="zh-CN"/>
        </w:rPr>
        <w:t>m。</w:t>
      </w:r>
    </w:p>
    <w:p>
      <w:pPr>
        <w:pStyle w:val="4"/>
        <w:rPr>
          <w:rFonts w:hint="default" w:ascii="Times New Roman" w:hAnsi="Times New Roman" w:cs="Times New Roman"/>
          <w:color w:val="auto"/>
          <w:lang w:val="en-US" w:eastAsia="zh-CN"/>
        </w:rPr>
      </w:pPr>
      <w:bookmarkStart w:id="75" w:name="_Toc31379"/>
      <w:bookmarkStart w:id="76" w:name="_Toc16099"/>
      <w:r>
        <w:rPr>
          <w:rFonts w:hint="default" w:ascii="Times New Roman" w:hAnsi="Times New Roman" w:cs="Times New Roman"/>
          <w:color w:val="auto"/>
          <w:lang w:val="en-US" w:eastAsia="zh-CN"/>
        </w:rPr>
        <w:t>5.3.</w:t>
      </w:r>
      <w:r>
        <w:rPr>
          <w:rFonts w:hint="eastAsia" w:cs="Times New Roman"/>
          <w:color w:val="auto"/>
          <w:lang w:val="en-US" w:eastAsia="zh-CN"/>
        </w:rPr>
        <w:t>3</w:t>
      </w:r>
      <w:r>
        <w:rPr>
          <w:rFonts w:hint="default" w:ascii="Times New Roman" w:hAnsi="Times New Roman" w:cs="Times New Roman"/>
          <w:color w:val="auto"/>
          <w:lang w:val="en-US" w:eastAsia="zh-CN"/>
        </w:rPr>
        <w:t xml:space="preserve"> 无堤防段</w:t>
      </w:r>
      <w:r>
        <w:rPr>
          <w:rFonts w:hint="eastAsia" w:cs="Times New Roman"/>
          <w:color w:val="auto"/>
          <w:lang w:val="en-US" w:eastAsia="zh-CN"/>
        </w:rPr>
        <w:t>河段</w:t>
      </w:r>
      <w:r>
        <w:rPr>
          <w:rFonts w:hint="default" w:ascii="Times New Roman" w:hAnsi="Times New Roman" w:cs="Times New Roman"/>
          <w:color w:val="auto"/>
          <w:lang w:val="en-US" w:eastAsia="zh-CN"/>
        </w:rPr>
        <w:t>管理范围线划定</w:t>
      </w:r>
      <w:bookmarkEnd w:id="75"/>
      <w:bookmarkEnd w:id="76"/>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w:t>
      </w:r>
      <w:r>
        <w:rPr>
          <w:rFonts w:hint="default" w:ascii="Times New Roman" w:hAnsi="Times New Roman" w:eastAsia="仿宋_GB2312" w:cs="Times New Roman"/>
          <w:color w:val="auto"/>
          <w:spacing w:val="0"/>
          <w:sz w:val="28"/>
          <w:szCs w:val="24"/>
          <w:highlight w:val="none"/>
          <w:lang w:val="en-US" w:eastAsia="zh-CN" w:bidi="zh-CN"/>
        </w:rPr>
        <w:t>）总体原则</w:t>
      </w:r>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w:t>
      </w:r>
      <w:r>
        <w:rPr>
          <w:rFonts w:hint="default" w:ascii="Times New Roman" w:hAnsi="Times New Roman" w:eastAsia="仿宋_GB2312" w:cs="Times New Roman"/>
          <w:color w:val="auto"/>
          <w:highlight w:val="none"/>
          <w:lang w:val="en-US"/>
        </w:rPr>
        <w:t>无堤防的河道、湖泊管理范围界线应为设计洪水位或历史最高洪水位线，划界设计洪水标准按防洪规划确定，无防洪规划的按《防洪标准》（</w:t>
      </w:r>
      <w:r>
        <w:rPr>
          <w:rFonts w:hint="default" w:ascii="Times New Roman" w:hAnsi="Times New Roman" w:eastAsia="仿宋_GB2312" w:cs="Times New Roman"/>
          <w:color w:val="auto"/>
          <w:highlight w:val="none"/>
          <w:lang w:val="en-US" w:eastAsia="zh-CN"/>
        </w:rPr>
        <w:t>GB</w:t>
      </w:r>
      <w:r>
        <w:rPr>
          <w:rFonts w:hint="default" w:ascii="Times New Roman" w:hAnsi="Times New Roman" w:eastAsia="仿宋_GB2312"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w:t>
      </w:r>
      <w:r>
        <w:rPr>
          <w:rFonts w:hint="eastAsia" w:eastAsia="仿宋_GB2312" w:cs="Times New Roman"/>
          <w:color w:val="auto"/>
          <w:highlight w:val="none"/>
          <w:lang w:val="en-US" w:eastAsia="zh-CN"/>
        </w:rPr>
        <w:t>无堤防段</w:t>
      </w:r>
      <w:r>
        <w:rPr>
          <w:rFonts w:hint="default" w:ascii="Times New Roman" w:hAnsi="Times New Roman" w:eastAsia="仿宋_GB2312" w:cs="Times New Roman"/>
          <w:color w:val="auto"/>
          <w:highlight w:val="none"/>
          <w:lang w:val="en-US"/>
        </w:rPr>
        <w:t>的河湖管理范围线划定</w:t>
      </w:r>
    </w:p>
    <w:p>
      <w:pPr>
        <w:spacing w:line="360" w:lineRule="auto"/>
        <w:ind w:firstLine="560" w:firstLineChars="200"/>
        <w:rPr>
          <w:rFonts w:hint="default" w:ascii="Times New Roman" w:hAnsi="Times New Roman" w:eastAsia="仿宋_GB2312" w:cs="Times New Roman"/>
          <w:color w:val="auto"/>
          <w:highlight w:val="none"/>
        </w:rPr>
      </w:pPr>
      <w:r>
        <w:rPr>
          <w:rFonts w:hint="default" w:eastAsia="仿宋_GB2312" w:cs="Times New Roman"/>
          <w:color w:val="auto"/>
          <w:lang w:val="en-US" w:eastAsia="zh-CN"/>
        </w:rPr>
        <w:t>根据《《中华人民共和国河道管理条例》》第二十条，无堤防的河道，</w:t>
      </w:r>
      <w:r>
        <w:rPr>
          <w:rFonts w:hint="eastAsia" w:eastAsia="仿宋_GB2312" w:cs="Times New Roman"/>
          <w:color w:val="auto"/>
          <w:lang w:val="en-US" w:eastAsia="zh-CN"/>
        </w:rPr>
        <w:t>其管理范围根据历史最高洪水位或者设计洪水位确定</w:t>
      </w:r>
      <w:r>
        <w:rPr>
          <w:rFonts w:hint="default" w:ascii="Times New Roman" w:hAnsi="Times New Roman" w:eastAsia="仿宋_GB2312" w:cs="Times New Roman"/>
          <w:color w:val="auto"/>
          <w:highlight w:val="none"/>
        </w:rPr>
        <w:t>。</w:t>
      </w:r>
    </w:p>
    <w:p>
      <w:pPr>
        <w:spacing w:line="360" w:lineRule="auto"/>
        <w:ind w:firstLine="560" w:firstLineChars="200"/>
        <w:rPr>
          <w:rFonts w:hint="default" w:ascii="Times New Roman" w:hAnsi="Times New Roman" w:eastAsia="仿宋_GB2312" w:cs="Times New Roman"/>
          <w:color w:val="auto"/>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rPr>
          <w:color w:val="auto"/>
        </w:rP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3"/>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-3</w:t>
      </w:r>
      <w:r>
        <w:rPr>
          <w:rFonts w:hint="default" w:ascii="Times New Roman" w:hAnsi="Times New Roman" w:eastAsia="仿宋_GB2312" w:cs="Times New Roman"/>
          <w:b/>
          <w:bCs/>
          <w:color w:val="auto"/>
          <w:sz w:val="24"/>
          <w:szCs w:val="24"/>
          <w:highlight w:val="none"/>
          <w:lang w:val="en-US"/>
        </w:rPr>
        <w:t xml:space="preserve"> </w:t>
      </w:r>
      <w:r>
        <w:rPr>
          <w:rFonts w:hint="eastAsia" w:ascii="Times New Roman" w:hAnsi="Times New Roman" w:eastAsia="仿宋_GB2312" w:cs="Times New Roman"/>
          <w:b/>
          <w:bCs/>
          <w:color w:val="auto"/>
          <w:sz w:val="24"/>
          <w:szCs w:val="24"/>
          <w:highlight w:val="none"/>
          <w:lang w:val="en-US" w:eastAsia="zh-CN"/>
        </w:rPr>
        <w:t>车壁塘</w:t>
      </w:r>
      <w:r>
        <w:rPr>
          <w:rFonts w:hint="default" w:ascii="Times New Roman" w:hAnsi="Times New Roman" w:eastAsia="仿宋_GB2312" w:cs="Times New Roman"/>
          <w:b/>
          <w:bCs/>
          <w:color w:val="auto"/>
          <w:sz w:val="24"/>
          <w:szCs w:val="24"/>
          <w:highlight w:val="none"/>
          <w:lang w:val="en-US" w:eastAsia="zh-CN"/>
        </w:rPr>
        <w:t>河祁阳县段无堤防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典型断面图图</w:t>
      </w:r>
    </w:p>
    <w:p>
      <w:pPr>
        <w:pStyle w:val="4"/>
        <w:rPr>
          <w:rFonts w:hint="default" w:ascii="Times New Roman" w:hAnsi="Times New Roman" w:eastAsia="仿宋_GB2312" w:cs="Times New Roman"/>
          <w:color w:val="auto"/>
          <w:lang w:eastAsia="zh-CN"/>
        </w:rPr>
      </w:pPr>
      <w:bookmarkStart w:id="77" w:name="_Toc4736"/>
      <w:bookmarkStart w:id="78" w:name="_Toc2101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cs="Times New Roman"/>
          <w:color w:val="auto"/>
          <w:lang w:val="en-US" w:eastAsia="zh-CN"/>
        </w:rPr>
        <w:t>4</w:t>
      </w:r>
      <w:r>
        <w:rPr>
          <w:rFonts w:hint="default" w:ascii="Times New Roman" w:hAnsi="Times New Roman" w:cs="Times New Roman"/>
          <w:color w:val="auto"/>
          <w:lang w:val="en-US"/>
        </w:rPr>
        <w:t xml:space="preserve"> </w:t>
      </w:r>
      <w:r>
        <w:rPr>
          <w:rFonts w:hint="default" w:ascii="Times New Roman" w:hAnsi="Times New Roman" w:cs="Times New Roman"/>
          <w:color w:val="auto"/>
        </w:rPr>
        <w:t>特殊情况</w:t>
      </w:r>
      <w:bookmarkEnd w:id="77"/>
      <w:bookmarkEnd w:id="7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4"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6"/>
        <w:jc w:val="center"/>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szCs w:val="24"/>
          <w:lang w:val="en-US"/>
        </w:rPr>
        <w:t>图</w:t>
      </w:r>
      <w:r>
        <w:rPr>
          <w:rFonts w:hint="default"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rPr>
        <w:t>.3-</w:t>
      </w:r>
      <w:r>
        <w:rPr>
          <w:rFonts w:hint="default" w:ascii="Times New Roman" w:hAnsi="Times New Roman" w:eastAsia="仿宋_GB2312" w:cs="Times New Roman"/>
          <w:b/>
          <w:bCs/>
          <w:color w:val="auto"/>
          <w:sz w:val="24"/>
          <w:szCs w:val="24"/>
          <w:lang w:val="en-US" w:eastAsia="zh-CN"/>
        </w:rPr>
        <w:t>4堤防有缺口、不连续</w:t>
      </w:r>
      <w:r>
        <w:rPr>
          <w:rFonts w:hint="default" w:ascii="Times New Roman" w:hAnsi="Times New Roman" w:eastAsia="仿宋_GB2312" w:cs="Times New Roman"/>
          <w:b/>
          <w:bCs/>
          <w:color w:val="auto"/>
          <w:sz w:val="24"/>
          <w:szCs w:val="24"/>
          <w:lang w:val="en-US"/>
        </w:rPr>
        <w:t>典型断面图</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lang w:val="en-US"/>
        </w:rPr>
        <w:t>）对河势不稳、河槽冲淤变化明显、主流摆动的河段，划定管理范围时应考虑河势演变影响，适当留有佘地。</w:t>
      </w:r>
    </w:p>
    <w:p>
      <w:pPr>
        <w:spacing w:line="360" w:lineRule="auto"/>
        <w:ind w:firstLine="560" w:firstLineChars="200"/>
        <w:rPr>
          <w:rFonts w:hint="eastAsia" w:eastAsia="仿宋_GB2312" w:cs="Times New Roman"/>
          <w:color w:val="auto"/>
          <w:lang w:val="en-US" w:eastAsia="zh-CN"/>
        </w:rPr>
      </w:pPr>
      <w:r>
        <w:rPr>
          <w:rFonts w:hint="default"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）河湖管理范围划界工作政策性很强，依法依规是前提，对于地方出台了地方性规定标准的，按照属地管理原则，可以具体的地方政策法规作为依据，但不能超过相关上位法律法规的</w:t>
      </w:r>
      <w:bookmarkStart w:id="79" w:name="_Toc19225"/>
      <w:r>
        <w:rPr>
          <w:rFonts w:hint="eastAsia" w:eastAsia="仿宋_GB2312" w:cs="Times New Roman"/>
          <w:color w:val="auto"/>
          <w:lang w:val="en-US" w:eastAsia="zh-CN"/>
        </w:rPr>
        <w:t>标准。</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560" w:firstLineChars="200"/>
        <w:jc w:val="left"/>
        <w:textAlignment w:val="auto"/>
        <w:rPr>
          <w:rFonts w:hint="default" w:ascii="Times New Roman" w:hAnsi="Times New Roman" w:eastAsia="仿宋_GB2312" w:cs="Times New Roman"/>
          <w:color w:val="auto"/>
          <w:spacing w:val="0"/>
          <w:lang w:val="en-US"/>
        </w:rPr>
      </w:pPr>
      <w:r>
        <w:rPr>
          <w:rFonts w:hint="eastAsia" w:ascii="Times New Roman" w:hAnsi="Times New Roman" w:eastAsia="仿宋_GB2312" w:cs="Times New Roman"/>
          <w:color w:val="auto"/>
          <w:spacing w:val="0"/>
          <w:lang w:val="en-US" w:eastAsia="zh-CN"/>
        </w:rPr>
        <w:t>8</w:t>
      </w:r>
      <w:r>
        <w:rPr>
          <w:rFonts w:hint="default" w:ascii="Times New Roman" w:hAnsi="Times New Roman" w:eastAsia="仿宋_GB2312" w:cs="Times New Roman"/>
          <w:color w:val="auto"/>
          <w:spacing w:val="0"/>
          <w:lang w:val="en-US"/>
        </w:rPr>
        <w:t>）</w:t>
      </w:r>
      <w:r>
        <w:rPr>
          <w:rFonts w:hint="eastAsia" w:ascii="Times New Roman" w:hAnsi="Times New Roman" w:eastAsia="仿宋_GB2312" w:cs="Times New Roman"/>
          <w:color w:val="auto"/>
          <w:spacing w:val="0"/>
          <w:lang w:val="en-US" w:eastAsia="zh-CN"/>
        </w:rPr>
        <w:t>根据《水闸工程管理设计规范(SL170-96)》，闸坝等水利工程</w:t>
      </w:r>
      <w:r>
        <w:rPr>
          <w:rFonts w:hint="default" w:ascii="Times New Roman" w:hAnsi="Times New Roman" w:eastAsia="仿宋_GB2312" w:cs="Times New Roman"/>
          <w:color w:val="auto"/>
          <w:spacing w:val="0"/>
          <w:lang w:val="en-US"/>
        </w:rPr>
        <w:t>两端向外延伸50米，河床、河堤护砌线末端向上下游各延伸</w:t>
      </w:r>
      <w:r>
        <w:rPr>
          <w:rFonts w:hint="eastAsia"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00米为</w:t>
      </w:r>
      <w:r>
        <w:rPr>
          <w:rFonts w:hint="eastAsia" w:ascii="Times New Roman" w:hAnsi="Times New Roman" w:eastAsia="仿宋_GB2312" w:cs="Times New Roman"/>
          <w:color w:val="auto"/>
          <w:spacing w:val="0"/>
          <w:lang w:val="en-US" w:eastAsia="zh-CN"/>
        </w:rPr>
        <w:t>管理</w:t>
      </w:r>
      <w:r>
        <w:rPr>
          <w:rFonts w:hint="default" w:ascii="Times New Roman" w:hAnsi="Times New Roman" w:eastAsia="仿宋_GB2312" w:cs="Times New Roman"/>
          <w:color w:val="auto"/>
          <w:spacing w:val="0"/>
          <w:lang w:val="en-US"/>
        </w:rPr>
        <w:t>范围。</w:t>
      </w:r>
    </w:p>
    <w:p>
      <w:pPr>
        <w:spacing w:line="360" w:lineRule="auto"/>
        <w:ind w:firstLine="560" w:firstLineChars="200"/>
        <w:rPr>
          <w:rFonts w:hint="eastAsia" w:eastAsia="仿宋_GB2312" w:cs="Times New Roman"/>
          <w:color w:val="auto"/>
          <w:lang w:val="en-US" w:eastAsia="zh-CN"/>
        </w:rPr>
      </w:pPr>
    </w:p>
    <w:p>
      <w:pPr>
        <w:spacing w:line="360" w:lineRule="auto"/>
        <w:ind w:firstLine="560" w:firstLineChars="200"/>
        <w:rPr>
          <w:rFonts w:hint="eastAsia" w:eastAsia="仿宋_GB2312" w:cs="Times New Roman"/>
          <w:color w:val="auto"/>
          <w:lang w:val="en-US" w:eastAsia="zh-CN"/>
        </w:rPr>
        <w:sectPr>
          <w:headerReference r:id="rId14" w:type="first"/>
          <w:footerReference r:id="rId16" w:type="first"/>
          <w:headerReference r:id="rId13" w:type="default"/>
          <w:footerReference r:id="rId15"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3"/>
        <w:rPr>
          <w:rFonts w:hint="default" w:ascii="Times New Roman" w:hAnsi="Times New Roman" w:cs="Times New Roman"/>
          <w:color w:val="auto"/>
          <w:lang w:val="en-US"/>
        </w:rPr>
      </w:pPr>
      <w:bookmarkStart w:id="80" w:name="_Toc20993"/>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车壁塘河永州市祁阳县</w:t>
      </w:r>
      <w:r>
        <w:rPr>
          <w:rFonts w:hint="default" w:ascii="Times New Roman" w:hAnsi="Times New Roman" w:cs="Times New Roman"/>
          <w:color w:val="auto"/>
          <w:lang w:val="en-US"/>
        </w:rPr>
        <w:t>段河湖管理范围线划定标准成果</w:t>
      </w:r>
      <w:bookmarkEnd w:id="79"/>
      <w:bookmarkEnd w:id="8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按以上划定原则与相关设计洪水位值，对</w:t>
      </w:r>
      <w:r>
        <w:rPr>
          <w:rFonts w:hint="default" w:ascii="Times New Roman" w:hAnsi="Times New Roman" w:eastAsia="仿宋_GB2312" w:cs="Times New Roman"/>
          <w:color w:val="auto"/>
          <w:lang w:val="en-US" w:eastAsia="zh-CN"/>
        </w:rPr>
        <w:t>车壁塘河祁阳县</w:t>
      </w:r>
      <w:r>
        <w:rPr>
          <w:rFonts w:hint="default" w:ascii="Times New Roman" w:hAnsi="Times New Roman" w:eastAsia="仿宋_GB2312" w:cs="Times New Roman"/>
          <w:color w:val="auto"/>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val="en-US"/>
        </w:rPr>
        <w:t>。</w:t>
      </w:r>
    </w:p>
    <w:p>
      <w:pPr>
        <w:pStyle w:val="6"/>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说明：1）起点和终点填写河道里程数和点位坐标，其中，河道里程数为从下游至上游的河流中心线长度，下游与本县级行政区划交界处里程为0km。</w:t>
      </w:r>
    </w:p>
    <w:p>
      <w:pPr>
        <w:pStyle w:val="6"/>
        <w:keepNext w:val="0"/>
        <w:keepLines w:val="0"/>
        <w:pageBreakBefore w:val="0"/>
        <w:widowControl w:val="0"/>
        <w:numPr>
          <w:ilvl w:val="0"/>
          <w:numId w:val="7"/>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表中坐标系统：2000国家大地坐标系，高斯投影，标准3度分带；高程系统：1985国家高程基准。</w:t>
      </w:r>
    </w:p>
    <w:p>
      <w:pPr>
        <w:pStyle w:val="6"/>
        <w:keepNext w:val="0"/>
        <w:keepLines w:val="0"/>
        <w:pageBreakBefore w:val="0"/>
        <w:widowControl w:val="0"/>
        <w:numPr>
          <w:ilvl w:val="0"/>
          <w:numId w:val="7"/>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类别可分为有堤防、无堤防、水利工程。</w:t>
      </w:r>
    </w:p>
    <w:p>
      <w:pPr>
        <w:pStyle w:val="6"/>
        <w:keepNext w:val="0"/>
        <w:keepLines w:val="0"/>
        <w:pageBreakBefore w:val="0"/>
        <w:widowControl w:val="0"/>
        <w:numPr>
          <w:ilvl w:val="0"/>
          <w:numId w:val="7"/>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lang w:val="en-US" w:eastAsia="zh-CN" w:bidi="zh-CN"/>
        </w:rPr>
        <w:t>河段属性可分为城镇河段、农村河段。</w:t>
      </w:r>
    </w:p>
    <w:p>
      <w:pPr>
        <w:jc w:val="left"/>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车壁塘河永州市祁阳县</w:t>
      </w:r>
      <w:r>
        <w:rPr>
          <w:rFonts w:hint="default" w:ascii="Times New Roman" w:hAnsi="Times New Roman" w:eastAsia="仿宋_GB2312" w:cs="Times New Roman"/>
          <w:b/>
          <w:bCs/>
          <w:color w:val="auto"/>
          <w:sz w:val="24"/>
          <w:lang w:val="en-US"/>
        </w:rPr>
        <w:t>段</w:t>
      </w:r>
      <w:r>
        <w:rPr>
          <w:rFonts w:hint="eastAsia" w:ascii="Times New Roman" w:hAnsi="Times New Roman" w:eastAsia="仿宋_GB2312" w:cs="Times New Roman"/>
          <w:b/>
          <w:bCs/>
          <w:color w:val="auto"/>
          <w:sz w:val="24"/>
          <w:lang w:val="en-US" w:eastAsia="zh-CN"/>
        </w:rPr>
        <w:t>左</w:t>
      </w:r>
      <w:r>
        <w:rPr>
          <w:rFonts w:hint="default" w:ascii="Times New Roman" w:hAnsi="Times New Roman" w:eastAsia="仿宋_GB2312" w:cs="Times New Roman"/>
          <w:b/>
          <w:bCs/>
          <w:color w:val="auto"/>
          <w:sz w:val="24"/>
          <w:lang w:val="en-US"/>
        </w:rPr>
        <w:t>岸河湖管理范围线划定标准成果表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90"/>
        <w:gridCol w:w="577"/>
        <w:gridCol w:w="889"/>
        <w:gridCol w:w="974"/>
        <w:gridCol w:w="984"/>
        <w:gridCol w:w="894"/>
        <w:gridCol w:w="974"/>
        <w:gridCol w:w="984"/>
        <w:gridCol w:w="894"/>
        <w:gridCol w:w="1070"/>
        <w:gridCol w:w="1120"/>
        <w:gridCol w:w="2248"/>
        <w:gridCol w:w="11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75" w:hRule="atLeast"/>
        </w:trPr>
        <w:tc>
          <w:tcPr>
            <w:tcW w:w="1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21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类别</w:t>
            </w:r>
          </w:p>
        </w:tc>
        <w:tc>
          <w:tcPr>
            <w:tcW w:w="1070"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72"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33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河段属性</w:t>
            </w:r>
          </w:p>
        </w:tc>
        <w:tc>
          <w:tcPr>
            <w:tcW w:w="40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依据</w:t>
            </w:r>
          </w:p>
        </w:tc>
        <w:tc>
          <w:tcPr>
            <w:tcW w:w="126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划界标准</w:t>
            </w:r>
          </w:p>
        </w:tc>
        <w:tc>
          <w:tcPr>
            <w:tcW w:w="44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8" w:hRule="atLeast"/>
        </w:trPr>
        <w:tc>
          <w:tcPr>
            <w:tcW w:w="1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3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3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3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3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0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2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护堤地范围</w:t>
            </w:r>
          </w:p>
        </w:tc>
        <w:tc>
          <w:tcPr>
            <w:tcW w:w="84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其他标准</w:t>
            </w:r>
          </w:p>
        </w:tc>
        <w:tc>
          <w:tcPr>
            <w:tcW w:w="44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08" w:hRule="atLeast"/>
        </w:trPr>
        <w:tc>
          <w:tcPr>
            <w:tcW w:w="18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3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3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0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2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4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4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980" w:hRule="atLeast"/>
        </w:trPr>
        <w:tc>
          <w:tcPr>
            <w:tcW w:w="1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1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农村无堤防段</w:t>
            </w:r>
          </w:p>
        </w:tc>
        <w:tc>
          <w:tcPr>
            <w:tcW w:w="33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0.00</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583978.072</w:t>
            </w:r>
          </w:p>
        </w:tc>
        <w:tc>
          <w:tcPr>
            <w:tcW w:w="3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2961467.609</w:t>
            </w:r>
          </w:p>
        </w:tc>
        <w:tc>
          <w:tcPr>
            <w:tcW w:w="33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5.7</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587478.888</w:t>
            </w:r>
          </w:p>
        </w:tc>
        <w:tc>
          <w:tcPr>
            <w:tcW w:w="36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2963633.121</w:t>
            </w:r>
          </w:p>
        </w:tc>
        <w:tc>
          <w:tcPr>
            <w:tcW w:w="33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42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4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依设计洪水位并尽量结合线状地物确定管理范围线（防洪标准10年一遇）</w:t>
            </w:r>
          </w:p>
        </w:tc>
        <w:tc>
          <w:tcPr>
            <w:tcW w:w="4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仿宋_GB2312" w:cs="Times New Roman"/>
                <w:i w:val="0"/>
                <w:color w:val="auto"/>
                <w:sz w:val="18"/>
                <w:szCs w:val="18"/>
                <w:u w:val="none"/>
              </w:rPr>
            </w:pPr>
          </w:p>
        </w:tc>
      </w:tr>
    </w:tbl>
    <w:p>
      <w:pPr>
        <w:jc w:val="left"/>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车壁塘河永州市祁阳县</w:t>
      </w:r>
      <w:r>
        <w:rPr>
          <w:rFonts w:hint="default" w:ascii="Times New Roman" w:hAnsi="Times New Roman" w:eastAsia="仿宋_GB2312" w:cs="Times New Roman"/>
          <w:b/>
          <w:bCs/>
          <w:color w:val="auto"/>
          <w:sz w:val="24"/>
          <w:lang w:val="en-US"/>
        </w:rPr>
        <w:t>段</w:t>
      </w:r>
      <w:r>
        <w:rPr>
          <w:rFonts w:hint="eastAsia" w:ascii="Times New Roman" w:hAnsi="Times New Roman" w:eastAsia="仿宋_GB2312" w:cs="Times New Roman"/>
          <w:b/>
          <w:bCs/>
          <w:color w:val="auto"/>
          <w:sz w:val="24"/>
          <w:lang w:val="en-US" w:eastAsia="zh-CN"/>
        </w:rPr>
        <w:t>右</w:t>
      </w:r>
      <w:r>
        <w:rPr>
          <w:rFonts w:hint="default" w:ascii="Times New Roman" w:hAnsi="Times New Roman" w:eastAsia="仿宋_GB2312" w:cs="Times New Roman"/>
          <w:b/>
          <w:bCs/>
          <w:color w:val="auto"/>
          <w:sz w:val="24"/>
          <w:lang w:val="en-US"/>
        </w:rPr>
        <w:t xml:space="preserve">岸河湖管理范围线划定标准成果表  </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92"/>
        <w:gridCol w:w="580"/>
        <w:gridCol w:w="891"/>
        <w:gridCol w:w="974"/>
        <w:gridCol w:w="982"/>
        <w:gridCol w:w="894"/>
        <w:gridCol w:w="974"/>
        <w:gridCol w:w="982"/>
        <w:gridCol w:w="894"/>
        <w:gridCol w:w="1070"/>
        <w:gridCol w:w="1120"/>
        <w:gridCol w:w="2392"/>
        <w:gridCol w:w="10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8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21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类别</w:t>
            </w:r>
          </w:p>
        </w:tc>
        <w:tc>
          <w:tcPr>
            <w:tcW w:w="1070"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71"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33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河段属性</w:t>
            </w:r>
          </w:p>
        </w:tc>
        <w:tc>
          <w:tcPr>
            <w:tcW w:w="40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依据</w:t>
            </w:r>
          </w:p>
        </w:tc>
        <w:tc>
          <w:tcPr>
            <w:tcW w:w="132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划界标准</w:t>
            </w:r>
          </w:p>
        </w:tc>
        <w:tc>
          <w:tcPr>
            <w:tcW w:w="39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8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34"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3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34"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3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0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2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护堤地范围</w:t>
            </w:r>
          </w:p>
        </w:tc>
        <w:tc>
          <w:tcPr>
            <w:tcW w:w="8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其他标准</w:t>
            </w:r>
          </w:p>
        </w:tc>
        <w:tc>
          <w:tcPr>
            <w:tcW w:w="39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18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6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3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3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0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2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9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90" w:hRule="atLeast"/>
        </w:trPr>
        <w:tc>
          <w:tcPr>
            <w:tcW w:w="18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21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农村无堤防段</w:t>
            </w:r>
          </w:p>
        </w:tc>
        <w:tc>
          <w:tcPr>
            <w:tcW w:w="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0.00</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583978.072</w:t>
            </w:r>
          </w:p>
        </w:tc>
        <w:tc>
          <w:tcPr>
            <w:tcW w:w="3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2961467.609</w:t>
            </w:r>
          </w:p>
        </w:tc>
        <w:tc>
          <w:tcPr>
            <w:tcW w:w="33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5.7</w:t>
            </w:r>
          </w:p>
        </w:tc>
        <w:tc>
          <w:tcPr>
            <w:tcW w:w="36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587478.888</w:t>
            </w:r>
          </w:p>
        </w:tc>
        <w:tc>
          <w:tcPr>
            <w:tcW w:w="3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2963633.121</w:t>
            </w:r>
          </w:p>
        </w:tc>
        <w:tc>
          <w:tcPr>
            <w:tcW w:w="33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421"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依设计洪水位并尽量结合线状地物确定管理范围线（防洪标准10年一遇）</w:t>
            </w:r>
          </w:p>
        </w:tc>
        <w:tc>
          <w:tcPr>
            <w:tcW w:w="3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bl>
    <w:p>
      <w:pPr>
        <w:rPr>
          <w:rFonts w:hint="default" w:ascii="Times New Roman" w:hAnsi="Times New Roman" w:eastAsia="仿宋_GB2312" w:cs="Times New Roman"/>
          <w:color w:val="auto"/>
          <w:lang w:val="en-US"/>
        </w:rPr>
      </w:pPr>
    </w:p>
    <w:p>
      <w:pPr>
        <w:pStyle w:val="6"/>
        <w:rPr>
          <w:rFonts w:hint="default" w:ascii="Times New Roman" w:hAnsi="Times New Roman"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rPr>
      </w:pPr>
      <w:bookmarkStart w:id="81" w:name="_Toc24931"/>
      <w:bookmarkStart w:id="82" w:name="_Toc14956"/>
      <w:r>
        <w:rPr>
          <w:rFonts w:hint="default" w:ascii="Times New Roman" w:hAnsi="Times New Roman" w:cs="Times New Roman"/>
          <w:color w:val="auto"/>
          <w:lang w:val="en-US"/>
        </w:rPr>
        <w:t>6 其他相关情况说明</w:t>
      </w:r>
      <w:bookmarkEnd w:id="81"/>
      <w:bookmarkEnd w:id="82"/>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lang w:val="en-US" w:eastAsia="zh-CN" w:bidi="zh-CN"/>
        </w:rPr>
        <w:tab/>
      </w:r>
      <w:r>
        <w:rPr>
          <w:rFonts w:hint="default" w:ascii="Times New Roman" w:hAnsi="Times New Roman" w:eastAsia="仿宋_GB2312" w:cs="Times New Roman"/>
          <w:color w:val="auto"/>
          <w:sz w:val="28"/>
          <w:szCs w:val="24"/>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lang w:val="en-US" w:eastAsia="zh-CN"/>
        </w:rPr>
      </w:pPr>
      <w:bookmarkStart w:id="83" w:name="_Toc23224"/>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val="en-US" w:eastAsia="zh-CN"/>
        </w:rPr>
      </w:pPr>
      <w:bookmarkStart w:id="84" w:name="_Toc19059"/>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附表、附图</w:t>
      </w:r>
      <w:bookmarkEnd w:id="83"/>
      <w:bookmarkEnd w:id="84"/>
    </w:p>
    <w:p>
      <w:pPr>
        <w:pStyle w:val="3"/>
        <w:rPr>
          <w:rFonts w:hint="default" w:ascii="Times New Roman" w:hAnsi="Times New Roman" w:eastAsia="仿宋_GB2312" w:cs="Times New Roman"/>
          <w:color w:val="auto"/>
          <w:lang w:val="en-US" w:eastAsia="zh-CN"/>
        </w:rPr>
      </w:pPr>
      <w:bookmarkStart w:id="85" w:name="_Toc30900"/>
      <w:bookmarkStart w:id="86" w:name="_Toc1230"/>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车壁塘河祁阳县河段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bookmarkEnd w:id="85"/>
      <w:bookmarkEnd w:id="8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按照河湖管理范围划定的原则和标准，</w:t>
      </w:r>
      <w:r>
        <w:rPr>
          <w:rFonts w:hint="default" w:ascii="Times New Roman" w:hAnsi="Times New Roman" w:eastAsia="仿宋_GB2312" w:cs="Times New Roman"/>
          <w:color w:val="auto"/>
          <w:szCs w:val="28"/>
          <w:lang w:val="en-US" w:eastAsia="zh-CN"/>
        </w:rPr>
        <w:t>车壁塘河祁阳县</w:t>
      </w:r>
      <w:r>
        <w:rPr>
          <w:rFonts w:hint="default" w:ascii="Times New Roman" w:hAnsi="Times New Roman" w:eastAsia="仿宋_GB2312" w:cs="Times New Roman"/>
          <w:color w:val="auto"/>
          <w:szCs w:val="28"/>
          <w:lang w:val="en-US"/>
        </w:rPr>
        <w:t>段在工作底图上完成了管理范围线初步划定和界桩的预布，</w:t>
      </w:r>
      <w:r>
        <w:rPr>
          <w:rFonts w:hint="default" w:ascii="Times New Roman" w:hAnsi="Times New Roman" w:eastAsia="仿宋_GB2312" w:cs="Times New Roman"/>
          <w:color w:val="auto"/>
          <w:szCs w:val="28"/>
          <w:lang w:val="en-US" w:eastAsia="zh-CN"/>
        </w:rPr>
        <w:t>车壁塘河祁阳县</w:t>
      </w:r>
      <w:r>
        <w:rPr>
          <w:rFonts w:hint="default" w:ascii="Times New Roman" w:hAnsi="Times New Roman" w:eastAsia="仿宋_GB2312" w:cs="Times New Roman"/>
          <w:color w:val="auto"/>
          <w:szCs w:val="28"/>
          <w:lang w:val="en-US"/>
        </w:rPr>
        <w:t>段共</w:t>
      </w:r>
      <w:r>
        <w:rPr>
          <w:rFonts w:hint="eastAsia" w:eastAsia="仿宋_GB2312" w:cs="Times New Roman"/>
          <w:color w:val="auto"/>
          <w:szCs w:val="28"/>
          <w:lang w:val="en-US" w:eastAsia="zh-CN"/>
        </w:rPr>
        <w:t>布设界桩22座，其中公共界桩8座</w:t>
      </w:r>
      <w:r>
        <w:rPr>
          <w:rFonts w:hint="eastAsia" w:ascii="Times New Roman" w:hAnsi="Times New Roman" w:eastAsia="仿宋_GB2312" w:cs="Times New Roman"/>
          <w:color w:val="auto"/>
          <w:szCs w:val="28"/>
          <w:lang w:val="en-US" w:eastAsia="zh-CN"/>
        </w:rPr>
        <w:t>，告示牌4块</w:t>
      </w:r>
      <w:r>
        <w:rPr>
          <w:rFonts w:hint="default" w:ascii="Times New Roman" w:hAnsi="Times New Roman" w:eastAsia="仿宋_GB2312" w:cs="Times New Roman"/>
          <w:color w:val="auto"/>
          <w:szCs w:val="28"/>
          <w:lang w:val="en-US"/>
        </w:rPr>
        <w:t>。具体成果详见下表</w:t>
      </w:r>
      <w:r>
        <w:rPr>
          <w:rFonts w:hint="default" w:ascii="Times New Roman" w:hAnsi="Times New Roman" w:eastAsia="仿宋_GB2312" w:cs="Times New Roman"/>
          <w:color w:val="auto"/>
          <w:szCs w:val="28"/>
          <w:lang w:val="en-US" w:eastAsia="zh-CN"/>
        </w:rPr>
        <w:t>7</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7</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2</w:t>
      </w:r>
      <w:r>
        <w:rPr>
          <w:rFonts w:hint="default" w:ascii="Times New Roman" w:hAnsi="Times New Roman" w:eastAsia="仿宋_GB2312" w:cs="Times New Roman"/>
          <w:color w:val="auto"/>
          <w:szCs w:val="28"/>
          <w:lang w:val="en-US"/>
        </w:rPr>
        <w:t>。</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车壁塘河永州市祁阳县段</w:t>
      </w:r>
      <w:r>
        <w:rPr>
          <w:rFonts w:hint="default" w:ascii="Times New Roman" w:hAnsi="Times New Roman" w:eastAsia="仿宋_GB2312" w:cs="Times New Roman"/>
          <w:b/>
          <w:bCs/>
          <w:color w:val="auto"/>
          <w:sz w:val="24"/>
          <w:lang w:val="en-US"/>
        </w:rPr>
        <w:t>河湖管理范围线界桩埋设成果表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88"/>
        <w:gridCol w:w="3200"/>
        <w:gridCol w:w="1348"/>
        <w:gridCol w:w="1727"/>
        <w:gridCol w:w="24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58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320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075"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240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58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0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40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FE1D2CF0000L-431121-L0001</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584220.635</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2961638.556</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FE1D2CF0000L-431121-L0002</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584412.0445</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2961723.499</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FE1D2CF0000L-431121-L0003</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584976.8856</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2962554.647</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FE1D2CF0000L-431121-L0004</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585374.6011</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2962583.078</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FE1D2CF0000L-431121-L0005</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585681.6241</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2962677.27</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FE1D2CF0000L-431121-L0006</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586399.2774</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2962253.36</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FE1D2CF0000L-431121-L0007</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586730.784</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2962519.99</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FE1D2CF0000L-431121-L0008</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586932.2675</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2962887.929</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FE1D2CF0000L-431121-R0001</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584191.3835</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2961669.977</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FE1D2CF0000L-431121-R0002</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584643.0465</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2962579.82</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FE1D2CF0000L-431121-R0003</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585702.2855</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2962742.094</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FE1D2CF0000L-431121-R0004</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586395.6461</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2962370.2</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FE1D2CF0000L-431121-R0005</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586634.0642</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2962954.16</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FE1D2CF0000L-431121-R0006</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587384.9441</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2963368.494</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FE1D2CF0000L-431121-R1002</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587313.9186</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2963548.676</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FE1D2CF0000L-431121-R1001</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587321.8301</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iCs w:val="0"/>
                <w:color w:val="auto"/>
                <w:kern w:val="0"/>
                <w:sz w:val="18"/>
                <w:szCs w:val="18"/>
                <w:u w:val="none"/>
                <w:lang w:val="en-US" w:eastAsia="zh-CN" w:bidi="ar"/>
              </w:rPr>
              <w:t>2963522.975</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17</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FE1D2CF0000L-431121-R3001</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585423.8787</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2962715.515</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18</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FE1D2CF0000L-430426-R4001</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587473.1711</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2963673.749</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19</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FE1D2CF0000L-430426-R400</w:t>
            </w:r>
            <w:r>
              <w:rPr>
                <w:rFonts w:hint="eastAsia" w:eastAsia="仿宋_GB2312" w:cs="Times New Roman"/>
                <w:i w:val="0"/>
                <w:iCs w:val="0"/>
                <w:color w:val="auto"/>
                <w:kern w:val="0"/>
                <w:sz w:val="18"/>
                <w:szCs w:val="18"/>
                <w:u w:val="none"/>
                <w:lang w:val="en-US" w:eastAsia="zh-CN" w:bidi="ar"/>
              </w:rPr>
              <w:t>2</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587206.4055</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2963826.9588</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20</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FE1D2CF0000L-430426-R400</w:t>
            </w:r>
            <w:r>
              <w:rPr>
                <w:rFonts w:hint="eastAsia" w:eastAsia="仿宋_GB2312" w:cs="Times New Roman"/>
                <w:i w:val="0"/>
                <w:iCs w:val="0"/>
                <w:color w:val="auto"/>
                <w:kern w:val="0"/>
                <w:sz w:val="18"/>
                <w:szCs w:val="18"/>
                <w:u w:val="none"/>
                <w:lang w:val="en-US" w:eastAsia="zh-CN" w:bidi="ar"/>
              </w:rPr>
              <w:t>3</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587063.9403</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2964015.8072</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21</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FE1D2CF0000L-430426-L4001</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587518.2386</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2963603.872</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eastAsia="仿宋_GB2312" w:cs="Times New Roman"/>
                <w:i w:val="0"/>
                <w:iCs w:val="0"/>
                <w:color w:val="auto"/>
                <w:kern w:val="0"/>
                <w:sz w:val="18"/>
                <w:szCs w:val="18"/>
                <w:u w:val="none"/>
                <w:lang w:val="en-US" w:eastAsia="zh-CN" w:bidi="ar"/>
              </w:rPr>
              <w:t>22</w:t>
            </w:r>
          </w:p>
        </w:tc>
        <w:tc>
          <w:tcPr>
            <w:tcW w:w="32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FE1D2CF0000L-431121-L3001</w:t>
            </w:r>
          </w:p>
        </w:tc>
        <w:tc>
          <w:tcPr>
            <w:tcW w:w="134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585577.1076</w:t>
            </w:r>
          </w:p>
        </w:tc>
        <w:tc>
          <w:tcPr>
            <w:tcW w:w="17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18"/>
                <w:szCs w:val="18"/>
                <w:u w:val="none"/>
                <w:lang w:val="en-US" w:eastAsia="zh-CN" w:bidi="ar"/>
              </w:rPr>
            </w:pPr>
            <w:r>
              <w:rPr>
                <w:rFonts w:hint="eastAsia" w:ascii="Times New Roman" w:hAnsi="Times New Roman" w:eastAsia="仿宋_GB2312" w:cs="Times New Roman"/>
                <w:i w:val="0"/>
                <w:iCs w:val="0"/>
                <w:color w:val="auto"/>
                <w:kern w:val="0"/>
                <w:sz w:val="18"/>
                <w:szCs w:val="18"/>
                <w:u w:val="none"/>
                <w:lang w:val="en-US" w:eastAsia="zh-CN" w:bidi="ar"/>
              </w:rPr>
              <w:t>2962609.167</w:t>
            </w:r>
          </w:p>
        </w:tc>
        <w:tc>
          <w:tcPr>
            <w:tcW w:w="240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管理范围公共界桩</w:t>
            </w: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车壁塘河永州市祁阳县</w:t>
      </w:r>
      <w:r>
        <w:rPr>
          <w:rFonts w:hint="default" w:ascii="Times New Roman" w:hAnsi="Times New Roman" w:eastAsia="仿宋_GB2312" w:cs="Times New Roman"/>
          <w:b/>
          <w:bCs/>
          <w:color w:val="auto"/>
          <w:sz w:val="24"/>
          <w:lang w:val="en-US"/>
        </w:rPr>
        <w:t>段河湖管理范围线告示牌埋设成果表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81"/>
        <w:gridCol w:w="2839"/>
        <w:gridCol w:w="1896"/>
        <w:gridCol w:w="1895"/>
        <w:gridCol w:w="14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283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79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46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3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46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FE1D2CF0000L-431121-L001</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585696.9358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2962666.605</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FE1D2CF0000L-431121-L002</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586321.8866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2962264.076</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FE1D2CF0000L-431121-R001</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584181.4305</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2961664.03</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FE1D2CF0000L-431121-R002</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585569.4879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2962719.181</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pStyle w:val="3"/>
        <w:rPr>
          <w:rFonts w:hint="default" w:ascii="Times New Roman" w:hAnsi="Times New Roman" w:eastAsia="仿宋_GB2312" w:cs="Times New Roman"/>
          <w:color w:val="auto"/>
          <w:lang w:val="en-US" w:eastAsia="zh-CN"/>
        </w:rPr>
      </w:pPr>
      <w:bookmarkStart w:id="87" w:name="_Toc25697"/>
      <w:bookmarkStart w:id="88" w:name="_Toc9271"/>
      <w:r>
        <w:rPr>
          <w:rFonts w:hint="default" w:ascii="Times New Roman" w:hAnsi="Times New Roman" w:cs="Times New Roman"/>
          <w:color w:val="auto"/>
          <w:lang w:val="en-US" w:eastAsia="zh-CN"/>
        </w:rPr>
        <w:t>7.2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车壁塘河祁阳县</w:t>
      </w:r>
      <w:r>
        <w:rPr>
          <w:rFonts w:hint="default" w:ascii="Times New Roman" w:hAnsi="Times New Roman" w:cs="Times New Roman"/>
          <w:color w:val="auto"/>
          <w:lang w:val="en-US"/>
        </w:rPr>
        <w:t>河段管理范围线划定图</w:t>
      </w:r>
      <w:bookmarkEnd w:id="87"/>
      <w:bookmarkEnd w:id="88"/>
    </w:p>
    <w:p>
      <w:pPr>
        <w:spacing w:line="360" w:lineRule="auto"/>
        <w:ind w:firstLine="560" w:firstLineChars="200"/>
        <w:rPr>
          <w:rFonts w:hint="default" w:ascii="Times New Roman" w:hAnsi="Times New Roman" w:eastAsia="仿宋_GB2312" w:cs="Times New Roman"/>
          <w:color w:val="auto"/>
          <w:lang w:val="en-US"/>
        </w:rPr>
      </w:pPr>
    </w:p>
    <w:bookmarkEnd w:id="0"/>
    <w:bookmarkEnd w:id="1"/>
    <w:bookmarkEnd w:id="2"/>
    <w:bookmarkEnd w:id="3"/>
    <w:bookmarkEnd w:id="4"/>
    <w:bookmarkEnd w:id="5"/>
    <w:p>
      <w:pPr>
        <w:spacing w:line="360" w:lineRule="auto"/>
        <w:ind w:firstLine="680" w:firstLineChars="200"/>
        <w:rPr>
          <w:rFonts w:hint="default" w:ascii="Times New Roman" w:hAnsi="Times New Roman" w:eastAsia="仿宋_GB2312" w:cs="Times New Roman"/>
          <w:color w:val="auto"/>
          <w:spacing w:val="30"/>
          <w:szCs w:val="28"/>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rPr>
          <w:rFonts w:hint="default"/>
          <w:color w:val="auto"/>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color w:val="auto"/>
          <w:lang w:val="en-US" w:eastAsia="zh-CN"/>
        </w:rPr>
        <w:t>附件一：专家评审意见</w:t>
      </w:r>
      <w:r>
        <w:rPr>
          <w:rFonts w:hint="default"/>
          <w:color w:val="auto"/>
          <w:lang w:val="en-US" w:eastAsia="zh-CN"/>
        </w:rPr>
        <w:drawing>
          <wp:inline distT="0" distB="0" distL="114300" distR="114300">
            <wp:extent cx="5863590" cy="8165465"/>
            <wp:effectExtent l="0" t="0" r="3810" b="6985"/>
            <wp:docPr id="8" name="图片 8"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1"/>
                    <pic:cNvPicPr>
                      <a:picLocks noChangeAspect="1"/>
                    </pic:cNvPicPr>
                  </pic:nvPicPr>
                  <pic:blipFill>
                    <a:blip r:embed="rId55"/>
                    <a:stretch>
                      <a:fillRect/>
                    </a:stretch>
                  </pic:blipFill>
                  <pic:spPr>
                    <a:xfrm>
                      <a:off x="0" y="0"/>
                      <a:ext cx="5863590" cy="8165465"/>
                    </a:xfrm>
                    <a:prstGeom prst="rect">
                      <a:avLst/>
                    </a:prstGeom>
                  </pic:spPr>
                </pic:pic>
              </a:graphicData>
            </a:graphic>
          </wp:inline>
        </w:drawing>
      </w:r>
      <w:r>
        <w:rPr>
          <w:rFonts w:hint="default"/>
          <w:color w:val="auto"/>
          <w:lang w:val="en-US" w:eastAsia="zh-CN"/>
        </w:rPr>
        <w:drawing>
          <wp:inline distT="0" distB="0" distL="114300" distR="114300">
            <wp:extent cx="5862955" cy="8202930"/>
            <wp:effectExtent l="0" t="0" r="4445" b="7620"/>
            <wp:docPr id="9" name="图片 9"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祁阳县河道划界方案审查修改意见2019.9.23_页面_2"/>
                    <pic:cNvPicPr>
                      <a:picLocks noChangeAspect="1"/>
                    </pic:cNvPicPr>
                  </pic:nvPicPr>
                  <pic:blipFill>
                    <a:blip r:embed="rId56"/>
                    <a:stretch>
                      <a:fillRect/>
                    </a:stretch>
                  </pic:blipFill>
                  <pic:spPr>
                    <a:xfrm>
                      <a:off x="0" y="0"/>
                      <a:ext cx="5862955" cy="820293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eastAsia" w:eastAsia="仿宋" w:cs="Times New Roman"/>
                <w:b/>
                <w:bCs/>
                <w:i w:val="0"/>
                <w:color w:val="auto"/>
                <w:kern w:val="0"/>
                <w:sz w:val="24"/>
                <w:szCs w:val="24"/>
                <w:u w:val="none"/>
                <w:lang w:val="en-US" w:eastAsia="zh-CN" w:bidi="ar"/>
              </w:rPr>
              <w:t>车壁塘河</w:t>
            </w:r>
            <w:r>
              <w:rPr>
                <w:rFonts w:hint="default" w:ascii="Times New Roman" w:hAnsi="Times New Roman" w:eastAsia="仿宋" w:cs="Times New Roman"/>
                <w:b/>
                <w:bCs/>
                <w:i w:val="0"/>
                <w:color w:val="auto"/>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auto"/>
                <w:sz w:val="18"/>
                <w:szCs w:val="18"/>
                <w:u w:val="none"/>
              </w:rPr>
            </w:pPr>
            <w:r>
              <w:rPr>
                <w:rFonts w:hint="default" w:ascii="Times New Roman" w:hAnsi="Times New Roman" w:eastAsia="仿宋" w:cs="Times New Roman"/>
                <w:b/>
                <w:bCs/>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u w:val="none"/>
              </w:rPr>
            </w:pPr>
            <w:r>
              <w:rPr>
                <w:rFonts w:hint="default" w:ascii="Times New Roman" w:hAnsi="Times New Roman" w:eastAsia="仿宋" w:cs="Times New Roman"/>
                <w:i w:val="0"/>
                <w:color w:val="auto"/>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kern w:val="0"/>
                <w:sz w:val="18"/>
                <w:szCs w:val="18"/>
                <w:u w:val="none"/>
                <w:lang w:val="en-US" w:eastAsia="zh-CN" w:bidi="ar"/>
              </w:rPr>
            </w:pPr>
          </w:p>
          <w:p>
            <w:pPr>
              <w:jc w:val="center"/>
              <w:rPr>
                <w:rFonts w:hint="default" w:ascii="Times New Roman" w:hAnsi="Times New Roman" w:eastAsia="仿宋" w:cs="Times New Roman"/>
                <w:i w:val="0"/>
                <w:color w:val="auto"/>
                <w:sz w:val="18"/>
                <w:szCs w:val="18"/>
                <w:u w:val="none"/>
              </w:rPr>
            </w:pP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专家组签名：</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年       月    </w:t>
            </w:r>
            <w:r>
              <w:rPr>
                <w:rFonts w:hint="eastAsia" w:ascii="Times New Roman" w:hAnsi="Times New Roman" w:eastAsia="仿宋" w:cs="Times New Roman"/>
                <w:i w:val="0"/>
                <w:color w:val="auto"/>
                <w:kern w:val="0"/>
                <w:sz w:val="18"/>
                <w:szCs w:val="18"/>
                <w:u w:val="none"/>
                <w:lang w:val="en-US" w:eastAsia="zh-CN" w:bidi="ar"/>
              </w:rPr>
              <w:t xml:space="preserve">   </w:t>
            </w:r>
            <w:r>
              <w:rPr>
                <w:rFonts w:hint="default" w:ascii="Times New Roman" w:hAnsi="Times New Roman" w:eastAsia="仿宋" w:cs="Times New Roman"/>
                <w:i w:val="0"/>
                <w:color w:val="auto"/>
                <w:kern w:val="0"/>
                <w:sz w:val="18"/>
                <w:szCs w:val="18"/>
                <w:u w:val="none"/>
                <w:lang w:val="en-US" w:eastAsia="zh-CN" w:bidi="ar"/>
              </w:rPr>
              <w:t xml:space="preserve"> 日</w:t>
            </w:r>
          </w:p>
        </w:tc>
      </w:tr>
    </w:tbl>
    <w:p>
      <w:pPr>
        <w:spacing w:line="360" w:lineRule="auto"/>
        <w:ind w:firstLine="680" w:firstLineChars="200"/>
        <w:rPr>
          <w:rFonts w:hint="default" w:ascii="Times New Roman" w:hAnsi="Times New Roman" w:eastAsia="仿宋_GB2312" w:cs="Times New Roman"/>
          <w:color w:val="auto"/>
          <w:spacing w:val="30"/>
          <w:szCs w:val="28"/>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56" o:spid="_x0000_s205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2" o:spid="_x0000_s208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IX</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0" o:spid="_x0000_s205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XI</w:t>
                </w:r>
                <w:r>
                  <w:rPr>
                    <w:rFonts w:hint="eastAsia" w:eastAsia="宋体"/>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0" o:spid="_x0000_s2080"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79" o:spid="_x0000_s2079"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55" o:spid="_x0000_s205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XXXI</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CA38C253"/>
    <w:multiLevelType w:val="singleLevel"/>
    <w:tmpl w:val="CA38C253"/>
    <w:lvl w:ilvl="0" w:tentative="0">
      <w:start w:val="4"/>
      <w:numFmt w:val="decimal"/>
      <w:suff w:val="nothing"/>
      <w:lvlText w:val="%1）"/>
      <w:lvlJc w:val="left"/>
    </w:lvl>
  </w:abstractNum>
  <w:abstractNum w:abstractNumId="2">
    <w:nsid w:val="D7C4EEF1"/>
    <w:multiLevelType w:val="singleLevel"/>
    <w:tmpl w:val="D7C4EEF1"/>
    <w:lvl w:ilvl="0" w:tentative="0">
      <w:start w:val="1"/>
      <w:numFmt w:val="decimal"/>
      <w:suff w:val="nothing"/>
      <w:lvlText w:val="%1）"/>
      <w:lvlJc w:val="left"/>
    </w:lvl>
  </w:abstractNum>
  <w:abstractNum w:abstractNumId="3">
    <w:nsid w:val="E98D5AF6"/>
    <w:multiLevelType w:val="singleLevel"/>
    <w:tmpl w:val="E98D5AF6"/>
    <w:lvl w:ilvl="0" w:tentative="0">
      <w:start w:val="2"/>
      <w:numFmt w:val="decimal"/>
      <w:suff w:val="nothing"/>
      <w:lvlText w:val="%1）"/>
      <w:lvlJc w:val="left"/>
    </w:lvl>
  </w:abstractNum>
  <w:abstractNum w:abstractNumId="4">
    <w:nsid w:val="EAD631A6"/>
    <w:multiLevelType w:val="singleLevel"/>
    <w:tmpl w:val="EAD631A6"/>
    <w:lvl w:ilvl="0" w:tentative="0">
      <w:start w:val="1"/>
      <w:numFmt w:val="decimal"/>
      <w:suff w:val="nothing"/>
      <w:lvlText w:val="%1）"/>
      <w:lvlJc w:val="left"/>
    </w:lvl>
  </w:abstractNum>
  <w:abstractNum w:abstractNumId="5">
    <w:nsid w:val="03887259"/>
    <w:multiLevelType w:val="singleLevel"/>
    <w:tmpl w:val="03887259"/>
    <w:lvl w:ilvl="0" w:tentative="0">
      <w:start w:val="4"/>
      <w:numFmt w:val="decimal"/>
      <w:suff w:val="nothing"/>
      <w:lvlText w:val="%1）"/>
      <w:lvlJc w:val="left"/>
    </w:lvl>
  </w:abstractNum>
  <w:abstractNum w:abstractNumId="6">
    <w:nsid w:val="716F7291"/>
    <w:multiLevelType w:val="singleLevel"/>
    <w:tmpl w:val="716F7291"/>
    <w:lvl w:ilvl="0" w:tentative="0">
      <w:start w:val="1"/>
      <w:numFmt w:val="decimal"/>
      <w:suff w:val="nothing"/>
      <w:lvlText w:val="（%1）"/>
      <w:lvlJc w:val="left"/>
    </w:lvl>
  </w:abstractNum>
  <w:num w:numId="1">
    <w:abstractNumId w:val="2"/>
  </w:num>
  <w:num w:numId="2">
    <w:abstractNumId w:val="1"/>
  </w:num>
  <w:num w:numId="3">
    <w:abstractNumId w:val="6"/>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2232C4"/>
    <w:rsid w:val="01630402"/>
    <w:rsid w:val="017D0C22"/>
    <w:rsid w:val="01DC07DA"/>
    <w:rsid w:val="02B644B1"/>
    <w:rsid w:val="02FF47D7"/>
    <w:rsid w:val="030E114E"/>
    <w:rsid w:val="031A125E"/>
    <w:rsid w:val="03897A10"/>
    <w:rsid w:val="03E95C01"/>
    <w:rsid w:val="0453015C"/>
    <w:rsid w:val="04B13815"/>
    <w:rsid w:val="04BC3363"/>
    <w:rsid w:val="05671D8A"/>
    <w:rsid w:val="05D876E9"/>
    <w:rsid w:val="05E53CDF"/>
    <w:rsid w:val="066A64A1"/>
    <w:rsid w:val="067D3C71"/>
    <w:rsid w:val="06D53455"/>
    <w:rsid w:val="06EC653F"/>
    <w:rsid w:val="07166FB0"/>
    <w:rsid w:val="07390025"/>
    <w:rsid w:val="07A24975"/>
    <w:rsid w:val="07E6402C"/>
    <w:rsid w:val="084C38D9"/>
    <w:rsid w:val="08617509"/>
    <w:rsid w:val="08623964"/>
    <w:rsid w:val="08682632"/>
    <w:rsid w:val="08965A64"/>
    <w:rsid w:val="08D22C15"/>
    <w:rsid w:val="08E55D93"/>
    <w:rsid w:val="08F46F1D"/>
    <w:rsid w:val="092A276B"/>
    <w:rsid w:val="0932497F"/>
    <w:rsid w:val="096F61FF"/>
    <w:rsid w:val="09D86879"/>
    <w:rsid w:val="0A536F19"/>
    <w:rsid w:val="0A6E11C0"/>
    <w:rsid w:val="0A7D1B81"/>
    <w:rsid w:val="0A806C71"/>
    <w:rsid w:val="0A857B6D"/>
    <w:rsid w:val="0A9C4A28"/>
    <w:rsid w:val="0AA51980"/>
    <w:rsid w:val="0ADB6C83"/>
    <w:rsid w:val="0AE25471"/>
    <w:rsid w:val="0AEA2EC8"/>
    <w:rsid w:val="0AF21A98"/>
    <w:rsid w:val="0B0337D8"/>
    <w:rsid w:val="0B3B11AC"/>
    <w:rsid w:val="0B481FE7"/>
    <w:rsid w:val="0BAF2F24"/>
    <w:rsid w:val="0BDB6970"/>
    <w:rsid w:val="0C0B57B8"/>
    <w:rsid w:val="0C971316"/>
    <w:rsid w:val="0CC36BA5"/>
    <w:rsid w:val="0D813320"/>
    <w:rsid w:val="0DAA398B"/>
    <w:rsid w:val="0E03663F"/>
    <w:rsid w:val="0E3157B3"/>
    <w:rsid w:val="0E423A8C"/>
    <w:rsid w:val="0EC74D82"/>
    <w:rsid w:val="0EE97DED"/>
    <w:rsid w:val="0EFB7D3C"/>
    <w:rsid w:val="0F243128"/>
    <w:rsid w:val="0F9E1CA1"/>
    <w:rsid w:val="0FAD216F"/>
    <w:rsid w:val="0FF73CDB"/>
    <w:rsid w:val="0FF84835"/>
    <w:rsid w:val="102D3663"/>
    <w:rsid w:val="108528C9"/>
    <w:rsid w:val="114477B7"/>
    <w:rsid w:val="114663D6"/>
    <w:rsid w:val="118A7274"/>
    <w:rsid w:val="119A2539"/>
    <w:rsid w:val="120C1369"/>
    <w:rsid w:val="123B5ED3"/>
    <w:rsid w:val="12A35729"/>
    <w:rsid w:val="12CF0E59"/>
    <w:rsid w:val="12D96445"/>
    <w:rsid w:val="139A45C6"/>
    <w:rsid w:val="13B963DE"/>
    <w:rsid w:val="13E1230C"/>
    <w:rsid w:val="141568A8"/>
    <w:rsid w:val="145F324E"/>
    <w:rsid w:val="152A6FFB"/>
    <w:rsid w:val="15674947"/>
    <w:rsid w:val="157F5DF0"/>
    <w:rsid w:val="15BE425D"/>
    <w:rsid w:val="15F644C9"/>
    <w:rsid w:val="16050A55"/>
    <w:rsid w:val="1665797F"/>
    <w:rsid w:val="16F10992"/>
    <w:rsid w:val="170D67C9"/>
    <w:rsid w:val="178D0926"/>
    <w:rsid w:val="17A41BA1"/>
    <w:rsid w:val="17E916D0"/>
    <w:rsid w:val="182C525E"/>
    <w:rsid w:val="18AD4F2D"/>
    <w:rsid w:val="18F22563"/>
    <w:rsid w:val="19347F57"/>
    <w:rsid w:val="19454639"/>
    <w:rsid w:val="19607AAD"/>
    <w:rsid w:val="19624072"/>
    <w:rsid w:val="199F2F35"/>
    <w:rsid w:val="19B173D3"/>
    <w:rsid w:val="19BE5CCD"/>
    <w:rsid w:val="19CF1978"/>
    <w:rsid w:val="1A255B25"/>
    <w:rsid w:val="1A737D8F"/>
    <w:rsid w:val="1ACC2807"/>
    <w:rsid w:val="1B154669"/>
    <w:rsid w:val="1B203353"/>
    <w:rsid w:val="1B2A0398"/>
    <w:rsid w:val="1B615614"/>
    <w:rsid w:val="1B724103"/>
    <w:rsid w:val="1B751CAA"/>
    <w:rsid w:val="1C041CE5"/>
    <w:rsid w:val="1C24405D"/>
    <w:rsid w:val="1C2F325A"/>
    <w:rsid w:val="1CE261BB"/>
    <w:rsid w:val="1CEA7F89"/>
    <w:rsid w:val="1CEF5F50"/>
    <w:rsid w:val="1CFE2CBC"/>
    <w:rsid w:val="1D2B6BF4"/>
    <w:rsid w:val="1D5A0FD8"/>
    <w:rsid w:val="1D7C7548"/>
    <w:rsid w:val="1D9B6F4F"/>
    <w:rsid w:val="1DF829BA"/>
    <w:rsid w:val="1E040F23"/>
    <w:rsid w:val="1E2F54AD"/>
    <w:rsid w:val="1E3406F4"/>
    <w:rsid w:val="1E596D3D"/>
    <w:rsid w:val="1EC13DE3"/>
    <w:rsid w:val="1EFB1692"/>
    <w:rsid w:val="1F24143A"/>
    <w:rsid w:val="1F451673"/>
    <w:rsid w:val="1F6966C8"/>
    <w:rsid w:val="1F7A3516"/>
    <w:rsid w:val="1FC8217C"/>
    <w:rsid w:val="1FDB5546"/>
    <w:rsid w:val="204728FB"/>
    <w:rsid w:val="20871370"/>
    <w:rsid w:val="20965EA8"/>
    <w:rsid w:val="20B14CDC"/>
    <w:rsid w:val="20D17779"/>
    <w:rsid w:val="21080895"/>
    <w:rsid w:val="216A71C9"/>
    <w:rsid w:val="217B79C3"/>
    <w:rsid w:val="21970245"/>
    <w:rsid w:val="21D256FA"/>
    <w:rsid w:val="221E008F"/>
    <w:rsid w:val="223D7894"/>
    <w:rsid w:val="22CD069A"/>
    <w:rsid w:val="232E6DD3"/>
    <w:rsid w:val="23395F16"/>
    <w:rsid w:val="235A69EF"/>
    <w:rsid w:val="236E0405"/>
    <w:rsid w:val="237573F6"/>
    <w:rsid w:val="24290A39"/>
    <w:rsid w:val="243F2602"/>
    <w:rsid w:val="244E1422"/>
    <w:rsid w:val="247E0BFD"/>
    <w:rsid w:val="249B3689"/>
    <w:rsid w:val="24C3784F"/>
    <w:rsid w:val="24D40C6A"/>
    <w:rsid w:val="24F44592"/>
    <w:rsid w:val="251B1C77"/>
    <w:rsid w:val="25300C26"/>
    <w:rsid w:val="255324B1"/>
    <w:rsid w:val="255833F9"/>
    <w:rsid w:val="25823C5D"/>
    <w:rsid w:val="25846028"/>
    <w:rsid w:val="25AE7806"/>
    <w:rsid w:val="25D41246"/>
    <w:rsid w:val="25E90C26"/>
    <w:rsid w:val="26A64A3C"/>
    <w:rsid w:val="26A70E59"/>
    <w:rsid w:val="26B46625"/>
    <w:rsid w:val="26BC426D"/>
    <w:rsid w:val="275222D2"/>
    <w:rsid w:val="27C22D69"/>
    <w:rsid w:val="27F31124"/>
    <w:rsid w:val="28302846"/>
    <w:rsid w:val="288A45BB"/>
    <w:rsid w:val="28D94E2E"/>
    <w:rsid w:val="290F4531"/>
    <w:rsid w:val="291500F5"/>
    <w:rsid w:val="29681128"/>
    <w:rsid w:val="29B52BD8"/>
    <w:rsid w:val="29FA32F1"/>
    <w:rsid w:val="2A411D0D"/>
    <w:rsid w:val="2A78153C"/>
    <w:rsid w:val="2A8C04EF"/>
    <w:rsid w:val="2AA17684"/>
    <w:rsid w:val="2AE31E89"/>
    <w:rsid w:val="2B960F67"/>
    <w:rsid w:val="2BD71C38"/>
    <w:rsid w:val="2BDB1D58"/>
    <w:rsid w:val="2BDB3937"/>
    <w:rsid w:val="2C0D76C4"/>
    <w:rsid w:val="2CAC2C52"/>
    <w:rsid w:val="2CD34388"/>
    <w:rsid w:val="2D9D3043"/>
    <w:rsid w:val="2DAC16ED"/>
    <w:rsid w:val="2E165F08"/>
    <w:rsid w:val="2E1D699C"/>
    <w:rsid w:val="2E1E0C49"/>
    <w:rsid w:val="2E801E22"/>
    <w:rsid w:val="2EC65A8A"/>
    <w:rsid w:val="2ECE2306"/>
    <w:rsid w:val="2F901AC9"/>
    <w:rsid w:val="2F9F2A1B"/>
    <w:rsid w:val="2FE067A7"/>
    <w:rsid w:val="30085BDC"/>
    <w:rsid w:val="30BB1122"/>
    <w:rsid w:val="30DC0635"/>
    <w:rsid w:val="31083B70"/>
    <w:rsid w:val="31896707"/>
    <w:rsid w:val="31B40028"/>
    <w:rsid w:val="322B2502"/>
    <w:rsid w:val="324517E4"/>
    <w:rsid w:val="32AE5338"/>
    <w:rsid w:val="32E53F26"/>
    <w:rsid w:val="337919B2"/>
    <w:rsid w:val="33D41B99"/>
    <w:rsid w:val="33F94BE5"/>
    <w:rsid w:val="344B6CEA"/>
    <w:rsid w:val="34CB7FED"/>
    <w:rsid w:val="35E068FB"/>
    <w:rsid w:val="35F50971"/>
    <w:rsid w:val="36043EA6"/>
    <w:rsid w:val="36CA33BA"/>
    <w:rsid w:val="373B74CD"/>
    <w:rsid w:val="37914489"/>
    <w:rsid w:val="379C0C95"/>
    <w:rsid w:val="379E31F8"/>
    <w:rsid w:val="37BC0733"/>
    <w:rsid w:val="37FA3441"/>
    <w:rsid w:val="384037C7"/>
    <w:rsid w:val="388650C4"/>
    <w:rsid w:val="391825BD"/>
    <w:rsid w:val="398079A4"/>
    <w:rsid w:val="39E50ED7"/>
    <w:rsid w:val="3A463A71"/>
    <w:rsid w:val="3A54012A"/>
    <w:rsid w:val="3A6D77D5"/>
    <w:rsid w:val="3ABB7266"/>
    <w:rsid w:val="3AD20373"/>
    <w:rsid w:val="3B116CB1"/>
    <w:rsid w:val="3B6E44EF"/>
    <w:rsid w:val="3C4F5369"/>
    <w:rsid w:val="3C8D6F34"/>
    <w:rsid w:val="3CDF6F86"/>
    <w:rsid w:val="3D055AAC"/>
    <w:rsid w:val="3D3B1D6A"/>
    <w:rsid w:val="3D586268"/>
    <w:rsid w:val="3D9140E4"/>
    <w:rsid w:val="3E5A4A46"/>
    <w:rsid w:val="3E622A7B"/>
    <w:rsid w:val="3E9407BA"/>
    <w:rsid w:val="3F8D228B"/>
    <w:rsid w:val="3F98074F"/>
    <w:rsid w:val="3FA51C6B"/>
    <w:rsid w:val="3FCC49BD"/>
    <w:rsid w:val="3FD622DF"/>
    <w:rsid w:val="3FEA1AC5"/>
    <w:rsid w:val="40140267"/>
    <w:rsid w:val="40165AD2"/>
    <w:rsid w:val="40466D0C"/>
    <w:rsid w:val="40B905FD"/>
    <w:rsid w:val="40CB4A22"/>
    <w:rsid w:val="40CC0469"/>
    <w:rsid w:val="40F0682F"/>
    <w:rsid w:val="41266893"/>
    <w:rsid w:val="413A1089"/>
    <w:rsid w:val="41934438"/>
    <w:rsid w:val="41D77F4F"/>
    <w:rsid w:val="424726E0"/>
    <w:rsid w:val="42883655"/>
    <w:rsid w:val="42BA5B2B"/>
    <w:rsid w:val="42BD4048"/>
    <w:rsid w:val="42F742DE"/>
    <w:rsid w:val="43011DAC"/>
    <w:rsid w:val="431714A0"/>
    <w:rsid w:val="443C3207"/>
    <w:rsid w:val="44433DE0"/>
    <w:rsid w:val="444E0B22"/>
    <w:rsid w:val="44727354"/>
    <w:rsid w:val="44A60EE4"/>
    <w:rsid w:val="44E24309"/>
    <w:rsid w:val="45844259"/>
    <w:rsid w:val="45F85D5D"/>
    <w:rsid w:val="46475B34"/>
    <w:rsid w:val="466C4D02"/>
    <w:rsid w:val="466D7D8A"/>
    <w:rsid w:val="467B7AB5"/>
    <w:rsid w:val="46E81BE8"/>
    <w:rsid w:val="46FA48C3"/>
    <w:rsid w:val="472A4423"/>
    <w:rsid w:val="474749F0"/>
    <w:rsid w:val="476A3EBC"/>
    <w:rsid w:val="479F3C46"/>
    <w:rsid w:val="47F824E6"/>
    <w:rsid w:val="4822503C"/>
    <w:rsid w:val="48650F21"/>
    <w:rsid w:val="4939707B"/>
    <w:rsid w:val="49900874"/>
    <w:rsid w:val="49B2680D"/>
    <w:rsid w:val="4A0252AB"/>
    <w:rsid w:val="4A2129E6"/>
    <w:rsid w:val="4A265D64"/>
    <w:rsid w:val="4AE139BC"/>
    <w:rsid w:val="4B2C4F1A"/>
    <w:rsid w:val="4B7D4DC0"/>
    <w:rsid w:val="4B7D78C3"/>
    <w:rsid w:val="4B8667AD"/>
    <w:rsid w:val="4BC437A3"/>
    <w:rsid w:val="4BCE286F"/>
    <w:rsid w:val="4C182492"/>
    <w:rsid w:val="4C4D6790"/>
    <w:rsid w:val="4C5E4B17"/>
    <w:rsid w:val="4C6D16A8"/>
    <w:rsid w:val="4C7F2160"/>
    <w:rsid w:val="4CCE1585"/>
    <w:rsid w:val="4CE90D1D"/>
    <w:rsid w:val="4CF24A81"/>
    <w:rsid w:val="4D23452C"/>
    <w:rsid w:val="4DE83E6B"/>
    <w:rsid w:val="4ED605D8"/>
    <w:rsid w:val="4EE3231A"/>
    <w:rsid w:val="4EEF4DE5"/>
    <w:rsid w:val="4EF401D5"/>
    <w:rsid w:val="500C118E"/>
    <w:rsid w:val="508C6764"/>
    <w:rsid w:val="513C51EA"/>
    <w:rsid w:val="51F8452D"/>
    <w:rsid w:val="51FC3113"/>
    <w:rsid w:val="52314894"/>
    <w:rsid w:val="523305F4"/>
    <w:rsid w:val="52D03BE3"/>
    <w:rsid w:val="52F667CA"/>
    <w:rsid w:val="534E1067"/>
    <w:rsid w:val="53CE7479"/>
    <w:rsid w:val="53D12908"/>
    <w:rsid w:val="542A1B1A"/>
    <w:rsid w:val="54862C21"/>
    <w:rsid w:val="54A94D1B"/>
    <w:rsid w:val="54AF2D2D"/>
    <w:rsid w:val="54EE2BE4"/>
    <w:rsid w:val="557F01F2"/>
    <w:rsid w:val="55C51C07"/>
    <w:rsid w:val="56A04809"/>
    <w:rsid w:val="56D66DBD"/>
    <w:rsid w:val="57405F2E"/>
    <w:rsid w:val="5745131D"/>
    <w:rsid w:val="575D3BFC"/>
    <w:rsid w:val="576E3023"/>
    <w:rsid w:val="57A81013"/>
    <w:rsid w:val="57B9435A"/>
    <w:rsid w:val="58210C08"/>
    <w:rsid w:val="582612C2"/>
    <w:rsid w:val="582E2A83"/>
    <w:rsid w:val="584C16BA"/>
    <w:rsid w:val="58801025"/>
    <w:rsid w:val="589924C7"/>
    <w:rsid w:val="58DF5F17"/>
    <w:rsid w:val="59491E2D"/>
    <w:rsid w:val="59834B3F"/>
    <w:rsid w:val="59C54C72"/>
    <w:rsid w:val="59F73FC2"/>
    <w:rsid w:val="5A3C21FB"/>
    <w:rsid w:val="5A8D61FC"/>
    <w:rsid w:val="5A903F89"/>
    <w:rsid w:val="5AA64DBF"/>
    <w:rsid w:val="5AB81FAD"/>
    <w:rsid w:val="5ABB087D"/>
    <w:rsid w:val="5C1550F8"/>
    <w:rsid w:val="5C5B2719"/>
    <w:rsid w:val="5C964514"/>
    <w:rsid w:val="5CB67FA6"/>
    <w:rsid w:val="5CFC469D"/>
    <w:rsid w:val="5D3709EC"/>
    <w:rsid w:val="5DE56DAE"/>
    <w:rsid w:val="5E52536D"/>
    <w:rsid w:val="5E527EE8"/>
    <w:rsid w:val="5E9D27C3"/>
    <w:rsid w:val="5EBC5059"/>
    <w:rsid w:val="5EC32A4D"/>
    <w:rsid w:val="5EDD03DC"/>
    <w:rsid w:val="5EF548D5"/>
    <w:rsid w:val="5F482D85"/>
    <w:rsid w:val="5F4A17F7"/>
    <w:rsid w:val="5F55569C"/>
    <w:rsid w:val="5FA30DA2"/>
    <w:rsid w:val="5FBF0750"/>
    <w:rsid w:val="5FEE0C93"/>
    <w:rsid w:val="6039608C"/>
    <w:rsid w:val="6091492A"/>
    <w:rsid w:val="60994108"/>
    <w:rsid w:val="60D12E82"/>
    <w:rsid w:val="611018E8"/>
    <w:rsid w:val="613F5A88"/>
    <w:rsid w:val="619C3351"/>
    <w:rsid w:val="61B23400"/>
    <w:rsid w:val="61B871DD"/>
    <w:rsid w:val="61D44B8A"/>
    <w:rsid w:val="61DC6840"/>
    <w:rsid w:val="62AF4957"/>
    <w:rsid w:val="62F87340"/>
    <w:rsid w:val="63B4505E"/>
    <w:rsid w:val="64144677"/>
    <w:rsid w:val="643369FF"/>
    <w:rsid w:val="643F70F2"/>
    <w:rsid w:val="64AD2A69"/>
    <w:rsid w:val="650937CA"/>
    <w:rsid w:val="655608DF"/>
    <w:rsid w:val="658E2E29"/>
    <w:rsid w:val="65BF1487"/>
    <w:rsid w:val="65C245ED"/>
    <w:rsid w:val="65D61D84"/>
    <w:rsid w:val="66577F65"/>
    <w:rsid w:val="668441D4"/>
    <w:rsid w:val="67885A30"/>
    <w:rsid w:val="67B86476"/>
    <w:rsid w:val="68060F6F"/>
    <w:rsid w:val="681B514A"/>
    <w:rsid w:val="68526173"/>
    <w:rsid w:val="685C14DA"/>
    <w:rsid w:val="68635898"/>
    <w:rsid w:val="691B438A"/>
    <w:rsid w:val="695A54AA"/>
    <w:rsid w:val="6979140F"/>
    <w:rsid w:val="698B60FE"/>
    <w:rsid w:val="69977467"/>
    <w:rsid w:val="6A8D083C"/>
    <w:rsid w:val="6AD0363A"/>
    <w:rsid w:val="6B62123B"/>
    <w:rsid w:val="6B962CF0"/>
    <w:rsid w:val="6BBF7899"/>
    <w:rsid w:val="6BF02855"/>
    <w:rsid w:val="6C032217"/>
    <w:rsid w:val="6C364F23"/>
    <w:rsid w:val="6C435528"/>
    <w:rsid w:val="6C5E0776"/>
    <w:rsid w:val="6C802907"/>
    <w:rsid w:val="6CD35FB5"/>
    <w:rsid w:val="6D5F1EC3"/>
    <w:rsid w:val="6D6F5A3A"/>
    <w:rsid w:val="6D8A66F2"/>
    <w:rsid w:val="6D8D0C4C"/>
    <w:rsid w:val="6D9844EF"/>
    <w:rsid w:val="6DEB26BE"/>
    <w:rsid w:val="6E331460"/>
    <w:rsid w:val="6E4A161D"/>
    <w:rsid w:val="6EA1195D"/>
    <w:rsid w:val="6F267C9E"/>
    <w:rsid w:val="6F893073"/>
    <w:rsid w:val="6F9C69A6"/>
    <w:rsid w:val="6FC03252"/>
    <w:rsid w:val="6FD251B0"/>
    <w:rsid w:val="6FE81DC0"/>
    <w:rsid w:val="6FEF421B"/>
    <w:rsid w:val="70452C78"/>
    <w:rsid w:val="704E2BB2"/>
    <w:rsid w:val="707A0F2D"/>
    <w:rsid w:val="708C1993"/>
    <w:rsid w:val="70DE0CE9"/>
    <w:rsid w:val="718A7FD3"/>
    <w:rsid w:val="71DA4B96"/>
    <w:rsid w:val="71E54713"/>
    <w:rsid w:val="720A36C8"/>
    <w:rsid w:val="720C68AA"/>
    <w:rsid w:val="721D7E78"/>
    <w:rsid w:val="725F3577"/>
    <w:rsid w:val="727761E4"/>
    <w:rsid w:val="72821CF0"/>
    <w:rsid w:val="72E968C1"/>
    <w:rsid w:val="72F44E56"/>
    <w:rsid w:val="73775474"/>
    <w:rsid w:val="73885CD5"/>
    <w:rsid w:val="73F5181C"/>
    <w:rsid w:val="745F6C21"/>
    <w:rsid w:val="746A26D2"/>
    <w:rsid w:val="746D0D28"/>
    <w:rsid w:val="748E0001"/>
    <w:rsid w:val="74AF1B7B"/>
    <w:rsid w:val="74D1091E"/>
    <w:rsid w:val="754429A6"/>
    <w:rsid w:val="757E4D87"/>
    <w:rsid w:val="758D60C6"/>
    <w:rsid w:val="7600615C"/>
    <w:rsid w:val="767333C4"/>
    <w:rsid w:val="76842527"/>
    <w:rsid w:val="76CF02DA"/>
    <w:rsid w:val="76FA4155"/>
    <w:rsid w:val="7700634C"/>
    <w:rsid w:val="772C65EC"/>
    <w:rsid w:val="773C0207"/>
    <w:rsid w:val="781843D7"/>
    <w:rsid w:val="78272345"/>
    <w:rsid w:val="782C0907"/>
    <w:rsid w:val="78386FB8"/>
    <w:rsid w:val="78D80822"/>
    <w:rsid w:val="79253F2D"/>
    <w:rsid w:val="79AD129F"/>
    <w:rsid w:val="79B56199"/>
    <w:rsid w:val="79DA470C"/>
    <w:rsid w:val="79EA7500"/>
    <w:rsid w:val="7A344B19"/>
    <w:rsid w:val="7ABC09D2"/>
    <w:rsid w:val="7AD92E80"/>
    <w:rsid w:val="7BC7508D"/>
    <w:rsid w:val="7C290409"/>
    <w:rsid w:val="7C604913"/>
    <w:rsid w:val="7C7C5326"/>
    <w:rsid w:val="7CEB5D37"/>
    <w:rsid w:val="7D0F5883"/>
    <w:rsid w:val="7D356286"/>
    <w:rsid w:val="7D4A1FDD"/>
    <w:rsid w:val="7D5E1CB6"/>
    <w:rsid w:val="7E3D6623"/>
    <w:rsid w:val="7E900132"/>
    <w:rsid w:val="7E987895"/>
    <w:rsid w:val="7EAC7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2">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paragraph" w:customStyle="1" w:styleId="270">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character" w:customStyle="1" w:styleId="271">
    <w:name w:val="font81"/>
    <w:basedOn w:val="18"/>
    <w:qFormat/>
    <w:uiPriority w:val="0"/>
    <w:rPr>
      <w:rFonts w:hint="default" w:ascii="Times New Roman" w:hAnsi="Times New Roman" w:cs="Times New Roman"/>
      <w:color w:val="000000"/>
      <w:sz w:val="18"/>
      <w:szCs w:val="18"/>
      <w:u w:val="none"/>
    </w:rPr>
  </w:style>
  <w:style w:type="character" w:customStyle="1" w:styleId="272">
    <w:name w:val="font71"/>
    <w:basedOn w:val="18"/>
    <w:qFormat/>
    <w:uiPriority w:val="0"/>
    <w:rPr>
      <w:rFonts w:hint="default" w:ascii="Times New Roman" w:hAnsi="Times New Roman" w:cs="Times New Roman"/>
      <w:color w:val="000000"/>
      <w:sz w:val="18"/>
      <w:szCs w:val="18"/>
      <w:u w:val="none"/>
    </w:rPr>
  </w:style>
  <w:style w:type="paragraph" w:customStyle="1" w:styleId="273">
    <w:name w:val="表内文字"/>
    <w:basedOn w:val="274"/>
    <w:qFormat/>
    <w:uiPriority w:val="0"/>
    <w:pPr>
      <w:spacing w:line="240" w:lineRule="auto"/>
      <w:ind w:firstLine="0" w:firstLineChars="0"/>
      <w:jc w:val="center"/>
    </w:pPr>
    <w:rPr>
      <w:b w:val="0"/>
      <w:sz w:val="18"/>
    </w:rPr>
  </w:style>
  <w:style w:type="paragraph" w:customStyle="1" w:styleId="274">
    <w:name w:val="表头"/>
    <w:basedOn w:val="1"/>
    <w:qFormat/>
    <w:uiPriority w:val="0"/>
    <w:rPr>
      <w:rFonts w:ascii="Times New Roman" w:hAnsi="Times New Roman"/>
      <w:b/>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6.jpeg"/><Relationship Id="rId55" Type="http://schemas.openxmlformats.org/officeDocument/2006/relationships/image" Target="media/image25.jpeg"/><Relationship Id="rId54" Type="http://schemas.openxmlformats.org/officeDocument/2006/relationships/image" Target="media/image24.jpe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footer" Target="footer1.xml"/><Relationship Id="rId49" Type="http://schemas.openxmlformats.org/officeDocument/2006/relationships/image" Target="media/image19.png"/><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wmf"/><Relationship Id="rId44" Type="http://schemas.openxmlformats.org/officeDocument/2006/relationships/oleObject" Target="embeddings/oleObject12.bin"/><Relationship Id="rId43" Type="http://schemas.openxmlformats.org/officeDocument/2006/relationships/image" Target="media/image14.wmf"/><Relationship Id="rId42" Type="http://schemas.openxmlformats.org/officeDocument/2006/relationships/oleObject" Target="embeddings/oleObject11.bin"/><Relationship Id="rId41" Type="http://schemas.openxmlformats.org/officeDocument/2006/relationships/image" Target="media/image13.wmf"/><Relationship Id="rId40" Type="http://schemas.openxmlformats.org/officeDocument/2006/relationships/oleObject" Target="embeddings/oleObject10.bin"/><Relationship Id="rId4" Type="http://schemas.openxmlformats.org/officeDocument/2006/relationships/endnotes" Target="endnotes.xml"/><Relationship Id="rId39" Type="http://schemas.openxmlformats.org/officeDocument/2006/relationships/image" Target="media/image12.wmf"/><Relationship Id="rId38" Type="http://schemas.openxmlformats.org/officeDocument/2006/relationships/oleObject" Target="embeddings/oleObject9.bin"/><Relationship Id="rId37" Type="http://schemas.openxmlformats.org/officeDocument/2006/relationships/image" Target="media/image11.wmf"/><Relationship Id="rId36" Type="http://schemas.openxmlformats.org/officeDocument/2006/relationships/oleObject" Target="embeddings/oleObject8.bin"/><Relationship Id="rId35" Type="http://schemas.openxmlformats.org/officeDocument/2006/relationships/image" Target="media/image10.wmf"/><Relationship Id="rId34" Type="http://schemas.openxmlformats.org/officeDocument/2006/relationships/oleObject" Target="embeddings/oleObject7.bin"/><Relationship Id="rId33" Type="http://schemas.openxmlformats.org/officeDocument/2006/relationships/image" Target="media/image9.wmf"/><Relationship Id="rId32" Type="http://schemas.openxmlformats.org/officeDocument/2006/relationships/oleObject" Target="embeddings/oleObject6.bin"/><Relationship Id="rId31" Type="http://schemas.openxmlformats.org/officeDocument/2006/relationships/image" Target="media/image8.wmf"/><Relationship Id="rId30" Type="http://schemas.openxmlformats.org/officeDocument/2006/relationships/oleObject" Target="embeddings/oleObject5.bin"/><Relationship Id="rId3" Type="http://schemas.openxmlformats.org/officeDocument/2006/relationships/footnotes" Target="footnotes.xml"/><Relationship Id="rId29" Type="http://schemas.openxmlformats.org/officeDocument/2006/relationships/image" Target="media/image7.wmf"/><Relationship Id="rId28" Type="http://schemas.openxmlformats.org/officeDocument/2006/relationships/oleObject" Target="embeddings/oleObject4.bin"/><Relationship Id="rId27" Type="http://schemas.openxmlformats.org/officeDocument/2006/relationships/image" Target="media/image6.wmf"/><Relationship Id="rId26" Type="http://schemas.openxmlformats.org/officeDocument/2006/relationships/oleObject" Target="embeddings/oleObject3.bin"/><Relationship Id="rId25" Type="http://schemas.openxmlformats.org/officeDocument/2006/relationships/image" Target="media/image5.wmf"/><Relationship Id="rId24" Type="http://schemas.openxmlformats.org/officeDocument/2006/relationships/oleObject" Target="embeddings/oleObject2.bin"/><Relationship Id="rId23" Type="http://schemas.openxmlformats.org/officeDocument/2006/relationships/image" Target="media/image4.wmf"/><Relationship Id="rId22" Type="http://schemas.openxmlformats.org/officeDocument/2006/relationships/oleObject" Target="embeddings/oleObject1.bin"/><Relationship Id="rId21" Type="http://schemas.openxmlformats.org/officeDocument/2006/relationships/image" Target="media/image3.png"/><Relationship Id="rId20"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82"/>
    <customShpInfo spid="_x0000_s2049" textRotate="1"/>
    <customShpInfo spid="_x0000_s2050" textRotate="1"/>
    <customShpInfo spid="_x0000_s2051" textRotate="1"/>
    <customShpInfo spid="_x0000_s2052" textRotate="1"/>
    <customShpInfo spid="_x0000_s2080" textRotate="1"/>
    <customShpInfo spid="_x0000_s2079" textRotate="1"/>
    <customShpInfo spid="_x0000_s2055" textRotate="1"/>
    <customShpInfo spid="_x0000_s2056" textRotate="1"/>
    <customShpInfo spid="_x0000_s1196"/>
    <customShpInfo spid="_x0000_s11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19738</Words>
  <Characters>28420</Characters>
  <Lines>228</Lines>
  <Paragraphs>64</Paragraphs>
  <TotalTime>0</TotalTime>
  <ScaleCrop>false</ScaleCrop>
  <LinksUpToDate>false</LinksUpToDate>
  <CharactersWithSpaces>29727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2020-09-18T02:52:00Z</cp:lastPrinted>
  <dcterms:modified xsi:type="dcterms:W3CDTF">2022-12-02T06:49:54Z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7B35F2B059044AA88C54ABB09C2F66BE</vt:lpwstr>
  </property>
</Properties>
</file>