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cs="Times New Roman"/>
          <w:b/>
          <w:color w:val="auto"/>
          <w:sz w:val="32"/>
        </w:rPr>
      </w:pPr>
      <w:r>
        <w:rPr>
          <w:rFonts w:hint="default" w:ascii="Times New Roman" w:hAnsi="Times New Roman" w:cs="Times New Roman"/>
          <w:b/>
          <w:color w:val="auto"/>
          <w:sz w:val="32"/>
        </w:rPr>
        <w:t>目    录</w:t>
      </w:r>
    </w:p>
    <w:p>
      <w:pPr>
        <w:rPr>
          <w:rFonts w:hint="default" w:ascii="Times New Roman" w:hAnsi="Times New Roman" w:eastAsia="仿宋_GB2312" w:cs="Times New Roman"/>
          <w:color w:val="auto"/>
        </w:rPr>
      </w:pPr>
    </w:p>
    <w:p>
      <w:pPr>
        <w:pStyle w:val="14"/>
        <w:tabs>
          <w:tab w:val="right" w:leader="dot" w:pos="9241"/>
          <w:tab w:val="clear" w:pos="9231"/>
        </w:tabs>
      </w:pPr>
      <w:r>
        <w:rPr>
          <w:rFonts w:hint="default" w:ascii="Times New Roman" w:hAnsi="Times New Roman" w:cs="Times New Roman"/>
          <w:b/>
          <w:bCs/>
          <w:color w:val="auto"/>
          <w:spacing w:val="20"/>
          <w:sz w:val="26"/>
          <w:szCs w:val="26"/>
        </w:rPr>
        <w:fldChar w:fldCharType="begin"/>
      </w:r>
      <w:r>
        <w:rPr>
          <w:rFonts w:hint="default" w:ascii="Times New Roman" w:hAnsi="Times New Roman" w:cs="Times New Roman"/>
          <w:b/>
          <w:bCs/>
          <w:color w:val="auto"/>
          <w:spacing w:val="20"/>
          <w:sz w:val="26"/>
          <w:szCs w:val="26"/>
        </w:rPr>
        <w:instrText xml:space="preserve"> TOC \o "1-3" \h \z \u </w:instrText>
      </w:r>
      <w:r>
        <w:rPr>
          <w:rFonts w:hint="default" w:ascii="Times New Roman" w:hAnsi="Times New Roman" w:cs="Times New Roman"/>
          <w:b/>
          <w:bCs/>
          <w:color w:val="auto"/>
          <w:spacing w:val="20"/>
          <w:sz w:val="26"/>
          <w:szCs w:val="26"/>
        </w:rPr>
        <w:fldChar w:fldCharType="separate"/>
      </w:r>
      <w:r>
        <w:rPr>
          <w:rFonts w:hint="default" w:ascii="Times New Roman" w:hAnsi="Times New Roman" w:cs="Times New Roman"/>
          <w:bCs/>
          <w:color w:val="auto"/>
          <w:spacing w:val="20"/>
          <w:szCs w:val="26"/>
        </w:rPr>
        <w:fldChar w:fldCharType="begin"/>
      </w:r>
      <w:r>
        <w:rPr>
          <w:rFonts w:hint="default" w:ascii="Times New Roman" w:hAnsi="Times New Roman" w:cs="Times New Roman"/>
          <w:bCs/>
          <w:spacing w:val="20"/>
          <w:szCs w:val="26"/>
        </w:rPr>
        <w:instrText xml:space="preserve"> HYPERLINK \l _Toc15958 </w:instrText>
      </w:r>
      <w:r>
        <w:rPr>
          <w:rFonts w:hint="default" w:ascii="Times New Roman" w:hAnsi="Times New Roman" w:cs="Times New Roman"/>
          <w:bCs/>
          <w:spacing w:val="20"/>
          <w:szCs w:val="26"/>
        </w:rPr>
        <w:fldChar w:fldCharType="separate"/>
      </w:r>
      <w:r>
        <w:rPr>
          <w:rFonts w:hint="default" w:ascii="Times New Roman" w:hAnsi="Times New Roman" w:cs="Times New Roman"/>
          <w:highlight w:val="none"/>
        </w:rPr>
        <w:t xml:space="preserve">1 </w:t>
      </w:r>
      <w:r>
        <w:rPr>
          <w:rFonts w:hint="default" w:ascii="Times New Roman" w:hAnsi="Times New Roman" w:cs="Times New Roman"/>
          <w:highlight w:val="none"/>
          <w:lang w:eastAsia="zh-CN"/>
        </w:rPr>
        <w:t>划界工作背景</w:t>
      </w:r>
      <w:r>
        <w:tab/>
      </w:r>
      <w:r>
        <w:fldChar w:fldCharType="begin"/>
      </w:r>
      <w:r>
        <w:instrText xml:space="preserve"> PAGEREF _Toc15958 </w:instrText>
      </w:r>
      <w:r>
        <w:fldChar w:fldCharType="separate"/>
      </w:r>
      <w:r>
        <w:t>1</w:t>
      </w:r>
      <w:r>
        <w:fldChar w:fldCharType="end"/>
      </w:r>
      <w:r>
        <w:rPr>
          <w:rFonts w:hint="default" w:ascii="Times New Roman" w:hAnsi="Times New Roman" w:cs="Times New Roman"/>
          <w:bCs/>
          <w:color w:val="auto"/>
          <w:spacing w:val="2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_Toc15699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2</w:t>
      </w:r>
      <w:r>
        <w:rPr>
          <w:rFonts w:hint="default" w:ascii="Times New Roman" w:hAnsi="Times New Roman" w:cs="Times New Roman"/>
          <w:highlight w:val="none"/>
        </w:rPr>
        <w:t xml:space="preserve"> </w:t>
      </w:r>
      <w:r>
        <w:rPr>
          <w:rFonts w:hint="default" w:ascii="Times New Roman" w:hAnsi="Times New Roman" w:cs="Times New Roman"/>
          <w:highlight w:val="none"/>
          <w:lang w:eastAsia="zh-CN"/>
        </w:rPr>
        <w:t>河段基本情况</w:t>
      </w:r>
      <w:r>
        <w:tab/>
      </w:r>
      <w:r>
        <w:fldChar w:fldCharType="begin"/>
      </w:r>
      <w:r>
        <w:instrText xml:space="preserve"> PAGEREF _Toc15699 </w:instrText>
      </w:r>
      <w:r>
        <w:fldChar w:fldCharType="separate"/>
      </w:r>
      <w:r>
        <w:t>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_Toc18589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2.1</w:t>
      </w:r>
      <w:r>
        <w:rPr>
          <w:rFonts w:hint="default" w:ascii="Times New Roman" w:hAnsi="Times New Roman" w:cs="Times New Roman"/>
          <w:bCs w:val="0"/>
          <w:highlight w:val="none"/>
          <w:lang w:val="en-US"/>
        </w:rPr>
        <w:t xml:space="preserve"> </w:t>
      </w:r>
      <w:r>
        <w:rPr>
          <w:rFonts w:hint="default" w:ascii="Times New Roman" w:hAnsi="Times New Roman" w:cs="Times New Roman"/>
          <w:bCs w:val="0"/>
          <w:highlight w:val="none"/>
          <w:lang w:val="en-US" w:eastAsia="zh-CN"/>
        </w:rPr>
        <w:t>河段洪水位情况</w:t>
      </w:r>
      <w:r>
        <w:tab/>
      </w:r>
      <w:r>
        <w:fldChar w:fldCharType="begin"/>
      </w:r>
      <w:r>
        <w:instrText xml:space="preserve"> PAGEREF _Toc18589 </w:instrText>
      </w:r>
      <w:r>
        <w:fldChar w:fldCharType="separate"/>
      </w:r>
      <w:r>
        <w:t>4</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_Toc3568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2.2 河段岸线情况</w:t>
      </w:r>
      <w:r>
        <w:tab/>
      </w:r>
      <w:r>
        <w:fldChar w:fldCharType="begin"/>
      </w:r>
      <w:r>
        <w:instrText xml:space="preserve"> PAGEREF _Toc3568 </w:instrText>
      </w:r>
      <w:r>
        <w:fldChar w:fldCharType="separate"/>
      </w:r>
      <w:r>
        <w:t>5</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_Toc18578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2.3</w:t>
      </w:r>
      <w:r>
        <w:rPr>
          <w:rFonts w:hint="default" w:ascii="Times New Roman" w:hAnsi="Times New Roman" w:cs="Times New Roman"/>
          <w:bCs w:val="0"/>
          <w:highlight w:val="none"/>
          <w:lang w:val="en-US"/>
        </w:rPr>
        <w:t xml:space="preserve"> </w:t>
      </w:r>
      <w:r>
        <w:rPr>
          <w:rFonts w:hint="default" w:ascii="Times New Roman" w:hAnsi="Times New Roman" w:cs="Times New Roman"/>
          <w:bCs w:val="0"/>
          <w:highlight w:val="none"/>
          <w:lang w:val="en-US" w:eastAsia="zh-CN"/>
        </w:rPr>
        <w:t>涉河建设项目情况</w:t>
      </w:r>
      <w:r>
        <w:tab/>
      </w:r>
      <w:r>
        <w:fldChar w:fldCharType="begin"/>
      </w:r>
      <w:r>
        <w:instrText xml:space="preserve"> PAGEREF _Toc18578 </w:instrText>
      </w:r>
      <w:r>
        <w:fldChar w:fldCharType="separate"/>
      </w:r>
      <w:r>
        <w:t>7</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_Toc30799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2.4 土地权属情况</w:t>
      </w:r>
      <w:r>
        <w:tab/>
      </w:r>
      <w:r>
        <w:fldChar w:fldCharType="begin"/>
      </w:r>
      <w:r>
        <w:instrText xml:space="preserve"> PAGEREF _Toc30799 </w:instrText>
      </w:r>
      <w:r>
        <w:fldChar w:fldCharType="separate"/>
      </w:r>
      <w:r>
        <w:t>8</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_Toc3033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2.5 历史划界情况</w:t>
      </w:r>
      <w:r>
        <w:tab/>
      </w:r>
      <w:r>
        <w:fldChar w:fldCharType="begin"/>
      </w:r>
      <w:r>
        <w:instrText xml:space="preserve"> PAGEREF _Toc3033 </w:instrText>
      </w:r>
      <w:r>
        <w:fldChar w:fldCharType="separate"/>
      </w:r>
      <w:r>
        <w:t>8</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_Toc25574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3</w:t>
      </w:r>
      <w:r>
        <w:rPr>
          <w:rFonts w:hint="default" w:ascii="Times New Roman" w:hAnsi="Times New Roman" w:cs="Times New Roman"/>
          <w:highlight w:val="none"/>
        </w:rPr>
        <w:t xml:space="preserve"> 工作原则及依据</w:t>
      </w:r>
      <w:r>
        <w:tab/>
      </w:r>
      <w:r>
        <w:fldChar w:fldCharType="begin"/>
      </w:r>
      <w:r>
        <w:instrText xml:space="preserve"> PAGEREF _Toc25574 </w:instrText>
      </w:r>
      <w:r>
        <w:fldChar w:fldCharType="separate"/>
      </w:r>
      <w:r>
        <w:t>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_Toc29425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3</w:t>
      </w:r>
      <w:r>
        <w:rPr>
          <w:rFonts w:hint="default" w:ascii="Times New Roman" w:hAnsi="Times New Roman" w:cs="Times New Roman"/>
          <w:bCs w:val="0"/>
          <w:highlight w:val="none"/>
          <w:lang w:val="en-US"/>
        </w:rPr>
        <w:t xml:space="preserve">.1 </w:t>
      </w:r>
      <w:r>
        <w:rPr>
          <w:rFonts w:hint="default" w:ascii="Times New Roman" w:hAnsi="Times New Roman" w:cs="Times New Roman"/>
          <w:bCs w:val="0"/>
          <w:highlight w:val="none"/>
        </w:rPr>
        <w:t>工作原则</w:t>
      </w:r>
      <w:r>
        <w:tab/>
      </w:r>
      <w:r>
        <w:fldChar w:fldCharType="begin"/>
      </w:r>
      <w:r>
        <w:instrText xml:space="preserve"> PAGEREF _Toc29425 </w:instrText>
      </w:r>
      <w:r>
        <w:fldChar w:fldCharType="separate"/>
      </w:r>
      <w:r>
        <w:t>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_Toc21163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3</w:t>
      </w:r>
      <w:r>
        <w:rPr>
          <w:rFonts w:hint="default" w:ascii="Times New Roman" w:hAnsi="Times New Roman" w:cs="Times New Roman"/>
          <w:bCs w:val="0"/>
          <w:highlight w:val="none"/>
          <w:lang w:val="en-US"/>
        </w:rPr>
        <w:t>.2</w:t>
      </w:r>
      <w:r>
        <w:rPr>
          <w:rFonts w:hint="default" w:ascii="Times New Roman" w:hAnsi="Times New Roman" w:cs="Times New Roman"/>
          <w:bCs w:val="0"/>
          <w:highlight w:val="none"/>
        </w:rPr>
        <w:t>工作依据</w:t>
      </w:r>
      <w:r>
        <w:tab/>
      </w:r>
      <w:r>
        <w:fldChar w:fldCharType="begin"/>
      </w:r>
      <w:r>
        <w:instrText xml:space="preserve"> PAGEREF _Toc21163 </w:instrText>
      </w:r>
      <w:r>
        <w:fldChar w:fldCharType="separate"/>
      </w:r>
      <w:r>
        <w:t>10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_Toc21917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 xml:space="preserve">.2.1 </w:t>
      </w:r>
      <w:r>
        <w:rPr>
          <w:rFonts w:hint="default" w:ascii="Times New Roman" w:hAnsi="Times New Roman" w:cs="Times New Roman"/>
          <w:highlight w:val="none"/>
        </w:rPr>
        <w:t>法律法规</w:t>
      </w:r>
      <w:r>
        <w:tab/>
      </w:r>
      <w:r>
        <w:fldChar w:fldCharType="begin"/>
      </w:r>
      <w:r>
        <w:instrText xml:space="preserve"> PAGEREF _Toc21917 </w:instrText>
      </w:r>
      <w:r>
        <w:fldChar w:fldCharType="separate"/>
      </w:r>
      <w:r>
        <w:t>10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_Toc19541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 xml:space="preserve">.2.2 </w:t>
      </w:r>
      <w:r>
        <w:rPr>
          <w:rFonts w:hint="default" w:ascii="Times New Roman" w:hAnsi="Times New Roman" w:cs="Times New Roman"/>
          <w:highlight w:val="none"/>
        </w:rPr>
        <w:t>政策文件</w:t>
      </w:r>
      <w:r>
        <w:tab/>
      </w:r>
      <w:r>
        <w:fldChar w:fldCharType="begin"/>
      </w:r>
      <w:r>
        <w:instrText xml:space="preserve"> PAGEREF _Toc19541 </w:instrText>
      </w:r>
      <w:r>
        <w:fldChar w:fldCharType="separate"/>
      </w:r>
      <w:r>
        <w:t>11</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_Toc30645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 xml:space="preserve">.2.3 </w:t>
      </w:r>
      <w:r>
        <w:rPr>
          <w:rFonts w:hint="default" w:ascii="Times New Roman" w:hAnsi="Times New Roman" w:cs="Times New Roman"/>
          <w:highlight w:val="none"/>
        </w:rPr>
        <w:t>技术标准规范</w:t>
      </w:r>
      <w:r>
        <w:tab/>
      </w:r>
      <w:r>
        <w:fldChar w:fldCharType="begin"/>
      </w:r>
      <w:r>
        <w:instrText xml:space="preserve"> PAGEREF _Toc30645 </w:instrText>
      </w:r>
      <w:r>
        <w:fldChar w:fldCharType="separate"/>
      </w:r>
      <w:r>
        <w:t>11</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_Toc23665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 组织实施情况</w:t>
      </w:r>
      <w:r>
        <w:tab/>
      </w:r>
      <w:r>
        <w:fldChar w:fldCharType="begin"/>
      </w:r>
      <w:r>
        <w:instrText xml:space="preserve"> PAGEREF _Toc23665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_Toc31063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rPr>
        <w:t xml:space="preserve">4.1 </w:t>
      </w:r>
      <w:r>
        <w:rPr>
          <w:rFonts w:hint="default" w:ascii="Times New Roman" w:hAnsi="Times New Roman" w:cs="Times New Roman"/>
          <w:highlight w:val="none"/>
          <w:lang w:val="en-US" w:eastAsia="zh-CN"/>
        </w:rPr>
        <w:t>总体技术流程</w:t>
      </w:r>
      <w:r>
        <w:tab/>
      </w:r>
      <w:r>
        <w:fldChar w:fldCharType="begin"/>
      </w:r>
      <w:r>
        <w:instrText xml:space="preserve"> PAGEREF _Toc31063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_Toc580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rPr>
        <w:t>4.</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val="en-US"/>
        </w:rPr>
        <w:t xml:space="preserve"> </w:t>
      </w:r>
      <w:r>
        <w:rPr>
          <w:rFonts w:hint="default" w:ascii="Times New Roman" w:hAnsi="Times New Roman" w:cs="Times New Roman"/>
          <w:highlight w:val="none"/>
          <w:lang w:val="en-US" w:eastAsia="zh-CN"/>
        </w:rPr>
        <w:t>已有</w:t>
      </w:r>
      <w:r>
        <w:rPr>
          <w:rFonts w:hint="default" w:ascii="Times New Roman" w:hAnsi="Times New Roman" w:cs="Times New Roman"/>
          <w:highlight w:val="none"/>
          <w:lang w:val="en-US"/>
        </w:rPr>
        <w:t>资料收集</w:t>
      </w:r>
      <w:r>
        <w:tab/>
      </w:r>
      <w:r>
        <w:fldChar w:fldCharType="begin"/>
      </w:r>
      <w:r>
        <w:instrText xml:space="preserve"> PAGEREF _Toc580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_Toc17875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 xml:space="preserve"> 工作底图制作</w:t>
      </w:r>
      <w:r>
        <w:tab/>
      </w:r>
      <w:r>
        <w:fldChar w:fldCharType="begin"/>
      </w:r>
      <w:r>
        <w:instrText xml:space="preserve"> PAGEREF _Toc17875 </w:instrText>
      </w:r>
      <w:r>
        <w:fldChar w:fldCharType="separate"/>
      </w:r>
      <w:r>
        <w:t>15</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_Toc10385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1</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已有资料预处理</w:t>
      </w:r>
      <w:r>
        <w:tab/>
      </w:r>
      <w:r>
        <w:fldChar w:fldCharType="begin"/>
      </w:r>
      <w:r>
        <w:instrText xml:space="preserve"> PAGEREF _Toc10385 </w:instrText>
      </w:r>
      <w:r>
        <w:fldChar w:fldCharType="separate"/>
      </w:r>
      <w:r>
        <w:t>15</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_Toc24265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河湖划界参考要素补充采集</w:t>
      </w:r>
      <w:r>
        <w:tab/>
      </w:r>
      <w:r>
        <w:fldChar w:fldCharType="begin"/>
      </w:r>
      <w:r>
        <w:instrText xml:space="preserve"> PAGEREF _Toc24265 </w:instrText>
      </w:r>
      <w:r>
        <w:fldChar w:fldCharType="separate"/>
      </w:r>
      <w:r>
        <w:t>15</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_Toc11450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3地形图补充测量</w:t>
      </w:r>
      <w:r>
        <w:tab/>
      </w:r>
      <w:r>
        <w:fldChar w:fldCharType="begin"/>
      </w:r>
      <w:r>
        <w:instrText xml:space="preserve"> PAGEREF _Toc11450 </w:instrText>
      </w:r>
      <w:r>
        <w:fldChar w:fldCharType="separate"/>
      </w:r>
      <w:r>
        <w:t>15</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_Toc3401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4数据整合</w:t>
      </w:r>
      <w:r>
        <w:tab/>
      </w:r>
      <w:r>
        <w:fldChar w:fldCharType="begin"/>
      </w:r>
      <w:r>
        <w:instrText xml:space="preserve"> PAGEREF _Toc3401 </w:instrText>
      </w:r>
      <w:r>
        <w:fldChar w:fldCharType="separate"/>
      </w:r>
      <w:r>
        <w:t>15</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_Toc30688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 xml:space="preserve"> 管理范围室内初步拟定</w:t>
      </w:r>
      <w:r>
        <w:tab/>
      </w:r>
      <w:r>
        <w:fldChar w:fldCharType="begin"/>
      </w:r>
      <w:r>
        <w:instrText xml:space="preserve"> PAGEREF _Toc30688 </w:instrText>
      </w:r>
      <w:r>
        <w:fldChar w:fldCharType="separate"/>
      </w:r>
      <w:r>
        <w:t>16</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_Toc4353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.1 洪水位分析计算</w:t>
      </w:r>
      <w:r>
        <w:tab/>
      </w:r>
      <w:r>
        <w:fldChar w:fldCharType="begin"/>
      </w:r>
      <w:r>
        <w:instrText xml:space="preserve"> PAGEREF _Toc4353 </w:instrText>
      </w:r>
      <w:r>
        <w:fldChar w:fldCharType="separate"/>
      </w:r>
      <w:r>
        <w:t>16</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_Toc479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.2  洪水位标图</w:t>
      </w:r>
      <w:r>
        <w:tab/>
      </w:r>
      <w:r>
        <w:fldChar w:fldCharType="begin"/>
      </w:r>
      <w:r>
        <w:instrText xml:space="preserve"> PAGEREF _Toc479 </w:instrText>
      </w:r>
      <w:r>
        <w:fldChar w:fldCharType="separate"/>
      </w:r>
      <w:r>
        <w:t>30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_Toc26035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.3 管理范围界限初步拟定</w:t>
      </w:r>
      <w:r>
        <w:tab/>
      </w:r>
      <w:r>
        <w:fldChar w:fldCharType="begin"/>
      </w:r>
      <w:r>
        <w:instrText xml:space="preserve"> PAGEREF _Toc26035 </w:instrText>
      </w:r>
      <w:r>
        <w:fldChar w:fldCharType="separate"/>
      </w:r>
      <w:r>
        <w:t>30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_Toc5472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4.4.4界桩和告示牌布设</w:t>
      </w:r>
      <w:r>
        <w:tab/>
      </w:r>
      <w:r>
        <w:fldChar w:fldCharType="begin"/>
      </w:r>
      <w:r>
        <w:instrText xml:space="preserve"> PAGEREF _Toc5472 </w:instrText>
      </w:r>
      <w:r>
        <w:fldChar w:fldCharType="separate"/>
      </w:r>
      <w:r>
        <w:t>31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_Toc14732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管理范围线实地修正</w:t>
      </w:r>
      <w:r>
        <w:tab/>
      </w:r>
      <w:r>
        <w:fldChar w:fldCharType="begin"/>
      </w:r>
      <w:r>
        <w:instrText xml:space="preserve"> PAGEREF _Toc14732 </w:instrText>
      </w:r>
      <w:r>
        <w:fldChar w:fldCharType="separate"/>
      </w:r>
      <w:r>
        <w:t>40</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_Toc9566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划界标准</w:t>
      </w:r>
      <w:r>
        <w:tab/>
      </w:r>
      <w:r>
        <w:fldChar w:fldCharType="begin"/>
      </w:r>
      <w:r>
        <w:instrText xml:space="preserve"> PAGEREF _Toc9566 </w:instrText>
      </w:r>
      <w:r>
        <w:fldChar w:fldCharType="separate"/>
      </w:r>
      <w:r>
        <w:t>41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_Toc17177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5</w:t>
      </w:r>
      <w:r>
        <w:rPr>
          <w:rFonts w:hint="default" w:ascii="Times New Roman" w:hAnsi="Times New Roman" w:cs="Times New Roman"/>
          <w:bCs w:val="0"/>
          <w:highlight w:val="none"/>
          <w:lang w:val="en-US"/>
        </w:rPr>
        <w:t>.1 防洪标准</w:t>
      </w:r>
      <w:r>
        <w:tab/>
      </w:r>
      <w:r>
        <w:fldChar w:fldCharType="begin"/>
      </w:r>
      <w:r>
        <w:instrText xml:space="preserve"> PAGEREF _Toc17177 </w:instrText>
      </w:r>
      <w:r>
        <w:fldChar w:fldCharType="separate"/>
      </w:r>
      <w:r>
        <w:t>41</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_Toc18370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.1.1  河段防洪标准确定总体原则</w:t>
      </w:r>
      <w:r>
        <w:tab/>
      </w:r>
      <w:r>
        <w:fldChar w:fldCharType="begin"/>
      </w:r>
      <w:r>
        <w:instrText xml:space="preserve"> PAGEREF _Toc18370 </w:instrText>
      </w:r>
      <w:r>
        <w:fldChar w:fldCharType="separate"/>
      </w:r>
      <w:r>
        <w:t>41</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_Toc23527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.1.2  河段防洪标准确定成果</w:t>
      </w:r>
      <w:r>
        <w:tab/>
      </w:r>
      <w:r>
        <w:fldChar w:fldCharType="begin"/>
      </w:r>
      <w:r>
        <w:instrText xml:space="preserve"> PAGEREF _Toc23527 </w:instrText>
      </w:r>
      <w:r>
        <w:fldChar w:fldCharType="separate"/>
      </w:r>
      <w:r>
        <w:t>42</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_Toc17933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5</w:t>
      </w:r>
      <w:r>
        <w:rPr>
          <w:rFonts w:hint="default" w:ascii="Times New Roman" w:hAnsi="Times New Roman" w:cs="Times New Roman"/>
          <w:bCs w:val="0"/>
          <w:highlight w:val="none"/>
          <w:lang w:val="en-US" w:eastAsia="en-US"/>
        </w:rPr>
        <w:t>.</w:t>
      </w:r>
      <w:r>
        <w:rPr>
          <w:rFonts w:hint="default" w:ascii="Times New Roman" w:hAnsi="Times New Roman" w:cs="Times New Roman"/>
          <w:bCs w:val="0"/>
          <w:highlight w:val="none"/>
          <w:lang w:val="en-US"/>
        </w:rPr>
        <w:t>2 划界标准</w:t>
      </w:r>
      <w:r>
        <w:tab/>
      </w:r>
      <w:r>
        <w:fldChar w:fldCharType="begin"/>
      </w:r>
      <w:r>
        <w:instrText xml:space="preserve"> PAGEREF _Toc17933 </w:instrText>
      </w:r>
      <w:r>
        <w:fldChar w:fldCharType="separate"/>
      </w:r>
      <w:r>
        <w:t>42</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_Toc11532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5</w:t>
      </w:r>
      <w:r>
        <w:rPr>
          <w:rFonts w:hint="default" w:ascii="Times New Roman" w:hAnsi="Times New Roman" w:cs="Times New Roman"/>
          <w:bCs w:val="0"/>
          <w:highlight w:val="none"/>
          <w:lang w:val="en-US"/>
        </w:rPr>
        <w:t xml:space="preserve">.3 </w:t>
      </w:r>
      <w:r>
        <w:rPr>
          <w:rFonts w:hint="default" w:ascii="Times New Roman" w:hAnsi="Times New Roman" w:cs="Times New Roman"/>
          <w:bCs w:val="0"/>
          <w:highlight w:val="none"/>
        </w:rPr>
        <w:t>管理范围划定</w:t>
      </w:r>
      <w:r>
        <w:tab/>
      </w:r>
      <w:r>
        <w:fldChar w:fldCharType="begin"/>
      </w:r>
      <w:r>
        <w:instrText xml:space="preserve"> PAGEREF _Toc11532 </w:instrText>
      </w:r>
      <w:r>
        <w:fldChar w:fldCharType="separate"/>
      </w:r>
      <w:r>
        <w:t>42</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_Toc31785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.3.1  河湖管理范围划界总体原则</w:t>
      </w:r>
      <w:r>
        <w:tab/>
      </w:r>
      <w:r>
        <w:fldChar w:fldCharType="begin"/>
      </w:r>
      <w:r>
        <w:instrText xml:space="preserve"> PAGEREF _Toc31785 </w:instrText>
      </w:r>
      <w:r>
        <w:fldChar w:fldCharType="separate"/>
      </w:r>
      <w:r>
        <w:t>42</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_Toc25910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.3.2  有堤防</w:t>
      </w:r>
      <w:r>
        <w:rPr>
          <w:rFonts w:hint="eastAsia" w:cs="Times New Roman"/>
          <w:highlight w:val="none"/>
          <w:lang w:val="en-US" w:eastAsia="zh-CN"/>
        </w:rPr>
        <w:t>河段</w:t>
      </w:r>
      <w:r>
        <w:rPr>
          <w:rFonts w:hint="default" w:ascii="Times New Roman" w:hAnsi="Times New Roman" w:cs="Times New Roman"/>
          <w:highlight w:val="none"/>
          <w:lang w:val="en-US"/>
        </w:rPr>
        <w:t>管理范围线划定</w:t>
      </w:r>
      <w:r>
        <w:tab/>
      </w:r>
      <w:r>
        <w:fldChar w:fldCharType="begin"/>
      </w:r>
      <w:r>
        <w:instrText xml:space="preserve"> PAGEREF _Toc25910 </w:instrText>
      </w:r>
      <w:r>
        <w:fldChar w:fldCharType="separate"/>
      </w:r>
      <w:r>
        <w:t>43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_Toc16080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5.3.</w:t>
      </w:r>
      <w:r>
        <w:rPr>
          <w:rFonts w:hint="eastAsia" w:cs="Times New Roman"/>
          <w:highlight w:val="none"/>
          <w:lang w:val="en-US" w:eastAsia="zh-CN"/>
        </w:rPr>
        <w:t>3</w:t>
      </w:r>
      <w:r>
        <w:rPr>
          <w:rFonts w:hint="default" w:ascii="Times New Roman" w:hAnsi="Times New Roman" w:cs="Times New Roman"/>
          <w:highlight w:val="none"/>
          <w:lang w:val="en-US" w:eastAsia="zh-CN"/>
        </w:rPr>
        <w:t xml:space="preserve"> 无堤防段河湖管理范围线划定</w:t>
      </w:r>
      <w:r>
        <w:tab/>
      </w:r>
      <w:r>
        <w:fldChar w:fldCharType="begin"/>
      </w:r>
      <w:r>
        <w:instrText xml:space="preserve"> PAGEREF _Toc16080 </w:instrText>
      </w:r>
      <w:r>
        <w:fldChar w:fldCharType="separate"/>
      </w:r>
      <w:r>
        <w:t>44</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_Toc27633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.3.</w:t>
      </w:r>
      <w:r>
        <w:rPr>
          <w:rFonts w:hint="eastAsia" w:cs="Times New Roman"/>
          <w:highlight w:val="none"/>
          <w:lang w:val="en-US" w:eastAsia="zh-CN"/>
        </w:rPr>
        <w:t>4</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特殊情况</w:t>
      </w:r>
      <w:r>
        <w:tab/>
      </w:r>
      <w:r>
        <w:fldChar w:fldCharType="begin"/>
      </w:r>
      <w:r>
        <w:instrText xml:space="preserve"> PAGEREF _Toc27633 </w:instrText>
      </w:r>
      <w:r>
        <w:fldChar w:fldCharType="separate"/>
      </w:r>
      <w:r>
        <w:t>45</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_Toc3633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双江口河永州市祁阳县</w:t>
      </w:r>
      <w:r>
        <w:rPr>
          <w:rFonts w:hint="default" w:ascii="Times New Roman" w:hAnsi="Times New Roman" w:cs="Times New Roman"/>
          <w:highlight w:val="none"/>
          <w:lang w:val="en-US"/>
        </w:rPr>
        <w:t>段河湖管理范围线划定标准成果</w:t>
      </w:r>
      <w:r>
        <w:tab/>
      </w:r>
      <w:r>
        <w:fldChar w:fldCharType="begin"/>
      </w:r>
      <w:r>
        <w:instrText xml:space="preserve"> PAGEREF _Toc3633 </w:instrText>
      </w:r>
      <w:r>
        <w:fldChar w:fldCharType="separate"/>
      </w:r>
      <w:r>
        <w:t>46</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_Toc25656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rPr>
        <w:t>6 其他相关情况说明</w:t>
      </w:r>
      <w:r>
        <w:tab/>
      </w:r>
      <w:r>
        <w:fldChar w:fldCharType="begin"/>
      </w:r>
      <w:r>
        <w:instrText xml:space="preserve"> PAGEREF _Toc25656 </w:instrText>
      </w:r>
      <w:r>
        <w:fldChar w:fldCharType="separate"/>
      </w:r>
      <w:r>
        <w:t>48</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_Toc16059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7</w:t>
      </w:r>
      <w:r>
        <w:rPr>
          <w:rFonts w:hint="default" w:ascii="Times New Roman" w:hAnsi="Times New Roman" w:cs="Times New Roman"/>
          <w:highlight w:val="none"/>
          <w:lang w:val="en-US"/>
        </w:rPr>
        <w:t xml:space="preserve"> </w:t>
      </w:r>
      <w:r>
        <w:rPr>
          <w:rFonts w:hint="default" w:ascii="Times New Roman" w:hAnsi="Times New Roman" w:cs="Times New Roman"/>
          <w:highlight w:val="none"/>
          <w:lang w:val="en-US" w:eastAsia="zh-CN"/>
        </w:rPr>
        <w:t>附表、附图</w:t>
      </w:r>
      <w:r>
        <w:tab/>
      </w:r>
      <w:r>
        <w:fldChar w:fldCharType="begin"/>
      </w:r>
      <w:r>
        <w:instrText xml:space="preserve"> PAGEREF _Toc16059 </w:instrText>
      </w:r>
      <w:r>
        <w:fldChar w:fldCharType="separate"/>
      </w:r>
      <w:r>
        <w:t>51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_Toc8348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7.1</w:t>
      </w:r>
      <w:r>
        <w:rPr>
          <w:rFonts w:hint="default" w:ascii="Times New Roman" w:hAnsi="Times New Roman" w:cs="Times New Roman"/>
          <w:highlight w:val="none"/>
          <w:lang w:val="en-US"/>
        </w:rPr>
        <w:t xml:space="preserve"> </w:t>
      </w:r>
      <w:r>
        <w:rPr>
          <w:rFonts w:hint="default" w:ascii="Times New Roman" w:hAnsi="Times New Roman" w:cs="Times New Roman"/>
          <w:highlight w:val="none"/>
          <w:lang w:val="en-US" w:eastAsia="zh-CN"/>
        </w:rPr>
        <w:t>双江口河祁阳县河段</w:t>
      </w:r>
      <w:r>
        <w:rPr>
          <w:rFonts w:hint="default" w:ascii="Times New Roman" w:hAnsi="Times New Roman" w:cs="Times New Roman"/>
          <w:highlight w:val="none"/>
          <w:lang w:val="en-US"/>
        </w:rPr>
        <w:t>管理范围</w:t>
      </w:r>
      <w:r>
        <w:rPr>
          <w:rFonts w:hint="default" w:ascii="Times New Roman" w:hAnsi="Times New Roman" w:cs="Times New Roman"/>
          <w:highlight w:val="none"/>
          <w:lang w:val="en-US" w:eastAsia="zh-CN"/>
        </w:rPr>
        <w:t>界桩、告示牌成果表</w:t>
      </w:r>
      <w:r>
        <w:tab/>
      </w:r>
      <w:r>
        <w:fldChar w:fldCharType="begin"/>
      </w:r>
      <w:r>
        <w:instrText xml:space="preserve"> PAGEREF _Toc8348 </w:instrText>
      </w:r>
      <w:r>
        <w:fldChar w:fldCharType="separate"/>
      </w:r>
      <w:r>
        <w:t>51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_Toc20784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7.2</w:t>
      </w:r>
      <w:r>
        <w:rPr>
          <w:rFonts w:hint="default" w:ascii="Times New Roman" w:hAnsi="Times New Roman" w:cs="Times New Roman"/>
          <w:highlight w:val="none"/>
          <w:lang w:val="en-US"/>
        </w:rPr>
        <w:t xml:space="preserve"> </w:t>
      </w:r>
      <w:r>
        <w:rPr>
          <w:rFonts w:hint="default" w:ascii="Times New Roman" w:hAnsi="Times New Roman" w:cs="Times New Roman"/>
          <w:highlight w:val="none"/>
          <w:lang w:val="en-US" w:eastAsia="zh-CN"/>
        </w:rPr>
        <w:t>双江口河祁阳县</w:t>
      </w:r>
      <w:r>
        <w:rPr>
          <w:rFonts w:hint="default" w:ascii="Times New Roman" w:hAnsi="Times New Roman" w:cs="Times New Roman"/>
          <w:highlight w:val="none"/>
          <w:lang w:val="en-US"/>
        </w:rPr>
        <w:t>河段管理范围线划定图</w:t>
      </w:r>
      <w:r>
        <w:tab/>
      </w:r>
      <w:r>
        <w:fldChar w:fldCharType="begin"/>
      </w:r>
      <w:r>
        <w:instrText xml:space="preserve"> PAGEREF _Toc20784 </w:instrText>
      </w:r>
      <w:r>
        <w:fldChar w:fldCharType="separate"/>
      </w:r>
      <w:r>
        <w:t>52</w:t>
      </w:r>
      <w: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eastAsiaTheme="minorEastAsia"/>
          <w:color w:val="auto"/>
          <w:highlight w:val="none"/>
        </w:rPr>
      </w:pPr>
      <w:r>
        <w:rPr>
          <w:rFonts w:hint="default" w:ascii="Times New Roman" w:hAnsi="Times New Roman" w:eastAsia="仿宋" w:cs="Times New Roman"/>
          <w:bCs w:val="0"/>
          <w:color w:val="auto"/>
          <w:spacing w:val="20"/>
          <w:kern w:val="0"/>
          <w:szCs w:val="26"/>
        </w:rPr>
        <w:fldChar w:fldCharType="end"/>
      </w:r>
    </w:p>
    <w:p>
      <w:pPr>
        <w:rPr>
          <w:rFonts w:hint="default" w:ascii="Times New Roman" w:hAnsi="Times New Roman" w:cs="Times New Roman" w:eastAsiaTheme="minorEastAsia"/>
          <w:color w:val="auto"/>
          <w:highlight w:val="none"/>
        </w:rPr>
      </w:pPr>
    </w:p>
    <w:p>
      <w:pPr>
        <w:rPr>
          <w:rFonts w:hint="default" w:ascii="Times New Roman" w:hAnsi="Times New Roman" w:cs="Times New Roman" w:eastAsiaTheme="minorEastAsia"/>
          <w:color w:val="auto"/>
          <w:highlight w:val="none"/>
        </w:rPr>
      </w:pPr>
    </w:p>
    <w:p>
      <w:pPr>
        <w:pStyle w:val="3"/>
        <w:spacing w:line="360" w:lineRule="auto"/>
        <w:jc w:val="both"/>
        <w:rPr>
          <w:rFonts w:hint="default" w:ascii="Times New Roman" w:hAnsi="Times New Roman" w:cs="Times New Roman"/>
          <w:color w:val="auto"/>
          <w:highlight w:val="none"/>
        </w:rPr>
        <w:sectPr>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bookmarkStart w:id="0" w:name="_Toc10819"/>
      <w:bookmarkStart w:id="1" w:name="_Toc10012"/>
      <w:bookmarkStart w:id="2" w:name="_Toc128128839"/>
      <w:bookmarkStart w:id="3" w:name="_Toc128016205"/>
      <w:bookmarkStart w:id="4" w:name="_Toc16268"/>
      <w:bookmarkStart w:id="5" w:name="_Toc1678_WPSOffice_Level2"/>
      <w:bookmarkStart w:id="6" w:name="_Toc25698"/>
      <w:bookmarkStart w:id="7" w:name="_Toc128044504"/>
    </w:p>
    <w:p>
      <w:pPr>
        <w:pStyle w:val="3"/>
        <w:spacing w:line="360" w:lineRule="auto"/>
        <w:jc w:val="both"/>
        <w:rPr>
          <w:rFonts w:hint="default" w:ascii="Times New Roman" w:hAnsi="Times New Roman" w:eastAsia="仿宋_GB2312" w:cs="Times New Roman"/>
          <w:color w:val="auto"/>
          <w:highlight w:val="none"/>
          <w:lang w:val="en-US" w:eastAsia="zh-CN"/>
        </w:rPr>
      </w:pPr>
      <w:bookmarkStart w:id="8" w:name="_Toc15958"/>
      <w:r>
        <w:rPr>
          <w:rFonts w:hint="default" w:ascii="Times New Roman" w:hAnsi="Times New Roman" w:cs="Times New Roman"/>
          <w:color w:val="auto"/>
          <w:highlight w:val="none"/>
        </w:rPr>
        <w:t xml:space="preserve">1 </w:t>
      </w:r>
      <w:r>
        <w:rPr>
          <w:rFonts w:hint="default" w:ascii="Times New Roman" w:hAnsi="Times New Roman" w:cs="Times New Roman"/>
          <w:color w:val="auto"/>
          <w:highlight w:val="none"/>
          <w:lang w:eastAsia="zh-CN"/>
        </w:rPr>
        <w:t>划界工作背景</w:t>
      </w:r>
      <w:bookmarkEnd w:id="0"/>
      <w:bookmarkEnd w:id="1"/>
      <w:bookmarkEnd w:id="8"/>
      <w:r>
        <w:rPr>
          <w:rFonts w:hint="default" w:ascii="Times New Roman" w:hAnsi="Times New Roman" w:cs="Times New Roman"/>
          <w:color w:val="auto"/>
          <w:highlight w:val="none"/>
          <w:lang w:val="en-US" w:eastAsia="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highlight w:val="none"/>
          <w:lang w:val="en-US" w:eastAsia="zh-CN"/>
        </w:rPr>
        <w:t>理</w:t>
      </w:r>
      <w:r>
        <w:rPr>
          <w:rFonts w:hint="default" w:ascii="Times New Roman" w:hAnsi="Times New Roman" w:eastAsia="仿宋_GB2312" w:cs="Times New Roman"/>
          <w:color w:val="auto"/>
          <w:spacing w:val="0"/>
          <w:highlight w:val="none"/>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以上河流及常年水域面积在1.0km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受</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水利局委托，我公司（</w:t>
      </w:r>
      <w:r>
        <w:rPr>
          <w:rFonts w:hint="default" w:ascii="Times New Roman" w:hAnsi="Times New Roman" w:eastAsia="仿宋_GB2312" w:cs="Times New Roman"/>
          <w:color w:val="auto"/>
          <w:spacing w:val="0"/>
          <w:highlight w:val="none"/>
          <w:lang w:val="en-US" w:eastAsia="zh-CN"/>
        </w:rPr>
        <w:t>黄石市振兴勘察设计有限公司</w:t>
      </w:r>
      <w:r>
        <w:rPr>
          <w:rFonts w:hint="default" w:ascii="Times New Roman" w:hAnsi="Times New Roman" w:eastAsia="仿宋_GB2312" w:cs="Times New Roman"/>
          <w:color w:val="auto"/>
          <w:spacing w:val="0"/>
          <w:highlight w:val="none"/>
          <w:lang w:val="en-US"/>
        </w:rPr>
        <w:t>）作为技术支持单位，编制了《</w:t>
      </w:r>
      <w:r>
        <w:rPr>
          <w:rFonts w:hint="default" w:ascii="Times New Roman" w:hAnsi="Times New Roman" w:eastAsia="仿宋_GB2312" w:cs="Times New Roman"/>
          <w:color w:val="auto"/>
          <w:spacing w:val="0"/>
          <w:highlight w:val="none"/>
          <w:lang w:val="en-US" w:eastAsia="zh-CN"/>
        </w:rPr>
        <w:t>双江口河永州市祁阳县</w:t>
      </w:r>
      <w:r>
        <w:rPr>
          <w:rFonts w:hint="default" w:ascii="Times New Roman" w:hAnsi="Times New Roman" w:eastAsia="仿宋_GB2312" w:cs="Times New Roman"/>
          <w:color w:val="auto"/>
          <w:spacing w:val="0"/>
          <w:highlight w:val="none"/>
          <w:lang w:val="en-US"/>
        </w:rPr>
        <w:t>河段管理范围划定方案》。</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eastAsia="zh-CN"/>
        </w:rPr>
      </w:pPr>
      <w:bookmarkStart w:id="9" w:name="_Toc1597"/>
      <w:bookmarkStart w:id="10" w:name="_Toc15699"/>
      <w:bookmarkStart w:id="11" w:name="_Toc31111"/>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河段基本情况</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双江口河为祁水一级支流，湘江二级支流，发源祁东县芭蕉山，河道流向大致由北向南，流域呈扇形，河床最宽45m，地势北高南低，地貌基本为较为平坦丘陵及农田。双江口河流经官家嘴镇、黄土铺镇，石亭子镇、文富市镇。双江口流域面积244km</w:t>
      </w:r>
      <w:r>
        <w:rPr>
          <w:rFonts w:hint="default" w:ascii="Times New Roman" w:hAnsi="Times New Roman" w:eastAsia="仿宋_GB2312" w:cs="Times New Roman"/>
          <w:color w:val="auto"/>
          <w:szCs w:val="28"/>
          <w:vertAlign w:val="superscript"/>
          <w:lang w:val="en-US" w:eastAsia="zh-CN"/>
        </w:rPr>
        <w:t>2</w:t>
      </w:r>
      <w:r>
        <w:rPr>
          <w:rFonts w:hint="eastAsia" w:eastAsia="仿宋_GB2312" w:cs="Times New Roman"/>
          <w:color w:val="auto"/>
          <w:szCs w:val="28"/>
          <w:vertAlign w:val="baseline"/>
          <w:lang w:val="en-US" w:eastAsia="zh-CN"/>
        </w:rPr>
        <w:t>，</w:t>
      </w:r>
      <w:r>
        <w:rPr>
          <w:rFonts w:hint="default" w:ascii="Times New Roman" w:hAnsi="Times New Roman" w:eastAsia="仿宋_GB2312" w:cs="Times New Roman"/>
          <w:color w:val="auto"/>
          <w:szCs w:val="28"/>
          <w:lang w:val="en-US" w:eastAsia="zh-CN"/>
        </w:rPr>
        <w:t>干流长35km，平均坡降3.7‰，其中祁阳境内长度</w:t>
      </w:r>
      <w:r>
        <w:rPr>
          <w:rFonts w:hint="eastAsia" w:eastAsia="仿宋_GB2312" w:cs="Times New Roman"/>
          <w:color w:val="auto"/>
          <w:szCs w:val="28"/>
          <w:lang w:val="en-US" w:eastAsia="zh-CN"/>
        </w:rPr>
        <w:t>4.14</w:t>
      </w:r>
      <w:r>
        <w:rPr>
          <w:rFonts w:hint="default" w:ascii="Times New Roman" w:hAnsi="Times New Roman" w:eastAsia="仿宋_GB2312" w:cs="Times New Roman"/>
          <w:color w:val="auto"/>
          <w:szCs w:val="28"/>
          <w:lang w:val="en-US" w:eastAsia="zh-CN"/>
        </w:rPr>
        <w:t>km，平均河宽23m，平均河深1.8m。该段无支流汇入，于祁阳县文富市镇的双江口村注入祁水。祁阳境内起止位置为双江口村河口～对门江，对应河道中心桩号为K0+000～K</w:t>
      </w:r>
      <w:r>
        <w:rPr>
          <w:rFonts w:hint="eastAsia" w:eastAsia="仿宋_GB2312" w:cs="Times New Roman"/>
          <w:color w:val="auto"/>
          <w:szCs w:val="28"/>
          <w:lang w:val="en-US" w:eastAsia="zh-CN"/>
        </w:rPr>
        <w:t>4</w:t>
      </w:r>
      <w:r>
        <w:rPr>
          <w:rFonts w:hint="default" w:ascii="Times New Roman" w:hAnsi="Times New Roman" w:eastAsia="仿宋_GB2312" w:cs="Times New Roman"/>
          <w:color w:val="auto"/>
          <w:szCs w:val="28"/>
          <w:lang w:val="en-US" w:eastAsia="zh-CN"/>
        </w:rPr>
        <w:t>+</w:t>
      </w:r>
      <w:r>
        <w:rPr>
          <w:rFonts w:hint="eastAsia" w:eastAsia="仿宋_GB2312" w:cs="Times New Roman"/>
          <w:color w:val="auto"/>
          <w:szCs w:val="28"/>
          <w:lang w:val="en-US" w:eastAsia="zh-CN"/>
        </w:rPr>
        <w:t>14</w:t>
      </w:r>
      <w:r>
        <w:rPr>
          <w:rFonts w:hint="default" w:ascii="Times New Roman" w:hAnsi="Times New Roman" w:eastAsia="仿宋_GB2312" w:cs="Times New Roman"/>
          <w:color w:val="auto"/>
          <w:szCs w:val="28"/>
          <w:lang w:val="en-US" w:eastAsia="zh-CN"/>
        </w:rPr>
        <w:t>0。</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双江口河流域在祁阳县区域内属中亚热带季风性湿润气候区，具有气候温和、四季分明、严冬期短、暑热期长、春温多变、春夏多雨、夏秋多旱、光热充足、无霜期长等气候特点。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 w:val="28"/>
          <w:szCs w:val="28"/>
          <w:highlight w:val="none"/>
          <w:lang w:val="en-US" w:eastAsia="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red"/>
          <w:lang w:eastAsia="zh-CN"/>
        </w:rPr>
      </w:pPr>
      <w:r>
        <w:rPr>
          <w:rFonts w:hint="default" w:ascii="Times New Roman" w:hAnsi="Times New Roman" w:cs="Times New Roman"/>
          <w:color w:val="auto"/>
        </w:rPr>
        <w:drawing>
          <wp:inline distT="0" distB="0" distL="114300" distR="114300">
            <wp:extent cx="5313045" cy="4415155"/>
            <wp:effectExtent l="0" t="0" r="1905" b="4445"/>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17"/>
                    <a:srcRect t="4422" b="842"/>
                    <a:stretch>
                      <a:fillRect/>
                    </a:stretch>
                  </pic:blipFill>
                  <pic:spPr>
                    <a:xfrm>
                      <a:off x="0" y="0"/>
                      <a:ext cx="5313045" cy="4415155"/>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双江口祁阳县段</w:t>
      </w:r>
      <w:r>
        <w:rPr>
          <w:rFonts w:hint="default" w:ascii="Times New Roman" w:hAnsi="Times New Roman" w:eastAsia="仿宋_GB2312" w:cs="Times New Roman"/>
          <w:b/>
          <w:bCs/>
          <w:color w:val="auto"/>
          <w:sz w:val="24"/>
          <w:highlight w:val="none"/>
          <w:lang w:val="en-US"/>
        </w:rPr>
        <w:t>流域水系图</w:t>
      </w:r>
    </w:p>
    <w:p>
      <w:pPr>
        <w:pStyle w:val="4"/>
        <w:rPr>
          <w:rFonts w:hint="default" w:ascii="Times New Roman" w:hAnsi="Times New Roman" w:cs="Times New Roman"/>
          <w:bCs w:val="0"/>
          <w:color w:val="auto"/>
          <w:highlight w:val="none"/>
          <w:lang w:val="en-US" w:eastAsia="zh-CN"/>
        </w:rPr>
      </w:pPr>
      <w:bookmarkStart w:id="12" w:name="_Toc26749"/>
      <w:bookmarkStart w:id="13" w:name="_Toc18589"/>
      <w:bookmarkStart w:id="14" w:name="_Toc29876"/>
      <w:r>
        <w:rPr>
          <w:rFonts w:hint="default" w:ascii="Times New Roman" w:hAnsi="Times New Roman" w:cs="Times New Roman"/>
          <w:bCs w:val="0"/>
          <w:color w:val="auto"/>
          <w:highlight w:val="none"/>
          <w:lang w:val="en-US" w:eastAsia="zh-CN"/>
        </w:rPr>
        <w:t>2.1</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河段洪水位情况</w:t>
      </w:r>
      <w:bookmarkEnd w:id="12"/>
      <w:bookmarkEnd w:id="13"/>
      <w:bookmarkEnd w:id="14"/>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15" w:name="_Toc6865"/>
      <w:bookmarkStart w:id="16" w:name="_Toc7267"/>
      <w:r>
        <w:rPr>
          <w:rFonts w:hint="default" w:ascii="Times New Roman" w:hAnsi="Times New Roman" w:eastAsia="仿宋_GB2312" w:cs="Times New Roman"/>
          <w:b w:val="0"/>
          <w:bCs w:val="0"/>
          <w:color w:val="auto"/>
          <w:sz w:val="28"/>
          <w:szCs w:val="28"/>
          <w:highlight w:val="none"/>
          <w:lang w:val="en-US" w:eastAsia="zh-CN" w:bidi="zh-CN"/>
        </w:rPr>
        <w:t>双江口河祁阳段总长</w:t>
      </w:r>
      <w:r>
        <w:rPr>
          <w:rFonts w:hint="eastAsia" w:eastAsia="仿宋_GB2312" w:cs="Times New Roman"/>
          <w:b w:val="0"/>
          <w:bCs w:val="0"/>
          <w:color w:val="auto"/>
          <w:sz w:val="28"/>
          <w:szCs w:val="28"/>
          <w:highlight w:val="none"/>
          <w:lang w:val="en-US" w:eastAsia="zh-CN" w:bidi="zh-CN"/>
        </w:rPr>
        <w:t>4.14</w:t>
      </w:r>
      <w:r>
        <w:rPr>
          <w:rFonts w:hint="default" w:ascii="Times New Roman" w:hAnsi="Times New Roman" w:eastAsia="仿宋_GB2312" w:cs="Times New Roman"/>
          <w:b w:val="0"/>
          <w:bCs w:val="0"/>
          <w:color w:val="auto"/>
          <w:sz w:val="28"/>
          <w:szCs w:val="28"/>
          <w:highlight w:val="none"/>
          <w:lang w:val="en-US" w:eastAsia="zh-CN" w:bidi="zh-CN"/>
        </w:rPr>
        <w:t>km，区段无</w:t>
      </w:r>
      <w:r>
        <w:rPr>
          <w:rFonts w:hint="default" w:ascii="Times New Roman" w:hAnsi="Times New Roman" w:eastAsia="仿宋_GB2312" w:cs="Times New Roman"/>
          <w:color w:val="auto"/>
          <w:sz w:val="28"/>
          <w:szCs w:val="28"/>
          <w:highlight w:val="none"/>
          <w:lang w:val="en-US" w:eastAsia="zh-CN"/>
        </w:rPr>
        <w:t>主要支流汇入，洪峰流量按河口控制集雨面积进行计算，本次计算分段参数成果如下表5.3-3。</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 xml:space="preserve">表2.1-1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双江口（祁阳段）计算参数成果表</w:t>
      </w:r>
    </w:p>
    <w:tbl>
      <w:tblPr>
        <w:tblStyle w:val="17"/>
        <w:tblW w:w="94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638"/>
        <w:gridCol w:w="1658"/>
        <w:gridCol w:w="1582"/>
        <w:gridCol w:w="1652"/>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174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163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桩号</w:t>
            </w:r>
          </w:p>
        </w:tc>
        <w:tc>
          <w:tcPr>
            <w:tcW w:w="165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58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干流长度（km）</w:t>
            </w:r>
          </w:p>
        </w:tc>
        <w:tc>
          <w:tcPr>
            <w:tcW w:w="165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干流坡降（‰）</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4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双江口河口</w:t>
            </w:r>
          </w:p>
        </w:tc>
        <w:tc>
          <w:tcPr>
            <w:tcW w:w="163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K0+000</w:t>
            </w:r>
          </w:p>
        </w:tc>
        <w:tc>
          <w:tcPr>
            <w:tcW w:w="165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244</w:t>
            </w:r>
          </w:p>
        </w:tc>
        <w:tc>
          <w:tcPr>
            <w:tcW w:w="158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35</w:t>
            </w:r>
          </w:p>
        </w:tc>
        <w:tc>
          <w:tcPr>
            <w:tcW w:w="165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3.7</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本次采用《湖南省暴雨洪水查算手册》（2015修编版）查算河段各控制断面各频率的设计洪峰流量，</w:t>
      </w:r>
      <w:r>
        <w:rPr>
          <w:rFonts w:hint="default" w:ascii="Times New Roman" w:hAnsi="Times New Roman" w:eastAsia="仿宋_GB2312" w:cs="Times New Roman"/>
          <w:b w:val="0"/>
          <w:bCs w:val="0"/>
          <w:color w:val="auto"/>
          <w:sz w:val="28"/>
          <w:szCs w:val="28"/>
          <w:highlight w:val="none"/>
          <w:lang w:val="zh-CN" w:eastAsia="zh-CN" w:bidi="zh-CN"/>
        </w:rPr>
        <w:t>以下简称《查算手册》。分别采用推理公式法及综合无因次单位线法计算洪峰流量，两值比较取用较大者</w:t>
      </w:r>
      <w:r>
        <w:rPr>
          <w:rFonts w:hint="default" w:ascii="Times New Roman" w:hAnsi="Times New Roman" w:eastAsia="仿宋_GB2312" w:cs="Times New Roman"/>
          <w:b w:val="0"/>
          <w:bCs w:val="0"/>
          <w:color w:val="auto"/>
          <w:sz w:val="28"/>
          <w:szCs w:val="28"/>
          <w:highlight w:val="none"/>
          <w:lang w:val="en-US" w:eastAsia="zh-CN" w:bidi="zh-CN"/>
        </w:rPr>
        <w:t>。</w:t>
      </w:r>
    </w:p>
    <w:p>
      <w:pPr>
        <w:pStyle w:val="2"/>
        <w:rPr>
          <w:rFonts w:hint="default" w:ascii="Times New Roman" w:hAnsi="Times New Roman" w:eastAsia="仿宋_GB2312" w:cs="Times New Roman"/>
          <w:b w:val="0"/>
          <w:bCs w:val="0"/>
          <w:color w:val="auto"/>
          <w:kern w:val="0"/>
          <w:sz w:val="28"/>
          <w:szCs w:val="28"/>
          <w:highlight w:val="none"/>
          <w:lang w:val="en-US" w:eastAsia="zh-CN" w:bidi="zh-CN"/>
        </w:rPr>
      </w:pPr>
      <w:r>
        <w:rPr>
          <w:rFonts w:hint="default" w:ascii="Times New Roman" w:hAnsi="Times New Roman" w:eastAsia="仿宋_GB2312" w:cs="Times New Roman"/>
          <w:b w:val="0"/>
          <w:bCs w:val="0"/>
          <w:color w:val="auto"/>
          <w:kern w:val="0"/>
          <w:sz w:val="28"/>
          <w:szCs w:val="28"/>
          <w:highlight w:val="none"/>
          <w:lang w:val="en-US" w:eastAsia="zh-CN" w:bidi="zh-CN"/>
        </w:rPr>
        <w:t>根据已确定的参数，其引用水文成果段及水面线法计算段成果入下表2.1-2。</w:t>
      </w:r>
    </w:p>
    <w:p>
      <w:pPr>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表2.1-2     </w:t>
      </w:r>
      <w:r>
        <w:rPr>
          <w:rFonts w:hint="eastAsia" w:eastAsia="仿宋_GB2312" w:cs="Times New Roman"/>
          <w:b/>
          <w:bCs/>
          <w:color w:val="auto"/>
          <w:spacing w:val="0"/>
          <w:sz w:val="24"/>
          <w:szCs w:val="24"/>
          <w:highlight w:val="none"/>
          <w:u w:val="none"/>
          <w:lang w:val="en-US" w:eastAsia="zh-CN"/>
        </w:rPr>
        <w:t xml:space="preserve">          </w:t>
      </w:r>
      <w:r>
        <w:rPr>
          <w:rFonts w:hint="default" w:ascii="Times New Roman" w:hAnsi="Times New Roman" w:eastAsia="仿宋_GB2312" w:cs="Times New Roman"/>
          <w:b/>
          <w:bCs/>
          <w:color w:val="auto"/>
          <w:spacing w:val="0"/>
          <w:sz w:val="24"/>
          <w:szCs w:val="24"/>
          <w:highlight w:val="none"/>
          <w:u w:val="none"/>
          <w:lang w:val="en-US" w:eastAsia="zh-CN"/>
        </w:rPr>
        <w:t xml:space="preserve">双江口河下游段（祁阳段）设计洪水水面线成果表  </w:t>
      </w:r>
    </w:p>
    <w:tbl>
      <w:tblPr>
        <w:tblStyle w:val="16"/>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082"/>
        <w:gridCol w:w="2342"/>
        <w:gridCol w:w="1997"/>
        <w:gridCol w:w="1520"/>
        <w:gridCol w:w="23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断面号</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地点</w:t>
            </w: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间距（m）</w:t>
            </w: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累距 （m）</w:t>
            </w:r>
          </w:p>
        </w:tc>
        <w:tc>
          <w:tcPr>
            <w:tcW w:w="125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设计水位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w:t>
            </w:r>
          </w:p>
        </w:tc>
        <w:tc>
          <w:tcPr>
            <w:tcW w:w="1077"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110.17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570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坝2下CS4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111.91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坝2上CS5</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112.17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坝1下CS6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113.07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坝1上CS7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113.28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113.47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550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114.19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550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CS10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115.22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CS11</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115.63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CS12</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116.45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CS13</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4140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116.92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auto"/>
                <w:sz w:val="18"/>
                <w:szCs w:val="18"/>
                <w:u w:val="none"/>
              </w:rPr>
            </w:pP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bl>
    <w:p>
      <w:pPr>
        <w:pStyle w:val="4"/>
        <w:rPr>
          <w:rFonts w:hint="default" w:ascii="Times New Roman" w:hAnsi="Times New Roman" w:cs="Times New Roman"/>
          <w:bCs w:val="0"/>
          <w:color w:val="auto"/>
          <w:highlight w:val="none"/>
          <w:lang w:val="en-US" w:eastAsia="zh-CN"/>
        </w:rPr>
      </w:pPr>
      <w:bookmarkStart w:id="17" w:name="_Toc3568"/>
      <w:r>
        <w:rPr>
          <w:rFonts w:hint="default" w:ascii="Times New Roman" w:hAnsi="Times New Roman" w:cs="Times New Roman"/>
          <w:bCs w:val="0"/>
          <w:color w:val="auto"/>
          <w:highlight w:val="none"/>
          <w:lang w:val="en-US" w:eastAsia="zh-CN"/>
        </w:rPr>
        <w:t>2.2 河段岸线情况</w:t>
      </w:r>
      <w:bookmarkEnd w:id="15"/>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r>
        <w:rPr>
          <w:rFonts w:hint="default" w:ascii="Times New Roman" w:hAnsi="Times New Roman" w:eastAsia="仿宋_GB2312" w:cs="Times New Roman"/>
          <w:color w:val="auto"/>
          <w:spacing w:val="0"/>
          <w:highlight w:val="none"/>
          <w:lang w:val="en-US" w:eastAsia="zh-CN"/>
        </w:rPr>
        <w:t>双江口河永州市祁阳县河主要由岸线段组成。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双江口河祁阳县</w:t>
      </w:r>
      <w:r>
        <w:rPr>
          <w:rFonts w:hint="default" w:ascii="Times New Roman" w:hAnsi="Times New Roman" w:eastAsia="仿宋_GB2312" w:cs="Times New Roman"/>
          <w:b/>
          <w:bCs/>
          <w:color w:val="auto"/>
          <w:sz w:val="24"/>
          <w:highlight w:val="none"/>
          <w:lang w:val="en-US"/>
        </w:rPr>
        <w:t>河段岸线基本情况表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62"/>
        <w:gridCol w:w="713"/>
        <w:gridCol w:w="956"/>
        <w:gridCol w:w="994"/>
        <w:gridCol w:w="750"/>
        <w:gridCol w:w="985"/>
        <w:gridCol w:w="1050"/>
        <w:gridCol w:w="833"/>
        <w:gridCol w:w="651"/>
        <w:gridCol w:w="875"/>
        <w:gridCol w:w="819"/>
        <w:gridCol w:w="580"/>
        <w:gridCol w:w="758"/>
        <w:gridCol w:w="1407"/>
        <w:gridCol w:w="14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7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1001"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47"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1413"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有堤防</w:t>
            </w:r>
          </w:p>
        </w:tc>
        <w:tc>
          <w:tcPr>
            <w:tcW w:w="814"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54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7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33"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8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65"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13"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堤防等级</w:t>
            </w:r>
          </w:p>
        </w:tc>
        <w:tc>
          <w:tcPr>
            <w:tcW w:w="24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32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堤顶高程（m）</w:t>
            </w:r>
          </w:p>
        </w:tc>
        <w:tc>
          <w:tcPr>
            <w:tcW w:w="3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堤顶宽度（m）</w:t>
            </w:r>
          </w:p>
        </w:tc>
        <w:tc>
          <w:tcPr>
            <w:tcW w:w="21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是否达标</w:t>
            </w:r>
          </w:p>
        </w:tc>
        <w:tc>
          <w:tcPr>
            <w:tcW w:w="28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52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地面高程（m）</w:t>
            </w:r>
          </w:p>
        </w:tc>
        <w:tc>
          <w:tcPr>
            <w:tcW w:w="54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7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8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13"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4"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2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4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7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2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579345.62 </w:t>
            </w:r>
          </w:p>
        </w:tc>
        <w:tc>
          <w:tcPr>
            <w:tcW w:w="3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2964441.42 </w:t>
            </w:r>
          </w:p>
        </w:tc>
        <w:tc>
          <w:tcPr>
            <w:tcW w:w="2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1.77</w:t>
            </w:r>
          </w:p>
        </w:tc>
        <w:tc>
          <w:tcPr>
            <w:tcW w:w="3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580333.63 </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2965603.83 </w:t>
            </w:r>
          </w:p>
        </w:tc>
        <w:tc>
          <w:tcPr>
            <w:tcW w:w="31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1.77</w:t>
            </w:r>
          </w:p>
        </w:tc>
        <w:tc>
          <w:tcPr>
            <w:tcW w:w="5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110.17-111.91</w:t>
            </w:r>
          </w:p>
        </w:tc>
        <w:tc>
          <w:tcPr>
            <w:tcW w:w="5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7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1.77</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580333.63 </w:t>
            </w:r>
          </w:p>
        </w:tc>
        <w:tc>
          <w:tcPr>
            <w:tcW w:w="3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2965603.83 </w:t>
            </w:r>
          </w:p>
        </w:tc>
        <w:tc>
          <w:tcPr>
            <w:tcW w:w="2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1.97</w:t>
            </w:r>
          </w:p>
        </w:tc>
        <w:tc>
          <w:tcPr>
            <w:tcW w:w="3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580555.69 </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2965690.15 </w:t>
            </w:r>
          </w:p>
        </w:tc>
        <w:tc>
          <w:tcPr>
            <w:tcW w:w="31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5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111.91-112.17</w:t>
            </w:r>
          </w:p>
        </w:tc>
        <w:tc>
          <w:tcPr>
            <w:tcW w:w="5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7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1.97</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580555.69 </w:t>
            </w:r>
          </w:p>
        </w:tc>
        <w:tc>
          <w:tcPr>
            <w:tcW w:w="3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2965690.15 </w:t>
            </w:r>
          </w:p>
        </w:tc>
        <w:tc>
          <w:tcPr>
            <w:tcW w:w="2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3.25</w:t>
            </w:r>
          </w:p>
        </w:tc>
        <w:tc>
          <w:tcPr>
            <w:tcW w:w="3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581115.50 </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2966347.76 </w:t>
            </w:r>
          </w:p>
        </w:tc>
        <w:tc>
          <w:tcPr>
            <w:tcW w:w="31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1.28</w:t>
            </w:r>
          </w:p>
        </w:tc>
        <w:tc>
          <w:tcPr>
            <w:tcW w:w="5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112.17-115.22</w:t>
            </w:r>
          </w:p>
        </w:tc>
        <w:tc>
          <w:tcPr>
            <w:tcW w:w="5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檀山岭村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7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3.25</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581115.50 </w:t>
            </w:r>
          </w:p>
        </w:tc>
        <w:tc>
          <w:tcPr>
            <w:tcW w:w="3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2966347.76 </w:t>
            </w:r>
          </w:p>
        </w:tc>
        <w:tc>
          <w:tcPr>
            <w:tcW w:w="2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3.45</w:t>
            </w:r>
          </w:p>
        </w:tc>
        <w:tc>
          <w:tcPr>
            <w:tcW w:w="3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581149.05 </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2966553.88 </w:t>
            </w:r>
          </w:p>
        </w:tc>
        <w:tc>
          <w:tcPr>
            <w:tcW w:w="31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5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115.22-115.63</w:t>
            </w:r>
          </w:p>
        </w:tc>
        <w:tc>
          <w:tcPr>
            <w:tcW w:w="5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檀山岭村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7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2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579371.89 </w:t>
            </w:r>
          </w:p>
        </w:tc>
        <w:tc>
          <w:tcPr>
            <w:tcW w:w="3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2964568.58 </w:t>
            </w:r>
          </w:p>
        </w:tc>
        <w:tc>
          <w:tcPr>
            <w:tcW w:w="2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1.47</w:t>
            </w:r>
          </w:p>
        </w:tc>
        <w:tc>
          <w:tcPr>
            <w:tcW w:w="3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580048.81 </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2965546.02 </w:t>
            </w:r>
          </w:p>
        </w:tc>
        <w:tc>
          <w:tcPr>
            <w:tcW w:w="31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1.47</w:t>
            </w:r>
          </w:p>
        </w:tc>
        <w:tc>
          <w:tcPr>
            <w:tcW w:w="5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110.17-111.91</w:t>
            </w:r>
          </w:p>
        </w:tc>
        <w:tc>
          <w:tcPr>
            <w:tcW w:w="5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双江口村、立志塘村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7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1.47</w:t>
            </w:r>
          </w:p>
        </w:tc>
        <w:tc>
          <w:tcPr>
            <w:tcW w:w="3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580048.809</w:t>
            </w:r>
          </w:p>
        </w:tc>
        <w:tc>
          <w:tcPr>
            <w:tcW w:w="3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2965546.023</w:t>
            </w:r>
          </w:p>
        </w:tc>
        <w:tc>
          <w:tcPr>
            <w:tcW w:w="2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1.67</w:t>
            </w:r>
          </w:p>
        </w:tc>
        <w:tc>
          <w:tcPr>
            <w:tcW w:w="3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580217.438</w:t>
            </w:r>
          </w:p>
        </w:tc>
        <w:tc>
          <w:tcPr>
            <w:tcW w:w="3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2965687.085</w:t>
            </w:r>
          </w:p>
        </w:tc>
        <w:tc>
          <w:tcPr>
            <w:tcW w:w="31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5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111.91-112.17</w:t>
            </w:r>
          </w:p>
        </w:tc>
        <w:tc>
          <w:tcPr>
            <w:tcW w:w="5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7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1.67</w:t>
            </w:r>
          </w:p>
        </w:tc>
        <w:tc>
          <w:tcPr>
            <w:tcW w:w="3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580217.438</w:t>
            </w:r>
          </w:p>
        </w:tc>
        <w:tc>
          <w:tcPr>
            <w:tcW w:w="3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2965687.085</w:t>
            </w:r>
          </w:p>
        </w:tc>
        <w:tc>
          <w:tcPr>
            <w:tcW w:w="2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3.25</w:t>
            </w:r>
          </w:p>
        </w:tc>
        <w:tc>
          <w:tcPr>
            <w:tcW w:w="3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581025.21</w:t>
            </w:r>
          </w:p>
        </w:tc>
        <w:tc>
          <w:tcPr>
            <w:tcW w:w="3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2966339.511</w:t>
            </w:r>
          </w:p>
        </w:tc>
        <w:tc>
          <w:tcPr>
            <w:tcW w:w="31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1.58</w:t>
            </w:r>
          </w:p>
        </w:tc>
        <w:tc>
          <w:tcPr>
            <w:tcW w:w="5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112.17-115.22</w:t>
            </w:r>
          </w:p>
        </w:tc>
        <w:tc>
          <w:tcPr>
            <w:tcW w:w="5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檀山岭村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7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3.25</w:t>
            </w:r>
          </w:p>
        </w:tc>
        <w:tc>
          <w:tcPr>
            <w:tcW w:w="3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581025.21</w:t>
            </w:r>
          </w:p>
        </w:tc>
        <w:tc>
          <w:tcPr>
            <w:tcW w:w="3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2966339.511</w:t>
            </w:r>
          </w:p>
        </w:tc>
        <w:tc>
          <w:tcPr>
            <w:tcW w:w="2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3.45</w:t>
            </w:r>
          </w:p>
        </w:tc>
        <w:tc>
          <w:tcPr>
            <w:tcW w:w="3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581017.414</w:t>
            </w:r>
          </w:p>
        </w:tc>
        <w:tc>
          <w:tcPr>
            <w:tcW w:w="3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2966502.096</w:t>
            </w:r>
          </w:p>
        </w:tc>
        <w:tc>
          <w:tcPr>
            <w:tcW w:w="31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5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115.22-115.63</w:t>
            </w:r>
          </w:p>
        </w:tc>
        <w:tc>
          <w:tcPr>
            <w:tcW w:w="5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檀山岭村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7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3.45</w:t>
            </w:r>
          </w:p>
        </w:tc>
        <w:tc>
          <w:tcPr>
            <w:tcW w:w="3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581017.414</w:t>
            </w:r>
          </w:p>
        </w:tc>
        <w:tc>
          <w:tcPr>
            <w:tcW w:w="3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2966502.096</w:t>
            </w:r>
          </w:p>
        </w:tc>
        <w:tc>
          <w:tcPr>
            <w:tcW w:w="2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4.14</w:t>
            </w:r>
          </w:p>
        </w:tc>
        <w:tc>
          <w:tcPr>
            <w:tcW w:w="3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580412.058</w:t>
            </w:r>
          </w:p>
        </w:tc>
        <w:tc>
          <w:tcPr>
            <w:tcW w:w="3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2966659.426</w:t>
            </w:r>
          </w:p>
        </w:tc>
        <w:tc>
          <w:tcPr>
            <w:tcW w:w="31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0.69</w:t>
            </w:r>
          </w:p>
        </w:tc>
        <w:tc>
          <w:tcPr>
            <w:tcW w:w="5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115.63-116.92</w:t>
            </w:r>
          </w:p>
        </w:tc>
        <w:tc>
          <w:tcPr>
            <w:tcW w:w="5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檀山岭村</w:t>
            </w: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firstLine="360" w:firstLineChars="200"/>
        <w:jc w:val="left"/>
        <w:textAlignment w:val="auto"/>
        <w:rPr>
          <w:rFonts w:hint="default" w:ascii="Times New Roman" w:hAnsi="Times New Roman" w:eastAsia="仿宋_GB2312" w:cs="Times New Roman"/>
          <w:color w:val="auto"/>
          <w:highlight w:val="none"/>
          <w:lang w:val="en-US"/>
        </w:rPr>
        <w:sectPr>
          <w:footerReference r:id="rId7" w:type="first"/>
          <w:footerReference r:id="rId6"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highlight w:val="none"/>
        </w:rPr>
        <w:t>说明：</w:t>
      </w:r>
      <w:r>
        <w:rPr>
          <w:rFonts w:hint="default" w:ascii="Times New Roman" w:hAnsi="Times New Roman" w:eastAsia="仿宋" w:cs="Times New Roman"/>
          <w:color w:val="auto"/>
          <w:spacing w:val="0"/>
          <w:sz w:val="18"/>
          <w:szCs w:val="18"/>
          <w:highlight w:val="none"/>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highlight w:val="none"/>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highlight w:val="none"/>
          <w:lang w:val="en-US" w:eastAsia="zh-CN"/>
        </w:rPr>
        <w:t>3</w:t>
      </w:r>
      <w:r>
        <w:rPr>
          <w:rFonts w:hint="default" w:ascii="Times New Roman" w:hAnsi="Times New Roman" w:eastAsia="仿宋" w:cs="Times New Roman"/>
          <w:color w:val="auto"/>
          <w:spacing w:val="0"/>
          <w:sz w:val="18"/>
          <w:szCs w:val="18"/>
          <w:highlight w:val="none"/>
        </w:rPr>
        <w:t>）堤防等级按照堤防设计规范进行填写。</w:t>
      </w:r>
    </w:p>
    <w:p>
      <w:pPr>
        <w:pStyle w:val="4"/>
        <w:rPr>
          <w:rFonts w:hint="default" w:ascii="Times New Roman" w:hAnsi="Times New Roman" w:cs="Times New Roman"/>
          <w:bCs w:val="0"/>
          <w:color w:val="auto"/>
          <w:highlight w:val="none"/>
          <w:lang w:val="en-US" w:eastAsia="zh-CN"/>
        </w:rPr>
      </w:pPr>
      <w:bookmarkStart w:id="18" w:name="_Toc31019"/>
      <w:bookmarkStart w:id="19" w:name="_Toc18578"/>
      <w:bookmarkStart w:id="20" w:name="_Toc21696"/>
      <w:r>
        <w:rPr>
          <w:rFonts w:hint="default" w:ascii="Times New Roman" w:hAnsi="Times New Roman" w:cs="Times New Roman"/>
          <w:bCs w:val="0"/>
          <w:color w:val="auto"/>
          <w:highlight w:val="none"/>
          <w:lang w:val="en-US" w:eastAsia="zh-CN"/>
        </w:rPr>
        <w:t>2.3</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涉河建设项目情况</w:t>
      </w:r>
      <w:bookmarkEnd w:id="18"/>
      <w:bookmarkEnd w:id="19"/>
      <w:bookmarkEnd w:id="2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r>
        <w:rPr>
          <w:rFonts w:hint="default" w:ascii="Times New Roman" w:hAnsi="Times New Roman" w:eastAsia="仿宋_GB2312" w:cs="Times New Roman"/>
          <w:color w:val="auto"/>
          <w:szCs w:val="28"/>
          <w:highlight w:val="none"/>
          <w:lang w:val="en-US" w:eastAsia="zh-CN"/>
        </w:rPr>
        <w:t>双江口祁阳县段位于湖南省祁阳县，全长</w:t>
      </w:r>
      <w:r>
        <w:rPr>
          <w:rFonts w:hint="eastAsia" w:eastAsia="仿宋_GB2312" w:cs="Times New Roman"/>
          <w:color w:val="auto"/>
          <w:szCs w:val="28"/>
          <w:highlight w:val="none"/>
          <w:lang w:val="en-US" w:eastAsia="zh-CN"/>
        </w:rPr>
        <w:t>4.14</w:t>
      </w:r>
      <w:r>
        <w:rPr>
          <w:rFonts w:hint="default" w:ascii="Times New Roman" w:hAnsi="Times New Roman" w:eastAsia="仿宋_GB2312" w:cs="Times New Roman"/>
          <w:color w:val="auto"/>
          <w:szCs w:val="28"/>
          <w:highlight w:val="none"/>
          <w:lang w:val="en-US" w:eastAsia="zh-CN"/>
        </w:rPr>
        <w:t>km，</w:t>
      </w:r>
      <w:r>
        <w:rPr>
          <w:rFonts w:hint="default" w:ascii="Times New Roman" w:hAnsi="Times New Roman" w:eastAsia="仿宋_GB2312" w:cs="Times New Roman"/>
          <w:color w:val="auto"/>
          <w:spacing w:val="0"/>
          <w:sz w:val="28"/>
          <w:szCs w:val="28"/>
          <w:highlight w:val="none"/>
          <w:lang w:val="en-US" w:eastAsia="zh-CN" w:bidi="zh-CN"/>
        </w:rPr>
        <w:t>沿岸已建拦河坝2座。具体详见下表2.3-1。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default" w:ascii="Times New Roman" w:hAnsi="Times New Roman" w:eastAsia="仿宋_GB2312" w:cs="Times New Roman"/>
          <w:b/>
          <w:bCs/>
          <w:color w:val="auto"/>
          <w:sz w:val="24"/>
          <w:highlight w:val="none"/>
          <w:lang w:val="en-US" w:eastAsia="zh-CN"/>
        </w:rPr>
        <w:t>双江口河祁阳县段</w:t>
      </w:r>
      <w:r>
        <w:rPr>
          <w:rFonts w:hint="default" w:ascii="Times New Roman" w:hAnsi="Times New Roman" w:eastAsia="仿宋_GB2312" w:cs="Times New Roman"/>
          <w:b/>
          <w:bCs/>
          <w:color w:val="auto"/>
          <w:sz w:val="24"/>
          <w:highlight w:val="none"/>
          <w:lang w:val="en-US"/>
        </w:rPr>
        <w:t>涉河项目建设情况统计表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73"/>
        <w:gridCol w:w="1103"/>
        <w:gridCol w:w="978"/>
        <w:gridCol w:w="856"/>
        <w:gridCol w:w="1382"/>
        <w:gridCol w:w="766"/>
        <w:gridCol w:w="938"/>
        <w:gridCol w:w="937"/>
        <w:gridCol w:w="93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507" w:hRule="exact"/>
          <w:jc w:val="center"/>
        </w:trPr>
        <w:tc>
          <w:tcPr>
            <w:tcW w:w="1373"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项目名称</w:t>
            </w:r>
          </w:p>
        </w:tc>
        <w:tc>
          <w:tcPr>
            <w:tcW w:w="208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项目概位坐标</w:t>
            </w:r>
          </w:p>
        </w:tc>
        <w:tc>
          <w:tcPr>
            <w:tcW w:w="85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在建/已建</w:t>
            </w:r>
          </w:p>
        </w:tc>
        <w:tc>
          <w:tcPr>
            <w:tcW w:w="1382"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所在行政村组</w:t>
            </w:r>
          </w:p>
        </w:tc>
        <w:tc>
          <w:tcPr>
            <w:tcW w:w="76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岸别</w:t>
            </w:r>
          </w:p>
        </w:tc>
        <w:tc>
          <w:tcPr>
            <w:tcW w:w="93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建成时间</w:t>
            </w:r>
          </w:p>
        </w:tc>
        <w:tc>
          <w:tcPr>
            <w:tcW w:w="93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占用岸线长度（m）</w:t>
            </w:r>
          </w:p>
        </w:tc>
        <w:tc>
          <w:tcPr>
            <w:tcW w:w="93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373"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1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东经</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北纬</w:t>
            </w:r>
          </w:p>
        </w:tc>
        <w:tc>
          <w:tcPr>
            <w:tcW w:w="856"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38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766"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93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93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93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0" w:hRule="exact"/>
          <w:jc w:val="center"/>
        </w:trPr>
        <w:tc>
          <w:tcPr>
            <w:tcW w:w="13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河坝1</w:t>
            </w:r>
          </w:p>
        </w:tc>
        <w:tc>
          <w:tcPr>
            <w:tcW w:w="11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111°48'51.69"</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26°47'45.64"</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3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文富市镇高车头</w:t>
            </w:r>
          </w:p>
        </w:tc>
        <w:tc>
          <w:tcPr>
            <w:tcW w:w="7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3" w:hRule="exact"/>
          <w:jc w:val="center"/>
        </w:trPr>
        <w:tc>
          <w:tcPr>
            <w:tcW w:w="13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河坝2</w:t>
            </w:r>
          </w:p>
        </w:tc>
        <w:tc>
          <w:tcPr>
            <w:tcW w:w="11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111°48'41.01"</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26°47'43.38"</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3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文富市镇高车头</w:t>
            </w:r>
          </w:p>
        </w:tc>
        <w:tc>
          <w:tcPr>
            <w:tcW w:w="7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 w:cs="Times New Roman"/>
          <w:b w:val="0"/>
          <w:bCs w:val="0"/>
          <w:color w:val="auto"/>
          <w:sz w:val="18"/>
          <w:szCs w:val="18"/>
          <w:highlight w:val="none"/>
          <w:lang w:val="en-US" w:eastAsia="zh-CN"/>
        </w:rPr>
      </w:pPr>
      <w:bookmarkStart w:id="21" w:name="_Toc13711"/>
      <w:r>
        <w:rPr>
          <w:rFonts w:hint="default" w:ascii="Times New Roman" w:hAnsi="Times New Roman" w:eastAsia="仿宋" w:cs="Times New Roman"/>
          <w:b w:val="0"/>
          <w:bCs w:val="0"/>
          <w:color w:val="auto"/>
          <w:sz w:val="18"/>
          <w:szCs w:val="18"/>
          <w:highlight w:val="none"/>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rPr>
          <w:rFonts w:hint="default" w:ascii="Times New Roman" w:hAnsi="Times New Roman" w:cs="Times New Roman"/>
          <w:bCs w:val="0"/>
          <w:color w:val="auto"/>
          <w:highlight w:val="none"/>
          <w:lang w:val="en-US" w:eastAsia="zh-CN"/>
        </w:rPr>
      </w:pPr>
      <w:bookmarkStart w:id="22" w:name="_Toc8215"/>
      <w:bookmarkStart w:id="23" w:name="_Toc2190"/>
      <w:r>
        <w:rPr>
          <w:rFonts w:hint="default" w:ascii="Times New Roman" w:hAnsi="Times New Roman" w:cs="Times New Roman"/>
          <w:bCs w:val="0"/>
          <w:color w:val="auto"/>
          <w:highlight w:val="none"/>
          <w:lang w:val="en-US" w:eastAsia="zh-CN"/>
        </w:rPr>
        <w:br w:type="page"/>
      </w:r>
    </w:p>
    <w:p>
      <w:pPr>
        <w:pStyle w:val="4"/>
        <w:rPr>
          <w:rFonts w:hint="default" w:ascii="Times New Roman" w:hAnsi="Times New Roman" w:cs="Times New Roman"/>
          <w:bCs w:val="0"/>
          <w:color w:val="auto"/>
          <w:highlight w:val="none"/>
          <w:lang w:val="en-US" w:eastAsia="zh-CN"/>
        </w:rPr>
      </w:pPr>
      <w:bookmarkStart w:id="24" w:name="_Toc30799"/>
      <w:r>
        <w:rPr>
          <w:rFonts w:hint="default" w:ascii="Times New Roman" w:hAnsi="Times New Roman" w:cs="Times New Roman"/>
          <w:bCs w:val="0"/>
          <w:color w:val="auto"/>
          <w:highlight w:val="none"/>
          <w:lang w:val="en-US" w:eastAsia="zh-CN"/>
        </w:rPr>
        <w:t>2.4 土地权属情况</w:t>
      </w:r>
      <w:bookmarkEnd w:id="21"/>
      <w:bookmarkEnd w:id="22"/>
      <w:bookmarkEnd w:id="23"/>
      <w:bookmarkEnd w:id="24"/>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4"/>
        <w:rPr>
          <w:rFonts w:hint="default" w:ascii="Times New Roman" w:hAnsi="Times New Roman" w:cs="Times New Roman"/>
          <w:bCs w:val="0"/>
          <w:color w:val="auto"/>
          <w:highlight w:val="none"/>
          <w:lang w:val="en-US" w:eastAsia="zh-CN"/>
        </w:rPr>
      </w:pPr>
      <w:bookmarkStart w:id="25" w:name="_Toc16253"/>
      <w:bookmarkStart w:id="26" w:name="_Toc3033"/>
      <w:bookmarkStart w:id="27" w:name="_Toc21761"/>
      <w:r>
        <w:rPr>
          <w:rFonts w:hint="default" w:ascii="Times New Roman" w:hAnsi="Times New Roman" w:cs="Times New Roman"/>
          <w:bCs w:val="0"/>
          <w:color w:val="auto"/>
          <w:highlight w:val="none"/>
          <w:lang w:val="en-US" w:eastAsia="zh-CN"/>
        </w:rPr>
        <w:t>2.5 历史划界情况</w:t>
      </w:r>
      <w:bookmarkEnd w:id="25"/>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双江口河祁阳县段以往没进行划界工作，本次将完成双江口河祁阳县段管理范围划定工作。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3"/>
        <w:spacing w:line="360" w:lineRule="auto"/>
        <w:jc w:val="both"/>
        <w:rPr>
          <w:rFonts w:hint="default" w:ascii="Times New Roman" w:hAnsi="Times New Roman" w:cs="Times New Roman"/>
          <w:color w:val="auto"/>
          <w:highlight w:val="none"/>
        </w:rPr>
      </w:pPr>
      <w:bookmarkStart w:id="28" w:name="_Toc253"/>
      <w:bookmarkStart w:id="29" w:name="_Toc25574"/>
      <w:bookmarkStart w:id="30" w:name="_Toc17262"/>
      <w:bookmarkStart w:id="31" w:name="_Toc20993"/>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工作原则及依据</w:t>
      </w:r>
      <w:bookmarkEnd w:id="28"/>
      <w:bookmarkEnd w:id="29"/>
      <w:bookmarkEnd w:id="30"/>
      <w:bookmarkEnd w:id="31"/>
    </w:p>
    <w:p>
      <w:pPr>
        <w:pStyle w:val="4"/>
        <w:rPr>
          <w:rFonts w:hint="default" w:ascii="Times New Roman" w:hAnsi="Times New Roman" w:cs="Times New Roman"/>
          <w:bCs w:val="0"/>
          <w:color w:val="auto"/>
          <w:highlight w:val="none"/>
        </w:rPr>
      </w:pPr>
      <w:bookmarkStart w:id="32" w:name="_Toc29425"/>
      <w:bookmarkStart w:id="33" w:name="_Toc9772"/>
      <w:bookmarkStart w:id="34" w:name="_Toc2257"/>
      <w:bookmarkStart w:id="35" w:name="_Toc26860"/>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 xml:space="preserve">.1 </w:t>
      </w:r>
      <w:r>
        <w:rPr>
          <w:rFonts w:hint="default" w:ascii="Times New Roman" w:hAnsi="Times New Roman" w:cs="Times New Roman"/>
          <w:bCs w:val="0"/>
          <w:color w:val="auto"/>
          <w:highlight w:val="none"/>
        </w:rPr>
        <w:t>工作原则</w:t>
      </w:r>
      <w:bookmarkEnd w:id="32"/>
      <w:bookmarkEnd w:id="33"/>
      <w:bookmarkEnd w:id="34"/>
      <w:bookmarkEnd w:id="3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highlight w:val="none"/>
          <w:lang w:val="en-US" w:eastAsia="zh-CN"/>
        </w:rPr>
        <w:t>国</w:t>
      </w:r>
      <w:bookmarkStart w:id="168" w:name="_GoBack"/>
      <w:bookmarkEnd w:id="168"/>
      <w:r>
        <w:rPr>
          <w:rFonts w:hint="default" w:ascii="Times New Roman" w:hAnsi="Times New Roman" w:eastAsia="仿宋_GB2312" w:cs="Times New Roman"/>
          <w:color w:val="auto"/>
          <w:spacing w:val="0"/>
          <w:highlight w:val="none"/>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3）坚持属地管理，分级负责。按照属地管理原则，各县市区水行政主管部门、</w:t>
      </w:r>
      <w:r>
        <w:rPr>
          <w:rFonts w:hint="default" w:ascii="Times New Roman" w:hAnsi="Times New Roman" w:eastAsia="仿宋_GB2312" w:cs="Times New Roman"/>
          <w:color w:val="auto"/>
          <w:spacing w:val="0"/>
          <w:highlight w:val="none"/>
          <w:lang w:val="en-US" w:eastAsia="zh-CN"/>
        </w:rPr>
        <w:t>自然</w:t>
      </w:r>
      <w:r>
        <w:rPr>
          <w:rFonts w:hint="default" w:ascii="Times New Roman" w:hAnsi="Times New Roman" w:eastAsia="仿宋_GB2312" w:cs="Times New Roman"/>
          <w:color w:val="auto"/>
          <w:spacing w:val="0"/>
          <w:highlight w:val="none"/>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4）坚持统一标准，统一底图。划界工作统一工作底图，统一数据标准。</w:t>
      </w:r>
    </w:p>
    <w:p>
      <w:pPr>
        <w:pStyle w:val="4"/>
        <w:rPr>
          <w:rFonts w:hint="default" w:ascii="Times New Roman" w:hAnsi="Times New Roman" w:eastAsia="宋体" w:cs="Times New Roman"/>
          <w:color w:val="auto"/>
          <w:highlight w:val="none"/>
          <w:lang w:val="en-US"/>
        </w:rPr>
      </w:pPr>
      <w:bookmarkStart w:id="36" w:name="_Toc12696"/>
      <w:bookmarkStart w:id="37" w:name="_Toc29519"/>
      <w:bookmarkStart w:id="38" w:name="_Toc21163"/>
      <w:bookmarkStart w:id="39" w:name="_Toc18953"/>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.2</w:t>
      </w:r>
      <w:r>
        <w:rPr>
          <w:rFonts w:hint="default" w:ascii="Times New Roman" w:hAnsi="Times New Roman" w:cs="Times New Roman"/>
          <w:bCs w:val="0"/>
          <w:color w:val="auto"/>
          <w:highlight w:val="none"/>
        </w:rPr>
        <w:t>工作依据</w:t>
      </w:r>
      <w:bookmarkEnd w:id="36"/>
      <w:bookmarkEnd w:id="37"/>
      <w:bookmarkEnd w:id="38"/>
      <w:bookmarkEnd w:id="39"/>
    </w:p>
    <w:p>
      <w:pPr>
        <w:pStyle w:val="5"/>
        <w:rPr>
          <w:rFonts w:hint="default" w:ascii="Times New Roman" w:hAnsi="Times New Roman" w:cs="Times New Roman"/>
          <w:color w:val="auto"/>
          <w:highlight w:val="none"/>
        </w:rPr>
      </w:pPr>
      <w:bookmarkStart w:id="40" w:name="_Toc21917"/>
      <w:bookmarkStart w:id="41" w:name="_Toc27397"/>
      <w:bookmarkStart w:id="42" w:name="_Toc31547"/>
      <w:bookmarkStart w:id="43" w:name="_Toc818"/>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.2.1 </w:t>
      </w:r>
      <w:r>
        <w:rPr>
          <w:rFonts w:hint="default" w:ascii="Times New Roman" w:hAnsi="Times New Roman" w:cs="Times New Roman"/>
          <w:color w:val="auto"/>
          <w:highlight w:val="none"/>
        </w:rPr>
        <w:t>法律法规</w:t>
      </w:r>
      <w:bookmarkEnd w:id="40"/>
      <w:bookmarkEnd w:id="41"/>
      <w:bookmarkEnd w:id="42"/>
      <w:bookmarkEnd w:id="4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1</w:t>
      </w:r>
      <w:r>
        <w:rPr>
          <w:rFonts w:hint="default" w:ascii="Times New Roman" w:hAnsi="Times New Roman" w:eastAsia="仿宋_GB2312" w:cs="Times New Roman"/>
          <w:color w:val="auto"/>
          <w:spacing w:val="0"/>
          <w:highlight w:val="none"/>
          <w:lang w:val="en-US"/>
        </w:rPr>
        <w:t>）其他相关地方政策法规。</w:t>
      </w:r>
    </w:p>
    <w:p>
      <w:pPr>
        <w:pStyle w:val="5"/>
        <w:rPr>
          <w:rFonts w:hint="default" w:ascii="Times New Roman" w:hAnsi="Times New Roman" w:cs="Times New Roman"/>
          <w:color w:val="auto"/>
          <w:highlight w:val="none"/>
        </w:rPr>
      </w:pPr>
      <w:bookmarkStart w:id="44" w:name="_Toc19541"/>
      <w:bookmarkStart w:id="45" w:name="_Toc3977"/>
      <w:bookmarkStart w:id="46" w:name="_Toc3188"/>
      <w:bookmarkStart w:id="47" w:name="_Toc26871"/>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.2.2 </w:t>
      </w:r>
      <w:r>
        <w:rPr>
          <w:rFonts w:hint="default" w:ascii="Times New Roman" w:hAnsi="Times New Roman" w:cs="Times New Roman"/>
          <w:color w:val="auto"/>
          <w:highlight w:val="none"/>
        </w:rPr>
        <w:t>政策文件</w:t>
      </w:r>
      <w:bookmarkEnd w:id="44"/>
      <w:bookmarkEnd w:id="45"/>
      <w:bookmarkEnd w:id="46"/>
      <w:bookmarkEnd w:id="4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关于开展河湖管理范围和水利工程管理与保护范围划定工作的通知</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9）《自然资源统一确权登记办法（试行）》（国土资发〔2016〕192号）。</w:t>
      </w:r>
    </w:p>
    <w:p>
      <w:pPr>
        <w:pStyle w:val="5"/>
        <w:rPr>
          <w:rFonts w:hint="default" w:ascii="Times New Roman" w:hAnsi="Times New Roman" w:cs="Times New Roman"/>
          <w:color w:val="auto"/>
          <w:highlight w:val="none"/>
        </w:rPr>
      </w:pPr>
      <w:bookmarkStart w:id="48" w:name="_Toc8236"/>
      <w:bookmarkStart w:id="49" w:name="_Toc4328"/>
      <w:bookmarkStart w:id="50" w:name="_Toc724"/>
      <w:bookmarkStart w:id="51" w:name="_Toc30645"/>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.2.3 </w:t>
      </w:r>
      <w:r>
        <w:rPr>
          <w:rFonts w:hint="default" w:ascii="Times New Roman" w:hAnsi="Times New Roman" w:cs="Times New Roman"/>
          <w:color w:val="auto"/>
          <w:highlight w:val="none"/>
        </w:rPr>
        <w:t>技术标准规范</w:t>
      </w:r>
      <w:bookmarkEnd w:id="48"/>
      <w:bookmarkEnd w:id="49"/>
      <w:bookmarkEnd w:id="50"/>
      <w:bookmarkEnd w:id="5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15）《河湖管理范围划定方案编制大纲》。</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sectPr>
          <w:footerReference r:id="rId9" w:type="first"/>
          <w:footerReference r:id="rId8"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3"/>
        <w:spacing w:line="360" w:lineRule="auto"/>
        <w:jc w:val="both"/>
        <w:rPr>
          <w:rFonts w:hint="default" w:ascii="Times New Roman" w:hAnsi="Times New Roman" w:cs="Times New Roman"/>
          <w:color w:val="auto"/>
          <w:highlight w:val="none"/>
          <w:lang w:val="en-US" w:eastAsia="zh-CN"/>
        </w:rPr>
      </w:pPr>
      <w:bookmarkStart w:id="52" w:name="_Toc23665"/>
      <w:bookmarkStart w:id="53" w:name="_Toc10129"/>
      <w:bookmarkStart w:id="54" w:name="_Toc25103"/>
      <w:bookmarkStart w:id="55" w:name="_Toc29009"/>
      <w:r>
        <w:rPr>
          <w:rFonts w:hint="default" w:ascii="Times New Roman" w:hAnsi="Times New Roman" w:cs="Times New Roman"/>
          <w:color w:val="auto"/>
          <w:highlight w:val="none"/>
          <w:lang w:val="en-US" w:eastAsia="zh-CN"/>
        </w:rPr>
        <w:t>4 组织实施情况</w:t>
      </w:r>
      <w:bookmarkEnd w:id="52"/>
      <w:bookmarkEnd w:id="53"/>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56" w:name="_Toc19470"/>
      <w:r>
        <w:rPr>
          <w:rFonts w:hint="default" w:ascii="Times New Roman" w:hAnsi="Times New Roman" w:eastAsia="仿宋_GB2312" w:cs="Times New Roman"/>
          <w:color w:val="auto"/>
          <w:spacing w:val="0"/>
          <w:sz w:val="28"/>
          <w:szCs w:val="28"/>
          <w:highlight w:val="none"/>
          <w:lang w:val="en-US" w:eastAsia="zh-CN" w:bidi="zh-CN"/>
        </w:rPr>
        <w:t>双江口河祁阳县段划界方案编制工作由祁阳县水利局组织实施，由黄石市振兴勘察设计有限公司为双江口河祁阳县段河湖管理范围划定工作的技术支持单位，具体组织实施过程如下：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并于2019年7月初完成外业调查</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4）2019年9月底</w:t>
      </w:r>
      <w:r>
        <w:rPr>
          <w:rFonts w:hint="eastAsia" w:ascii="Times New Roman" w:hAnsi="Times New Roman" w:eastAsia="仿宋_GB2312" w:cs="Times New Roman"/>
          <w:color w:val="auto"/>
          <w:spacing w:val="0"/>
          <w:highlight w:val="none"/>
          <w:lang w:val="en-US" w:eastAsia="zh-CN"/>
        </w:rPr>
        <w:t>，我公司</w:t>
      </w:r>
      <w:r>
        <w:rPr>
          <w:rFonts w:hint="default" w:ascii="Times New Roman" w:hAnsi="Times New Roman" w:eastAsia="仿宋_GB2312" w:cs="Times New Roman"/>
          <w:color w:val="auto"/>
          <w:spacing w:val="0"/>
          <w:highlight w:val="none"/>
          <w:lang w:val="en-US" w:eastAsia="zh-CN"/>
        </w:rPr>
        <w:t>完成《双江口河永州市祁阳县河段管理范围划定方案》初稿。</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eastAsia" w:ascii="Times New Roman" w:hAnsi="Times New Roman" w:eastAsia="仿宋_GB2312" w:cs="Times New Roman"/>
          <w:color w:val="auto"/>
          <w:spacing w:val="0"/>
          <w:highlight w:val="none"/>
          <w:lang w:val="en-US" w:eastAsia="zh-CN"/>
        </w:rPr>
        <w:t>5）2019年9月23日，永州市水利局主持召开了《祁阳县河道管理范围划定方案》审查方案，我单位根据专家审查意见认真复核与修改划定方案，于2019年11月中旬完成方案报批稿</w:t>
      </w:r>
      <w:r>
        <w:rPr>
          <w:rFonts w:hint="default" w:ascii="Times New Roman" w:hAnsi="Times New Roman" w:eastAsia="仿宋_GB2312" w:cs="Times New Roman"/>
          <w:color w:val="auto"/>
          <w:spacing w:val="0"/>
          <w:highlight w:val="none"/>
          <w:lang w:val="en-US" w:eastAsia="zh-CN"/>
        </w:rPr>
        <w:t>。</w:t>
      </w:r>
    </w:p>
    <w:p>
      <w:pPr>
        <w:pStyle w:val="4"/>
        <w:rPr>
          <w:rFonts w:hint="default" w:ascii="Times New Roman" w:hAnsi="Times New Roman" w:cs="Times New Roman"/>
          <w:color w:val="auto"/>
          <w:highlight w:val="none"/>
          <w:lang w:val="en-US"/>
        </w:rPr>
      </w:pPr>
      <w:bookmarkStart w:id="57" w:name="_Toc31063"/>
      <w:bookmarkStart w:id="58" w:name="_Toc10617"/>
      <w:bookmarkStart w:id="59" w:name="_Toc27574"/>
      <w:r>
        <w:rPr>
          <w:rFonts w:hint="default" w:ascii="Times New Roman" w:hAnsi="Times New Roman" w:cs="Times New Roman"/>
          <w:color w:val="auto"/>
          <w:highlight w:val="none"/>
          <w:lang w:val="en-US"/>
        </w:rPr>
        <w:t xml:space="preserve">4.1 </w:t>
      </w:r>
      <w:r>
        <w:rPr>
          <w:rFonts w:hint="default" w:ascii="Times New Roman" w:hAnsi="Times New Roman" w:cs="Times New Roman"/>
          <w:color w:val="auto"/>
          <w:highlight w:val="none"/>
          <w:lang w:val="en-US" w:eastAsia="zh-CN"/>
        </w:rPr>
        <w:t>总体技术流程</w:t>
      </w:r>
      <w:bookmarkEnd w:id="57"/>
      <w:bookmarkEnd w:id="58"/>
      <w:bookmarkEnd w:id="59"/>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highlight w:val="none"/>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fldChar w:fldCharType="begin"/>
      </w:r>
      <w:r>
        <w:rPr>
          <w:rFonts w:hint="default" w:ascii="Times New Roman" w:hAnsi="Times New Roman" w:eastAsia="仿宋_GB2312" w:cs="Times New Roman"/>
          <w:color w:val="auto"/>
          <w:highlight w:val="none"/>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highlight w:val="none"/>
        </w:rPr>
        <w:fldChar w:fldCharType="separate"/>
      </w:r>
      <w:r>
        <w:rPr>
          <w:rFonts w:hint="default" w:ascii="Times New Roman" w:hAnsi="Times New Roman" w:eastAsia="仿宋_GB2312" w:cs="Times New Roman"/>
          <w:color w:val="auto"/>
          <w:highlight w:val="none"/>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18" r:link="rId19"/>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highlight w:val="none"/>
        </w:rPr>
        <w:fldChar w:fldCharType="end"/>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eastAsia="zh-CN"/>
        </w:rPr>
        <w:t>图</w:t>
      </w:r>
      <w:r>
        <w:rPr>
          <w:rFonts w:hint="default" w:ascii="Times New Roman" w:hAnsi="Times New Roman" w:eastAsia="仿宋_GB2312" w:cs="Times New Roman"/>
          <w:b/>
          <w:bCs/>
          <w:color w:val="auto"/>
          <w:sz w:val="24"/>
          <w:szCs w:val="24"/>
          <w:highlight w:val="none"/>
          <w:lang w:val="en-US" w:eastAsia="zh-CN"/>
        </w:rPr>
        <w:t>4-1管理范围划界总体工作流程图</w:t>
      </w:r>
    </w:p>
    <w:p>
      <w:pPr>
        <w:pStyle w:val="4"/>
        <w:rPr>
          <w:rFonts w:hint="default" w:ascii="Times New Roman" w:hAnsi="Times New Roman" w:cs="Times New Roman"/>
          <w:color w:val="auto"/>
          <w:highlight w:val="none"/>
          <w:lang w:val="en-US"/>
        </w:rPr>
      </w:pPr>
      <w:bookmarkStart w:id="60" w:name="_Toc580"/>
      <w:bookmarkStart w:id="61" w:name="_Toc8387"/>
      <w:bookmarkStart w:id="62" w:name="_Toc31812"/>
      <w:r>
        <w:rPr>
          <w:rFonts w:hint="default" w:ascii="Times New Roman" w:hAnsi="Times New Roman" w:cs="Times New Roman"/>
          <w:color w:val="auto"/>
          <w:highlight w:val="none"/>
          <w:lang w:val="en-US"/>
        </w:rPr>
        <w:t>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已有</w:t>
      </w:r>
      <w:r>
        <w:rPr>
          <w:rFonts w:hint="default" w:ascii="Times New Roman" w:hAnsi="Times New Roman" w:cs="Times New Roman"/>
          <w:color w:val="auto"/>
          <w:highlight w:val="none"/>
          <w:lang w:val="en-US"/>
        </w:rPr>
        <w:t>资料收集</w:t>
      </w:r>
      <w:bookmarkEnd w:id="56"/>
      <w:bookmarkEnd w:id="60"/>
      <w:bookmarkEnd w:id="61"/>
      <w:bookmarkEnd w:id="62"/>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6）收集《湖南省重要饮用水源名录》</w:t>
      </w:r>
      <w:r>
        <w:rPr>
          <w:rFonts w:hint="default" w:ascii="Times New Roman" w:hAnsi="Times New Roman" w:eastAsia="仿宋_GB2312" w:cs="Times New Roman"/>
          <w:color w:val="auto"/>
          <w:szCs w:val="28"/>
          <w:highlight w:val="none"/>
          <w:lang w:val="en-US" w:eastAsia="zh-CN"/>
        </w:rPr>
        <w:t>等</w:t>
      </w:r>
      <w:r>
        <w:rPr>
          <w:rFonts w:hint="default" w:ascii="Times New Roman" w:hAnsi="Times New Roman" w:eastAsia="仿宋_GB2312" w:cs="Times New Roman"/>
          <w:color w:val="auto"/>
          <w:szCs w:val="28"/>
          <w:highlight w:val="none"/>
          <w:lang w:val="en-US"/>
        </w:rPr>
        <w:t>相关文件。</w:t>
      </w:r>
    </w:p>
    <w:p>
      <w:pPr>
        <w:pStyle w:val="4"/>
        <w:rPr>
          <w:rFonts w:hint="default" w:ascii="Times New Roman" w:hAnsi="Times New Roman" w:cs="Times New Roman"/>
          <w:color w:val="auto"/>
          <w:highlight w:val="none"/>
          <w:lang w:val="en-US"/>
        </w:rPr>
      </w:pPr>
      <w:bookmarkStart w:id="63" w:name="_Toc3013"/>
      <w:bookmarkStart w:id="64" w:name="_Toc31211"/>
      <w:bookmarkStart w:id="65" w:name="_Toc17875"/>
      <w:bookmarkStart w:id="66" w:name="_Toc15311"/>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 工作底图制作</w:t>
      </w:r>
      <w:bookmarkEnd w:id="63"/>
      <w:bookmarkEnd w:id="64"/>
      <w:bookmarkEnd w:id="65"/>
      <w:bookmarkEnd w:id="66"/>
    </w:p>
    <w:p>
      <w:pPr>
        <w:pStyle w:val="5"/>
        <w:rPr>
          <w:rFonts w:hint="default" w:ascii="Times New Roman" w:hAnsi="Times New Roman" w:cs="Times New Roman"/>
          <w:color w:val="auto"/>
          <w:highlight w:val="none"/>
        </w:rPr>
      </w:pPr>
      <w:bookmarkStart w:id="67" w:name="_Toc25611"/>
      <w:bookmarkStart w:id="68" w:name="_Toc20765"/>
      <w:bookmarkStart w:id="69" w:name="_Toc10385"/>
      <w:bookmarkStart w:id="70" w:name="_Toc27570"/>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已有资料预处理</w:t>
      </w:r>
      <w:bookmarkEnd w:id="67"/>
      <w:bookmarkEnd w:id="68"/>
      <w:bookmarkEnd w:id="69"/>
      <w:bookmarkEnd w:id="70"/>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highlight w:val="none"/>
          <w:lang w:val="en-US" w:eastAsia="zh-CN"/>
        </w:rPr>
        <w:t>。</w:t>
      </w:r>
    </w:p>
    <w:p>
      <w:pPr>
        <w:pStyle w:val="5"/>
        <w:rPr>
          <w:rFonts w:hint="default" w:ascii="Times New Roman" w:hAnsi="Times New Roman" w:cs="Times New Roman"/>
          <w:color w:val="auto"/>
          <w:highlight w:val="none"/>
        </w:rPr>
      </w:pPr>
      <w:bookmarkStart w:id="71" w:name="_Toc25175"/>
      <w:bookmarkStart w:id="72" w:name="_Toc24265"/>
      <w:bookmarkStart w:id="73" w:name="_Toc178"/>
      <w:bookmarkStart w:id="74" w:name="_Toc27325"/>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河湖划界参考要素补充采集</w:t>
      </w:r>
      <w:bookmarkEnd w:id="71"/>
      <w:bookmarkEnd w:id="72"/>
      <w:bookmarkEnd w:id="73"/>
      <w:bookmarkEnd w:id="74"/>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highlight w:val="none"/>
          <w:lang w:val="en-US"/>
        </w:rPr>
        <w:t>。</w:t>
      </w:r>
    </w:p>
    <w:p>
      <w:pPr>
        <w:pStyle w:val="5"/>
        <w:rPr>
          <w:rFonts w:hint="default" w:ascii="Times New Roman" w:hAnsi="Times New Roman" w:cs="Times New Roman"/>
          <w:color w:val="auto"/>
          <w:highlight w:val="none"/>
        </w:rPr>
      </w:pPr>
      <w:bookmarkStart w:id="75" w:name="_Toc19480"/>
      <w:bookmarkStart w:id="76" w:name="_Toc5226"/>
      <w:bookmarkStart w:id="77" w:name="_Toc11450"/>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3地形图补充测量</w:t>
      </w:r>
      <w:bookmarkEnd w:id="75"/>
      <w:bookmarkEnd w:id="76"/>
      <w:bookmarkEnd w:id="77"/>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对于双江口河祁阳县段部分无数字线划图区域，我单位采用</w:t>
      </w:r>
      <w:r>
        <w:rPr>
          <w:rFonts w:hint="default" w:ascii="Times New Roman" w:hAnsi="Times New Roman" w:eastAsia="仿宋_GB2312" w:cs="Times New Roman"/>
          <w:color w:val="auto"/>
          <w:szCs w:val="28"/>
          <w:highlight w:val="none"/>
          <w:lang w:val="en-US"/>
        </w:rPr>
        <w:t>野外实测补充测制地形图。</w:t>
      </w:r>
    </w:p>
    <w:p>
      <w:pPr>
        <w:pStyle w:val="5"/>
        <w:rPr>
          <w:rFonts w:hint="default" w:ascii="Times New Roman" w:hAnsi="Times New Roman" w:cs="Times New Roman"/>
          <w:color w:val="auto"/>
          <w:highlight w:val="none"/>
        </w:rPr>
      </w:pPr>
      <w:bookmarkStart w:id="78" w:name="_Toc7113"/>
      <w:bookmarkStart w:id="79" w:name="_Toc346"/>
      <w:bookmarkStart w:id="80" w:name="_Toc3401"/>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4数据整合</w:t>
      </w:r>
      <w:bookmarkEnd w:id="78"/>
      <w:bookmarkEnd w:id="79"/>
      <w:bookmarkEnd w:id="80"/>
    </w:p>
    <w:p>
      <w:pPr>
        <w:numPr>
          <w:ilvl w:val="0"/>
          <w:numId w:val="1"/>
        </w:num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2"/>
        <w:keepNext w:val="0"/>
        <w:keepLines w:val="0"/>
        <w:pageBreakBefore w:val="0"/>
        <w:widowControl w:val="0"/>
        <w:numPr>
          <w:ilvl w:val="0"/>
          <w:numId w:val="1"/>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highlight w:val="none"/>
          <w:lang w:val="en-US" w:eastAsia="zh-CN" w:bidi="zh-CN"/>
        </w:rPr>
      </w:pPr>
      <w:r>
        <w:rPr>
          <w:rFonts w:hint="default" w:ascii="Times New Roman" w:hAnsi="Times New Roman" w:eastAsia="仿宋_GB2312" w:cs="Times New Roman"/>
          <w:color w:val="auto"/>
          <w:kern w:val="0"/>
          <w:sz w:val="28"/>
          <w:szCs w:val="28"/>
          <w:highlight w:val="none"/>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highlight w:val="none"/>
          <w:lang w:val="en-US"/>
        </w:rPr>
        <w:t>，形成河湖及水利工程确权划界的工作底图。</w:t>
      </w:r>
    </w:p>
    <w:p>
      <w:pPr>
        <w:pStyle w:val="4"/>
        <w:rPr>
          <w:rFonts w:hint="default" w:ascii="Times New Roman" w:hAnsi="Times New Roman" w:cs="Times New Roman"/>
          <w:color w:val="auto"/>
          <w:highlight w:val="none"/>
          <w:lang w:val="en-US"/>
        </w:rPr>
      </w:pPr>
      <w:bookmarkStart w:id="81" w:name="_Toc21439"/>
      <w:bookmarkStart w:id="82" w:name="_Toc25568"/>
      <w:bookmarkStart w:id="83" w:name="_Toc14100"/>
      <w:bookmarkStart w:id="84" w:name="_Toc30688"/>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管理范围室内初步拟定</w:t>
      </w:r>
      <w:bookmarkEnd w:id="81"/>
      <w:bookmarkEnd w:id="82"/>
      <w:bookmarkEnd w:id="83"/>
      <w:bookmarkEnd w:id="8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2019年</w:t>
      </w:r>
      <w:r>
        <w:rPr>
          <w:rFonts w:hint="eastAsia" w:eastAsia="仿宋_GB2312" w:cs="Times New Roman"/>
          <w:color w:val="auto"/>
          <w:szCs w:val="28"/>
          <w:highlight w:val="none"/>
          <w:lang w:val="en-US" w:eastAsia="zh-CN"/>
        </w:rPr>
        <w:t>11</w:t>
      </w:r>
      <w:r>
        <w:rPr>
          <w:rFonts w:hint="default" w:ascii="Times New Roman" w:hAnsi="Times New Roman" w:eastAsia="仿宋_GB2312" w:cs="Times New Roman"/>
          <w:color w:val="auto"/>
          <w:szCs w:val="28"/>
          <w:highlight w:val="none"/>
          <w:lang w:val="en-US" w:eastAsia="zh-CN"/>
        </w:rPr>
        <w:t>月按照河湖管理范围划定的原则和标准，我单位在工作底图上完成了管理范围线初步划定和界桩的预布，双江口河祁阳县段管理范围线布设界桩</w:t>
      </w:r>
      <w:r>
        <w:rPr>
          <w:rFonts w:hint="eastAsia" w:eastAsia="仿宋_GB2312" w:cs="Times New Roman"/>
          <w:color w:val="auto"/>
          <w:szCs w:val="28"/>
          <w:highlight w:val="none"/>
          <w:lang w:val="en-US" w:eastAsia="zh-CN"/>
        </w:rPr>
        <w:t>17</w:t>
      </w:r>
      <w:r>
        <w:rPr>
          <w:rFonts w:hint="default" w:ascii="Times New Roman" w:hAnsi="Times New Roman" w:eastAsia="仿宋_GB2312" w:cs="Times New Roman"/>
          <w:color w:val="auto"/>
          <w:szCs w:val="28"/>
          <w:highlight w:val="none"/>
          <w:lang w:val="en-US" w:eastAsia="zh-CN"/>
        </w:rPr>
        <w:t>座和3处告示牌。</w:t>
      </w:r>
    </w:p>
    <w:p>
      <w:pPr>
        <w:pStyle w:val="5"/>
        <w:rPr>
          <w:rFonts w:hint="default" w:ascii="Times New Roman" w:hAnsi="Times New Roman" w:cs="Times New Roman"/>
          <w:color w:val="auto"/>
          <w:highlight w:val="none"/>
          <w:lang w:val="en-US"/>
        </w:rPr>
      </w:pPr>
      <w:bookmarkStart w:id="85" w:name="_Toc28363"/>
      <w:bookmarkStart w:id="86" w:name="_Toc22173"/>
      <w:bookmarkStart w:id="87" w:name="_Toc4353"/>
      <w:bookmarkStart w:id="88" w:name="_Toc26848"/>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.1 洪水位分析计算</w:t>
      </w:r>
      <w:bookmarkEnd w:id="85"/>
      <w:bookmarkEnd w:id="86"/>
      <w:bookmarkEnd w:id="87"/>
      <w:bookmarkEnd w:id="88"/>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双江口河为祁水一级支流，湘江二级支流，发源祁东县芭蕉山，河道流向大致由北向南，流域呈扇形，河床最宽45m，地势北高南低，地貌基本为较为平坦丘陵及农田。双江口河流经官家嘴镇、黄土铺镇，石亭子镇、文富市镇。双江口流域面积244km</w:t>
      </w:r>
      <w:r>
        <w:rPr>
          <w:rFonts w:hint="default" w:ascii="Times New Roman" w:hAnsi="Times New Roman" w:eastAsia="仿宋_GB2312" w:cs="Times New Roman"/>
          <w:color w:val="auto"/>
          <w:szCs w:val="28"/>
          <w:vertAlign w:val="superscript"/>
          <w:lang w:val="en-US" w:eastAsia="zh-CN"/>
        </w:rPr>
        <w:t>2</w:t>
      </w:r>
      <w:r>
        <w:rPr>
          <w:rFonts w:hint="eastAsia" w:eastAsia="仿宋_GB2312" w:cs="Times New Roman"/>
          <w:color w:val="auto"/>
          <w:szCs w:val="28"/>
          <w:vertAlign w:val="baseline"/>
          <w:lang w:val="en-US" w:eastAsia="zh-CN"/>
        </w:rPr>
        <w:t>，</w:t>
      </w:r>
      <w:r>
        <w:rPr>
          <w:rFonts w:hint="default" w:ascii="Times New Roman" w:hAnsi="Times New Roman" w:eastAsia="仿宋_GB2312" w:cs="Times New Roman"/>
          <w:color w:val="auto"/>
          <w:szCs w:val="28"/>
          <w:lang w:val="en-US" w:eastAsia="zh-CN"/>
        </w:rPr>
        <w:t>干流长35km，平均坡降3.7‰，其中祁阳境内长度</w:t>
      </w:r>
      <w:r>
        <w:rPr>
          <w:rFonts w:hint="eastAsia" w:eastAsia="仿宋_GB2312" w:cs="Times New Roman"/>
          <w:color w:val="auto"/>
          <w:szCs w:val="28"/>
          <w:lang w:val="en-US" w:eastAsia="zh-CN"/>
        </w:rPr>
        <w:t>4.14</w:t>
      </w:r>
      <w:r>
        <w:rPr>
          <w:rFonts w:hint="default" w:ascii="Times New Roman" w:hAnsi="Times New Roman" w:eastAsia="仿宋_GB2312" w:cs="Times New Roman"/>
          <w:color w:val="auto"/>
          <w:szCs w:val="28"/>
          <w:lang w:val="en-US" w:eastAsia="zh-CN"/>
        </w:rPr>
        <w:t>km，平均河宽23m，平均河深1.8m。该段无支流汇入，于祁阳县文富市镇的双江口村注入祁水。祁阳境内起止位置为双江口村河口～对门江，对应河道中心桩号为K0+000～K</w:t>
      </w:r>
      <w:r>
        <w:rPr>
          <w:rFonts w:hint="eastAsia" w:eastAsia="仿宋_GB2312" w:cs="Times New Roman"/>
          <w:color w:val="auto"/>
          <w:szCs w:val="28"/>
          <w:lang w:val="en-US" w:eastAsia="zh-CN"/>
        </w:rPr>
        <w:t>4</w:t>
      </w:r>
      <w:r>
        <w:rPr>
          <w:rFonts w:hint="default" w:ascii="Times New Roman" w:hAnsi="Times New Roman" w:eastAsia="仿宋_GB2312" w:cs="Times New Roman"/>
          <w:color w:val="auto"/>
          <w:szCs w:val="28"/>
          <w:lang w:val="en-US" w:eastAsia="zh-CN"/>
        </w:rPr>
        <w:t>+</w:t>
      </w:r>
      <w:r>
        <w:rPr>
          <w:rFonts w:hint="eastAsia" w:eastAsia="仿宋_GB2312" w:cs="Times New Roman"/>
          <w:color w:val="auto"/>
          <w:szCs w:val="28"/>
          <w:lang w:val="en-US" w:eastAsia="zh-CN"/>
        </w:rPr>
        <w:t>14</w:t>
      </w:r>
      <w:r>
        <w:rPr>
          <w:rFonts w:hint="default" w:ascii="Times New Roman" w:hAnsi="Times New Roman" w:eastAsia="仿宋_GB2312" w:cs="Times New Roman"/>
          <w:color w:val="auto"/>
          <w:szCs w:val="28"/>
          <w:lang w:val="en-US" w:eastAsia="zh-CN"/>
        </w:rPr>
        <w:t>0。</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双江口河流域在祁阳县区域内属中亚热带季风性湿润气候区，具有气候温和、四季分明、严冬期短、暑热期长、春温多变、春夏多雨、夏秋多旱、光热充足、无霜期长等气候特点。</w:t>
      </w:r>
    </w:p>
    <w:p>
      <w:pPr>
        <w:shd w:val="clea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 w:val="28"/>
          <w:szCs w:val="28"/>
          <w:highlight w:val="none"/>
          <w:lang w:val="en-US" w:eastAsia="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lang w:val="en-US" w:eastAsia="zh-CN"/>
        </w:rPr>
        <w:t>。</w:t>
      </w:r>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3）基本资料情况</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双江口河流域内无水文测站，本次设计采用《</w:t>
      </w:r>
      <w:r>
        <w:rPr>
          <w:rFonts w:hint="default" w:ascii="Times New Roman" w:hAnsi="Times New Roman" w:eastAsia="仿宋_GB2312" w:cs="Times New Roman"/>
          <w:color w:val="auto"/>
          <w:sz w:val="28"/>
          <w:szCs w:val="28"/>
        </w:rPr>
        <w:t>湖南省暴雨洪水查算手册》（2015修编</w:t>
      </w:r>
      <w:r>
        <w:rPr>
          <w:rFonts w:hint="default" w:ascii="Times New Roman" w:hAnsi="Times New Roman" w:eastAsia="仿宋_GB2312" w:cs="Times New Roman"/>
          <w:color w:val="auto"/>
          <w:sz w:val="28"/>
          <w:szCs w:val="28"/>
          <w:highlight w:val="none"/>
          <w:lang w:val="en-US" w:eastAsia="zh-CN"/>
        </w:rPr>
        <w:t>版）查算河段各控制断面各频率的设计洪峰</w:t>
      </w:r>
      <w:r>
        <w:rPr>
          <w:rFonts w:hint="default" w:ascii="Times New Roman" w:hAnsi="Times New Roman" w:eastAsia="仿宋_GB2312" w:cs="Times New Roman"/>
          <w:color w:val="auto"/>
          <w:sz w:val="28"/>
          <w:szCs w:val="28"/>
        </w:rPr>
        <w:t>流量，</w:t>
      </w:r>
      <w:r>
        <w:rPr>
          <w:rFonts w:hint="default" w:ascii="Times New Roman" w:hAnsi="Times New Roman" w:eastAsia="仿宋_GB2312" w:cs="Times New Roman"/>
          <w:color w:val="auto"/>
          <w:sz w:val="28"/>
          <w:szCs w:val="28"/>
          <w:lang w:val="zh-CN"/>
        </w:rPr>
        <w:t>以下简称《查算手册》</w:t>
      </w:r>
      <w:r>
        <w:rPr>
          <w:rFonts w:hint="default" w:ascii="Times New Roman" w:hAnsi="Times New Roman" w:eastAsia="仿宋_GB2312" w:cs="Times New Roman"/>
          <w:color w:val="auto"/>
          <w:sz w:val="28"/>
          <w:szCs w:val="28"/>
          <w:highlight w:val="none"/>
          <w:lang w:val="en-US" w:eastAsia="zh-CN"/>
        </w:rPr>
        <w:t>。</w:t>
      </w:r>
    </w:p>
    <w:p>
      <w:pPr>
        <w:shd w:val="clea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4）双江口河祁阳段设计洪峰流量</w:t>
      </w:r>
    </w:p>
    <w:p>
      <w:pPr>
        <w:shd w:val="clea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双江口河祁阳段总长3.7km，区段无主要支流汇入，洪峰流量按河口控制集雨面积进行计算，本次计算分段参数成果如下表4.4-4。</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表4.4-1                                       双江口（祁阳段）计算参数成果表</w:t>
      </w:r>
    </w:p>
    <w:tbl>
      <w:tblPr>
        <w:tblStyle w:val="17"/>
        <w:tblW w:w="94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638"/>
        <w:gridCol w:w="1658"/>
        <w:gridCol w:w="1582"/>
        <w:gridCol w:w="1652"/>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174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163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桩号</w:t>
            </w:r>
          </w:p>
        </w:tc>
        <w:tc>
          <w:tcPr>
            <w:tcW w:w="165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58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干流长度（km）</w:t>
            </w:r>
          </w:p>
        </w:tc>
        <w:tc>
          <w:tcPr>
            <w:tcW w:w="165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干流坡降（‰）</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trPr>
        <w:tc>
          <w:tcPr>
            <w:tcW w:w="174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双江口河口</w:t>
            </w:r>
          </w:p>
        </w:tc>
        <w:tc>
          <w:tcPr>
            <w:tcW w:w="163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K0+000</w:t>
            </w:r>
          </w:p>
        </w:tc>
        <w:tc>
          <w:tcPr>
            <w:tcW w:w="165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244</w:t>
            </w:r>
          </w:p>
        </w:tc>
        <w:tc>
          <w:tcPr>
            <w:tcW w:w="158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35</w:t>
            </w:r>
          </w:p>
        </w:tc>
        <w:tc>
          <w:tcPr>
            <w:tcW w:w="165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3.7</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shd w:val="clea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5）设计洪峰流量</w:t>
      </w:r>
    </w:p>
    <w:p>
      <w:pPr>
        <w:shd w:val="clear"/>
        <w:spacing w:line="360" w:lineRule="auto"/>
        <w:ind w:firstLine="560" w:firstLineChars="200"/>
        <w:rPr>
          <w:rFonts w:hint="default" w:ascii="Times New Roman" w:hAnsi="Times New Roman" w:eastAsia="仿宋_GB2312" w:cs="Times New Roman"/>
          <w:color w:val="auto"/>
          <w:sz w:val="28"/>
          <w:szCs w:val="28"/>
          <w:lang w:val="zh-CN" w:eastAsia="zh-CN"/>
        </w:rPr>
      </w:pPr>
      <w:r>
        <w:rPr>
          <w:rFonts w:hint="default" w:ascii="Times New Roman" w:hAnsi="Times New Roman" w:eastAsia="仿宋_GB2312" w:cs="Times New Roman"/>
          <w:color w:val="auto"/>
          <w:sz w:val="28"/>
          <w:szCs w:val="28"/>
          <w:lang w:val="en-US" w:eastAsia="zh-CN"/>
        </w:rPr>
        <w:t>本次采用《湖南省暴雨洪水查算手册》（2015修编版）查算河段各控制断面各频率的设计洪峰流量，</w:t>
      </w:r>
      <w:r>
        <w:rPr>
          <w:rFonts w:hint="default" w:ascii="Times New Roman" w:hAnsi="Times New Roman" w:eastAsia="仿宋_GB2312" w:cs="Times New Roman"/>
          <w:color w:val="auto"/>
          <w:sz w:val="28"/>
          <w:szCs w:val="28"/>
          <w:lang w:val="zh-CN" w:eastAsia="zh-CN"/>
        </w:rPr>
        <w:t>以下简称《查算手册》。分别采用推理公式法及综合无因次单位线法计算洪峰流量，两值比较取用较大者。</w:t>
      </w:r>
    </w:p>
    <w:p>
      <w:pPr>
        <w:shd w:val="clea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①由《查算手册》查算</w:t>
      </w:r>
    </w:p>
    <w:p>
      <w:pPr>
        <w:shd w:val="clea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根据祁阳县境内双江口河控制断面的地理位置和集雨面积，在《查算手册》上查得该区域属湖南省暴雨一致区第8区，产流分区第Ⅱ区（初损I0为32mm）。多年平均最大降雨量H24点为95mm，统计参数Cv为0.4，Cs为3.5Cv。</w:t>
      </w:r>
    </w:p>
    <w:p>
      <w:pPr>
        <w:shd w:val="clea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②暴雨的时程分配</w:t>
      </w:r>
    </w:p>
    <w:p>
      <w:pPr>
        <w:shd w:val="clea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暴雨的时程分配参照《查算手册》推荐的公式计算，其中最大1～6小时暴雨的时程分配公式为：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5" o:spt="75" type="#_x0000_t75" style="height:19pt;width:147.05pt;" o:ole="t" filled="f" o:preferrelative="t" stroked="f" coordsize="21600,21600">
            <v:path/>
            <v:fill on="f" focussize="0,0"/>
            <v:stroke on="f"/>
            <v:imagedata r:id="rId21" o:title=""/>
            <o:lock v:ext="edit" aspectratio="t"/>
            <w10:wrap type="none"/>
            <w10:anchorlock/>
          </v:shape>
          <o:OLEObject Type="Embed" ProgID="Equation.3" ShapeID="_x0000_i1025" DrawAspect="Content" ObjectID="_1468075725" r:id="rId20">
            <o:LockedField>false</o:LockedField>
          </o:OLEObject>
        </w:object>
      </w:r>
      <w:r>
        <w:rPr>
          <w:rFonts w:hint="default" w:ascii="Times New Roman" w:hAnsi="Times New Roman" w:eastAsia="仿宋_GB2312" w:cs="Times New Roman"/>
          <w:color w:val="auto"/>
          <w:sz w:val="28"/>
          <w:szCs w:val="28"/>
        </w:rPr>
        <w:t>……………………………………3-1</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最大6～24小时暴雨的时程分配公式为：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6" o:spt="75" type="#_x0000_t75" style="height:19pt;width:112.05pt;" o:ole="t" filled="f" o:preferrelative="t" stroked="f" coordsize="21600,21600">
            <v:path/>
            <v:fill on="f" focussize="0,0"/>
            <v:stroke on="f"/>
            <v:imagedata r:id="rId23" o:title=""/>
            <o:lock v:ext="edit" aspectratio="t"/>
            <w10:wrap type="none"/>
            <w10:anchorlock/>
          </v:shape>
          <o:OLEObject Type="Embed" ProgID="Equation.3" ShapeID="_x0000_i1026" DrawAspect="Content" ObjectID="_1468075726" r:id="rId22">
            <o:LockedField>false</o:LockedField>
          </o:OLEObject>
        </w:object>
      </w:r>
      <w:r>
        <w:rPr>
          <w:rFonts w:hint="default" w:ascii="Times New Roman" w:hAnsi="Times New Roman" w:eastAsia="仿宋_GB2312" w:cs="Times New Roman"/>
          <w:color w:val="auto"/>
          <w:sz w:val="28"/>
          <w:szCs w:val="28"/>
        </w:rPr>
        <w:t xml:space="preserve"> …………………………………………3-2</w:t>
      </w:r>
    </w:p>
    <w:p>
      <w:pPr>
        <w:pStyle w:val="7"/>
        <w:spacing w:line="360" w:lineRule="auto"/>
        <w:ind w:firstLine="56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rPr>
        <w:t>上述二式中H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为1～24小时内任一时段的暴雨量，n</w:t>
      </w:r>
      <w:r>
        <w:rPr>
          <w:rFonts w:hint="default" w:ascii="Times New Roman" w:hAnsi="Times New Roman" w:eastAsia="仿宋_GB2312" w:cs="Times New Roman"/>
          <w:color w:val="auto"/>
          <w:sz w:val="28"/>
          <w:szCs w:val="28"/>
          <w:vertAlign w:val="subscript"/>
        </w:rPr>
        <w:t>2</w:t>
      </w:r>
      <w:r>
        <w:rPr>
          <w:rFonts w:hint="default" w:ascii="Times New Roman" w:hAnsi="Times New Roman" w:eastAsia="仿宋_GB2312" w:cs="Times New Roman"/>
          <w:color w:val="auto"/>
          <w:sz w:val="28"/>
          <w:szCs w:val="28"/>
        </w:rPr>
        <w:t>及n</w:t>
      </w:r>
      <w:r>
        <w:rPr>
          <w:rFonts w:hint="default" w:ascii="Times New Roman" w:hAnsi="Times New Roman" w:eastAsia="仿宋_GB2312" w:cs="Times New Roman"/>
          <w:color w:val="auto"/>
          <w:sz w:val="28"/>
          <w:szCs w:val="28"/>
          <w:vertAlign w:val="subscript"/>
        </w:rPr>
        <w:t>3</w:t>
      </w:r>
      <w:r>
        <w:rPr>
          <w:rFonts w:hint="default" w:ascii="Times New Roman" w:hAnsi="Times New Roman" w:eastAsia="仿宋_GB2312" w:cs="Times New Roman"/>
          <w:color w:val="auto"/>
          <w:sz w:val="28"/>
          <w:szCs w:val="28"/>
        </w:rPr>
        <w:t>是依地理位置、集雨面积及降雨量而变的参数，t是对应H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的时间。一级渠第一、二、三段设计暴雨的主要参数及成果详见表</w:t>
      </w:r>
      <w:r>
        <w:rPr>
          <w:rFonts w:hint="default" w:ascii="Times New Roman" w:hAnsi="Times New Roman" w:cs="Times New Roman"/>
          <w:color w:val="auto"/>
          <w:sz w:val="28"/>
          <w:szCs w:val="28"/>
          <w:lang w:val="en-US" w:eastAsia="zh-CN"/>
        </w:rPr>
        <w:t>4.4-2.</w:t>
      </w:r>
    </w:p>
    <w:p>
      <w:pPr>
        <w:pStyle w:val="7"/>
        <w:spacing w:line="360" w:lineRule="auto"/>
        <w:ind w:firstLine="56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③列表计算设计暴雨时程分配，将《查算手册》表三概化雨型时程分配的百分数分配与对应时段栏内，即可算出二十四小时暴雨时程分配如下列表4.4-3，推理公式洪水过程线成果表洪水4.4-4。</w:t>
      </w:r>
      <w:r>
        <w:rPr>
          <w:rFonts w:hint="default" w:ascii="Times New Roman" w:hAnsi="Times New Roman" w:cs="Times New Roman"/>
          <w:color w:val="auto"/>
          <w:sz w:val="28"/>
          <w:szCs w:val="28"/>
          <w:lang w:eastAsia="zh-CN"/>
        </w:rPr>
        <w:t>单位线法</w:t>
      </w:r>
      <w:r>
        <w:rPr>
          <w:rFonts w:hint="default" w:ascii="Times New Roman" w:hAnsi="Times New Roman" w:cs="Times New Roman"/>
          <w:color w:val="auto"/>
          <w:sz w:val="28"/>
          <w:szCs w:val="28"/>
          <w:lang w:val="zh-CN" w:eastAsia="zh-CN"/>
        </w:rPr>
        <w:t>设计洪水过程线计算表</w:t>
      </w:r>
      <w:r>
        <w:rPr>
          <w:rFonts w:hint="default" w:ascii="Times New Roman" w:hAnsi="Times New Roman" w:cs="Times New Roman"/>
          <w:color w:val="auto"/>
          <w:sz w:val="28"/>
          <w:szCs w:val="28"/>
          <w:lang w:val="en-US" w:eastAsia="zh-CN"/>
        </w:rPr>
        <w:t>4.4-5。</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表4.4-2                        双江口河各控制断面设计暴雨参数及成果表</w:t>
      </w:r>
    </w:p>
    <w:tbl>
      <w:tblPr>
        <w:tblStyle w:val="16"/>
        <w:tblW w:w="92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492"/>
        <w:gridCol w:w="2687"/>
        <w:gridCol w:w="30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5779"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tcBorders>
              <w:tl2br w:val="single" w:color="auto" w:sz="6" w:space="0"/>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 xml:space="preserve">      </w:t>
            </w:r>
            <w:r>
              <w:rPr>
                <w:rFonts w:hint="default" w:ascii="Times New Roman" w:hAnsi="Times New Roman" w:eastAsia="仿宋_GB2312" w:cs="Times New Roman"/>
                <w:color w:val="auto"/>
                <w:sz w:val="18"/>
                <w:szCs w:val="18"/>
              </w:rPr>
              <w:t>P%</w:t>
            </w:r>
          </w:p>
          <w:p>
            <w:pPr>
              <w:pStyle w:val="268"/>
              <w:ind w:firstLine="180" w:firstLineChars="100"/>
              <w:jc w:val="both"/>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项目</w:t>
            </w:r>
          </w:p>
        </w:tc>
        <w:tc>
          <w:tcPr>
            <w:tcW w:w="2687"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309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K</w:t>
            </w:r>
            <w:r>
              <w:rPr>
                <w:rFonts w:hint="default" w:ascii="Times New Roman" w:hAnsi="Times New Roman" w:eastAsia="仿宋_GB2312" w:cs="Times New Roman"/>
                <w:color w:val="auto"/>
                <w:sz w:val="18"/>
                <w:szCs w:val="18"/>
                <w:vertAlign w:val="subscript"/>
              </w:rPr>
              <w:t>P</w:t>
            </w:r>
          </w:p>
        </w:tc>
        <w:tc>
          <w:tcPr>
            <w:tcW w:w="268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1.535</w:t>
            </w:r>
          </w:p>
        </w:tc>
        <w:tc>
          <w:tcPr>
            <w:tcW w:w="3092" w:type="dxa"/>
            <w:vMerge w:val="restart"/>
            <w:vAlign w:val="center"/>
          </w:tcPr>
          <w:p>
            <w:pPr>
              <w:pStyle w:val="268"/>
              <w:jc w:val="center"/>
              <w:rPr>
                <w:rFonts w:hint="default" w:ascii="Times New Roman" w:hAnsi="Times New Roman" w:eastAsia="仿宋_GB2312" w:cs="Times New Roman"/>
                <w:color w:val="auto"/>
                <w:sz w:val="18"/>
                <w:szCs w:val="18"/>
                <w:lang w:eastAsia="zh-CN"/>
              </w:rPr>
            </w:pP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244</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L=</w:t>
            </w:r>
            <w:r>
              <w:rPr>
                <w:rFonts w:hint="default" w:ascii="Times New Roman" w:hAnsi="Times New Roman" w:eastAsia="仿宋_GB2312" w:cs="Times New Roman"/>
                <w:color w:val="auto"/>
                <w:sz w:val="18"/>
                <w:szCs w:val="18"/>
                <w:lang w:val="en-US" w:eastAsia="zh-CN"/>
              </w:rPr>
              <w:t>35</w:t>
            </w:r>
            <w:r>
              <w:rPr>
                <w:rFonts w:hint="default" w:ascii="Times New Roman" w:hAnsi="Times New Roman" w:eastAsia="仿宋_GB2312" w:cs="Times New Roman"/>
                <w:color w:val="auto"/>
                <w:sz w:val="18"/>
                <w:szCs w:val="18"/>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3.7</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2.统计参数</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CV=0.4</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CS=3.5CV</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3.点面关系数</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α=0.</w:t>
            </w:r>
            <w:r>
              <w:rPr>
                <w:rFonts w:hint="default" w:ascii="Times New Roman" w:hAnsi="Times New Roman" w:eastAsia="仿宋_GB2312" w:cs="Times New Roman"/>
                <w:color w:val="auto"/>
                <w:sz w:val="18"/>
                <w:szCs w:val="18"/>
                <w:lang w:val="en-US" w:eastAsia="zh-CN"/>
              </w:rPr>
              <w:t>889</w:t>
            </w:r>
            <w:r>
              <w:rPr>
                <w:rFonts w:hint="default" w:ascii="Times New Roman" w:hAnsi="Times New Roman" w:eastAsia="仿宋_GB2312" w:cs="Times New Roman"/>
                <w:color w:val="auto"/>
                <w:sz w:val="18"/>
                <w:szCs w:val="18"/>
                <w:lang w:eastAsia="zh-CN"/>
              </w:rPr>
              <w:t>.初损</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eastAsia="zh-CN"/>
              </w:rPr>
              <w:t>I0=3</w:t>
            </w:r>
            <w:r>
              <w:rPr>
                <w:rFonts w:hint="default" w:ascii="Times New Roman" w:hAnsi="Times New Roman" w:eastAsia="仿宋_GB2312" w:cs="Times New Roman"/>
                <w:color w:val="auto"/>
                <w:sz w:val="18"/>
                <w:szCs w:val="18"/>
                <w:lang w:val="en-US" w:eastAsia="zh-CN"/>
              </w:rPr>
              <w:t>2</w:t>
            </w:r>
            <w:r>
              <w:rPr>
                <w:rFonts w:hint="default" w:ascii="Times New Roman" w:hAnsi="Times New Roman" w:eastAsia="仿宋_GB2312" w:cs="Times New Roman"/>
                <w:color w:val="auto"/>
                <w:sz w:val="18"/>
                <w:szCs w:val="18"/>
                <w:lang w:eastAsia="zh-CN"/>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24点</w:t>
            </w:r>
            <w:r>
              <w:rPr>
                <w:rFonts w:hint="default" w:ascii="Times New Roman" w:hAnsi="Times New Roman" w:eastAsia="仿宋_GB2312" w:cs="Times New Roman"/>
                <w:color w:val="auto"/>
                <w:sz w:val="18"/>
                <w:szCs w:val="18"/>
              </w:rPr>
              <w:t>(mm)</w:t>
            </w:r>
          </w:p>
        </w:tc>
        <w:tc>
          <w:tcPr>
            <w:tcW w:w="268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145.793</w:t>
            </w:r>
          </w:p>
        </w:tc>
        <w:tc>
          <w:tcPr>
            <w:tcW w:w="3092"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24面</w:t>
            </w:r>
            <w:r>
              <w:rPr>
                <w:rFonts w:hint="default" w:ascii="Times New Roman" w:hAnsi="Times New Roman" w:eastAsia="仿宋_GB2312" w:cs="Times New Roman"/>
                <w:color w:val="auto"/>
                <w:sz w:val="18"/>
                <w:szCs w:val="18"/>
              </w:rPr>
              <w:t>(mm)</w:t>
            </w:r>
          </w:p>
        </w:tc>
        <w:tc>
          <w:tcPr>
            <w:tcW w:w="268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129.573</w:t>
            </w:r>
          </w:p>
        </w:tc>
        <w:tc>
          <w:tcPr>
            <w:tcW w:w="3092"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2</w:t>
            </w:r>
          </w:p>
        </w:tc>
        <w:tc>
          <w:tcPr>
            <w:tcW w:w="268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0.699</w:t>
            </w:r>
          </w:p>
        </w:tc>
        <w:tc>
          <w:tcPr>
            <w:tcW w:w="3092"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3</w:t>
            </w:r>
          </w:p>
        </w:tc>
        <w:tc>
          <w:tcPr>
            <w:tcW w:w="268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0.772</w:t>
            </w:r>
          </w:p>
        </w:tc>
        <w:tc>
          <w:tcPr>
            <w:tcW w:w="3092"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w:t>
            </w:r>
            <w:r>
              <w:rPr>
                <w:rFonts w:hint="default" w:ascii="Times New Roman" w:hAnsi="Times New Roman" w:eastAsia="仿宋_GB2312" w:cs="Times New Roman"/>
                <w:color w:val="auto"/>
                <w:sz w:val="18"/>
                <w:szCs w:val="18"/>
              </w:rPr>
              <w:t>(mm)</w:t>
            </w:r>
          </w:p>
        </w:tc>
        <w:tc>
          <w:tcPr>
            <w:tcW w:w="268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55.080</w:t>
            </w:r>
          </w:p>
        </w:tc>
        <w:tc>
          <w:tcPr>
            <w:tcW w:w="3092"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3</w:t>
            </w:r>
            <w:r>
              <w:rPr>
                <w:rFonts w:hint="default" w:ascii="Times New Roman" w:hAnsi="Times New Roman" w:eastAsia="仿宋_GB2312" w:cs="Times New Roman"/>
                <w:color w:val="auto"/>
                <w:sz w:val="18"/>
                <w:szCs w:val="18"/>
              </w:rPr>
              <w:t>(mm)</w:t>
            </w:r>
          </w:p>
        </w:tc>
        <w:tc>
          <w:tcPr>
            <w:tcW w:w="268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76.662</w:t>
            </w:r>
          </w:p>
        </w:tc>
        <w:tc>
          <w:tcPr>
            <w:tcW w:w="3092"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6</w:t>
            </w:r>
            <w:r>
              <w:rPr>
                <w:rFonts w:hint="default" w:ascii="Times New Roman" w:hAnsi="Times New Roman" w:eastAsia="仿宋_GB2312" w:cs="Times New Roman"/>
                <w:color w:val="auto"/>
                <w:sz w:val="18"/>
                <w:szCs w:val="18"/>
              </w:rPr>
              <w:t>(mm)</w:t>
            </w:r>
          </w:p>
        </w:tc>
        <w:tc>
          <w:tcPr>
            <w:tcW w:w="268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94.444</w:t>
            </w:r>
          </w:p>
        </w:tc>
        <w:tc>
          <w:tcPr>
            <w:tcW w:w="3092"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12</w:t>
            </w:r>
            <w:r>
              <w:rPr>
                <w:rFonts w:hint="default" w:ascii="Times New Roman" w:hAnsi="Times New Roman" w:eastAsia="仿宋_GB2312" w:cs="Times New Roman"/>
                <w:color w:val="auto"/>
                <w:sz w:val="18"/>
                <w:szCs w:val="18"/>
              </w:rPr>
              <w:t>(mm)</w:t>
            </w:r>
          </w:p>
        </w:tc>
        <w:tc>
          <w:tcPr>
            <w:tcW w:w="268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110.622</w:t>
            </w:r>
          </w:p>
        </w:tc>
        <w:tc>
          <w:tcPr>
            <w:tcW w:w="3092"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w:t>
            </w:r>
            <w:r>
              <w:rPr>
                <w:rFonts w:hint="default" w:ascii="Times New Roman" w:hAnsi="Times New Roman" w:eastAsia="仿宋_GB2312" w:cs="Times New Roman"/>
                <w:color w:val="auto"/>
                <w:sz w:val="18"/>
                <w:szCs w:val="18"/>
              </w:rPr>
              <w:t>(mm)</w:t>
            </w:r>
          </w:p>
        </w:tc>
        <w:tc>
          <w:tcPr>
            <w:tcW w:w="268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129.573</w:t>
            </w:r>
          </w:p>
        </w:tc>
        <w:tc>
          <w:tcPr>
            <w:tcW w:w="3092"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总</w:t>
            </w:r>
            <w:r>
              <w:rPr>
                <w:rFonts w:hint="default" w:ascii="Times New Roman" w:hAnsi="Times New Roman" w:eastAsia="仿宋_GB2312" w:cs="Times New Roman"/>
                <w:color w:val="auto"/>
                <w:sz w:val="18"/>
                <w:szCs w:val="18"/>
              </w:rPr>
              <w:t>(mm)</w:t>
            </w:r>
          </w:p>
        </w:tc>
        <w:tc>
          <w:tcPr>
            <w:tcW w:w="268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97.6</w:t>
            </w:r>
          </w:p>
        </w:tc>
        <w:tc>
          <w:tcPr>
            <w:tcW w:w="3092"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ψ</w:t>
            </w:r>
          </w:p>
        </w:tc>
        <w:tc>
          <w:tcPr>
            <w:tcW w:w="268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0.75</w:t>
            </w:r>
          </w:p>
        </w:tc>
        <w:tc>
          <w:tcPr>
            <w:tcW w:w="3092"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3492"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上</w:t>
            </w:r>
            <w:r>
              <w:rPr>
                <w:rFonts w:hint="default" w:ascii="Times New Roman" w:hAnsi="Times New Roman" w:eastAsia="仿宋_GB2312" w:cs="Times New Roman"/>
                <w:color w:val="auto"/>
                <w:sz w:val="18"/>
                <w:szCs w:val="18"/>
              </w:rPr>
              <w:t>(mm)</w:t>
            </w:r>
          </w:p>
        </w:tc>
        <w:tc>
          <w:tcPr>
            <w:tcW w:w="268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73.2</w:t>
            </w:r>
          </w:p>
        </w:tc>
        <w:tc>
          <w:tcPr>
            <w:tcW w:w="3092"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bl>
    <w:p>
      <w:pPr>
        <w:pStyle w:val="7"/>
        <w:spacing w:line="360" w:lineRule="auto"/>
        <w:ind w:firstLine="560"/>
        <w:rPr>
          <w:rFonts w:hint="default" w:ascii="Times New Roman" w:hAnsi="Times New Roman" w:cs="Times New Roman"/>
          <w:color w:val="auto"/>
          <w:sz w:val="28"/>
          <w:szCs w:val="28"/>
          <w:lang w:val="en-US" w:eastAsia="zh-CN"/>
        </w:rPr>
        <w:sectPr>
          <w:footerReference r:id="rId11" w:type="first"/>
          <w:footerReference r:id="rId10"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w:t>
      </w:r>
      <w:r>
        <w:rPr>
          <w:rFonts w:hint="eastAsia" w:ascii="Times New Roman" w:hAnsi="Times New Roman" w:eastAsia="仿宋_GB2312" w:cs="Times New Roman"/>
          <w:b/>
          <w:bCs/>
          <w:color w:val="auto"/>
          <w:sz w:val="24"/>
          <w:szCs w:val="24"/>
          <w:highlight w:val="none"/>
          <w:lang w:val="en-US" w:eastAsia="zh-CN" w:bidi="zh-CN"/>
        </w:rPr>
        <w:t>4.4-3</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10年一遇设计洪水最大二十四小时概化雨型时程分配表</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42"/>
        <w:gridCol w:w="470"/>
        <w:gridCol w:w="471"/>
        <w:gridCol w:w="471"/>
        <w:gridCol w:w="470"/>
        <w:gridCol w:w="471"/>
        <w:gridCol w:w="471"/>
        <w:gridCol w:w="471"/>
        <w:gridCol w:w="470"/>
        <w:gridCol w:w="471"/>
        <w:gridCol w:w="471"/>
        <w:gridCol w:w="470"/>
        <w:gridCol w:w="471"/>
        <w:gridCol w:w="471"/>
        <w:gridCol w:w="471"/>
        <w:gridCol w:w="470"/>
        <w:gridCol w:w="471"/>
        <w:gridCol w:w="471"/>
        <w:gridCol w:w="470"/>
        <w:gridCol w:w="472"/>
        <w:gridCol w:w="470"/>
        <w:gridCol w:w="470"/>
        <w:gridCol w:w="472"/>
        <w:gridCol w:w="470"/>
        <w:gridCol w:w="471"/>
        <w:gridCol w:w="471"/>
        <w:gridCol w:w="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时段</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(一)</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8</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17</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20</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24</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(二)</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H1=55.1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(三)</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H3-H1(%)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(四)</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H3-H1=21.6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(五)</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H6-H3(%)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(六)</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25.3</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H6-H3=17.8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(七)</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H12-H6(%)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(八)</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15.4</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H12-H6=16.2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(九)</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H24-H12(%)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(十)</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H24-H12=19.0</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(十一)</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Ht</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(十二)</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总</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(十三)</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上</w:t>
            </w:r>
            <w:r>
              <w:rPr>
                <w:rFonts w:hint="default" w:ascii="Times New Roman" w:hAnsi="Times New Roman" w:eastAsia="仿宋_GB2312" w:cs="Times New Roman"/>
                <w:color w:val="auto"/>
                <w:sz w:val="18"/>
                <w:szCs w:val="18"/>
                <w:lang w:val="zh-CN"/>
              </w:rPr>
              <w:t>=0.75R</w:t>
            </w:r>
            <w:r>
              <w:rPr>
                <w:rFonts w:hint="default" w:ascii="Times New Roman" w:hAnsi="Times New Roman" w:eastAsia="仿宋_GB2312" w:cs="Times New Roman"/>
                <w:color w:val="auto"/>
                <w:position w:val="-2"/>
                <w:sz w:val="18"/>
                <w:szCs w:val="18"/>
                <w:lang w:val="zh-CN"/>
              </w:rPr>
              <w:t>总</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(十四)</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73.2</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w:t>
      </w:r>
      <w:r>
        <w:rPr>
          <w:rFonts w:hint="eastAsia" w:ascii="Times New Roman" w:hAnsi="Times New Roman" w:eastAsia="仿宋_GB2312" w:cs="Times New Roman"/>
          <w:b/>
          <w:bCs/>
          <w:color w:val="auto"/>
          <w:sz w:val="24"/>
          <w:szCs w:val="24"/>
          <w:highlight w:val="none"/>
          <w:lang w:val="en-US" w:eastAsia="zh-CN" w:bidi="zh-CN"/>
        </w:rPr>
        <w:t>4.4-4</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推理公式法10年一遇</w:t>
      </w:r>
      <w:r>
        <w:rPr>
          <w:rFonts w:hint="default" w:ascii="Times New Roman" w:hAnsi="Times New Roman" w:eastAsia="仿宋_GB2312" w:cs="Times New Roman"/>
          <w:b/>
          <w:bCs/>
          <w:color w:val="auto"/>
          <w:sz w:val="24"/>
          <w:szCs w:val="24"/>
          <w:highlight w:val="none"/>
          <w:lang w:val="zh-CN" w:eastAsia="zh-CN" w:bidi="zh-CN"/>
        </w:rPr>
        <w:t>设计洪水过程线成果</w:t>
      </w:r>
      <w:r>
        <w:rPr>
          <w:rFonts w:hint="default" w:ascii="Times New Roman" w:hAnsi="Times New Roman" w:eastAsia="仿宋_GB2312" w:cs="Times New Roman"/>
          <w:b/>
          <w:bCs/>
          <w:color w:val="auto"/>
          <w:sz w:val="24"/>
          <w:szCs w:val="24"/>
          <w:highlight w:val="none"/>
          <w:lang w:val="en-US" w:eastAsia="zh-CN" w:bidi="zh-CN"/>
        </w:rPr>
        <w:t>表</w:t>
      </w:r>
    </w:p>
    <w:tbl>
      <w:tblPr>
        <w:tblStyle w:val="16"/>
        <w:tblW w:w="134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50"/>
        <w:gridCol w:w="1350"/>
        <w:gridCol w:w="1350"/>
        <w:gridCol w:w="1351"/>
        <w:gridCol w:w="1350"/>
        <w:gridCol w:w="1350"/>
        <w:gridCol w:w="1350"/>
        <w:gridCol w:w="1350"/>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43.477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43.477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64.479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66.895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42.269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42.269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138.879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3.623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142.502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41.061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228.158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4.831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232.989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39.854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39.854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337.277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6.038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343.316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38.646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38.646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436.476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7.246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443.722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37.438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37.438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516.421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8.454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524.875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36.231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36.231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455.730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9.661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465.392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35.023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421.596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10.869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432.466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33.815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33.815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367.037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12.077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379.114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32.607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32.607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302.557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13.285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315.842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31.400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257.918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14.492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272.410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30.192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218.238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15.700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233.938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28.984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28.984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183.518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16.908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200.426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27.777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27.777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153.759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18.115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171.874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26.569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26.569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128.959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19.323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148.282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25.361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25.361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109.119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20.531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129.650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24.154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94.239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21.738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115.977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22.946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22.946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79.359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22.946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102.305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21.738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21.738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69.439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24.154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93.593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20.531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20.531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59.519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25.361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84.881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19.323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19.323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49.600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26.569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76.169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18.115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18.115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44.640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27.777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72.416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16.908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16.908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39.680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28.984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68.664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15.700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34.720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30.192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64.912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14.492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14.492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29.760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31.400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61.160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13.285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24.800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32.607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57.407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12.077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24.800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33.815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58.615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10.869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19.840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35.023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54.863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9.661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9.661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17.360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36.231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53.590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8.454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14.880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37.438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52.318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7.246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38.646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51.046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6.038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39.854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49.773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4.831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7.440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41.061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48.501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3.623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42.269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47.229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2.480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43.477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45.957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44.684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44.684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合计</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4959.957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1653.319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6613.276</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w:t>
      </w:r>
      <w:r>
        <w:rPr>
          <w:rFonts w:hint="eastAsia" w:ascii="Times New Roman" w:hAnsi="Times New Roman" w:eastAsia="仿宋_GB2312" w:cs="Times New Roman"/>
          <w:b/>
          <w:bCs/>
          <w:color w:val="auto"/>
          <w:sz w:val="24"/>
          <w:szCs w:val="24"/>
          <w:highlight w:val="none"/>
          <w:lang w:val="en-US" w:eastAsia="zh-CN" w:bidi="zh-CN"/>
        </w:rPr>
        <w:t xml:space="preserve">4.4-5                                     </w:t>
      </w:r>
      <w:r>
        <w:rPr>
          <w:rFonts w:hint="default" w:ascii="Times New Roman" w:hAnsi="Times New Roman" w:eastAsia="仿宋_GB2312" w:cs="Times New Roman"/>
          <w:b/>
          <w:bCs/>
          <w:color w:val="auto"/>
          <w:sz w:val="24"/>
          <w:szCs w:val="24"/>
          <w:highlight w:val="none"/>
          <w:lang w:val="en-US" w:eastAsia="zh-CN" w:bidi="zh-CN"/>
        </w:rPr>
        <w:t xml:space="preserve">                           单位线法10年一遇</w:t>
      </w:r>
      <w:r>
        <w:rPr>
          <w:rFonts w:hint="default" w:ascii="Times New Roman" w:hAnsi="Times New Roman" w:eastAsia="仿宋_GB2312" w:cs="Times New Roman"/>
          <w:b/>
          <w:bCs/>
          <w:color w:val="auto"/>
          <w:sz w:val="24"/>
          <w:szCs w:val="24"/>
          <w:highlight w:val="none"/>
          <w:lang w:val="zh-CN" w:eastAsia="zh-CN" w:bidi="zh-CN"/>
        </w:rPr>
        <w:t>设计洪水过程线成果</w:t>
      </w:r>
      <w:r>
        <w:rPr>
          <w:rFonts w:hint="default" w:ascii="Times New Roman" w:hAnsi="Times New Roman" w:eastAsia="仿宋_GB2312" w:cs="Times New Roman"/>
          <w:b/>
          <w:bCs/>
          <w:color w:val="auto"/>
          <w:sz w:val="24"/>
          <w:szCs w:val="24"/>
          <w:highlight w:val="none"/>
          <w:lang w:val="en-US" w:eastAsia="zh-CN" w:bidi="zh-CN"/>
        </w:rPr>
        <w:t>表</w:t>
      </w:r>
    </w:p>
    <w:tbl>
      <w:tblPr>
        <w:tblStyle w:val="16"/>
        <w:tblW w:w="1329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6"/>
        <w:gridCol w:w="603"/>
        <w:gridCol w:w="605"/>
        <w:gridCol w:w="603"/>
        <w:gridCol w:w="606"/>
        <w:gridCol w:w="603"/>
        <w:gridCol w:w="606"/>
        <w:gridCol w:w="603"/>
        <w:gridCol w:w="605"/>
        <w:gridCol w:w="603"/>
        <w:gridCol w:w="606"/>
        <w:gridCol w:w="606"/>
        <w:gridCol w:w="603"/>
        <w:gridCol w:w="605"/>
        <w:gridCol w:w="603"/>
        <w:gridCol w:w="606"/>
        <w:gridCol w:w="603"/>
        <w:gridCol w:w="606"/>
        <w:gridCol w:w="603"/>
        <w:gridCol w:w="605"/>
        <w:gridCol w:w="603"/>
        <w:gridCol w:w="6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exact"/>
          <w:tblHeader/>
        </w:trPr>
        <w:tc>
          <w:tcPr>
            <w:tcW w:w="606" w:type="dxa"/>
            <w:tcBorders>
              <w:top w:val="single" w:color="auto" w:sz="12"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t/k</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s(t-Δt)</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u(t,Δt)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q(t,Δt)</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R</w:t>
            </w:r>
            <w:r>
              <w:rPr>
                <w:rFonts w:hint="default" w:ascii="Times New Roman" w:hAnsi="Times New Roman" w:eastAsia="仿宋_GB2312" w:cs="Times New Roman"/>
                <w:b/>
                <w:bCs/>
                <w:color w:val="auto"/>
                <w:position w:val="-2"/>
                <w:sz w:val="18"/>
                <w:szCs w:val="18"/>
                <w:lang w:val="zh-CN"/>
              </w:rPr>
              <w:t>上</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Qi(1.1)</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Qi(41.3)</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Qi(8.4)</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Qi(5.8)</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Qi(3.4)</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Qi(2.9)</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Qi(2.2)</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Qi(1.6)</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ΣQi</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w:t>
            </w:r>
            <w:r>
              <w:rPr>
                <w:rFonts w:hint="default" w:ascii="Times New Roman" w:hAnsi="Times New Roman" w:eastAsia="仿宋_GB2312" w:cs="Times New Roman"/>
                <w:b/>
                <w:bCs/>
                <w:color w:val="auto"/>
                <w:position w:val="-2"/>
                <w:sz w:val="18"/>
                <w:szCs w:val="18"/>
                <w:lang w:val="zh-CN"/>
              </w:rPr>
              <w:t>地</w:t>
            </w:r>
          </w:p>
        </w:tc>
        <w:tc>
          <w:tcPr>
            <w:tcW w:w="606" w:type="dxa"/>
            <w:tcBorders>
              <w:top w:val="single" w:color="auto" w:sz="12"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0.257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0.079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0.079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53.404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0.515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0.196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0.079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79.687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8.66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220.61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229.27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0.772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0.196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81.356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329.19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45.04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383.06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0.316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0.111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75.395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336.08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67.20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30.98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442.45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15.63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458.08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1.286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0.526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0.428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66.704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311.46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68.61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46.23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18.02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451.56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18.75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1.544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0.611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0.526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57.420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275.55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63.58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47.20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26.89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435.01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1.801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0.682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0.611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0.072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48.542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237.20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56.25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43.74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27.45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23.21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403.49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25.00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2.058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0.742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0.682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40.511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200.53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48.42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38.70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25.44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23.69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15.47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366.63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28.13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2.316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0.792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0.742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33.486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167.35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40.94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33.31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22.51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21.96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15.80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14.89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11.76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332.15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31.25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2.573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0.832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0.792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27.473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138.33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34.16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28.16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19.37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14.64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17.55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296.89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34.38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2.830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0.865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0.832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22.405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113.49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28.24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23.50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16.72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14.09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17.92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264.84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37.50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3.087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0.892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0.865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18.184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92.56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23.17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14.14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12.80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235.76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40.63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276.39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75.12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18.89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15.94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11.30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9.42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14.69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201.46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43.76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15.33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9.07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108.62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46.88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8.00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50.01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57.63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53.13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42.90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56.26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31.12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59.38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22.70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62.51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15.81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65.63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9.63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68.76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71.88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68.76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65.63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62.51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59.38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56.26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53.13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50.01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46.88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43.76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40.63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37.50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34.38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31.25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28.13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25.00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18.75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15.63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3.13</w:t>
            </w:r>
          </w:p>
        </w:tc>
        <w:tc>
          <w:tcPr>
            <w:tcW w:w="606" w:type="dxa"/>
            <w:tcBorders>
              <w:top w:val="single" w:color="auto" w:sz="4" w:space="0"/>
              <w:left w:val="single" w:color="auto" w:sz="4" w:space="0"/>
              <w:bottom w:val="single" w:color="auto" w:sz="12"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3.13</w:t>
            </w:r>
          </w:p>
        </w:tc>
      </w:tr>
    </w:tbl>
    <w:p>
      <w:pPr>
        <w:pStyle w:val="7"/>
        <w:spacing w:line="360" w:lineRule="auto"/>
        <w:ind w:firstLine="560"/>
        <w:rPr>
          <w:rFonts w:hint="default" w:ascii="Times New Roman" w:hAnsi="Times New Roman"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pStyle w:val="7"/>
        <w:spacing w:line="360" w:lineRule="auto"/>
        <w:ind w:firstLine="560"/>
        <w:rPr>
          <w:rFonts w:hint="default" w:ascii="Times New Roman" w:hAnsi="Times New Roman" w:eastAsia="仿宋_GB2312" w:cs="Times New Roman"/>
          <w:b/>
          <w:bCs/>
          <w:color w:val="auto"/>
          <w:sz w:val="24"/>
          <w:szCs w:val="24"/>
          <w:lang w:val="en-US" w:eastAsia="zh-CN" w:bidi="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④</w:t>
      </w:r>
      <w:r>
        <w:rPr>
          <w:rFonts w:hint="default" w:ascii="Times New Roman" w:hAnsi="Times New Roman" w:eastAsia="仿宋_GB2312" w:cs="Times New Roman"/>
          <w:color w:val="auto"/>
          <w:sz w:val="28"/>
          <w:szCs w:val="28"/>
        </w:rPr>
        <w:t>设计洪峰流量及汇流时间</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各频率的地面洪峰流量及汇流时间是根据地理参数θ、汇流参数m及R</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/t关系曲线推求的，地理参数θ、汇流参数m按下式计算：</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Cs w:val="28"/>
        </w:rPr>
        <w:t xml:space="preserve">       </w:t>
      </w:r>
      <w:r>
        <w:rPr>
          <w:rFonts w:hint="default" w:ascii="Times New Roman" w:hAnsi="Times New Roman" w:eastAsia="仿宋_GB2312" w:cs="Times New Roman"/>
          <w:color w:val="auto"/>
          <w:sz w:val="28"/>
          <w:szCs w:val="28"/>
        </w:rPr>
        <w:t xml:space="preserve"> θ=L/(F</w:t>
      </w:r>
      <w:r>
        <w:rPr>
          <w:rFonts w:hint="default" w:ascii="Times New Roman" w:hAnsi="Times New Roman" w:eastAsia="仿宋_GB2312" w:cs="Times New Roman"/>
          <w:color w:val="auto"/>
          <w:sz w:val="28"/>
          <w:szCs w:val="28"/>
          <w:vertAlign w:val="superscript"/>
        </w:rPr>
        <w:t>1/4</w:t>
      </w:r>
      <w:r>
        <w:rPr>
          <w:rFonts w:hint="default" w:ascii="Times New Roman" w:hAnsi="Times New Roman" w:eastAsia="仿宋_GB2312" w:cs="Times New Roman"/>
          <w:color w:val="auto"/>
          <w:sz w:val="28"/>
          <w:szCs w:val="28"/>
        </w:rPr>
        <w:t>J</w:t>
      </w:r>
      <w:r>
        <w:rPr>
          <w:rFonts w:hint="default" w:ascii="Times New Roman" w:hAnsi="Times New Roman" w:eastAsia="仿宋_GB2312" w:cs="Times New Roman"/>
          <w:color w:val="auto"/>
          <w:sz w:val="28"/>
          <w:szCs w:val="28"/>
          <w:vertAlign w:val="superscript"/>
        </w:rPr>
        <w:t>1/3</w:t>
      </w:r>
      <w:r>
        <w:rPr>
          <w:rFonts w:hint="default" w:ascii="Times New Roman" w:hAnsi="Times New Roman" w:eastAsia="仿宋_GB2312" w:cs="Times New Roman"/>
          <w:color w:val="auto"/>
          <w:sz w:val="28"/>
          <w:szCs w:val="28"/>
        </w:rPr>
        <w:t>)；</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vertAlign w:val="superscript"/>
        </w:rPr>
      </w:pPr>
      <w:r>
        <w:rPr>
          <w:rFonts w:hint="default" w:ascii="Times New Roman" w:hAnsi="Times New Roman" w:eastAsia="仿宋_GB2312" w:cs="Times New Roman"/>
          <w:color w:val="auto"/>
          <w:sz w:val="28"/>
          <w:szCs w:val="28"/>
        </w:rPr>
        <w:t xml:space="preserve">        m=0.</w:t>
      </w:r>
      <w:r>
        <w:rPr>
          <w:rFonts w:hint="default" w:ascii="Times New Roman" w:hAnsi="Times New Roman" w:eastAsia="仿宋_GB2312" w:cs="Times New Roman"/>
          <w:color w:val="auto"/>
          <w:sz w:val="28"/>
          <w:szCs w:val="28"/>
          <w:lang w:val="en-US" w:eastAsia="zh-CN"/>
        </w:rPr>
        <w:t>123</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rPr>
        <w:t>0.</w:t>
      </w:r>
      <w:r>
        <w:rPr>
          <w:rFonts w:hint="default" w:ascii="Times New Roman" w:hAnsi="Times New Roman" w:eastAsia="仿宋_GB2312" w:cs="Times New Roman"/>
          <w:color w:val="auto"/>
          <w:sz w:val="28"/>
          <w:szCs w:val="28"/>
          <w:vertAlign w:val="superscript"/>
          <w:lang w:val="en-US" w:eastAsia="zh-CN"/>
        </w:rPr>
        <w:t>520</w:t>
      </w:r>
      <w:r>
        <w:rPr>
          <w:rFonts w:hint="default" w:ascii="Times New Roman" w:hAnsi="Times New Roman" w:eastAsia="仿宋_GB2312" w:cs="Times New Roman"/>
          <w:color w:val="auto"/>
          <w:sz w:val="28"/>
          <w:szCs w:val="28"/>
        </w:rPr>
        <w:t>（θ≤25时），</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vertAlign w:val="superscript"/>
        </w:rPr>
      </w:pP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m=0.0</w:t>
      </w:r>
      <w:r>
        <w:rPr>
          <w:rFonts w:hint="default" w:ascii="Times New Roman" w:hAnsi="Times New Roman" w:eastAsia="仿宋_GB2312" w:cs="Times New Roman"/>
          <w:color w:val="auto"/>
          <w:sz w:val="28"/>
          <w:szCs w:val="28"/>
          <w:lang w:val="en-US" w:eastAsia="zh-CN"/>
        </w:rPr>
        <w:t>308</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lang w:val="en-US" w:eastAsia="zh-CN"/>
        </w:rPr>
        <w:t>0.950</w:t>
      </w:r>
      <w:r>
        <w:rPr>
          <w:rFonts w:hint="default" w:ascii="Times New Roman" w:hAnsi="Times New Roman" w:eastAsia="仿宋_GB2312" w:cs="Times New Roman"/>
          <w:color w:val="auto"/>
          <w:sz w:val="28"/>
          <w:szCs w:val="28"/>
        </w:rPr>
        <w:t>（25＜θ≤100）</w:t>
      </w:r>
      <w:r>
        <w:rPr>
          <w:rFonts w:hint="default" w:ascii="Times New Roman" w:hAnsi="Times New Roman" w:eastAsia="仿宋_GB2312" w:cs="Times New Roman"/>
          <w:color w:val="auto"/>
          <w:szCs w:val="28"/>
        </w:rPr>
        <w:t>。</w:t>
      </w:r>
    </w:p>
    <w:p>
      <w:pPr>
        <w:autoSpaceDE w:val="0"/>
        <w:autoSpaceDN w:val="0"/>
        <w:adjustRightInd w:val="0"/>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式中：L——坝址以上干流长度（km）；</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F——坝址控制流域面积（k㎡）；</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J——干流比降。</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Cs w:val="28"/>
        </w:rPr>
        <w:t>用试算法求净峰流量Q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及汇流时间：</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=0.278×F×R</w:t>
      </w:r>
      <w:r>
        <w:rPr>
          <w:rFonts w:hint="default" w:ascii="Times New Roman" w:hAnsi="Times New Roman" w:eastAsia="仿宋_GB2312" w:cs="Times New Roman"/>
          <w:color w:val="auto"/>
          <w:szCs w:val="28"/>
          <w:vertAlign w:val="subscript"/>
        </w:rPr>
        <w:t>t</w:t>
      </w:r>
      <w:r>
        <w:rPr>
          <w:rFonts w:hint="default" w:ascii="Times New Roman" w:hAnsi="Times New Roman" w:eastAsia="仿宋_GB2312" w:cs="Times New Roman"/>
          <w:color w:val="auto"/>
          <w:szCs w:val="28"/>
        </w:rPr>
        <w:t>/t</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τ=0.278L/(m×J</w:t>
      </w:r>
      <w:r>
        <w:rPr>
          <w:rFonts w:hint="default" w:ascii="Times New Roman" w:hAnsi="Times New Roman" w:eastAsia="仿宋_GB2312" w:cs="Times New Roman"/>
          <w:color w:val="auto"/>
          <w:szCs w:val="28"/>
          <w:vertAlign w:val="superscript"/>
        </w:rPr>
        <w:t>1/3</w:t>
      </w:r>
      <w:r>
        <w:rPr>
          <w:rFonts w:hint="default" w:ascii="Times New Roman" w:hAnsi="Times New Roman" w:eastAsia="仿宋_GB2312" w:cs="Times New Roman"/>
          <w:color w:val="auto"/>
          <w:szCs w:val="28"/>
        </w:rPr>
        <w:t>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vertAlign w:val="superscript"/>
        </w:rPr>
        <w:t>1/4</w:t>
      </w:r>
      <w:r>
        <w:rPr>
          <w:rFonts w:hint="default" w:ascii="Times New Roman" w:hAnsi="Times New Roman" w:eastAsia="仿宋_GB2312" w:cs="Times New Roman"/>
          <w:color w:val="auto"/>
          <w:szCs w:val="28"/>
        </w:rPr>
        <w:t>)</w:t>
      </w:r>
    </w:p>
    <w:p>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rPr>
        <w:t>分别取不同汇流时间进行试算，到两次试算Q</w:t>
      </w:r>
      <w:r>
        <w:rPr>
          <w:rFonts w:hint="default" w:ascii="Times New Roman" w:hAnsi="Times New Roman" w:eastAsia="仿宋_GB2312" w:cs="Times New Roman"/>
          <w:color w:val="auto"/>
          <w:sz w:val="28"/>
          <w:szCs w:val="28"/>
          <w:vertAlign w:val="subscript"/>
        </w:rPr>
        <w:t>m</w:t>
      </w:r>
      <w:r>
        <w:rPr>
          <w:rFonts w:hint="default" w:ascii="Times New Roman" w:hAnsi="Times New Roman" w:eastAsia="仿宋_GB2312" w:cs="Times New Roman"/>
          <w:color w:val="auto"/>
          <w:sz w:val="28"/>
          <w:szCs w:val="28"/>
        </w:rPr>
        <w:t>相近为止。各频率的地下径流的洪峰流量按三角形法推求。经过计算求得</w:t>
      </w:r>
      <w:r>
        <w:rPr>
          <w:rFonts w:hint="default" w:ascii="Times New Roman" w:hAnsi="Times New Roman" w:eastAsia="仿宋_GB2312" w:cs="Times New Roman"/>
          <w:color w:val="auto"/>
          <w:sz w:val="28"/>
          <w:szCs w:val="28"/>
          <w:lang w:eastAsia="zh-CN"/>
        </w:rPr>
        <w:t>控制断面</w:t>
      </w:r>
      <w:r>
        <w:rPr>
          <w:rFonts w:hint="default" w:ascii="Times New Roman" w:hAnsi="Times New Roman" w:eastAsia="仿宋_GB2312" w:cs="Times New Roman"/>
          <w:color w:val="auto"/>
          <w:sz w:val="28"/>
          <w:szCs w:val="28"/>
        </w:rPr>
        <w:t>各频率洪峰流量及其他主要参数如表</w:t>
      </w:r>
      <w:r>
        <w:rPr>
          <w:rFonts w:hint="eastAsia" w:ascii="Times New Roman" w:hAnsi="Times New Roman" w:eastAsia="仿宋_GB2312" w:cs="Times New Roman"/>
          <w:color w:val="auto"/>
          <w:sz w:val="28"/>
          <w:szCs w:val="28"/>
          <w:lang w:val="en-US" w:eastAsia="zh-CN"/>
        </w:rPr>
        <w:t>4.4-6</w:t>
      </w:r>
      <w:r>
        <w:rPr>
          <w:rFonts w:hint="default" w:ascii="Times New Roman" w:hAnsi="Times New Roman" w:eastAsia="仿宋_GB2312" w:cs="Times New Roman"/>
          <w:color w:val="auto"/>
          <w:sz w:val="28"/>
          <w:szCs w:val="28"/>
          <w:lang w:val="en-US" w:eastAsia="zh-CN"/>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w:t>
      </w:r>
      <w:r>
        <w:rPr>
          <w:rFonts w:hint="eastAsia" w:ascii="Times New Roman" w:hAnsi="Times New Roman" w:eastAsia="仿宋_GB2312" w:cs="Times New Roman"/>
          <w:b/>
          <w:bCs/>
          <w:color w:val="auto"/>
          <w:sz w:val="24"/>
          <w:szCs w:val="24"/>
          <w:highlight w:val="none"/>
          <w:lang w:val="en-US" w:eastAsia="zh-CN" w:bidi="zh-CN"/>
        </w:rPr>
        <w:t xml:space="preserve">4.4-6                      </w:t>
      </w:r>
      <w:r>
        <w:rPr>
          <w:rFonts w:hint="default" w:ascii="Times New Roman" w:hAnsi="Times New Roman" w:eastAsia="仿宋_GB2312" w:cs="Times New Roman"/>
          <w:b/>
          <w:bCs/>
          <w:color w:val="auto"/>
          <w:sz w:val="24"/>
          <w:szCs w:val="24"/>
          <w:highlight w:val="none"/>
          <w:lang w:val="en-US" w:eastAsia="zh-CN" w:bidi="zh-CN"/>
        </w:rPr>
        <w:t xml:space="preserve">        双江口河控制断面设计洪峰成果表</w:t>
      </w:r>
    </w:p>
    <w:tbl>
      <w:tblPr>
        <w:tblStyle w:val="16"/>
        <w:tblW w:w="92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855"/>
        <w:gridCol w:w="1853"/>
        <w:gridCol w:w="1855"/>
        <w:gridCol w:w="1853"/>
        <w:gridCol w:w="18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3708"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00（推理公式）</w:t>
            </w:r>
          </w:p>
        </w:tc>
        <w:tc>
          <w:tcPr>
            <w:tcW w:w="3708"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00（单位线法）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7" w:hRule="atLeast"/>
          <w:jc w:val="center"/>
        </w:trPr>
        <w:tc>
          <w:tcPr>
            <w:tcW w:w="1855"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tc>
        <w:tc>
          <w:tcPr>
            <w:tcW w:w="185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855"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备 注</w:t>
            </w:r>
          </w:p>
        </w:tc>
        <w:tc>
          <w:tcPr>
            <w:tcW w:w="185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en-US" w:eastAsia="zh-CN"/>
              </w:rPr>
              <w:t>10</w:t>
            </w:r>
          </w:p>
        </w:tc>
        <w:tc>
          <w:tcPr>
            <w:tcW w:w="1855"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Q上m(m³/s)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516.421</w:t>
            </w:r>
          </w:p>
        </w:tc>
        <w:tc>
          <w:tcPr>
            <w:tcW w:w="1855" w:type="dxa"/>
            <w:vMerge w:val="restart"/>
            <w:vAlign w:val="center"/>
          </w:tcPr>
          <w:p>
            <w:pPr>
              <w:pStyle w:val="268"/>
              <w:jc w:val="center"/>
              <w:rPr>
                <w:rFonts w:hint="default" w:ascii="Times New Roman" w:hAnsi="Times New Roman" w:eastAsia="仿宋_GB2312" w:cs="Times New Roman"/>
                <w:color w:val="auto"/>
                <w:sz w:val="18"/>
                <w:szCs w:val="18"/>
                <w:lang w:eastAsia="zh-CN"/>
              </w:rPr>
            </w:pP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244</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L=</w:t>
            </w:r>
            <w:r>
              <w:rPr>
                <w:rFonts w:hint="default" w:ascii="Times New Roman" w:hAnsi="Times New Roman" w:eastAsia="仿宋_GB2312" w:cs="Times New Roman"/>
                <w:color w:val="auto"/>
                <w:sz w:val="18"/>
                <w:szCs w:val="18"/>
                <w:lang w:val="en-US" w:eastAsia="zh-CN"/>
              </w:rPr>
              <w:t>35</w:t>
            </w:r>
            <w:r>
              <w:rPr>
                <w:rFonts w:hint="default" w:ascii="Times New Roman" w:hAnsi="Times New Roman" w:eastAsia="仿宋_GB2312" w:cs="Times New Roman"/>
                <w:color w:val="auto"/>
                <w:sz w:val="18"/>
                <w:szCs w:val="18"/>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3.7</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en-US" w:eastAsia="zh-CN"/>
              </w:rPr>
              <w:t>57.256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en-US" w:eastAsia="zh-CN"/>
              </w:rPr>
              <w:t>1.440</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855" w:type="dxa"/>
            <w:vMerge w:val="restart"/>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244</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L=</w:t>
            </w:r>
            <w:r>
              <w:rPr>
                <w:rFonts w:hint="default" w:ascii="Times New Roman" w:hAnsi="Times New Roman" w:eastAsia="仿宋_GB2312" w:cs="Times New Roman"/>
                <w:color w:val="auto"/>
                <w:sz w:val="18"/>
                <w:szCs w:val="18"/>
                <w:lang w:val="en-US" w:eastAsia="zh-CN"/>
              </w:rPr>
              <w:t>35</w:t>
            </w:r>
            <w:r>
              <w:rPr>
                <w:rFonts w:hint="default" w:ascii="Times New Roman" w:hAnsi="Times New Roman" w:eastAsia="仿宋_GB2312" w:cs="Times New Roman"/>
                <w:color w:val="auto"/>
                <w:sz w:val="18"/>
                <w:szCs w:val="18"/>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3.7</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m1j</w:t>
            </w:r>
            <w:r>
              <w:rPr>
                <w:rFonts w:hint="default" w:ascii="Times New Roman" w:hAnsi="Times New Roman" w:eastAsia="仿宋_GB2312" w:cs="Times New Roman"/>
                <w:color w:val="auto"/>
                <w:sz w:val="18"/>
                <w:szCs w:val="18"/>
                <w:lang w:val="zh-CN" w:eastAsia="zh-CN"/>
              </w:rPr>
              <w:t>=</w:t>
            </w:r>
            <w:r>
              <w:rPr>
                <w:rFonts w:hint="default" w:ascii="Times New Roman" w:hAnsi="Times New Roman" w:eastAsia="仿宋_GB2312" w:cs="Times New Roman"/>
                <w:color w:val="auto"/>
                <w:sz w:val="18"/>
                <w:szCs w:val="18"/>
                <w:lang w:val="en-US" w:eastAsia="zh-CN"/>
              </w:rPr>
              <w:t>5.955</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n</w:t>
            </w:r>
            <w:r>
              <w:rPr>
                <w:rFonts w:hint="default" w:ascii="Times New Roman" w:hAnsi="Times New Roman" w:eastAsia="仿宋_GB2312" w:cs="Times New Roman"/>
                <w:color w:val="auto"/>
                <w:sz w:val="18"/>
                <w:szCs w:val="18"/>
                <w:lang w:val="zh-CN" w:eastAsia="zh-CN"/>
              </w:rPr>
              <w:t>=</w:t>
            </w:r>
            <w:r>
              <w:rPr>
                <w:rFonts w:hint="default" w:ascii="Times New Roman" w:hAnsi="Times New Roman" w:eastAsia="仿宋_GB2312" w:cs="Times New Roman"/>
                <w:color w:val="auto"/>
                <w:sz w:val="18"/>
                <w:szCs w:val="18"/>
                <w:lang w:val="en-US" w:eastAsia="zh-CN"/>
              </w:rPr>
              <w:t>1.532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K=3.887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τ(h)</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9.162</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0.000</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ΣQi（m³/s）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4959.957</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4959.957</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Q上m/∑Qi</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0.104</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0.000</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Q下m(m³/s)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44.684</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71.883</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△Q下m(m³/s)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1.208</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3.125</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val="0"/>
                <w:bCs w:val="0"/>
                <w:color w:val="auto"/>
                <w:kern w:val="0"/>
                <w:sz w:val="18"/>
                <w:szCs w:val="18"/>
              </w:rPr>
              <w:t>Qmp（m³/s）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524.875</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470.312</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b w:val="0"/>
                <w:bCs w:val="0"/>
                <w:color w:val="auto"/>
                <w:kern w:val="0"/>
                <w:sz w:val="18"/>
                <w:szCs w:val="18"/>
              </w:rPr>
              <w:t>W(万m³)</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2380.780</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2380.780</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根据以上计算P=10%工况下河段推理公式计算成果大于单位线法计算成果，本次设计采用推理公式计算成果作为设计洪峰流量成果。</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eastAsia" w:eastAsia="仿宋_GB2312" w:cs="Times New Roman"/>
          <w:snapToGrid w:val="0"/>
          <w:color w:val="auto"/>
          <w:sz w:val="28"/>
          <w:szCs w:val="28"/>
          <w:highlight w:val="none"/>
          <w:lang w:val="en-US" w:eastAsia="zh-CN"/>
        </w:rPr>
        <w:t>6</w:t>
      </w:r>
      <w:r>
        <w:rPr>
          <w:rFonts w:hint="default" w:ascii="Times New Roman" w:hAnsi="Times New Roman" w:eastAsia="仿宋_GB2312" w:cs="Times New Roman"/>
          <w:snapToGrid w:val="0"/>
          <w:color w:val="auto"/>
          <w:sz w:val="28"/>
          <w:szCs w:val="28"/>
          <w:highlight w:val="none"/>
          <w:lang w:val="en-US" w:eastAsia="zh-CN"/>
        </w:rPr>
        <w:t>）设计洪水成果分析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同理根据《查算手册》按推理公式法求得：河口10年一遇设计洪峰流量为524.9m³/s，洪水总量为2380.8万m³，洪峰流量模数为2.15m³/s·km</w:t>
      </w:r>
      <w:r>
        <w:rPr>
          <w:rFonts w:hint="default" w:ascii="Times New Roman" w:hAnsi="Times New Roman" w:eastAsia="仿宋_GB2312" w:cs="Times New Roman"/>
          <w:snapToGrid w:val="0"/>
          <w:color w:val="auto"/>
          <w:sz w:val="28"/>
          <w:szCs w:val="28"/>
          <w:highlight w:val="none"/>
          <w:vertAlign w:val="superscript"/>
          <w:lang w:val="en-US" w:eastAsia="zh-CN"/>
        </w:rPr>
        <w:t>2</w:t>
      </w:r>
      <w:r>
        <w:rPr>
          <w:rFonts w:hint="default" w:ascii="Times New Roman" w:hAnsi="Times New Roman" w:eastAsia="仿宋_GB2312" w:cs="Times New Roman"/>
          <w:snapToGrid w:val="0"/>
          <w:color w:val="auto"/>
          <w:sz w:val="28"/>
          <w:szCs w:val="28"/>
          <w:highlight w:val="none"/>
          <w:lang w:val="en-US" w:eastAsia="zh-CN"/>
        </w:rPr>
        <w:t>；同理计算相邻流域燕子岩河河口10年一遇设计洪峰流量为503.1m³/s，洪水总量为2284万m³，洪峰流量模数为2.24m³/s·km</w:t>
      </w:r>
      <w:r>
        <w:rPr>
          <w:rFonts w:hint="default" w:ascii="Times New Roman" w:hAnsi="Times New Roman" w:eastAsia="仿宋_GB2312" w:cs="Times New Roman"/>
          <w:snapToGrid w:val="0"/>
          <w:color w:val="auto"/>
          <w:sz w:val="28"/>
          <w:szCs w:val="28"/>
          <w:highlight w:val="none"/>
          <w:vertAlign w:val="superscript"/>
          <w:lang w:val="en-US" w:eastAsia="zh-CN"/>
        </w:rPr>
        <w:t>2</w:t>
      </w:r>
      <w:r>
        <w:rPr>
          <w:rFonts w:hint="default" w:ascii="Times New Roman" w:hAnsi="Times New Roman" w:eastAsia="仿宋_GB2312" w:cs="Times New Roman"/>
          <w:snapToGrid w:val="0"/>
          <w:color w:val="auto"/>
          <w:sz w:val="28"/>
          <w:szCs w:val="28"/>
          <w:highlight w:val="none"/>
          <w:lang w:val="en-US" w:eastAsia="zh-CN"/>
        </w:rPr>
        <w:t>；分析原因：燕子岩河流域面积略小，而其流域变差系数较双江口河大，所以其洪峰流量模数略偏大，两者成果基本符合流域实际情况。计算成果较为可靠。</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eastAsia" w:eastAsia="仿宋_GB2312" w:cs="Times New Roman"/>
          <w:snapToGrid w:val="0"/>
          <w:color w:val="auto"/>
          <w:sz w:val="28"/>
          <w:szCs w:val="28"/>
          <w:highlight w:val="none"/>
          <w:lang w:val="en-US" w:eastAsia="zh-CN"/>
        </w:rPr>
        <w:t>7</w:t>
      </w:r>
      <w:r>
        <w:rPr>
          <w:rFonts w:hint="default" w:ascii="Times New Roman" w:hAnsi="Times New Roman" w:eastAsia="仿宋_GB2312" w:cs="Times New Roman"/>
          <w:snapToGrid w:val="0"/>
          <w:color w:val="auto"/>
          <w:sz w:val="28"/>
          <w:szCs w:val="28"/>
          <w:highlight w:val="none"/>
          <w:lang w:val="en-US" w:eastAsia="zh-CN"/>
        </w:rPr>
        <w:t>）设计洪水位</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本次以K0+000为下游控制断面，考虑该断面P=10%设计洪水位对应流量为524.9m3/s。根据项目区实测断面图，由曼宁公式计算该断面水位流量关系如下所示：</w:t>
      </w:r>
    </w:p>
    <w:p>
      <w:pPr>
        <w:spacing w:line="360" w:lineRule="auto"/>
        <w:ind w:firstLine="480"/>
        <w:jc w:val="center"/>
        <w:rPr>
          <w:rFonts w:hint="default" w:ascii="Times New Roman" w:hAnsi="Times New Roman" w:eastAsia="仿宋_GB2312" w:cs="Times New Roman"/>
          <w:color w:val="auto"/>
          <w:szCs w:val="24"/>
        </w:rPr>
      </w:pPr>
      <m:oMathPara>
        <m:oMath>
          <m:r>
            <m:rPr>
              <m:sty m:val="p"/>
            </m:rPr>
            <w:rPr>
              <w:rFonts w:hint="default" w:ascii="Cambria Math" w:hAnsi="Cambria Math" w:eastAsia="仿宋_GB2312" w:cs="Times New Roman"/>
              <w:color w:val="auto"/>
            </w:rPr>
            <m:t>Q=</m:t>
          </m:r>
          <m:f>
            <m:fPr>
              <m:ctrlPr>
                <w:rPr>
                  <w:rFonts w:hint="default" w:ascii="Cambria Math" w:hAnsi="Cambria Math" w:eastAsia="仿宋_GB2312" w:cs="Times New Roman"/>
                  <w:color w:val="auto"/>
                </w:rPr>
              </m:ctrlPr>
            </m:fPr>
            <m:num>
              <m:r>
                <m:rPr/>
                <w:rPr>
                  <w:rFonts w:hint="default" w:ascii="Cambria Math" w:hAnsi="Cambria Math" w:eastAsia="仿宋_GB2312" w:cs="Times New Roman"/>
                  <w:color w:val="auto"/>
                </w:rPr>
                <m:t>A×</m:t>
              </m:r>
              <m:sSup>
                <m:sSupPr>
                  <m:ctrlPr>
                    <w:rPr>
                      <w:rFonts w:hint="default" w:ascii="Cambria Math" w:hAnsi="Cambria Math" w:eastAsia="仿宋_GB2312" w:cs="Times New Roman"/>
                      <w:i/>
                      <w:color w:val="auto"/>
                    </w:rPr>
                  </m:ctrlPr>
                </m:sSupPr>
                <m:e>
                  <m:r>
                    <m:rPr/>
                    <w:rPr>
                      <w:rFonts w:hint="default" w:ascii="Cambria Math" w:hAnsi="Cambria Math" w:eastAsia="仿宋_GB2312" w:cs="Times New Roman"/>
                      <w:color w:val="auto"/>
                    </w:rPr>
                    <m:t>R</m:t>
                  </m:r>
                  <m:ctrlPr>
                    <w:rPr>
                      <w:rFonts w:hint="default" w:ascii="Cambria Math" w:hAnsi="Cambria Math" w:eastAsia="仿宋_GB2312" w:cs="Times New Roman"/>
                      <w:i/>
                      <w:color w:val="auto"/>
                    </w:rPr>
                  </m:ctrlPr>
                </m:e>
                <m:sup>
                  <m:r>
                    <m:rPr/>
                    <w:rPr>
                      <w:rFonts w:hint="default" w:ascii="Cambria Math" w:hAnsi="Cambria Math" w:eastAsia="仿宋_GB2312" w:cs="Times New Roman"/>
                      <w:color w:val="auto"/>
                    </w:rPr>
                    <m:t>2/3</m:t>
                  </m:r>
                  <m:ctrlPr>
                    <w:rPr>
                      <w:rFonts w:hint="default" w:ascii="Cambria Math" w:hAnsi="Cambria Math" w:eastAsia="仿宋_GB2312" w:cs="Times New Roman"/>
                      <w:i/>
                      <w:color w:val="auto"/>
                    </w:rPr>
                  </m:ctrlPr>
                </m:sup>
              </m:sSup>
              <m:ctrlPr>
                <w:rPr>
                  <w:rFonts w:hint="default" w:ascii="Cambria Math" w:hAnsi="Cambria Math" w:eastAsia="仿宋_GB2312" w:cs="Times New Roman"/>
                  <w:color w:val="auto"/>
                </w:rPr>
              </m:ctrlPr>
            </m:num>
            <m:den>
              <m:r>
                <m:rPr/>
                <w:rPr>
                  <w:rFonts w:hint="default" w:ascii="Cambria Math" w:hAnsi="Cambria Math" w:eastAsia="仿宋_GB2312" w:cs="Times New Roman"/>
                  <w:color w:val="auto"/>
                </w:rPr>
                <m:t>n</m:t>
              </m:r>
              <m:ctrlPr>
                <w:rPr>
                  <w:rFonts w:hint="default" w:ascii="Cambria Math" w:hAnsi="Cambria Math" w:eastAsia="仿宋_GB2312" w:cs="Times New Roman"/>
                  <w:color w:val="auto"/>
                </w:rPr>
              </m:ctrlPr>
            </m:den>
          </m:f>
          <m:rad>
            <m:radPr>
              <m:degHide m:val="1"/>
              <m:ctrlPr>
                <w:rPr>
                  <w:rFonts w:hint="default" w:ascii="Cambria Math" w:hAnsi="Cambria Math" w:eastAsia="仿宋_GB2312" w:cs="Times New Roman"/>
                  <w:i/>
                  <w:color w:val="auto"/>
                </w:rPr>
              </m:ctrlPr>
            </m:radPr>
            <m:deg>
              <m:ctrlPr>
                <w:rPr>
                  <w:rFonts w:hint="default" w:ascii="Cambria Math" w:hAnsi="Cambria Math" w:eastAsia="仿宋_GB2312" w:cs="Times New Roman"/>
                  <w:i/>
                  <w:color w:val="auto"/>
                </w:rPr>
              </m:ctrlPr>
            </m:deg>
            <m:e>
              <m:r>
                <m:rPr/>
                <w:rPr>
                  <w:rFonts w:hint="default" w:ascii="Cambria Math" w:hAnsi="Cambria Math" w:eastAsia="仿宋_GB2312" w:cs="Times New Roman"/>
                  <w:color w:val="auto"/>
                </w:rPr>
                <m:t>J</m:t>
              </m:r>
              <m:ctrlPr>
                <w:rPr>
                  <w:rFonts w:hint="default" w:ascii="Cambria Math" w:hAnsi="Cambria Math" w:eastAsia="仿宋_GB2312" w:cs="Times New Roman"/>
                  <w:i/>
                  <w:color w:val="auto"/>
                </w:rPr>
              </m:ctrlPr>
            </m:e>
          </m:rad>
        </m:oMath>
      </m:oMathPara>
    </w:p>
    <w:p>
      <w:pPr>
        <w:spacing w:line="360" w:lineRule="auto"/>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其中 Q—流量，m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/s；</w:t>
      </w:r>
    </w:p>
    <w:p>
      <w:pPr>
        <w:spacing w:line="360" w:lineRule="auto"/>
        <w:ind w:firstLine="1260" w:firstLineChars="45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A—计算河段平均过水断面面积，m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w:t>
      </w:r>
    </w:p>
    <w:p>
      <w:pPr>
        <w:spacing w:line="360" w:lineRule="auto"/>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 xml:space="preserve">     R—计算河段平均水利半径，m；</w:t>
      </w:r>
    </w:p>
    <w:p>
      <w:pPr>
        <w:spacing w:line="360" w:lineRule="auto"/>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 xml:space="preserve">     J—计算河段平均水力坡度；</w:t>
      </w:r>
    </w:p>
    <w:p>
      <w:pPr>
        <w:spacing w:line="360" w:lineRule="auto"/>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 xml:space="preserve">     n—河床糙率，n=0.0</w:t>
      </w:r>
      <w:r>
        <w:rPr>
          <w:rFonts w:hint="default" w:ascii="Times New Roman" w:hAnsi="Times New Roman" w:eastAsia="仿宋_GB2312" w:cs="Times New Roman"/>
          <w:color w:val="auto"/>
          <w:szCs w:val="24"/>
          <w:lang w:val="en-US" w:eastAsia="zh-CN"/>
        </w:rPr>
        <w:t>4</w:t>
      </w:r>
      <w:r>
        <w:rPr>
          <w:rFonts w:hint="default" w:ascii="Times New Roman" w:hAnsi="Times New Roman" w:eastAsia="仿宋_GB2312" w:cs="Times New Roman"/>
          <w:color w:val="auto"/>
          <w:szCs w:val="24"/>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根据计算河口P=10%时设计洪水位110.02m；同时考虑祁水相应双江口河口水位P=10%设计洪水位110.17m；本次设计河口水位以110.17m作为起推控制水位。</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本次设计段K0+000以上断面设计洪水位采取水面线法推求河道水面线。</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①计算原理</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25" o:title=""/>
            <o:lock v:ext="edit" aspectratio="t"/>
            <w10:wrap type="none"/>
            <w10:anchorlock/>
          </v:shape>
          <o:OLEObject Type="Embed" ProgID="Equation.3" ShapeID="_x0000_i1027" DrawAspect="Content" ObjectID="_1468075727" r:id="rId24">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27" o:title=""/>
            <o:lock v:ext="edit" grouping="f" rotation="f" text="f" aspectratio="t"/>
            <w10:wrap type="none"/>
            <w10:anchorlock/>
          </v:shape>
          <o:OLEObject Type="Embed" ProgID="Equation.3" ShapeID="_x0000_i1028" DrawAspect="Content" ObjectID="_1468075728" r:id="rId26">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29" o:title=""/>
            <o:lock v:ext="edit" grouping="f" rotation="f" text="f" aspectratio="t"/>
            <w10:wrap type="none"/>
            <w10:anchorlock/>
          </v:shape>
          <o:OLEObject Type="Embed" ProgID="Equation.3" ShapeID="_x0000_i1029" DrawAspect="Content" ObjectID="_1468075729" r:id="rId28">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1" o:title=""/>
            <o:lock v:ext="edit" aspectratio="t"/>
            <w10:wrap type="none"/>
            <w10:anchorlock/>
          </v:shape>
          <o:OLEObject Type="Embed" ProgID="Equation.3" ShapeID="_x0000_i1030" DrawAspect="Content" ObjectID="_1468075730" r:id="rId30">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33" o:title=""/>
            <o:lock v:ext="edit" aspectratio="t"/>
            <w10:wrap type="none"/>
            <w10:anchorlock/>
          </v:shape>
          <o:OLEObject Type="Embed" ProgID="Equation.3" ShapeID="_x0000_i1031" DrawAspect="Content" ObjectID="_1468075731" r:id="rId32">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35" o:title=""/>
            <o:lock v:ext="edit" grouping="f" rotation="f" text="f" aspectratio="t"/>
            <w10:wrap type="none"/>
            <w10:anchorlock/>
          </v:shape>
          <o:OLEObject Type="Embed" ProgID="Equation.3" ShapeID="_x0000_i1032" DrawAspect="Content" ObjectID="_1468075732" r:id="rId34">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37" o:title=""/>
            <o:lock v:ext="edit" aspectratio="t"/>
            <w10:wrap type="none"/>
            <w10:anchorlock/>
          </v:shape>
          <o:OLEObject Type="Embed" ProgID="Equation.3" ShapeID="_x0000_i1033" DrawAspect="Content" ObjectID="_1468075733" r:id="rId36">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39" o:title=""/>
            <o:lock v:ext="edit" aspectratio="t"/>
            <w10:wrap type="none"/>
            <w10:anchorlock/>
          </v:shape>
          <o:OLEObject Type="Embed" ProgID="Equation.3" ShapeID="_x0000_i1034" DrawAspect="Content" ObjectID="_1468075734" r:id="rId38">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1" o:title=""/>
            <o:lock v:ext="edit" grouping="f" rotation="f" text="f" aspectratio="t"/>
            <w10:wrap type="none"/>
            <w10:anchorlock/>
          </v:shape>
          <o:OLEObject Type="Embed" ProgID="Equation.3" ShapeID="_x0000_i1035" DrawAspect="Content" ObjectID="_1468075735" r:id="rId40">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43" o:title=""/>
            <o:lock v:ext="edit" aspectratio="t"/>
            <w10:wrap type="none"/>
            <w10:anchorlock/>
          </v:shape>
          <o:OLEObject Type="Embed" ProgID="Equation.3" ShapeID="_x0000_i1036" DrawAspect="Content" ObjectID="_1468075736" r:id="rId42">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89" w:name="_Toc32740"/>
      <w:bookmarkStart w:id="90" w:name="_Toc2518"/>
      <w:bookmarkStart w:id="91" w:name="_Toc370"/>
      <w:r>
        <w:rPr>
          <w:rFonts w:hint="default" w:ascii="Times New Roman" w:hAnsi="Times New Roman" w:eastAsia="仿宋_GB2312" w:cs="Times New Roman"/>
          <w:color w:val="auto"/>
          <w:sz w:val="28"/>
          <w:szCs w:val="28"/>
          <w:highlight w:val="none"/>
          <w:lang w:val="en-US" w:eastAsia="zh-CN"/>
        </w:rPr>
        <w:t>③计算成果</w:t>
      </w:r>
      <w:bookmarkEnd w:id="89"/>
      <w:bookmarkEnd w:id="90"/>
      <w:bookmarkEnd w:id="91"/>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根据已确定的参数，其水面线法计算段成果入下表</w:t>
      </w:r>
      <w:r>
        <w:rPr>
          <w:rFonts w:hint="eastAsia" w:ascii="Times New Roman" w:hAnsi="Times New Roman" w:eastAsia="仿宋_GB2312" w:cs="Times New Roman"/>
          <w:color w:val="auto"/>
          <w:sz w:val="28"/>
          <w:szCs w:val="28"/>
          <w:highlight w:val="none"/>
          <w:lang w:val="en-US" w:eastAsia="zh-CN"/>
        </w:rPr>
        <w:t>4.4-7</w:t>
      </w:r>
      <w:r>
        <w:rPr>
          <w:rFonts w:hint="default" w:ascii="Times New Roman" w:hAnsi="Times New Roman" w:eastAsia="仿宋_GB2312" w:cs="Times New Roman"/>
          <w:b w:val="0"/>
          <w:bCs w:val="0"/>
          <w:color w:val="auto"/>
          <w:sz w:val="28"/>
          <w:szCs w:val="28"/>
          <w:highlight w:val="none"/>
          <w:u w:val="none"/>
          <w:lang w:val="en-US" w:eastAsia="zh-CN"/>
        </w:rPr>
        <w:t>。</w:t>
      </w:r>
    </w:p>
    <w:p>
      <w:pPr>
        <w:pageBreakBefore w:val="0"/>
        <w:widowControl w:val="0"/>
        <w:shd w:val="clear"/>
        <w:kinsoku/>
        <w:wordWrap/>
        <w:overflowPunct/>
        <w:topLinePunct w:val="0"/>
        <w:autoSpaceDE/>
        <w:autoSpaceDN/>
        <w:bidi w:val="0"/>
        <w:adjustRightInd/>
        <w:spacing w:line="360" w:lineRule="auto"/>
        <w:ind w:right="0" w:rightChars="0" w:firstLine="482" w:firstLineChars="20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pageBreakBefore w:val="0"/>
        <w:widowControl w:val="0"/>
        <w:shd w:val="clear"/>
        <w:kinsoku/>
        <w:wordWrap/>
        <w:overflowPunct/>
        <w:topLinePunct w:val="0"/>
        <w:autoSpaceDE/>
        <w:autoSpaceDN/>
        <w:bidi w:val="0"/>
        <w:adjustRightInd/>
        <w:spacing w:line="360" w:lineRule="auto"/>
        <w:ind w:right="0" w:rightChars="0" w:firstLine="482" w:firstLineChars="20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pageBreakBefore w:val="0"/>
        <w:widowControl w:val="0"/>
        <w:shd w:val="clear"/>
        <w:kinsoku/>
        <w:wordWrap/>
        <w:overflowPunct/>
        <w:topLinePunct w:val="0"/>
        <w:autoSpaceDE/>
        <w:autoSpaceDN/>
        <w:bidi w:val="0"/>
        <w:adjustRightInd/>
        <w:spacing w:line="360" w:lineRule="auto"/>
        <w:ind w:right="0" w:rightChars="0" w:firstLine="482" w:firstLineChars="20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w:t>
      </w:r>
      <w:r>
        <w:rPr>
          <w:rFonts w:hint="eastAsia" w:ascii="Times New Roman" w:hAnsi="Times New Roman" w:eastAsia="仿宋_GB2312" w:cs="Times New Roman"/>
          <w:b/>
          <w:bCs/>
          <w:color w:val="auto"/>
          <w:sz w:val="24"/>
          <w:szCs w:val="24"/>
          <w:highlight w:val="none"/>
          <w:lang w:val="en-US" w:eastAsia="zh-CN" w:bidi="zh-CN"/>
        </w:rPr>
        <w:t xml:space="preserve">4.4-7             </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双江口河（祁阳段）设计洪水水面线成果表</w:t>
      </w:r>
    </w:p>
    <w:tbl>
      <w:tblPr>
        <w:tblStyle w:val="16"/>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082"/>
        <w:gridCol w:w="2342"/>
        <w:gridCol w:w="1997"/>
        <w:gridCol w:w="1520"/>
        <w:gridCol w:w="23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断面号</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地点</w:t>
            </w: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间距（m）</w:t>
            </w: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累距 （m）</w:t>
            </w:r>
          </w:p>
        </w:tc>
        <w:tc>
          <w:tcPr>
            <w:tcW w:w="125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设计水位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w:t>
            </w:r>
          </w:p>
        </w:tc>
        <w:tc>
          <w:tcPr>
            <w:tcW w:w="1077"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110.17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570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坝2下CS4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111.91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坝2上CS5</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112.17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坝1下CS6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113.07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坝1上CS7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113.28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113.47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550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114.19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550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CS10　</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115.22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CS11</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115.63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CS12</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116.45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140</w:t>
            </w: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5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126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CS13</w:t>
            </w:r>
          </w:p>
        </w:tc>
        <w:tc>
          <w:tcPr>
            <w:tcW w:w="107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4140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116.92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5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6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77" w:type="pct"/>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auto"/>
                <w:sz w:val="18"/>
                <w:szCs w:val="18"/>
                <w:u w:val="none"/>
              </w:rPr>
            </w:pPr>
          </w:p>
        </w:tc>
        <w:tc>
          <w:tcPr>
            <w:tcW w:w="8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bl>
    <w:p>
      <w:pPr>
        <w:pStyle w:val="5"/>
        <w:rPr>
          <w:rFonts w:hint="default" w:ascii="Times New Roman" w:hAnsi="Times New Roman" w:cs="Times New Roman"/>
          <w:color w:val="auto"/>
          <w:highlight w:val="none"/>
          <w:lang w:val="en-US"/>
        </w:rPr>
      </w:pPr>
      <w:bookmarkStart w:id="92" w:name="_Toc479"/>
      <w:bookmarkStart w:id="93" w:name="_Toc14569"/>
      <w:bookmarkStart w:id="94" w:name="_Toc15550"/>
      <w:bookmarkStart w:id="95" w:name="_Toc19048"/>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.2  洪水位标图</w:t>
      </w:r>
      <w:bookmarkEnd w:id="92"/>
      <w:bookmarkEnd w:id="93"/>
      <w:bookmarkEnd w:id="94"/>
      <w:bookmarkEnd w:id="95"/>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w:t>
      </w:r>
      <w:r>
        <w:rPr>
          <w:rFonts w:hint="default" w:ascii="Times New Roman" w:hAnsi="Times New Roman" w:eastAsia="仿宋_GB2312" w:cs="Times New Roman"/>
          <w:color w:val="auto"/>
          <w:szCs w:val="28"/>
          <w:highlight w:val="none"/>
          <w:lang w:val="en-US"/>
        </w:rPr>
        <w:t>工作底图上的高程点和等高线等高程信息标注各河段的设计洪水位，然后在工作底图上将离散的点，连接成设计洪水位线。</w:t>
      </w:r>
    </w:p>
    <w:p>
      <w:pPr>
        <w:pStyle w:val="5"/>
        <w:rPr>
          <w:rFonts w:hint="default" w:ascii="Times New Roman" w:hAnsi="Times New Roman" w:cs="Times New Roman"/>
          <w:color w:val="auto"/>
          <w:highlight w:val="none"/>
          <w:lang w:val="en-US"/>
        </w:rPr>
      </w:pPr>
      <w:bookmarkStart w:id="96" w:name="_Toc29822"/>
      <w:bookmarkStart w:id="97" w:name="_Toc7893"/>
      <w:bookmarkStart w:id="98" w:name="_Toc4264"/>
      <w:bookmarkStart w:id="99" w:name="_Toc26035"/>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.3 管理范围界限初步拟定</w:t>
      </w:r>
      <w:bookmarkEnd w:id="96"/>
      <w:bookmarkEnd w:id="97"/>
      <w:bookmarkEnd w:id="98"/>
      <w:bookmarkEnd w:id="99"/>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双江口河祁阳县</w:t>
      </w:r>
      <w:r>
        <w:rPr>
          <w:rFonts w:hint="default" w:ascii="Times New Roman" w:hAnsi="Times New Roman" w:eastAsia="仿宋_GB2312" w:cs="Times New Roman"/>
          <w:color w:val="auto"/>
          <w:szCs w:val="28"/>
          <w:highlight w:val="none"/>
          <w:lang w:val="en-US"/>
        </w:rPr>
        <w:t>段在工作地图上完成了管理范围线初步划定和界桩的预布，</w:t>
      </w:r>
      <w:r>
        <w:rPr>
          <w:rFonts w:hint="default" w:ascii="Times New Roman" w:hAnsi="Times New Roman" w:eastAsia="仿宋_GB2312" w:cs="Times New Roman"/>
          <w:color w:val="auto"/>
          <w:szCs w:val="28"/>
          <w:highlight w:val="none"/>
          <w:lang w:val="en-US" w:eastAsia="zh-CN"/>
        </w:rPr>
        <w:t>双江口河祁阳县</w:t>
      </w:r>
      <w:r>
        <w:rPr>
          <w:rFonts w:hint="default" w:ascii="Times New Roman" w:hAnsi="Times New Roman" w:eastAsia="仿宋_GB2312" w:cs="Times New Roman"/>
          <w:color w:val="auto"/>
          <w:szCs w:val="28"/>
          <w:highlight w:val="none"/>
          <w:lang w:val="en-US"/>
        </w:rPr>
        <w:t>段共布设界桩</w:t>
      </w:r>
      <w:r>
        <w:rPr>
          <w:rFonts w:hint="eastAsia" w:ascii="Times New Roman" w:hAnsi="Times New Roman" w:eastAsia="仿宋_GB2312" w:cs="Times New Roman"/>
          <w:color w:val="auto"/>
          <w:szCs w:val="28"/>
          <w:highlight w:val="none"/>
          <w:lang w:val="en-US" w:eastAsia="zh-CN"/>
        </w:rPr>
        <w:t>1</w:t>
      </w:r>
      <w:r>
        <w:rPr>
          <w:rFonts w:hint="eastAsia" w:eastAsia="仿宋_GB2312" w:cs="Times New Roman"/>
          <w:color w:val="auto"/>
          <w:szCs w:val="28"/>
          <w:highlight w:val="none"/>
          <w:lang w:val="en-US" w:eastAsia="zh-CN"/>
        </w:rPr>
        <w:t>9</w:t>
      </w:r>
      <w:r>
        <w:rPr>
          <w:rFonts w:hint="default" w:ascii="Times New Roman" w:hAnsi="Times New Roman" w:eastAsia="仿宋_GB2312" w:cs="Times New Roman"/>
          <w:color w:val="auto"/>
          <w:szCs w:val="28"/>
          <w:highlight w:val="none"/>
          <w:lang w:val="en-US"/>
        </w:rPr>
        <w:t>座，其中公共界桩</w:t>
      </w:r>
      <w:r>
        <w:rPr>
          <w:rFonts w:hint="eastAsia" w:eastAsia="仿宋_GB2312" w:cs="Times New Roman"/>
          <w:color w:val="auto"/>
          <w:szCs w:val="28"/>
          <w:highlight w:val="none"/>
          <w:lang w:val="en-US" w:eastAsia="zh-CN"/>
        </w:rPr>
        <w:t>6</w:t>
      </w:r>
      <w:r>
        <w:rPr>
          <w:rFonts w:hint="default" w:ascii="Times New Roman" w:hAnsi="Times New Roman" w:eastAsia="仿宋_GB2312" w:cs="Times New Roman"/>
          <w:color w:val="auto"/>
          <w:szCs w:val="28"/>
          <w:highlight w:val="none"/>
          <w:lang w:val="en-US"/>
        </w:rPr>
        <w:t>座，告示牌</w:t>
      </w:r>
      <w:r>
        <w:rPr>
          <w:rFonts w:hint="eastAsia" w:ascii="Times New Roman" w:hAnsi="Times New Roman" w:eastAsia="仿宋_GB2312" w:cs="Times New Roman"/>
          <w:color w:val="auto"/>
          <w:szCs w:val="28"/>
          <w:highlight w:val="none"/>
          <w:lang w:val="en-US" w:eastAsia="zh-CN"/>
        </w:rPr>
        <w:t>3</w:t>
      </w:r>
      <w:r>
        <w:rPr>
          <w:rFonts w:hint="default" w:ascii="Times New Roman" w:hAnsi="Times New Roman" w:eastAsia="仿宋_GB2312" w:cs="Times New Roman"/>
          <w:color w:val="auto"/>
          <w:szCs w:val="28"/>
          <w:highlight w:val="none"/>
          <w:lang w:val="en-US"/>
        </w:rPr>
        <w:t>块。</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双江口河祁阳县</w:t>
      </w:r>
      <w:r>
        <w:rPr>
          <w:rFonts w:hint="default" w:ascii="Times New Roman" w:hAnsi="Times New Roman" w:eastAsia="仿宋_GB2312" w:cs="Times New Roman"/>
          <w:color w:val="auto"/>
          <w:szCs w:val="28"/>
          <w:highlight w:val="none"/>
          <w:lang w:val="en-US"/>
        </w:rPr>
        <w:t>段河湖管理范围划界标准根据区域现状防洪设施及区域防洪标准确定主要为以下</w:t>
      </w:r>
      <w:r>
        <w:rPr>
          <w:rFonts w:hint="eastAsia" w:eastAsia="仿宋_GB2312" w:cs="Times New Roman"/>
          <w:color w:val="auto"/>
          <w:szCs w:val="28"/>
          <w:highlight w:val="none"/>
          <w:lang w:val="en-US" w:eastAsia="zh-CN"/>
        </w:rPr>
        <w:t>一</w:t>
      </w:r>
      <w:r>
        <w:rPr>
          <w:rFonts w:hint="default" w:ascii="Times New Roman" w:hAnsi="Times New Roman" w:eastAsia="仿宋_GB2312" w:cs="Times New Roman"/>
          <w:color w:val="auto"/>
          <w:szCs w:val="28"/>
          <w:highlight w:val="none"/>
          <w:lang w:val="en-US"/>
        </w:rPr>
        <w:t>种：</w:t>
      </w:r>
    </w:p>
    <w:p>
      <w:pPr>
        <w:spacing w:line="360" w:lineRule="auto"/>
        <w:ind w:left="560" w:left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eastAsia" w:ascii="Times New Roman" w:hAnsi="Times New Roman" w:eastAsia="仿宋_GB2312" w:cs="Times New Roman"/>
          <w:color w:val="auto"/>
          <w:szCs w:val="28"/>
          <w:highlight w:val="none"/>
          <w:lang w:val="en-US" w:eastAsia="zh-CN"/>
        </w:rPr>
        <w:t>无堤防段，以设计洪水位为管理范围线</w:t>
      </w:r>
      <w:r>
        <w:rPr>
          <w:rFonts w:hint="default" w:ascii="Times New Roman" w:hAnsi="Times New Roman" w:eastAsia="仿宋_GB2312" w:cs="Times New Roman"/>
          <w:color w:val="auto"/>
          <w:szCs w:val="28"/>
          <w:highlight w:val="none"/>
          <w:lang w:val="en-US"/>
        </w:rPr>
        <w:t>。</w:t>
      </w:r>
    </w:p>
    <w:p>
      <w:pPr>
        <w:pStyle w:val="5"/>
        <w:rPr>
          <w:rFonts w:hint="default" w:ascii="Times New Roman" w:hAnsi="Times New Roman" w:cs="Times New Roman"/>
          <w:color w:val="auto"/>
          <w:highlight w:val="none"/>
          <w:lang w:val="en-US" w:eastAsia="zh-CN"/>
        </w:rPr>
      </w:pPr>
      <w:bookmarkStart w:id="100" w:name="_Toc2067"/>
      <w:bookmarkStart w:id="101" w:name="_Toc22824"/>
      <w:bookmarkStart w:id="102" w:name="_Toc5472"/>
      <w:bookmarkStart w:id="103" w:name="_Toc27332"/>
      <w:r>
        <w:rPr>
          <w:rFonts w:hint="default" w:ascii="Times New Roman" w:hAnsi="Times New Roman" w:cs="Times New Roman"/>
          <w:color w:val="auto"/>
          <w:highlight w:val="none"/>
          <w:lang w:val="en-US" w:eastAsia="zh-CN"/>
        </w:rPr>
        <w:t>4.4.4界桩和告示牌布设</w:t>
      </w:r>
      <w:bookmarkEnd w:id="100"/>
      <w:bookmarkEnd w:id="101"/>
      <w:bookmarkEnd w:id="102"/>
      <w:bookmarkEnd w:id="103"/>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管理范围界桩要一般间距：城镇河段不宜小于200m；其他河道不宜小于1000m。</w:t>
      </w:r>
      <w:r>
        <w:rPr>
          <w:rFonts w:hint="default" w:ascii="Times New Roman" w:hAnsi="Times New Roman" w:eastAsia="仿宋_GB2312" w:cs="Times New Roman"/>
          <w:color w:val="auto"/>
          <w:szCs w:val="28"/>
          <w:highlight w:val="none"/>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干、支河交汇处</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4"/>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干支流交汇无控制性建筑物</w:t>
      </w:r>
      <w:r>
        <w:rPr>
          <w:rFonts w:hint="default" w:ascii="Times New Roman" w:hAnsi="Times New Roman" w:eastAsia="仿宋_GB2312" w:cs="Times New Roman"/>
          <w:b/>
          <w:bCs/>
          <w:color w:val="auto"/>
          <w:sz w:val="24"/>
          <w:highlight w:val="none"/>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5"/>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eastAsia="zh-CN"/>
        </w:rPr>
        <w:t>③</w:t>
      </w:r>
      <w:r>
        <w:rPr>
          <w:rFonts w:hint="default" w:ascii="Times New Roman" w:hAnsi="Times New Roman" w:eastAsia="仿宋_GB2312" w:cs="Times New Roman"/>
          <w:color w:val="auto"/>
          <w:szCs w:val="28"/>
          <w:highlight w:val="none"/>
          <w:lang w:val="en-US"/>
        </w:rPr>
        <w:t>相邻行政区</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highlight w:val="none"/>
        </w:rPr>
        <w:t>桩仅作为管理范围界线标识</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6"/>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3</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界桩埋设后，水利管理部门可与有关行政村和单位签订</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界桩保护协议书</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⑥</w:t>
      </w:r>
      <w:r>
        <w:rPr>
          <w:rFonts w:hint="default" w:ascii="Times New Roman" w:hAnsi="Times New Roman" w:eastAsia="仿宋_GB2312" w:cs="Times New Roman"/>
          <w:color w:val="auto"/>
          <w:szCs w:val="28"/>
          <w:highlight w:val="none"/>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⑦</w:t>
      </w:r>
      <w:r>
        <w:rPr>
          <w:rFonts w:hint="default" w:ascii="Times New Roman" w:hAnsi="Times New Roman" w:eastAsia="仿宋_GB2312" w:cs="Times New Roman"/>
          <w:color w:val="auto"/>
          <w:szCs w:val="28"/>
          <w:highlight w:val="none"/>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4）界桩制作与埋设</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采用长方形柱体，尺寸150</w:t>
      </w:r>
      <w:r>
        <w:rPr>
          <w:rFonts w:hint="default" w:ascii="Times New Roman" w:hAnsi="Times New Roman" w:eastAsia="仿宋_GB2312" w:cs="Times New Roman"/>
          <w:color w:val="auto"/>
          <w:szCs w:val="28"/>
          <w:highlight w:val="none"/>
          <w:lang w:val="en-US" w:eastAsia="zh-CN"/>
        </w:rPr>
        <w:t>mm×l</w:t>
      </w:r>
      <w:r>
        <w:rPr>
          <w:rFonts w:hint="default" w:ascii="Times New Roman" w:hAnsi="Times New Roman" w:eastAsia="仿宋_GB2312" w:cs="Times New Roman"/>
          <w:color w:val="auto"/>
          <w:szCs w:val="28"/>
          <w:highlight w:val="none"/>
          <w:lang w:val="en-US"/>
        </w:rPr>
        <w:t>30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1000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，四角切除棱角，切除棱角边长10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。地面以上高度为400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。刻注以下内容：</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①界桩在向河道面喷涂“严禁破坏”(竖排，字规格为50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②背河道面喷涂</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严禁移动</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③向河道面面左侧面从上至下分别刻注水利标志(蓝色，</w:t>
      </w:r>
      <w:r>
        <w:rPr>
          <w:rFonts w:hint="default" w:ascii="Times New Roman" w:hAnsi="Times New Roman" w:eastAsia="仿宋_GB2312" w:cs="Times New Roman"/>
          <w:color w:val="auto"/>
          <w:szCs w:val="28"/>
          <w:highlight w:val="none"/>
          <w:lang w:val="en-US" w:eastAsia="zh-CN"/>
        </w:rPr>
        <w:t>长50mm×50mm)，</w:t>
      </w:r>
      <w:r>
        <w:rPr>
          <w:rFonts w:hint="default" w:ascii="Times New Roman" w:hAnsi="Times New Roman" w:eastAsia="仿宋_GB2312" w:cs="Times New Roman"/>
          <w:color w:val="auto"/>
          <w:szCs w:val="28"/>
          <w:highlight w:val="none"/>
          <w:lang w:val="en-US"/>
        </w:rPr>
        <w:t>河名(红色，字规格为</w:t>
      </w:r>
      <w:r>
        <w:rPr>
          <w:rFonts w:hint="default" w:ascii="Times New Roman" w:hAnsi="Times New Roman" w:eastAsia="仿宋_GB2312" w:cs="Times New Roman"/>
          <w:color w:val="auto"/>
          <w:szCs w:val="28"/>
          <w:highlight w:val="none"/>
          <w:lang w:val="en-US" w:eastAsia="zh-CN"/>
        </w:rPr>
        <w:t>50mm×50mm，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河道名称较长时，字高不变</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宽度可适当调整)、管理范围线(蓝色，字规格</w:t>
      </w:r>
      <w:r>
        <w:rPr>
          <w:rFonts w:hint="default" w:ascii="Times New Roman" w:hAnsi="Times New Roman" w:eastAsia="仿宋_GB2312" w:cs="Times New Roman"/>
          <w:color w:val="auto"/>
          <w:szCs w:val="28"/>
          <w:highlight w:val="none"/>
          <w:lang w:val="en-US" w:eastAsia="zh-CN"/>
        </w:rPr>
        <w:t>35mm×35mm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，与河道名称行间距</w:t>
      </w:r>
      <w:r>
        <w:rPr>
          <w:rFonts w:hint="default" w:ascii="Times New Roman" w:hAnsi="Times New Roman" w:eastAsia="仿宋_GB2312" w:cs="Times New Roman"/>
          <w:color w:val="auto"/>
          <w:szCs w:val="28"/>
          <w:highlight w:val="none"/>
          <w:lang w:val="en-US" w:eastAsia="zh-CN"/>
        </w:rPr>
        <w:t>20mm)，</w:t>
      </w:r>
      <w:r>
        <w:rPr>
          <w:rFonts w:hint="default" w:ascii="Times New Roman" w:hAnsi="Times New Roman" w:eastAsia="仿宋_GB2312" w:cs="Times New Roman"/>
          <w:color w:val="auto"/>
          <w:szCs w:val="28"/>
          <w:highlight w:val="none"/>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，行间距10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④在向河道面面右侧面刻注“</w:t>
      </w:r>
      <w:r>
        <w:rPr>
          <w:rFonts w:hint="default" w:ascii="Times New Roman" w:hAnsi="Times New Roman" w:eastAsia="仿宋_GB2312" w:cs="Times New Roman"/>
          <w:color w:val="auto"/>
          <w:szCs w:val="28"/>
          <w:highlight w:val="none"/>
          <w:lang w:val="zh-CN" w:eastAsia="zh-CN"/>
        </w:rPr>
        <w:t>XX</w:t>
      </w:r>
      <w:r>
        <w:rPr>
          <w:rFonts w:hint="default" w:ascii="Times New Roman" w:hAnsi="Times New Roman" w:eastAsia="仿宋_GB2312" w:cs="Times New Roman"/>
          <w:color w:val="auto"/>
          <w:szCs w:val="28"/>
          <w:highlight w:val="none"/>
          <w:lang w:val="en-US"/>
        </w:rPr>
        <w:t>县(区)人民政府”，文字采用红色、竖排，字规格为40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，字距顶面20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 xml:space="preserve"> ，字间距5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右下角刻注埋设时间‘"</w:t>
      </w:r>
      <w:r>
        <w:rPr>
          <w:rFonts w:hint="default" w:ascii="Times New Roman" w:hAnsi="Times New Roman" w:eastAsia="仿宋_GB2312" w:cs="Times New Roman"/>
          <w:color w:val="auto"/>
          <w:szCs w:val="28"/>
          <w:highlight w:val="none"/>
          <w:lang w:val="en-US" w:eastAsia="zh-CN"/>
        </w:rPr>
        <w:t>xxxx</w:t>
      </w:r>
      <w:r>
        <w:rPr>
          <w:rFonts w:hint="default" w:ascii="Times New Roman" w:hAnsi="Times New Roman" w:eastAsia="仿宋_GB2312" w:cs="Times New Roman"/>
          <w:color w:val="auto"/>
          <w:szCs w:val="28"/>
          <w:highlight w:val="none"/>
          <w:lang w:val="en-US"/>
        </w:rPr>
        <w:t>年</w:t>
      </w:r>
      <w:r>
        <w:rPr>
          <w:rFonts w:hint="default" w:ascii="Times New Roman" w:hAnsi="Times New Roman" w:eastAsia="仿宋_GB2312" w:cs="Times New Roman"/>
          <w:color w:val="auto"/>
          <w:szCs w:val="28"/>
          <w:highlight w:val="none"/>
          <w:lang w:val="en-US" w:eastAsia="zh-CN"/>
        </w:rPr>
        <w:t>xx</w:t>
      </w:r>
      <w:r>
        <w:rPr>
          <w:rFonts w:hint="default" w:ascii="Times New Roman" w:hAnsi="Times New Roman" w:eastAsia="仿宋_GB2312" w:cs="Times New Roman"/>
          <w:color w:val="auto"/>
          <w:szCs w:val="28"/>
          <w:highlight w:val="none"/>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⑤一般管理界桩盖顶刷亮蓝色，公共界桩界桩顶部采用红色油漆喷涂，厚度15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⑥</w:t>
      </w:r>
      <w:r>
        <w:rPr>
          <w:rFonts w:hint="default" w:ascii="Times New Roman" w:hAnsi="Times New Roman" w:eastAsia="仿宋_GB2312" w:cs="Times New Roman"/>
          <w:color w:val="auto"/>
          <w:szCs w:val="28"/>
          <w:highlight w:val="none"/>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⑦</w:t>
      </w:r>
      <w:r>
        <w:rPr>
          <w:rFonts w:hint="default" w:ascii="Times New Roman" w:hAnsi="Times New Roman" w:eastAsia="仿宋_GB2312" w:cs="Times New Roman"/>
          <w:color w:val="auto"/>
          <w:szCs w:val="28"/>
          <w:highlight w:val="none"/>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5）</w:t>
      </w:r>
      <w:r>
        <w:rPr>
          <w:rFonts w:hint="default" w:ascii="Times New Roman" w:hAnsi="Times New Roman" w:eastAsia="仿宋_GB2312" w:cs="Times New Roman"/>
          <w:color w:val="auto"/>
          <w:szCs w:val="28"/>
          <w:highlight w:val="none"/>
          <w:lang w:val="en-US"/>
        </w:rPr>
        <w:t>制作材料：钢筋混凝土预制、青石料或大理石，混凝土安装时现浇(混凝土标号不低于</w:t>
      </w:r>
      <w:r>
        <w:rPr>
          <w:rFonts w:hint="default" w:ascii="Times New Roman" w:hAnsi="Times New Roman" w:eastAsia="仿宋_GB2312" w:cs="Times New Roman"/>
          <w:color w:val="auto"/>
          <w:szCs w:val="28"/>
          <w:highlight w:val="none"/>
          <w:lang w:val="en-US" w:eastAsia="zh-CN"/>
        </w:rPr>
        <w:t>C</w:t>
      </w:r>
      <w:r>
        <w:rPr>
          <w:rFonts w:hint="default" w:ascii="Times New Roman" w:hAnsi="Times New Roman" w:eastAsia="仿宋_GB2312" w:cs="Times New Roman"/>
          <w:color w:val="auto"/>
          <w:szCs w:val="28"/>
          <w:highlight w:val="none"/>
          <w:lang w:val="en-US"/>
        </w:rPr>
        <w:t>20)，采用混凝土材料时，需外喷仿花岗岩外墙漆，并在四角配置四根长度700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以上的直径12钢筋。</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6）</w:t>
      </w:r>
      <w:r>
        <w:rPr>
          <w:rFonts w:hint="default" w:ascii="Times New Roman" w:hAnsi="Times New Roman" w:eastAsia="仿宋_GB2312" w:cs="Times New Roman"/>
          <w:color w:val="auto"/>
          <w:szCs w:val="28"/>
          <w:highlight w:val="none"/>
          <w:lang w:val="en-US"/>
        </w:rPr>
        <w:t>埋设要求：地面以下600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地上露出400mm,周围用泥土填筑密实。界桩安装埋设点为坚硬岩石基础时，可直接开凿基坑，将界桩桩体镶嵌于岩石基坑内或在岩石上直接雕刻。</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47"/>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界桩结构图</w:t>
      </w:r>
      <w:r>
        <w:rPr>
          <w:rFonts w:hint="default" w:ascii="Times New Roman" w:hAnsi="Times New Roman" w:cs="Times New Roman"/>
          <w:color w:val="auto"/>
          <w:highlight w:val="none"/>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48"/>
                    <a:stretch>
                      <a:fillRect/>
                    </a:stretch>
                  </pic:blipFill>
                  <pic:spPr>
                    <a:xfrm>
                      <a:off x="0" y="0"/>
                      <a:ext cx="5676900" cy="49530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1）总体布置原则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highlight w:val="none"/>
          <w:lang w:val="en-US" w:eastAsia="zh-CN"/>
        </w:rPr>
        <w:t>。</w:t>
      </w:r>
    </w:p>
    <w:p>
      <w:pPr>
        <w:numPr>
          <w:ilvl w:val="0"/>
          <w:numId w:val="2"/>
        </w:num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告示牌制作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制作规格：告示牌总宽1600mm，高2300mm(地面以上)，其中面板尺寸1500mm</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l000mm(宽</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高)。告示牌采用蓝底白字，落款为</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rPr>
        <w:t>XXX</w:t>
      </w:r>
      <w:r>
        <w:rPr>
          <w:rFonts w:hint="default" w:ascii="Times New Roman" w:hAnsi="Times New Roman" w:eastAsia="仿宋_GB2312" w:cs="Times New Roman"/>
          <w:color w:val="auto"/>
          <w:szCs w:val="28"/>
          <w:highlight w:val="none"/>
          <w:lang w:val="en-US"/>
        </w:rPr>
        <w:t>县(区、市)人民政府</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埋设要求：告示牌立柱管埋入地下400mm</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四周浇筑600</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600mm的C20砼底座固定。</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一般告示牌在城市规划区不少于3处，乡镇规划区不少于1处，告示牌应尽量设置在穿越城镇规划区上下游、重要下河通道（车行通道）、人口密集或人流聚集地点河岸。</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49"/>
                    <a:stretch>
                      <a:fillRect/>
                    </a:stretch>
                  </pic:blipFill>
                  <pic:spPr>
                    <a:xfrm>
                      <a:off x="0" y="0"/>
                      <a:ext cx="5295900" cy="49815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6</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告示牌正面示意图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0"/>
                    <a:stretch>
                      <a:fillRect/>
                    </a:stretch>
                  </pic:blipFill>
                  <pic:spPr>
                    <a:xfrm>
                      <a:off x="0" y="0"/>
                      <a:ext cx="5486400" cy="51149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告示牌背面示意图</w:t>
      </w:r>
    </w:p>
    <w:p>
      <w:pPr>
        <w:pStyle w:val="4"/>
        <w:rPr>
          <w:rFonts w:hint="default" w:ascii="Times New Roman" w:hAnsi="Times New Roman" w:cs="Times New Roman"/>
          <w:color w:val="auto"/>
          <w:highlight w:val="none"/>
        </w:rPr>
      </w:pPr>
      <w:bookmarkStart w:id="104" w:name="_Toc14732"/>
      <w:bookmarkStart w:id="105" w:name="_Toc25121"/>
      <w:bookmarkStart w:id="106" w:name="_Toc23383"/>
      <w:bookmarkStart w:id="107" w:name="_Toc766"/>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管理范围线实地修正</w:t>
      </w:r>
      <w:bookmarkEnd w:id="104"/>
      <w:bookmarkEnd w:id="105"/>
      <w:bookmarkEnd w:id="106"/>
      <w:bookmarkEnd w:id="107"/>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highlight w:val="none"/>
          <w:lang w:val="en-US" w:eastAsia="zh-CN"/>
        </w:rPr>
      </w:pPr>
      <w:bookmarkStart w:id="108" w:name="_Toc1960"/>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cs="Times New Roman"/>
          <w:color w:val="auto"/>
          <w:highlight w:val="none"/>
        </w:rPr>
      </w:pPr>
      <w:bookmarkStart w:id="109" w:name="_Toc9566"/>
      <w:bookmarkStart w:id="110" w:name="_Toc28587"/>
      <w:bookmarkStart w:id="111" w:name="_Toc2179"/>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划界标准</w:t>
      </w:r>
      <w:bookmarkEnd w:id="108"/>
      <w:bookmarkEnd w:id="109"/>
      <w:bookmarkEnd w:id="110"/>
      <w:bookmarkEnd w:id="111"/>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4"/>
        <w:rPr>
          <w:rFonts w:hint="default" w:ascii="Times New Roman" w:hAnsi="Times New Roman" w:cs="Times New Roman"/>
          <w:bCs w:val="0"/>
          <w:color w:val="auto"/>
          <w:highlight w:val="none"/>
          <w:lang w:val="en-US"/>
        </w:rPr>
      </w:pPr>
      <w:bookmarkStart w:id="112" w:name="_Toc20550"/>
      <w:bookmarkStart w:id="113" w:name="_Toc17177"/>
      <w:bookmarkStart w:id="114" w:name="_Toc20105"/>
      <w:bookmarkStart w:id="115" w:name="_Toc24337"/>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.1 防洪标准</w:t>
      </w:r>
      <w:bookmarkEnd w:id="112"/>
      <w:bookmarkEnd w:id="113"/>
      <w:bookmarkEnd w:id="114"/>
      <w:bookmarkEnd w:id="115"/>
    </w:p>
    <w:p>
      <w:pPr>
        <w:pStyle w:val="5"/>
        <w:rPr>
          <w:rFonts w:hint="default" w:ascii="Times New Roman" w:hAnsi="Times New Roman" w:cs="Times New Roman"/>
          <w:color w:val="auto"/>
          <w:spacing w:val="30"/>
          <w:szCs w:val="28"/>
          <w:highlight w:val="none"/>
          <w:lang w:val="en-US"/>
        </w:rPr>
      </w:pPr>
      <w:bookmarkStart w:id="116" w:name="_Toc26251"/>
      <w:bookmarkStart w:id="117" w:name="_Toc19371"/>
      <w:bookmarkStart w:id="118" w:name="_Toc18370"/>
      <w:bookmarkStart w:id="119" w:name="_Toc3028"/>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.1.1  河段防洪标准确定总体原则</w:t>
      </w:r>
      <w:bookmarkEnd w:id="116"/>
      <w:bookmarkEnd w:id="117"/>
      <w:bookmarkEnd w:id="118"/>
      <w:bookmarkEnd w:id="119"/>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rPr>
        <w:t>结合河流对应的保护人口从而确定工程规模和工程等别，如下表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.1-1。</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再根据工程等别确定主要建筑物工程级别，如下表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.1-2。</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最后由工程级别确定河湖管理范围划界防洪标准，如下表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.1-3。</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.1-3                               </w:t>
      </w:r>
      <w:r>
        <w:rPr>
          <w:rFonts w:hint="default" w:ascii="Times New Roman" w:hAnsi="Times New Roman"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eastAsia="en-US"/>
              </w:rPr>
              <w:t>≥1</w:t>
            </w:r>
            <w:r>
              <w:rPr>
                <w:rFonts w:hint="default" w:ascii="Times New Roman" w:hAnsi="Times New Roman" w:eastAsia="仿宋_GB2312" w:cs="Times New Roman"/>
                <w:color w:val="auto"/>
                <w:sz w:val="18"/>
                <w:szCs w:val="18"/>
                <w:highlight w:val="none"/>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≥10且&lt;20</w:t>
            </w:r>
          </w:p>
        </w:tc>
      </w:tr>
    </w:tbl>
    <w:p>
      <w:pPr>
        <w:pStyle w:val="5"/>
        <w:rPr>
          <w:rFonts w:hint="default" w:ascii="Times New Roman" w:hAnsi="Times New Roman" w:cs="Times New Roman"/>
          <w:color w:val="auto"/>
          <w:spacing w:val="30"/>
          <w:szCs w:val="28"/>
          <w:highlight w:val="none"/>
          <w:lang w:val="en-US" w:eastAsia="en-US"/>
        </w:rPr>
      </w:pPr>
      <w:bookmarkStart w:id="120" w:name="_Toc24214"/>
      <w:bookmarkStart w:id="121" w:name="_Toc23527"/>
      <w:bookmarkStart w:id="122" w:name="_Toc13800"/>
      <w:bookmarkStart w:id="123" w:name="_Toc11720"/>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.1.2  河段防洪标准确定成果</w:t>
      </w:r>
      <w:bookmarkEnd w:id="120"/>
      <w:bookmarkEnd w:id="121"/>
      <w:bookmarkEnd w:id="122"/>
      <w:bookmarkEnd w:id="123"/>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b w:val="0"/>
          <w:bCs w:val="0"/>
          <w:color w:val="auto"/>
          <w:sz w:val="28"/>
          <w:szCs w:val="28"/>
          <w:highlight w:val="none"/>
          <w:lang w:val="en-US" w:eastAsia="zh-CN" w:bidi="zh-CN"/>
        </w:rPr>
        <w:t>双江口河祁阳县段，</w:t>
      </w:r>
      <w:r>
        <w:rPr>
          <w:rFonts w:hint="eastAsia" w:eastAsia="仿宋_GB2312" w:cs="Times New Roman"/>
          <w:b w:val="0"/>
          <w:bCs w:val="0"/>
          <w:color w:val="auto"/>
          <w:sz w:val="28"/>
          <w:szCs w:val="28"/>
          <w:highlight w:val="none"/>
          <w:lang w:val="en-US" w:eastAsia="zh-CN" w:bidi="zh-CN"/>
        </w:rPr>
        <w:t>起止位置为入祁水河口</w:t>
      </w:r>
      <w:r>
        <w:rPr>
          <w:rFonts w:hint="default" w:ascii="Times New Roman" w:hAnsi="Times New Roman" w:eastAsia="仿宋_GB2312" w:cs="Times New Roman"/>
          <w:b w:val="0"/>
          <w:bCs w:val="0"/>
          <w:color w:val="auto"/>
          <w:sz w:val="28"/>
          <w:szCs w:val="28"/>
          <w:highlight w:val="none"/>
          <w:lang w:val="en-US" w:eastAsia="zh-CN" w:bidi="zh-CN"/>
        </w:rPr>
        <w:t>-</w:t>
      </w:r>
      <w:r>
        <w:rPr>
          <w:rFonts w:hint="eastAsia" w:eastAsia="仿宋_GB2312" w:cs="Times New Roman"/>
          <w:b w:val="0"/>
          <w:bCs w:val="0"/>
          <w:color w:val="auto"/>
          <w:sz w:val="28"/>
          <w:szCs w:val="28"/>
          <w:highlight w:val="none"/>
          <w:lang w:val="en-US" w:eastAsia="zh-CN" w:bidi="zh-CN"/>
        </w:rPr>
        <w:t>祁东县</w:t>
      </w:r>
      <w:r>
        <w:rPr>
          <w:rFonts w:hint="default" w:ascii="Times New Roman" w:hAnsi="Times New Roman" w:eastAsia="仿宋_GB2312" w:cs="Times New Roman"/>
          <w:b w:val="0"/>
          <w:bCs w:val="0"/>
          <w:color w:val="auto"/>
          <w:sz w:val="28"/>
          <w:szCs w:val="28"/>
          <w:highlight w:val="none"/>
          <w:lang w:val="en-US" w:eastAsia="zh-CN" w:bidi="zh-CN"/>
        </w:rPr>
        <w:t>，</w:t>
      </w:r>
      <w:r>
        <w:rPr>
          <w:rFonts w:hint="eastAsia" w:eastAsia="仿宋_GB2312" w:cs="Times New Roman"/>
          <w:b w:val="0"/>
          <w:bCs w:val="0"/>
          <w:color w:val="auto"/>
          <w:sz w:val="28"/>
          <w:szCs w:val="28"/>
          <w:highlight w:val="none"/>
          <w:lang w:val="en-US" w:eastAsia="zh-CN" w:bidi="zh-CN"/>
        </w:rPr>
        <w:t>祁阳县境内全长4.14</w:t>
      </w:r>
      <w:r>
        <w:rPr>
          <w:rFonts w:hint="default" w:ascii="Times New Roman" w:hAnsi="Times New Roman" w:eastAsia="仿宋_GB2312" w:cs="Times New Roman"/>
          <w:b w:val="0"/>
          <w:bCs w:val="0"/>
          <w:color w:val="auto"/>
          <w:sz w:val="28"/>
          <w:szCs w:val="28"/>
          <w:highlight w:val="none"/>
          <w:lang w:val="en-US" w:eastAsia="zh-CN" w:bidi="zh-CN"/>
        </w:rPr>
        <w:t>km</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双江口河祁阳县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default" w:ascii="Times New Roman" w:hAnsi="Times New Roman" w:eastAsia="仿宋_GB2312" w:cs="Times New Roman"/>
          <w:b/>
          <w:bCs/>
          <w:color w:val="auto"/>
          <w:sz w:val="24"/>
          <w:highlight w:val="none"/>
          <w:lang w:val="en-US" w:eastAsia="zh-CN"/>
        </w:rPr>
        <w:t>双江口河永州市祁阳县段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b w:val="0"/>
                <w:bCs w:val="0"/>
                <w:color w:val="auto"/>
                <w:sz w:val="18"/>
                <w:szCs w:val="18"/>
                <w:highlight w:val="none"/>
                <w:lang w:val="en-US" w:eastAsia="zh-CN" w:bidi="zh-CN"/>
              </w:rPr>
              <w:t>河口</w:t>
            </w:r>
            <w:r>
              <w:rPr>
                <w:rFonts w:hint="default" w:ascii="Times New Roman" w:hAnsi="Times New Roman" w:eastAsia="仿宋_GB2312" w:cs="Times New Roman"/>
                <w:b w:val="0"/>
                <w:bCs w:val="0"/>
                <w:color w:val="auto"/>
                <w:sz w:val="18"/>
                <w:szCs w:val="18"/>
                <w:highlight w:val="none"/>
                <w:lang w:val="en-US" w:eastAsia="zh-CN" w:bidi="zh-CN"/>
              </w:rPr>
              <w:t>-</w:t>
            </w:r>
            <w:r>
              <w:rPr>
                <w:rFonts w:hint="eastAsia" w:ascii="Times New Roman" w:hAnsi="Times New Roman" w:eastAsia="仿宋_GB2312" w:cs="Times New Roman"/>
                <w:b w:val="0"/>
                <w:bCs w:val="0"/>
                <w:color w:val="auto"/>
                <w:sz w:val="18"/>
                <w:szCs w:val="18"/>
                <w:highlight w:val="none"/>
                <w:lang w:val="en-US" w:eastAsia="zh-CN" w:bidi="zh-CN"/>
              </w:rPr>
              <w:t>祁东县</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4.14</w:t>
            </w:r>
          </w:p>
        </w:tc>
        <w:tc>
          <w:tcPr>
            <w:tcW w:w="1430" w:type="dxa"/>
            <w:tcBorders>
              <w:tl2br w:val="nil"/>
              <w:tr2bl w:val="nil"/>
            </w:tcBorders>
            <w:vAlign w:val="center"/>
          </w:tcPr>
          <w:p>
            <w:pPr>
              <w:pStyle w:val="26"/>
              <w:spacing w:before="0" w:after="0" w:line="320" w:lineRule="exact"/>
              <w:ind w:firstLine="0" w:firstLineChars="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6"/>
              <w:spacing w:before="0" w:after="0" w:line="320" w:lineRule="exact"/>
              <w:ind w:firstLine="0" w:firstLineChars="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6"/>
              <w:spacing w:before="0" w:after="0" w:line="320" w:lineRule="exact"/>
              <w:ind w:firstLine="0" w:firstLineChars="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r>
    </w:tbl>
    <w:p>
      <w:pPr>
        <w:pStyle w:val="4"/>
        <w:rPr>
          <w:rFonts w:hint="default" w:ascii="Times New Roman" w:hAnsi="Times New Roman" w:cs="Times New Roman"/>
          <w:bCs w:val="0"/>
          <w:color w:val="auto"/>
          <w:highlight w:val="none"/>
          <w:lang w:val="en-US"/>
        </w:rPr>
      </w:pPr>
      <w:bookmarkStart w:id="124" w:name="_Toc10656"/>
      <w:bookmarkStart w:id="125" w:name="_Toc23613"/>
      <w:bookmarkStart w:id="126" w:name="_Toc18137"/>
      <w:bookmarkStart w:id="127" w:name="_Toc17933"/>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eastAsia="en-US"/>
        </w:rPr>
        <w:t>.</w:t>
      </w:r>
      <w:r>
        <w:rPr>
          <w:rFonts w:hint="default" w:ascii="Times New Roman" w:hAnsi="Times New Roman" w:cs="Times New Roman"/>
          <w:bCs w:val="0"/>
          <w:color w:val="auto"/>
          <w:highlight w:val="none"/>
          <w:lang w:val="en-US"/>
        </w:rPr>
        <w:t>2 划界标准</w:t>
      </w:r>
      <w:bookmarkEnd w:id="124"/>
      <w:bookmarkEnd w:id="125"/>
      <w:bookmarkEnd w:id="126"/>
      <w:bookmarkEnd w:id="127"/>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highlight w:val="none"/>
          <w:lang w:val="en-US"/>
        </w:rPr>
        <w:t>。依据河段现状基本情况，河湖管理范围划定主要分为三大类：有堤防、无堤防、特殊情况。</w:t>
      </w:r>
    </w:p>
    <w:p>
      <w:pPr>
        <w:pStyle w:val="4"/>
        <w:rPr>
          <w:rFonts w:hint="default" w:ascii="Times New Roman" w:hAnsi="Times New Roman" w:cs="Times New Roman"/>
          <w:bCs w:val="0"/>
          <w:color w:val="auto"/>
          <w:highlight w:val="none"/>
        </w:rPr>
      </w:pPr>
      <w:bookmarkStart w:id="128" w:name="_Toc12019"/>
      <w:bookmarkStart w:id="129" w:name="_Toc6553"/>
      <w:bookmarkStart w:id="130" w:name="_Toc11532"/>
      <w:bookmarkStart w:id="131" w:name="_Toc12156"/>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 xml:space="preserve">.3 </w:t>
      </w:r>
      <w:r>
        <w:rPr>
          <w:rFonts w:hint="default" w:ascii="Times New Roman" w:hAnsi="Times New Roman" w:cs="Times New Roman"/>
          <w:bCs w:val="0"/>
          <w:color w:val="auto"/>
          <w:highlight w:val="none"/>
        </w:rPr>
        <w:t>管理范围划定</w:t>
      </w:r>
      <w:bookmarkEnd w:id="128"/>
      <w:bookmarkEnd w:id="129"/>
      <w:bookmarkEnd w:id="130"/>
      <w:bookmarkEnd w:id="131"/>
    </w:p>
    <w:p>
      <w:pPr>
        <w:pStyle w:val="5"/>
        <w:rPr>
          <w:rFonts w:hint="default" w:ascii="Times New Roman" w:hAnsi="Times New Roman" w:cs="Times New Roman"/>
          <w:color w:val="auto"/>
          <w:highlight w:val="none"/>
          <w:lang w:val="en-US"/>
        </w:rPr>
      </w:pPr>
      <w:bookmarkStart w:id="132" w:name="_Toc10125"/>
      <w:bookmarkStart w:id="133" w:name="_Toc29421"/>
      <w:bookmarkStart w:id="134" w:name="_Toc2946"/>
      <w:bookmarkStart w:id="135" w:name="_Toc31785"/>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.3.1  河湖管理范围划界总体原则</w:t>
      </w:r>
      <w:bookmarkEnd w:id="132"/>
      <w:bookmarkEnd w:id="133"/>
      <w:bookmarkEnd w:id="134"/>
      <w:bookmarkEnd w:id="135"/>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0"/>
          <w:highlight w:val="none"/>
          <w:lang w:val="en-US"/>
        </w:rPr>
        <w:t>2）对于特别重要的堤防工程或重点险工险段，根据工程安全和</w:t>
      </w:r>
      <w:r>
        <w:rPr>
          <w:rFonts w:hint="default" w:ascii="Times New Roman" w:hAnsi="Times New Roman" w:eastAsia="仿宋_GB2312" w:cs="Times New Roman"/>
          <w:color w:val="auto"/>
          <w:highlight w:val="none"/>
        </w:rPr>
        <w:t>管理运行需要，可适当扩大护堤地范围。</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3）</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4）</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5"/>
        <w:rPr>
          <w:rFonts w:hint="default" w:ascii="Times New Roman" w:hAnsi="Times New Roman" w:cs="Times New Roman"/>
          <w:color w:val="auto"/>
          <w:highlight w:val="none"/>
          <w:lang w:val="en-US"/>
        </w:rPr>
      </w:pPr>
      <w:bookmarkStart w:id="136" w:name="_Toc23642"/>
      <w:bookmarkStart w:id="137" w:name="_Toc25910"/>
      <w:bookmarkStart w:id="138" w:name="_Toc12264"/>
      <w:bookmarkStart w:id="139" w:name="_Toc4272"/>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.3.2  有堤防</w:t>
      </w:r>
      <w:r>
        <w:rPr>
          <w:rFonts w:hint="eastAsia" w:cs="Times New Roman"/>
          <w:color w:val="auto"/>
          <w:highlight w:val="none"/>
          <w:lang w:val="en-US" w:eastAsia="zh-CN"/>
        </w:rPr>
        <w:t>河段</w:t>
      </w:r>
      <w:r>
        <w:rPr>
          <w:rFonts w:hint="default" w:ascii="Times New Roman" w:hAnsi="Times New Roman" w:cs="Times New Roman"/>
          <w:color w:val="auto"/>
          <w:highlight w:val="none"/>
          <w:lang w:val="en-US"/>
        </w:rPr>
        <w:t>管理范围线划定</w:t>
      </w:r>
      <w:bookmarkEnd w:id="136"/>
      <w:bookmarkEnd w:id="137"/>
      <w:bookmarkEnd w:id="138"/>
      <w:bookmarkEnd w:id="139"/>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eastAsia="zh-CN"/>
        </w:rPr>
        <w:t>依据《</w:t>
      </w:r>
      <w:r>
        <w:rPr>
          <w:rFonts w:hint="default" w:ascii="Times New Roman" w:hAnsi="Times New Roman" w:eastAsia="仿宋_GB2312" w:cs="Times New Roman"/>
          <w:color w:val="auto"/>
          <w:highlight w:val="none"/>
          <w:lang w:val="en-US" w:eastAsia="zh-CN"/>
        </w:rPr>
        <w:t>中华人民共和国河道管理条例</w:t>
      </w:r>
      <w:r>
        <w:rPr>
          <w:rFonts w:hint="default" w:ascii="Times New Roman" w:hAnsi="Times New Roman" w:eastAsia="仿宋_GB2312" w:cs="Times New Roman"/>
          <w:color w:val="auto"/>
          <w:highlight w:val="none"/>
          <w:lang w:eastAsia="zh-CN"/>
        </w:rPr>
        <w:t>》及</w:t>
      </w:r>
      <w:r>
        <w:rPr>
          <w:rFonts w:hint="default" w:ascii="Times New Roman" w:hAnsi="Times New Roman" w:eastAsia="仿宋_GB2312" w:cs="Times New Roman"/>
          <w:color w:val="auto"/>
          <w:highlight w:val="none"/>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highlight w:val="none"/>
          <w:lang w:val="en-US"/>
        </w:rPr>
        <w:t>.3-1、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10～5</w:t>
            </w:r>
          </w:p>
        </w:tc>
      </w:tr>
    </w:tbl>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有堤防的河道保护范围应包括：</w:t>
      </w:r>
      <w:r>
        <w:rPr>
          <w:rFonts w:hint="default" w:ascii="Times New Roman" w:hAnsi="Times New Roman" w:eastAsia="仿宋_GB2312" w:cs="Times New Roman"/>
          <w:color w:val="auto"/>
        </w:rPr>
        <w:t>河槽、沙洲、滩地、内护堤地、堤防工程占压地、外护堤地、安全保护区。</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rPr>
        <w:t>根据《堤防工程设计规范》</w:t>
      </w:r>
      <w:r>
        <w:rPr>
          <w:rFonts w:hint="default" w:ascii="Times New Roman" w:hAnsi="Times New Roman" w:eastAsia="仿宋_GB2312" w:cs="Times New Roman"/>
          <w:color w:val="auto"/>
          <w:lang w:val="en-US"/>
        </w:rPr>
        <w:t>（GB50286-2013），安全保护区</w:t>
      </w:r>
      <w:r>
        <w:rPr>
          <w:rFonts w:hint="default" w:ascii="Times New Roman" w:hAnsi="Times New Roman" w:eastAsia="仿宋_GB2312" w:cs="Times New Roman"/>
          <w:color w:val="auto"/>
        </w:rPr>
        <w:t>宽度为</w:t>
      </w:r>
      <w:r>
        <w:rPr>
          <w:rFonts w:hint="default" w:ascii="Times New Roman" w:hAnsi="Times New Roman" w:eastAsia="仿宋_GB2312" w:cs="Times New Roman"/>
          <w:color w:val="auto"/>
          <w:lang w:val="en-US"/>
        </w:rPr>
        <w:t>50-300m.具体见下表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堤防外护堤地宽度数值表</w:t>
      </w:r>
    </w:p>
    <w:tbl>
      <w:tblPr>
        <w:tblStyle w:val="17"/>
        <w:tblW w:w="93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97"/>
        <w:gridCol w:w="2063"/>
        <w:gridCol w:w="2081"/>
        <w:gridCol w:w="2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81"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保护范围（m）</w:t>
            </w:r>
          </w:p>
        </w:tc>
        <w:tc>
          <w:tcPr>
            <w:tcW w:w="20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300～200</w:t>
            </w:r>
          </w:p>
        </w:tc>
        <w:tc>
          <w:tcPr>
            <w:tcW w:w="2081"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200～100</w:t>
            </w:r>
          </w:p>
        </w:tc>
        <w:tc>
          <w:tcPr>
            <w:tcW w:w="23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100～50</w:t>
            </w:r>
          </w:p>
        </w:tc>
      </w:tr>
    </w:tbl>
    <w:p>
      <w:pPr>
        <w:rPr>
          <w:rFonts w:hint="eastAsia" w:eastAsia="仿宋_GB2312"/>
          <w:color w:val="auto"/>
          <w:lang w:eastAsia="zh-CN"/>
        </w:rPr>
      </w:pPr>
      <w:r>
        <w:rPr>
          <w:rFonts w:hint="eastAsia" w:eastAsia="仿宋_GB2312"/>
          <w:color w:val="auto"/>
          <w:lang w:eastAsia="zh-CN"/>
        </w:rPr>
        <w:br w:type="page"/>
      </w:r>
    </w:p>
    <w:p>
      <w:pPr>
        <w:spacing w:line="360" w:lineRule="auto"/>
        <w:ind w:firstLine="560" w:firstLineChars="200"/>
        <w:rPr>
          <w:rFonts w:hint="default" w:ascii="Times New Roman" w:hAnsi="Times New Roman" w:eastAsia="仿宋_GB2312" w:cs="Times New Roman"/>
          <w:color w:val="auto"/>
          <w:highlight w:val="none"/>
          <w:lang w:val="en-US" w:eastAsia="zh-CN"/>
        </w:rPr>
      </w:pPr>
      <w:r>
        <w:rPr>
          <w:rFonts w:hint="eastAsia" w:eastAsia="仿宋_GB2312"/>
          <w:color w:val="auto"/>
          <w:lang w:eastAsia="zh-CN"/>
        </w:rPr>
        <w:t>同时，</w:t>
      </w:r>
      <w:r>
        <w:rPr>
          <w:rFonts w:hint="eastAsia" w:eastAsia="仿宋_GB2312"/>
          <w:color w:val="auto"/>
          <w:lang w:val="en-US" w:eastAsia="zh-CN"/>
        </w:rPr>
        <w:t>《湖南省实施&lt;中华人民共和国水法&gt;》中第十六条明确规定“</w:t>
      </w:r>
      <w:r>
        <w:rPr>
          <w:rFonts w:hint="eastAsia" w:eastAsia="仿宋_GB2312"/>
          <w:color w:val="auto"/>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eastAsia" w:eastAsia="仿宋_GB2312"/>
          <w:color w:val="auto"/>
          <w:lang w:val="en-US" w:eastAsia="zh-CN"/>
        </w:rPr>
        <w:t>”</w:t>
      </w:r>
      <w:r>
        <w:rPr>
          <w:rFonts w:hint="default" w:ascii="Times New Roman" w:hAnsi="Times New Roman" w:eastAsia="仿宋_GB2312" w:cs="Times New Roman"/>
          <w:color w:val="auto"/>
          <w:highlight w:val="none"/>
          <w:lang w:val="en-US" w:eastAsia="zh-CN"/>
        </w:rPr>
        <w:t>。</w:t>
      </w:r>
      <w:r>
        <w:rPr>
          <w:rFonts w:hint="eastAsia" w:eastAsia="仿宋_GB2312" w:cs="Times New Roman"/>
          <w:color w:val="auto"/>
          <w:highlight w:val="none"/>
          <w:lang w:val="en-US" w:eastAsia="zh-CN"/>
        </w:rPr>
        <w:t>双江口河全线均为无堤防河段</w:t>
      </w:r>
      <w:r>
        <w:rPr>
          <w:rFonts w:hint="default" w:ascii="Times New Roman" w:hAnsi="Times New Roman" w:eastAsia="仿宋_GB2312" w:cs="Times New Roman"/>
          <w:color w:val="auto"/>
          <w:highlight w:val="none"/>
          <w:lang w:val="en-US" w:eastAsia="zh-CN"/>
        </w:rPr>
        <w:t>。</w:t>
      </w:r>
      <w:bookmarkStart w:id="140" w:name="_Toc31379"/>
      <w:bookmarkStart w:id="141" w:name="_Toc22820"/>
      <w:bookmarkStart w:id="142" w:name="_Toc27811"/>
      <w:bookmarkStart w:id="143" w:name="_Toc16080"/>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5.3.</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无堤防段河湖管理范围线划定</w:t>
      </w:r>
      <w:bookmarkEnd w:id="140"/>
      <w:bookmarkEnd w:id="141"/>
      <w:bookmarkEnd w:id="142"/>
      <w:bookmarkEnd w:id="143"/>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firstLine="680" w:firstLineChars="200"/>
        <w:jc w:val="left"/>
        <w:textAlignment w:val="auto"/>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1）总体原则</w:t>
      </w:r>
    </w:p>
    <w:p>
      <w:pPr>
        <w:spacing w:line="360" w:lineRule="auto"/>
        <w:ind w:firstLine="560" w:firstLineChars="20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①无堤防的河道、湖泊管理范围界线应为设计洪水位或历史最高洪水位线，划界设计洪水标准按防洪规划确定，无防洪规划的按《防洪标准》（</w:t>
      </w:r>
      <w:r>
        <w:rPr>
          <w:rFonts w:hint="default" w:ascii="Times New Roman" w:hAnsi="Times New Roman" w:eastAsia="仿宋" w:cs="Times New Roman"/>
          <w:color w:val="auto"/>
          <w:highlight w:val="none"/>
          <w:lang w:val="en-US" w:eastAsia="zh-CN"/>
        </w:rPr>
        <w:t>GB</w:t>
      </w:r>
      <w:r>
        <w:rPr>
          <w:rFonts w:hint="default" w:ascii="Times New Roman" w:hAnsi="Times New Roman" w:eastAsia="仿宋" w:cs="Times New Roman"/>
          <w:color w:val="auto"/>
          <w:highlight w:val="none"/>
          <w:lang w:val="en-US"/>
        </w:rPr>
        <w:t>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 w:cs="Times New Roman"/>
          <w:color w:val="auto"/>
          <w:highlight w:val="none"/>
          <w:lang w:val="en-US"/>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lang w:val="en-US"/>
        </w:rPr>
      </w:pPr>
      <w:r>
        <w:drawing>
          <wp:inline distT="0" distB="0" distL="114300" distR="114300">
            <wp:extent cx="5863590" cy="1894205"/>
            <wp:effectExtent l="0" t="0" r="3810"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1"/>
                    <a:stretch>
                      <a:fillRect/>
                    </a:stretch>
                  </pic:blipFill>
                  <pic:spPr>
                    <a:xfrm>
                      <a:off x="0" y="0"/>
                      <a:ext cx="5863590" cy="1894205"/>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1</w:t>
      </w:r>
      <w:r>
        <w:rPr>
          <w:rFonts w:hint="default" w:ascii="Times New Roman" w:hAnsi="Times New Roman" w:eastAsia="仿宋_GB2312" w:cs="Times New Roman"/>
          <w:b/>
          <w:bCs/>
          <w:color w:val="auto"/>
          <w:sz w:val="24"/>
          <w:szCs w:val="24"/>
          <w:highlight w:val="none"/>
          <w:lang w:val="en-US"/>
        </w:rPr>
        <w:t xml:space="preserve"> </w:t>
      </w:r>
      <w:r>
        <w:rPr>
          <w:rFonts w:hint="default" w:ascii="Times New Roman" w:hAnsi="Times New Roman" w:eastAsia="仿宋_GB2312" w:cs="Times New Roman"/>
          <w:b/>
          <w:bCs/>
          <w:color w:val="auto"/>
          <w:sz w:val="24"/>
          <w:szCs w:val="24"/>
          <w:highlight w:val="none"/>
          <w:lang w:val="en-US" w:eastAsia="zh-CN"/>
        </w:rPr>
        <w:t>双江口河祁阳县段无堤防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w:t>
      </w:r>
    </w:p>
    <w:p>
      <w:pPr>
        <w:pStyle w:val="5"/>
        <w:rPr>
          <w:rFonts w:hint="default" w:ascii="Times New Roman" w:hAnsi="Times New Roman" w:eastAsia="仿宋_GB2312" w:cs="Times New Roman"/>
          <w:color w:val="auto"/>
          <w:highlight w:val="none"/>
          <w:lang w:eastAsia="zh-CN"/>
        </w:rPr>
      </w:pPr>
      <w:bookmarkStart w:id="144" w:name="_Toc24395"/>
      <w:bookmarkStart w:id="145" w:name="_Toc4736"/>
      <w:bookmarkStart w:id="146" w:name="_Toc1511"/>
      <w:bookmarkStart w:id="147" w:name="_Toc27633"/>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w:t>
      </w:r>
      <w:r>
        <w:rPr>
          <w:rFonts w:hint="eastAsia" w:cs="Times New Roman"/>
          <w:color w:val="auto"/>
          <w:highlight w:val="none"/>
          <w:lang w:val="en-US" w:eastAsia="zh-CN"/>
        </w:rPr>
        <w:t>4</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特殊情况</w:t>
      </w:r>
      <w:bookmarkEnd w:id="144"/>
      <w:bookmarkEnd w:id="145"/>
      <w:bookmarkEnd w:id="146"/>
      <w:bookmarkEnd w:id="147"/>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2"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2"/>
        <w:jc w:val="center"/>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eastAsia" w:eastAsia="仿宋_GB2312" w:cs="Times New Roman"/>
          <w:b/>
          <w:bCs/>
          <w:color w:val="auto"/>
          <w:sz w:val="24"/>
          <w:szCs w:val="24"/>
          <w:highlight w:val="none"/>
          <w:lang w:val="en-US" w:eastAsia="zh-CN"/>
        </w:rPr>
        <w:t>3</w:t>
      </w:r>
      <w:r>
        <w:rPr>
          <w:rFonts w:hint="default" w:ascii="Times New Roman" w:hAnsi="Times New Roman" w:eastAsia="仿宋_GB2312" w:cs="Times New Roman"/>
          <w:b/>
          <w:bCs/>
          <w:color w:val="auto"/>
          <w:sz w:val="24"/>
          <w:szCs w:val="24"/>
          <w:highlight w:val="none"/>
          <w:lang w:val="en-US" w:eastAsia="zh-CN"/>
        </w:rPr>
        <w:t>堤防有缺口、不连续</w:t>
      </w:r>
      <w:r>
        <w:rPr>
          <w:rFonts w:hint="default" w:ascii="Times New Roman" w:hAnsi="Times New Roman" w:eastAsia="仿宋_GB2312" w:cs="Times New Roman"/>
          <w:b/>
          <w:bCs/>
          <w:color w:val="auto"/>
          <w:sz w:val="24"/>
          <w:szCs w:val="24"/>
          <w:highlight w:val="none"/>
          <w:lang w:val="en-US"/>
        </w:rPr>
        <w:t>典型断面图</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6</w:t>
      </w:r>
      <w:r>
        <w:rPr>
          <w:rFonts w:hint="default" w:ascii="Times New Roman" w:hAnsi="Times New Roman" w:eastAsia="仿宋_GB2312" w:cs="Times New Roman"/>
          <w:color w:val="auto"/>
          <w:highlight w:val="none"/>
          <w:lang w:val="en-US"/>
        </w:rPr>
        <w:t>）对河势不稳、河槽冲淤变化明显、主流摆动的河段，划定管理范围时应考虑河势演变影响，适当留有佘地。</w:t>
      </w:r>
    </w:p>
    <w:p>
      <w:pPr>
        <w:spacing w:line="360" w:lineRule="auto"/>
        <w:ind w:firstLine="560" w:firstLineChars="200"/>
        <w:rPr>
          <w:rFonts w:hint="eastAsia"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7</w:t>
      </w:r>
      <w:r>
        <w:rPr>
          <w:rFonts w:hint="default" w:ascii="Times New Roman" w:hAnsi="Times New Roman" w:eastAsia="仿宋_GB2312" w:cs="Times New Roman"/>
          <w:color w:val="auto"/>
          <w:highlight w:val="none"/>
          <w:lang w:val="en-US"/>
        </w:rPr>
        <w:t>）河湖管理范围划界工作政策性很强，依法依规是前提，对于地方出台了地方性规定标准的，按照属地管理原则，可以具体的地方政策法规作为依据，但不能超过相关上位法律法规的标准</w:t>
      </w:r>
      <w:bookmarkStart w:id="148" w:name="_Toc19225"/>
      <w:r>
        <w:rPr>
          <w:rFonts w:hint="eastAsia" w:eastAsia="仿宋_GB2312" w:cs="Times New Roman"/>
          <w:color w:val="auto"/>
          <w:highlight w:val="none"/>
          <w:lang w:val="en-US" w:eastAsia="zh-CN"/>
        </w:rPr>
        <w:t>。</w:t>
      </w:r>
    </w:p>
    <w:p>
      <w:pPr>
        <w:pStyle w:val="2"/>
        <w:rPr>
          <w:rFonts w:hint="eastAsia" w:eastAsia="仿宋_GB2312" w:cs="Times New Roman"/>
          <w:color w:val="auto"/>
          <w:kern w:val="0"/>
          <w:sz w:val="28"/>
          <w:szCs w:val="24"/>
          <w:highlight w:val="none"/>
          <w:lang w:val="en-US" w:eastAsia="zh-CN" w:bidi="zh-CN"/>
        </w:rPr>
      </w:pPr>
      <w:r>
        <w:rPr>
          <w:rFonts w:hint="eastAsia" w:eastAsia="仿宋_GB2312" w:cs="Times New Roman"/>
          <w:color w:val="auto"/>
          <w:kern w:val="0"/>
          <w:sz w:val="28"/>
          <w:szCs w:val="24"/>
          <w:highlight w:val="none"/>
          <w:lang w:val="en-US" w:eastAsia="zh-CN" w:bidi="zh-CN"/>
        </w:rPr>
        <w:t>8</w:t>
      </w:r>
      <w:r>
        <w:rPr>
          <w:rFonts w:hint="default" w:ascii="Times New Roman" w:hAnsi="Times New Roman" w:eastAsia="仿宋_GB2312" w:cs="Times New Roman"/>
          <w:color w:val="auto"/>
          <w:kern w:val="0"/>
          <w:sz w:val="28"/>
          <w:szCs w:val="24"/>
          <w:highlight w:val="none"/>
          <w:lang w:val="en-US" w:eastAsia="zh-CN" w:bidi="zh-CN"/>
        </w:rPr>
        <w:t>）</w:t>
      </w:r>
      <w:r>
        <w:rPr>
          <w:rFonts w:hint="eastAsia" w:ascii="Times New Roman" w:hAnsi="Times New Roman" w:eastAsia="仿宋_GB2312" w:cs="Times New Roman"/>
          <w:color w:val="auto"/>
          <w:kern w:val="0"/>
          <w:sz w:val="28"/>
          <w:szCs w:val="24"/>
          <w:highlight w:val="none"/>
          <w:lang w:val="en-US" w:eastAsia="zh-CN" w:bidi="zh-CN"/>
        </w:rPr>
        <w:t>根据《水闸工程管理设计规范(SL170-96)》，水利工程闸坝</w:t>
      </w:r>
      <w:r>
        <w:rPr>
          <w:rFonts w:hint="default" w:ascii="Times New Roman" w:hAnsi="Times New Roman" w:eastAsia="仿宋_GB2312" w:cs="Times New Roman"/>
          <w:color w:val="auto"/>
          <w:kern w:val="0"/>
          <w:sz w:val="28"/>
          <w:szCs w:val="24"/>
          <w:highlight w:val="none"/>
          <w:lang w:val="en-US" w:eastAsia="zh-CN" w:bidi="zh-CN"/>
        </w:rPr>
        <w:t>两端向外延伸50米，河床、河堤护砌线末端向上下游各延伸</w:t>
      </w:r>
      <w:r>
        <w:rPr>
          <w:rFonts w:hint="eastAsia" w:ascii="Times New Roman" w:hAnsi="Times New Roman" w:eastAsia="仿宋_GB2312" w:cs="Times New Roman"/>
          <w:color w:val="auto"/>
          <w:kern w:val="0"/>
          <w:sz w:val="28"/>
          <w:szCs w:val="24"/>
          <w:highlight w:val="none"/>
          <w:lang w:val="en-US" w:eastAsia="zh-CN" w:bidi="zh-CN"/>
        </w:rPr>
        <w:t>1</w:t>
      </w:r>
      <w:r>
        <w:rPr>
          <w:rFonts w:hint="default" w:ascii="Times New Roman" w:hAnsi="Times New Roman" w:eastAsia="仿宋_GB2312" w:cs="Times New Roman"/>
          <w:color w:val="auto"/>
          <w:kern w:val="0"/>
          <w:sz w:val="28"/>
          <w:szCs w:val="24"/>
          <w:highlight w:val="none"/>
          <w:lang w:val="en-US" w:eastAsia="zh-CN" w:bidi="zh-CN"/>
        </w:rPr>
        <w:t>00米为</w:t>
      </w:r>
      <w:r>
        <w:rPr>
          <w:rFonts w:hint="eastAsia" w:ascii="Times New Roman" w:hAnsi="Times New Roman" w:eastAsia="仿宋_GB2312" w:cs="Times New Roman"/>
          <w:color w:val="auto"/>
          <w:kern w:val="0"/>
          <w:sz w:val="28"/>
          <w:szCs w:val="24"/>
          <w:highlight w:val="none"/>
          <w:lang w:val="en-US" w:eastAsia="zh-CN" w:bidi="zh-CN"/>
        </w:rPr>
        <w:t>管理</w:t>
      </w:r>
      <w:r>
        <w:rPr>
          <w:rFonts w:hint="default" w:ascii="Times New Roman" w:hAnsi="Times New Roman" w:eastAsia="仿宋_GB2312" w:cs="Times New Roman"/>
          <w:color w:val="auto"/>
          <w:kern w:val="0"/>
          <w:sz w:val="28"/>
          <w:szCs w:val="24"/>
          <w:highlight w:val="none"/>
          <w:lang w:val="en-US" w:eastAsia="zh-CN" w:bidi="zh-CN"/>
        </w:rPr>
        <w:t>范围</w:t>
      </w:r>
      <w:r>
        <w:rPr>
          <w:rFonts w:hint="eastAsia" w:eastAsia="仿宋_GB2312" w:cs="Times New Roman"/>
          <w:color w:val="auto"/>
          <w:kern w:val="0"/>
          <w:sz w:val="28"/>
          <w:szCs w:val="24"/>
          <w:highlight w:val="none"/>
          <w:lang w:val="en-US" w:eastAsia="zh-CN" w:bidi="zh-CN"/>
        </w:rPr>
        <w:t>。</w:t>
      </w:r>
      <w:bookmarkStart w:id="149" w:name="_Toc3633"/>
      <w:bookmarkStart w:id="150" w:name="_Toc30676"/>
      <w:bookmarkStart w:id="151" w:name="_Toc23188"/>
    </w:p>
    <w:p>
      <w:pPr>
        <w:pStyle w:val="4"/>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t>5.</w:t>
      </w:r>
      <w:r>
        <w:rPr>
          <w:rFonts w:hint="eastAsia" w:ascii="Times New Roman" w:hAnsi="Times New Roman" w:cs="Times New Roman"/>
          <w:bCs w:val="0"/>
          <w:color w:val="auto"/>
          <w:highlight w:val="none"/>
          <w:lang w:val="en-US" w:eastAsia="zh-CN"/>
        </w:rPr>
        <w:t>4</w:t>
      </w:r>
      <w:r>
        <w:rPr>
          <w:rFonts w:hint="default" w:ascii="Times New Roman" w:hAnsi="Times New Roman" w:cs="Times New Roman"/>
          <w:bCs w:val="0"/>
          <w:color w:val="auto"/>
          <w:highlight w:val="none"/>
          <w:lang w:val="en-US" w:eastAsia="zh-CN"/>
        </w:rPr>
        <w:t>双江口河永州市祁阳县段河湖管理范围线划定标准成果</w:t>
      </w:r>
      <w:bookmarkEnd w:id="148"/>
      <w:bookmarkEnd w:id="149"/>
      <w:bookmarkEnd w:id="150"/>
      <w:bookmarkEnd w:id="151"/>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按以上划定原则与相关设计洪水位值，对</w:t>
      </w:r>
      <w:r>
        <w:rPr>
          <w:rFonts w:hint="default" w:ascii="Times New Roman" w:hAnsi="Times New Roman" w:eastAsia="仿宋_GB2312" w:cs="Times New Roman"/>
          <w:color w:val="auto"/>
          <w:highlight w:val="none"/>
          <w:lang w:val="en-US" w:eastAsia="zh-CN"/>
        </w:rPr>
        <w:t>双江口河祁阳县</w:t>
      </w:r>
      <w:r>
        <w:rPr>
          <w:rFonts w:hint="default" w:ascii="Times New Roman" w:hAnsi="Times New Roman" w:eastAsia="仿宋_GB2312" w:cs="Times New Roman"/>
          <w:color w:val="auto"/>
          <w:highlight w:val="none"/>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rPr>
        <w:t>。</w:t>
      </w:r>
    </w:p>
    <w:p>
      <w:pPr>
        <w:pStyle w:val="2"/>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说明：1）起点和终点填写河道里程数和点位坐标，其中，河道里程数为从下游至上游的河流中心线长度，下游与本县级行政区划交界处里程为0km。</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表中坐标系统：2000国家大地坐标系，高斯投影，标准3度分带；高程系统：1985国家高程基准。</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类别可分为有堤防、无堤防、水利工程。</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sectPr>
          <w:headerReference r:id="rId13" w:type="first"/>
          <w:footerReference r:id="rId15" w:type="first"/>
          <w:headerReference r:id="rId12" w:type="default"/>
          <w:footerReference r:id="rId14"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highlight w:val="none"/>
          <w:lang w:val="en-US" w:eastAsia="zh-CN" w:bidi="zh-CN"/>
        </w:rPr>
        <w:t>河段属性可分为城镇河段、农村河段。</w:t>
      </w:r>
    </w:p>
    <w:p>
      <w:pPr>
        <w:jc w:val="left"/>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.4-1                                                                </w:t>
      </w:r>
      <w:r>
        <w:rPr>
          <w:rFonts w:hint="default" w:ascii="Times New Roman" w:hAnsi="Times New Roman" w:eastAsia="仿宋_GB2312" w:cs="Times New Roman"/>
          <w:b/>
          <w:bCs/>
          <w:color w:val="auto"/>
          <w:sz w:val="24"/>
          <w:highlight w:val="none"/>
          <w:lang w:val="en-US" w:eastAsia="zh-CN"/>
        </w:rPr>
        <w:t>双江口河永州市祁阳县</w:t>
      </w:r>
      <w:r>
        <w:rPr>
          <w:rFonts w:hint="default" w:ascii="Times New Roman" w:hAnsi="Times New Roman" w:eastAsia="仿宋_GB2312" w:cs="Times New Roman"/>
          <w:b/>
          <w:bCs/>
          <w:color w:val="auto"/>
          <w:sz w:val="24"/>
          <w:highlight w:val="none"/>
          <w:lang w:val="en-US"/>
        </w:rPr>
        <w:t>段河湖管理范围线划定标准成果表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580"/>
        <w:gridCol w:w="585"/>
        <w:gridCol w:w="718"/>
        <w:gridCol w:w="945"/>
        <w:gridCol w:w="1096"/>
        <w:gridCol w:w="689"/>
        <w:gridCol w:w="1048"/>
        <w:gridCol w:w="1027"/>
        <w:gridCol w:w="886"/>
        <w:gridCol w:w="1844"/>
        <w:gridCol w:w="915"/>
        <w:gridCol w:w="1959"/>
        <w:gridCol w:w="10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1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2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类别</w:t>
            </w:r>
          </w:p>
        </w:tc>
        <w:tc>
          <w:tcPr>
            <w:tcW w:w="1037"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39"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33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河段属性</w:t>
            </w:r>
          </w:p>
        </w:tc>
        <w:tc>
          <w:tcPr>
            <w:tcW w:w="6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依据</w:t>
            </w:r>
          </w:p>
        </w:tc>
        <w:tc>
          <w:tcPr>
            <w:tcW w:w="1080"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划界标准</w:t>
            </w:r>
          </w:p>
        </w:tc>
        <w:tc>
          <w:tcPr>
            <w:tcW w:w="37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1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67"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5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79"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3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6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护堤地范围</w:t>
            </w:r>
          </w:p>
        </w:tc>
        <w:tc>
          <w:tcPr>
            <w:tcW w:w="73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其他标准</w:t>
            </w:r>
          </w:p>
        </w:tc>
        <w:tc>
          <w:tcPr>
            <w:tcW w:w="37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5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41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5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3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6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4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3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7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2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2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3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579345.62 </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2964441.42 </w:t>
            </w: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3.45</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581149.05 </w:t>
            </w:r>
          </w:p>
        </w:tc>
        <w:tc>
          <w:tcPr>
            <w:tcW w:w="3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2966553.88 </w:t>
            </w:r>
          </w:p>
        </w:tc>
        <w:tc>
          <w:tcPr>
            <w:tcW w:w="33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农村河段</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中华人民共和国河道管理条例第20条第2款</w:t>
            </w:r>
          </w:p>
        </w:tc>
        <w:tc>
          <w:tcPr>
            <w:tcW w:w="34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3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依设计洪水（防洪标准10年一遇）</w:t>
            </w:r>
          </w:p>
        </w:tc>
        <w:tc>
          <w:tcPr>
            <w:tcW w:w="3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双江口村</w:t>
            </w:r>
            <w:r>
              <w:rPr>
                <w:rFonts w:hint="eastAsia" w:eastAsia="仿宋_GB2312" w:cs="Times New Roman"/>
                <w:i w:val="0"/>
                <w:color w:val="auto"/>
                <w:kern w:val="0"/>
                <w:sz w:val="18"/>
                <w:szCs w:val="18"/>
                <w:u w:val="none"/>
                <w:lang w:val="en-US" w:eastAsia="zh-CN" w:bidi="ar"/>
              </w:rPr>
              <w:t>、</w:t>
            </w:r>
            <w:r>
              <w:rPr>
                <w:rFonts w:hint="default" w:ascii="Times New Roman" w:hAnsi="Times New Roman" w:eastAsia="仿宋_GB2312" w:cs="Times New Roman"/>
                <w:i w:val="0"/>
                <w:color w:val="auto"/>
                <w:kern w:val="0"/>
                <w:sz w:val="18"/>
                <w:szCs w:val="18"/>
                <w:u w:val="none"/>
                <w:lang w:val="en-US" w:eastAsia="zh-CN" w:bidi="ar"/>
              </w:rPr>
              <w:t>檀山岭村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1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2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2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3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579371.89 </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2964568.58 </w:t>
            </w: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4.14</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580412.058</w:t>
            </w:r>
          </w:p>
        </w:tc>
        <w:tc>
          <w:tcPr>
            <w:tcW w:w="3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2966659.426</w:t>
            </w:r>
          </w:p>
        </w:tc>
        <w:tc>
          <w:tcPr>
            <w:tcW w:w="33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农村河段</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中华人民共和国河道管理条例第20条第2款</w:t>
            </w:r>
          </w:p>
        </w:tc>
        <w:tc>
          <w:tcPr>
            <w:tcW w:w="34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3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依设计洪水（防洪标准10年一遇）</w:t>
            </w:r>
          </w:p>
        </w:tc>
        <w:tc>
          <w:tcPr>
            <w:tcW w:w="3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双江口村、立志塘村</w:t>
            </w:r>
            <w:r>
              <w:rPr>
                <w:rFonts w:hint="eastAsia" w:eastAsia="仿宋_GB2312" w:cs="Times New Roman"/>
                <w:i w:val="0"/>
                <w:color w:val="auto"/>
                <w:kern w:val="0"/>
                <w:sz w:val="18"/>
                <w:szCs w:val="18"/>
                <w:u w:val="none"/>
                <w:lang w:val="en-US" w:eastAsia="zh-CN" w:bidi="ar"/>
              </w:rPr>
              <w:t>、</w:t>
            </w:r>
            <w:r>
              <w:rPr>
                <w:rFonts w:hint="default" w:ascii="Times New Roman" w:hAnsi="Times New Roman" w:eastAsia="仿宋_GB2312" w:cs="Times New Roman"/>
                <w:i w:val="0"/>
                <w:color w:val="auto"/>
                <w:kern w:val="0"/>
                <w:sz w:val="18"/>
                <w:szCs w:val="18"/>
                <w:u w:val="none"/>
                <w:lang w:val="en-US" w:eastAsia="zh-CN" w:bidi="ar"/>
              </w:rPr>
              <w:t>檀山岭村</w:t>
            </w:r>
          </w:p>
        </w:tc>
      </w:tr>
    </w:tbl>
    <w:p>
      <w:pPr>
        <w:jc w:val="left"/>
        <w:rPr>
          <w:rFonts w:hint="default" w:ascii="Times New Roman" w:hAnsi="Times New Roman" w:eastAsia="仿宋_GB2312" w:cs="Times New Roman"/>
          <w:b/>
          <w:bCs/>
          <w:color w:val="auto"/>
          <w:sz w:val="24"/>
          <w:highlight w:val="none"/>
          <w:lang w:val="en-US"/>
        </w:rPr>
      </w:pPr>
    </w:p>
    <w:p>
      <w:pPr>
        <w:jc w:val="left"/>
        <w:rPr>
          <w:rFonts w:hint="default" w:ascii="Times New Roman" w:hAnsi="Times New Roman" w:eastAsia="仿宋_GB2312" w:cs="Times New Roman"/>
          <w:b/>
          <w:bCs/>
          <w:color w:val="auto"/>
          <w:sz w:val="24"/>
          <w:highlight w:val="none"/>
          <w:lang w:val="en-US"/>
        </w:rPr>
      </w:pPr>
    </w:p>
    <w:p>
      <w:pPr>
        <w:jc w:val="left"/>
        <w:rPr>
          <w:rFonts w:hint="default" w:ascii="Times New Roman" w:hAnsi="Times New Roman" w:eastAsia="仿宋_GB2312" w:cs="Times New Roman"/>
          <w:b/>
          <w:bCs/>
          <w:color w:val="auto"/>
          <w:sz w:val="24"/>
          <w:highlight w:val="none"/>
          <w:lang w:val="en-US"/>
        </w:rPr>
      </w:pPr>
    </w:p>
    <w:p>
      <w:pPr>
        <w:jc w:val="left"/>
        <w:rPr>
          <w:rFonts w:hint="default" w:ascii="Times New Roman" w:hAnsi="Times New Roman" w:eastAsia="仿宋_GB2312" w:cs="Times New Roman"/>
          <w:b/>
          <w:bCs/>
          <w:color w:val="auto"/>
          <w:sz w:val="24"/>
          <w:highlight w:val="none"/>
          <w:lang w:val="en-US"/>
        </w:rPr>
      </w:pPr>
    </w:p>
    <w:p>
      <w:pPr>
        <w:jc w:val="left"/>
        <w:rPr>
          <w:rFonts w:hint="default" w:ascii="Times New Roman" w:hAnsi="Times New Roman" w:eastAsia="仿宋_GB2312" w:cs="Times New Roman"/>
          <w:b/>
          <w:bCs/>
          <w:color w:val="auto"/>
          <w:sz w:val="24"/>
          <w:highlight w:val="none"/>
          <w:lang w:val="en-US"/>
        </w:rPr>
      </w:pPr>
    </w:p>
    <w:p>
      <w:pPr>
        <w:jc w:val="left"/>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宋体" w:cs="Times New Roman"/>
          <w:color w:val="auto"/>
          <w:highlight w:val="none"/>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b/>
          <w:bCs/>
          <w:color w:val="auto"/>
          <w:sz w:val="24"/>
          <w:highlight w:val="none"/>
          <w:lang w:val="en-US"/>
        </w:rPr>
        <w:br w:type="page"/>
      </w:r>
    </w:p>
    <w:p>
      <w:pPr>
        <w:pStyle w:val="3"/>
        <w:spacing w:line="360" w:lineRule="auto"/>
        <w:jc w:val="both"/>
        <w:rPr>
          <w:rFonts w:hint="default" w:ascii="Times New Roman" w:hAnsi="Times New Roman" w:cs="Times New Roman"/>
          <w:color w:val="auto"/>
          <w:highlight w:val="none"/>
          <w:lang w:val="en-US"/>
        </w:rPr>
      </w:pPr>
      <w:bookmarkStart w:id="152" w:name="_Toc7650"/>
      <w:bookmarkStart w:id="153" w:name="_Toc18218"/>
      <w:bookmarkStart w:id="154" w:name="_Toc24931"/>
      <w:bookmarkStart w:id="155" w:name="_Toc25656"/>
      <w:r>
        <w:rPr>
          <w:rFonts w:hint="default" w:ascii="Times New Roman" w:hAnsi="Times New Roman" w:cs="Times New Roman"/>
          <w:color w:val="auto"/>
          <w:highlight w:val="none"/>
          <w:lang w:val="en-US"/>
        </w:rPr>
        <w:t>6 其他相关情况说明</w:t>
      </w:r>
      <w:bookmarkEnd w:id="152"/>
      <w:bookmarkEnd w:id="153"/>
      <w:bookmarkEnd w:id="154"/>
      <w:bookmarkEnd w:id="155"/>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highlight w:val="none"/>
          <w:lang w:val="en-US" w:eastAsia="zh-CN" w:bidi="zh-CN"/>
        </w:rPr>
        <w:tab/>
      </w:r>
      <w:r>
        <w:rPr>
          <w:rFonts w:hint="default" w:ascii="Times New Roman" w:hAnsi="Times New Roman" w:eastAsia="仿宋_GB2312" w:cs="Times New Roman"/>
          <w:color w:val="auto"/>
          <w:sz w:val="28"/>
          <w:szCs w:val="24"/>
          <w:highlight w:val="none"/>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highlight w:val="none"/>
          <w:lang w:val="en-US" w:eastAsia="zh-CN"/>
        </w:rPr>
      </w:pPr>
      <w:bookmarkStart w:id="156" w:name="_Toc23224"/>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val="en-US" w:eastAsia="zh-CN"/>
        </w:rPr>
      </w:pPr>
      <w:bookmarkStart w:id="157" w:name="_Toc28901"/>
      <w:bookmarkStart w:id="158" w:name="_Toc18339"/>
      <w:bookmarkStart w:id="159" w:name="_Toc16059"/>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附表、附图</w:t>
      </w:r>
      <w:bookmarkEnd w:id="156"/>
      <w:bookmarkEnd w:id="157"/>
      <w:bookmarkEnd w:id="158"/>
      <w:bookmarkEnd w:id="159"/>
    </w:p>
    <w:p>
      <w:pPr>
        <w:pStyle w:val="4"/>
        <w:rPr>
          <w:rFonts w:hint="default" w:ascii="Times New Roman" w:hAnsi="Times New Roman" w:eastAsia="仿宋_GB2312" w:cs="Times New Roman"/>
          <w:color w:val="auto"/>
          <w:highlight w:val="none"/>
          <w:lang w:val="en-US" w:eastAsia="zh-CN"/>
        </w:rPr>
      </w:pPr>
      <w:bookmarkStart w:id="160" w:name="_Toc1230"/>
      <w:bookmarkStart w:id="161" w:name="_Toc8348"/>
      <w:bookmarkStart w:id="162" w:name="_Toc9224"/>
      <w:bookmarkStart w:id="163" w:name="_Toc4727"/>
      <w:r>
        <w:rPr>
          <w:rFonts w:hint="default" w:ascii="Times New Roman" w:hAnsi="Times New Roman" w:cs="Times New Roman"/>
          <w:color w:val="auto"/>
          <w:highlight w:val="none"/>
          <w:lang w:val="en-US" w:eastAsia="zh-CN"/>
        </w:rPr>
        <w:t>7.1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双江口河祁阳县河段</w:t>
      </w:r>
      <w:r>
        <w:rPr>
          <w:rFonts w:hint="default" w:ascii="Times New Roman" w:hAnsi="Times New Roman" w:cs="Times New Roman"/>
          <w:color w:val="auto"/>
          <w:highlight w:val="none"/>
          <w:lang w:val="en-US"/>
        </w:rPr>
        <w:t>管理范围</w:t>
      </w:r>
      <w:r>
        <w:rPr>
          <w:rFonts w:hint="default" w:ascii="Times New Roman" w:hAnsi="Times New Roman" w:cs="Times New Roman"/>
          <w:color w:val="auto"/>
          <w:highlight w:val="none"/>
          <w:lang w:val="en-US" w:eastAsia="zh-CN"/>
        </w:rPr>
        <w:t>界桩、告示牌成果表</w:t>
      </w:r>
      <w:bookmarkEnd w:id="160"/>
      <w:bookmarkEnd w:id="161"/>
      <w:bookmarkEnd w:id="162"/>
      <w:bookmarkEnd w:id="163"/>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eastAsia" w:eastAsia="仿宋_GB2312" w:cs="Times New Roman"/>
          <w:color w:val="auto"/>
          <w:szCs w:val="28"/>
          <w:highlight w:val="none"/>
          <w:lang w:val="en-US" w:eastAsia="zh-CN"/>
        </w:rPr>
        <w:t>我公司</w:t>
      </w:r>
      <w:r>
        <w:rPr>
          <w:rFonts w:hint="default" w:ascii="Times New Roman" w:hAnsi="Times New Roman" w:eastAsia="仿宋_GB2312" w:cs="Times New Roman"/>
          <w:color w:val="auto"/>
          <w:szCs w:val="28"/>
          <w:highlight w:val="none"/>
          <w:lang w:val="en-US"/>
        </w:rPr>
        <w:t>在工作底图上完成了</w:t>
      </w:r>
      <w:r>
        <w:rPr>
          <w:rFonts w:hint="default" w:ascii="Times New Roman" w:hAnsi="Times New Roman" w:eastAsia="仿宋_GB2312" w:cs="Times New Roman"/>
          <w:color w:val="auto"/>
          <w:szCs w:val="28"/>
          <w:highlight w:val="none"/>
          <w:lang w:val="en-US" w:eastAsia="zh-CN"/>
        </w:rPr>
        <w:t>双江口河祁阳县</w:t>
      </w:r>
      <w:r>
        <w:rPr>
          <w:rFonts w:hint="default" w:ascii="Times New Roman" w:hAnsi="Times New Roman" w:eastAsia="仿宋_GB2312" w:cs="Times New Roman"/>
          <w:color w:val="auto"/>
          <w:szCs w:val="28"/>
          <w:highlight w:val="none"/>
          <w:lang w:val="en-US"/>
        </w:rPr>
        <w:t>段管理范围线初步划定和界桩的预布，</w:t>
      </w:r>
      <w:r>
        <w:rPr>
          <w:rFonts w:hint="default" w:ascii="Times New Roman" w:hAnsi="Times New Roman" w:eastAsia="仿宋_GB2312" w:cs="Times New Roman"/>
          <w:color w:val="auto"/>
          <w:szCs w:val="28"/>
          <w:highlight w:val="none"/>
          <w:lang w:val="en-US" w:eastAsia="zh-CN"/>
        </w:rPr>
        <w:t>双江口河祁阳县</w:t>
      </w:r>
      <w:r>
        <w:rPr>
          <w:rFonts w:hint="default" w:ascii="Times New Roman" w:hAnsi="Times New Roman" w:eastAsia="仿宋_GB2312" w:cs="Times New Roman"/>
          <w:color w:val="auto"/>
          <w:szCs w:val="28"/>
          <w:highlight w:val="none"/>
          <w:lang w:val="en-US"/>
        </w:rPr>
        <w:t>段共布设界桩</w:t>
      </w:r>
      <w:r>
        <w:rPr>
          <w:rFonts w:hint="eastAsia" w:ascii="Times New Roman" w:hAnsi="Times New Roman" w:eastAsia="仿宋_GB2312" w:cs="Times New Roman"/>
          <w:color w:val="auto"/>
          <w:szCs w:val="28"/>
          <w:highlight w:val="none"/>
          <w:lang w:val="en-US" w:eastAsia="zh-CN"/>
        </w:rPr>
        <w:t>1</w:t>
      </w:r>
      <w:r>
        <w:rPr>
          <w:rFonts w:hint="eastAsia" w:eastAsia="仿宋_GB2312" w:cs="Times New Roman"/>
          <w:color w:val="auto"/>
          <w:szCs w:val="28"/>
          <w:highlight w:val="none"/>
          <w:lang w:val="en-US" w:eastAsia="zh-CN"/>
        </w:rPr>
        <w:t>9</w:t>
      </w:r>
      <w:r>
        <w:rPr>
          <w:rFonts w:hint="default" w:ascii="Times New Roman" w:hAnsi="Times New Roman" w:eastAsia="仿宋_GB2312" w:cs="Times New Roman"/>
          <w:color w:val="auto"/>
          <w:szCs w:val="28"/>
          <w:highlight w:val="none"/>
          <w:lang w:val="en-US"/>
        </w:rPr>
        <w:t>座，其中公共界桩</w:t>
      </w:r>
      <w:r>
        <w:rPr>
          <w:rFonts w:hint="eastAsia" w:eastAsia="仿宋_GB2312" w:cs="Times New Roman"/>
          <w:color w:val="auto"/>
          <w:szCs w:val="28"/>
          <w:highlight w:val="none"/>
          <w:lang w:val="en-US" w:eastAsia="zh-CN"/>
        </w:rPr>
        <w:t>6</w:t>
      </w:r>
      <w:r>
        <w:rPr>
          <w:rFonts w:hint="default" w:ascii="Times New Roman" w:hAnsi="Times New Roman" w:eastAsia="仿宋_GB2312" w:cs="Times New Roman"/>
          <w:color w:val="auto"/>
          <w:szCs w:val="28"/>
          <w:highlight w:val="none"/>
          <w:lang w:val="en-US"/>
        </w:rPr>
        <w:t>座，告示牌</w:t>
      </w:r>
      <w:r>
        <w:rPr>
          <w:rFonts w:hint="default" w:ascii="Times New Roman" w:hAnsi="Times New Roman" w:eastAsia="仿宋_GB2312" w:cs="Times New Roman"/>
          <w:color w:val="auto"/>
          <w:szCs w:val="28"/>
          <w:highlight w:val="none"/>
          <w:lang w:val="en-US" w:eastAsia="zh-CN"/>
        </w:rPr>
        <w:t>3</w:t>
      </w:r>
      <w:r>
        <w:rPr>
          <w:rFonts w:hint="default" w:ascii="Times New Roman" w:hAnsi="Times New Roman" w:eastAsia="仿宋_GB2312" w:cs="Times New Roman"/>
          <w:color w:val="auto"/>
          <w:szCs w:val="28"/>
          <w:highlight w:val="none"/>
          <w:lang w:val="en-US"/>
        </w:rPr>
        <w:t>块。具体成果详见下表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双江口河永州市祁阳县段</w:t>
      </w:r>
      <w:r>
        <w:rPr>
          <w:rFonts w:hint="default" w:ascii="Times New Roman" w:hAnsi="Times New Roman" w:eastAsia="仿宋_GB2312" w:cs="Times New Roman"/>
          <w:b/>
          <w:bCs/>
          <w:color w:val="auto"/>
          <w:sz w:val="24"/>
          <w:highlight w:val="none"/>
          <w:lang w:val="en-US"/>
        </w:rPr>
        <w:t>河湖管理范围线界桩埋设成果表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787"/>
        <w:gridCol w:w="3001"/>
        <w:gridCol w:w="1791"/>
        <w:gridCol w:w="1982"/>
        <w:gridCol w:w="17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78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序号</w:t>
            </w:r>
          </w:p>
        </w:tc>
        <w:tc>
          <w:tcPr>
            <w:tcW w:w="300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3773"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c>
          <w:tcPr>
            <w:tcW w:w="171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0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171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FE1D2CE0000L-431121-L0001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579514.777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2964456.989</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FE1D2CE0000L-431121-L0002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579777.4554</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2964950.217</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FE1D2CE0000L-431121-L0003</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580021.4728</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2965276.383</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FE1D2CE0000L-431121-L0004</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580254.1445</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2965538.598</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FE1D2CE0000L-431121-L0005</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581040.7357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2965738.997</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FE1D2CE0000L-431121-L0006</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581113.8051</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2966268.358</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FE1D2CE0000L-431121-L3001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580447.8649</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2965635.624</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FE1D2CE0000L-431121-L3002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581107.354</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2966451.136</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9</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FE1D2CE0000L-431121-L</w:t>
            </w:r>
            <w:r>
              <w:rPr>
                <w:rFonts w:hint="eastAsia" w:eastAsia="仿宋_GB2312" w:cs="Times New Roman"/>
                <w:i w:val="0"/>
                <w:color w:val="000000"/>
                <w:kern w:val="0"/>
                <w:sz w:val="18"/>
                <w:szCs w:val="18"/>
                <w:u w:val="none"/>
                <w:lang w:val="en-US" w:eastAsia="zh-CN" w:bidi="ar"/>
              </w:rPr>
              <w:t>4</w:t>
            </w:r>
            <w:r>
              <w:rPr>
                <w:rFonts w:hint="default" w:ascii="Times New Roman" w:hAnsi="Times New Roman" w:eastAsia="仿宋_GB2312" w:cs="Times New Roman"/>
                <w:i w:val="0"/>
                <w:color w:val="000000"/>
                <w:kern w:val="0"/>
                <w:sz w:val="18"/>
                <w:szCs w:val="18"/>
                <w:u w:val="none"/>
                <w:lang w:val="en-US" w:eastAsia="zh-CN" w:bidi="ar"/>
              </w:rPr>
              <w:t>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580410.5989</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2966660.5411</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FE1D2CE0000L-431121-R0001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579521.0527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2964649.485</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FE1D2CE0000L-431121-R0002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579810.599</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2965107.464</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FE1D2CE0000L-431121-R0003</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579972.4756</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2965377.233</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FE1D2CE0000L-431121-R0004</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580555.5791</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2965804.455</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FE1D2CE0000L-431121-R0005</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580934.5115</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2965888.398</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FE1D2CE0000L-431121-R0006</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581014.3525</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2966187.081</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FE1D2CE0000L-431121-R0007</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580805.0617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2966533.091</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FE1D2CE0000L-431121-R3001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580115.0115</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2965625.415</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18</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FE1D2CE0000L-431121-R3002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581049.0657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2966458.975</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19</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FE1D2CE0000L-431121-R4001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580410.5989</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2966660.5411</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公共界桩</w:t>
            </w:r>
          </w:p>
        </w:tc>
      </w:tr>
    </w:tbl>
    <w:p>
      <w:pPr>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br w:type="page"/>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双江口河永州市祁阳县</w:t>
      </w:r>
      <w:r>
        <w:rPr>
          <w:rFonts w:hint="default" w:ascii="Times New Roman" w:hAnsi="Times New Roman" w:eastAsia="仿宋_GB2312" w:cs="Times New Roman"/>
          <w:b/>
          <w:bCs/>
          <w:color w:val="auto"/>
          <w:sz w:val="24"/>
          <w:highlight w:val="none"/>
          <w:lang w:val="en-US"/>
        </w:rPr>
        <w:t>段河湖管理范围线告示牌埋设成果表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81"/>
        <w:gridCol w:w="2839"/>
        <w:gridCol w:w="1794"/>
        <w:gridCol w:w="1997"/>
        <w:gridCol w:w="14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blHeader/>
          <w:jc w:val="center"/>
        </w:trPr>
        <w:tc>
          <w:tcPr>
            <w:tcW w:w="118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序号</w:t>
            </w:r>
          </w:p>
        </w:tc>
        <w:tc>
          <w:tcPr>
            <w:tcW w:w="283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379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c>
          <w:tcPr>
            <w:tcW w:w="146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blHeader/>
          <w:jc w:val="center"/>
        </w:trPr>
        <w:tc>
          <w:tcPr>
            <w:tcW w:w="118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39"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146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FE1D2CE0000L-431121-R001</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580436.3552</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2965635.749</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FE1D2CE0000L-431121-L001</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581106.2188</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2966440.724</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FE1D2CE0000L-431121-L002</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579530.3797</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2964744.603</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bl>
    <w:p>
      <w:pPr>
        <w:pStyle w:val="4"/>
        <w:rPr>
          <w:rFonts w:hint="default" w:ascii="Times New Roman" w:hAnsi="Times New Roman" w:cs="Times New Roman"/>
          <w:color w:val="auto"/>
          <w:highlight w:val="none"/>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bookmarkStart w:id="164" w:name="_Toc9271"/>
      <w:bookmarkStart w:id="165" w:name="_Toc12398"/>
      <w:bookmarkStart w:id="166" w:name="_Toc20784"/>
      <w:bookmarkStart w:id="167" w:name="_Toc21252"/>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双江口河祁阳县</w:t>
      </w:r>
      <w:r>
        <w:rPr>
          <w:rFonts w:hint="default" w:ascii="Times New Roman" w:hAnsi="Times New Roman" w:cs="Times New Roman"/>
          <w:color w:val="auto"/>
          <w:highlight w:val="none"/>
          <w:lang w:val="en-US"/>
        </w:rPr>
        <w:t>河段管理范围线划定图</w:t>
      </w:r>
      <w:bookmarkEnd w:id="164"/>
      <w:bookmarkEnd w:id="165"/>
      <w:bookmarkEnd w:id="166"/>
      <w:bookmarkEnd w:id="167"/>
    </w:p>
    <w:p>
      <w:pPr>
        <w:rPr>
          <w:rFonts w:hint="default"/>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lang w:val="en-US" w:eastAsia="zh-CN"/>
        </w:rPr>
        <w:t>附件一：专家评审意见</w:t>
      </w:r>
      <w:r>
        <w:rPr>
          <w:rFonts w:hint="default"/>
          <w:lang w:val="en-US" w:eastAsia="zh-CN"/>
        </w:rPr>
        <w:drawing>
          <wp:inline distT="0" distB="0" distL="114300" distR="114300">
            <wp:extent cx="5863590" cy="8165465"/>
            <wp:effectExtent l="0" t="0" r="3810" b="6985"/>
            <wp:docPr id="6" name="图片 6"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祁阳县河道划界方案审查修改意见2019.9.23_页面_1"/>
                    <pic:cNvPicPr>
                      <a:picLocks noChangeAspect="1"/>
                    </pic:cNvPicPr>
                  </pic:nvPicPr>
                  <pic:blipFill>
                    <a:blip r:embed="rId53"/>
                    <a:stretch>
                      <a:fillRect/>
                    </a:stretch>
                  </pic:blipFill>
                  <pic:spPr>
                    <a:xfrm>
                      <a:off x="0" y="0"/>
                      <a:ext cx="5863590" cy="8165465"/>
                    </a:xfrm>
                    <a:prstGeom prst="rect">
                      <a:avLst/>
                    </a:prstGeom>
                  </pic:spPr>
                </pic:pic>
              </a:graphicData>
            </a:graphic>
          </wp:inline>
        </w:drawing>
      </w:r>
      <w:r>
        <w:rPr>
          <w:rFonts w:hint="default"/>
          <w:lang w:val="en-US" w:eastAsia="zh-CN"/>
        </w:rPr>
        <w:drawing>
          <wp:inline distT="0" distB="0" distL="114300" distR="114300">
            <wp:extent cx="5862955" cy="8202930"/>
            <wp:effectExtent l="0" t="0" r="4445" b="7620"/>
            <wp:docPr id="8" name="图片 8"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祁阳县河道划界方案审查修改意见2019.9.23_页面_2"/>
                    <pic:cNvPicPr>
                      <a:picLocks noChangeAspect="1"/>
                    </pic:cNvPicPr>
                  </pic:nvPicPr>
                  <pic:blipFill>
                    <a:blip r:embed="rId54"/>
                    <a:stretch>
                      <a:fillRect/>
                    </a:stretch>
                  </pic:blipFill>
                  <pic:spPr>
                    <a:xfrm>
                      <a:off x="0" y="0"/>
                      <a:ext cx="5862955" cy="820293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lang w:val="en-US" w:eastAsia="zh-CN"/>
        </w:rPr>
      </w:pPr>
      <w:r>
        <w:rPr>
          <w:rFonts w:hint="eastAsia" w:eastAsia="仿宋_GB2312" w:cs="Times New Roman"/>
          <w:color w:val="auto"/>
          <w:spacing w:val="30"/>
          <w:szCs w:val="28"/>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eastAsia" w:eastAsia="仿宋" w:cs="Times New Roman"/>
                <w:b/>
                <w:bCs/>
                <w:i w:val="0"/>
                <w:color w:val="000000"/>
                <w:kern w:val="0"/>
                <w:sz w:val="24"/>
                <w:szCs w:val="24"/>
                <w:u w:val="none"/>
                <w:lang w:val="en-US" w:eastAsia="zh-CN" w:bidi="ar"/>
              </w:rPr>
              <w:t>双江口河</w:t>
            </w:r>
            <w:r>
              <w:rPr>
                <w:rFonts w:hint="default" w:ascii="Times New Roman" w:hAnsi="Times New Roman" w:eastAsia="仿宋" w:cs="Times New Roman"/>
                <w:b/>
                <w:bCs/>
                <w:i w:val="0"/>
                <w:color w:val="000000"/>
                <w:kern w:val="0"/>
                <w:sz w:val="24"/>
                <w:szCs w:val="24"/>
                <w:u w:val="none"/>
                <w:lang w:val="en-US" w:eastAsia="zh-CN" w:bidi="ar"/>
              </w:rPr>
              <w:t>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时间：2019.1</w:t>
            </w:r>
            <w:r>
              <w:rPr>
                <w:rFonts w:hint="eastAsia" w:eastAsia="仿宋" w:cs="Times New Roman"/>
                <w:i w:val="0"/>
                <w:color w:val="000000"/>
                <w:kern w:val="0"/>
                <w:sz w:val="18"/>
                <w:szCs w:val="18"/>
                <w:u w:val="none"/>
                <w:lang w:val="en-US" w:eastAsia="zh-CN" w:bidi="ar"/>
              </w:rPr>
              <w:t>1</w:t>
            </w:r>
            <w:r>
              <w:rPr>
                <w:rFonts w:hint="default" w:ascii="Times New Roman" w:hAnsi="Times New Roman" w:eastAsia="仿宋" w:cs="Times New Roman"/>
                <w:i w:val="0"/>
                <w:color w:val="000000"/>
                <w:kern w:val="0"/>
                <w:sz w:val="18"/>
                <w:szCs w:val="18"/>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sz w:val="18"/>
                <w:szCs w:val="18"/>
                <w:u w:val="none"/>
              </w:rPr>
            </w:pP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专家组签名：</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年       月    </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日</w:t>
            </w:r>
          </w:p>
        </w:tc>
      </w:tr>
      <w:bookmarkEnd w:id="2"/>
      <w:bookmarkEnd w:id="3"/>
      <w:bookmarkEnd w:id="4"/>
      <w:bookmarkEnd w:id="5"/>
      <w:bookmarkEnd w:id="6"/>
      <w:bookmarkEnd w:id="7"/>
    </w:tbl>
    <w:p>
      <w:pPr>
        <w:spacing w:line="360" w:lineRule="auto"/>
        <w:ind w:firstLine="680" w:firstLineChars="200"/>
        <w:rPr>
          <w:rFonts w:hint="default" w:ascii="Times New Roman" w:hAnsi="Times New Roman" w:eastAsia="仿宋_GB2312" w:cs="Times New Roman"/>
          <w:color w:val="auto"/>
          <w:spacing w:val="30"/>
          <w:szCs w:val="28"/>
          <w:highlight w:val="none"/>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4097" o:spid="_x0000_s4097" o:spt="202" type="#_x0000_t202" style="position:absolute;left:0pt;margin-top:0pt;height:144pt;width:144pt;mso-position-horizontal:center;mso-position-horizontal-relative:margin;mso-wrap-style:none;z-index:-251657216;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4099" o:spid="_x0000_s4099" o:spt="202" type="#_x0000_t202" style="position:absolute;left:0pt;margin-top:0pt;height:144pt;width:144pt;mso-position-horizontal:center;mso-position-horizontal-relative:margin;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098" o:spid="_x0000_s4098" o:spt="202" type="#_x0000_t202" style="position:absolute;left:0pt;margin-top:0pt;height:144pt;width:144pt;mso-position-horizontal:center;mso-position-horizontal-relative:margin;mso-wrap-style:none;z-index:-25165516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w:t>
                </w:r>
                <w:r>
                  <w:rPr>
                    <w:rFonts w:hint="eastAsia" w:eastAsia="宋体"/>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4101" o:spid="_x0000_s410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6</w:t>
                </w:r>
                <w:r>
                  <w:rPr>
                    <w:rFonts w:hint="eastAsia" w:eastAsia="宋体"/>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4100" o:spid="_x0000_s410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w:t>
                </w:r>
                <w:r>
                  <w:rPr>
                    <w:rFonts w:hint="eastAsia" w:eastAsia="宋体"/>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103" o:spid="_x0000_s410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102" o:spid="_x0000_s4102"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4105" o:spid="_x0000_s410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4104" o:spid="_x0000_s4104"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E98D5AF6"/>
    <w:multiLevelType w:val="singleLevel"/>
    <w:tmpl w:val="E98D5AF6"/>
    <w:lvl w:ilvl="0" w:tentative="0">
      <w:start w:val="2"/>
      <w:numFmt w:val="decimal"/>
      <w:suff w:val="nothing"/>
      <w:lvlText w:val="%1）"/>
      <w:lvlJc w:val="left"/>
    </w:lvl>
  </w:abstractNum>
  <w:abstractNum w:abstractNumId="2">
    <w:nsid w:val="716F7291"/>
    <w:multiLevelType w:val="singleLevel"/>
    <w:tmpl w:val="716F7291"/>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5A41A9"/>
    <w:rsid w:val="00611991"/>
    <w:rsid w:val="007E4C0B"/>
    <w:rsid w:val="00801400"/>
    <w:rsid w:val="00814C96"/>
    <w:rsid w:val="00980896"/>
    <w:rsid w:val="00983578"/>
    <w:rsid w:val="009861DB"/>
    <w:rsid w:val="00992E87"/>
    <w:rsid w:val="00BE5A48"/>
    <w:rsid w:val="00CD6D5B"/>
    <w:rsid w:val="00D01DF2"/>
    <w:rsid w:val="00D5351B"/>
    <w:rsid w:val="00E058C3"/>
    <w:rsid w:val="00E404ED"/>
    <w:rsid w:val="00E53123"/>
    <w:rsid w:val="00E841CE"/>
    <w:rsid w:val="00E91016"/>
    <w:rsid w:val="00EA343D"/>
    <w:rsid w:val="00EF676F"/>
    <w:rsid w:val="01140368"/>
    <w:rsid w:val="012232C4"/>
    <w:rsid w:val="017D0C22"/>
    <w:rsid w:val="02323930"/>
    <w:rsid w:val="02676C7A"/>
    <w:rsid w:val="02B644B1"/>
    <w:rsid w:val="02FF47D7"/>
    <w:rsid w:val="030E114E"/>
    <w:rsid w:val="031A125E"/>
    <w:rsid w:val="03667BAA"/>
    <w:rsid w:val="03897A10"/>
    <w:rsid w:val="03E95C01"/>
    <w:rsid w:val="03FA58AD"/>
    <w:rsid w:val="0453015C"/>
    <w:rsid w:val="04785B6A"/>
    <w:rsid w:val="04B13815"/>
    <w:rsid w:val="04BC3363"/>
    <w:rsid w:val="05504635"/>
    <w:rsid w:val="05D876E9"/>
    <w:rsid w:val="05E53CDF"/>
    <w:rsid w:val="067D3C71"/>
    <w:rsid w:val="06B20C53"/>
    <w:rsid w:val="06D53455"/>
    <w:rsid w:val="07166FB0"/>
    <w:rsid w:val="07390025"/>
    <w:rsid w:val="07A24975"/>
    <w:rsid w:val="07E6402C"/>
    <w:rsid w:val="084C38D9"/>
    <w:rsid w:val="08617509"/>
    <w:rsid w:val="08623964"/>
    <w:rsid w:val="08666583"/>
    <w:rsid w:val="08682632"/>
    <w:rsid w:val="08965A64"/>
    <w:rsid w:val="08DC7A1B"/>
    <w:rsid w:val="08E55D93"/>
    <w:rsid w:val="08F46F1D"/>
    <w:rsid w:val="092A276B"/>
    <w:rsid w:val="092C44C1"/>
    <w:rsid w:val="096F61FF"/>
    <w:rsid w:val="09D86879"/>
    <w:rsid w:val="0A425C70"/>
    <w:rsid w:val="0A536F19"/>
    <w:rsid w:val="0A6E11C0"/>
    <w:rsid w:val="0A7D1B81"/>
    <w:rsid w:val="0A857B6D"/>
    <w:rsid w:val="0AA51980"/>
    <w:rsid w:val="0AEA2EC8"/>
    <w:rsid w:val="0AF356CE"/>
    <w:rsid w:val="0B0337D8"/>
    <w:rsid w:val="0B481FE7"/>
    <w:rsid w:val="0BDB6970"/>
    <w:rsid w:val="0C0B57B8"/>
    <w:rsid w:val="0C6706FA"/>
    <w:rsid w:val="0C971316"/>
    <w:rsid w:val="0CC36BA5"/>
    <w:rsid w:val="0D813320"/>
    <w:rsid w:val="0D822247"/>
    <w:rsid w:val="0D991AE0"/>
    <w:rsid w:val="0DAA398B"/>
    <w:rsid w:val="0E03663F"/>
    <w:rsid w:val="0E3157B3"/>
    <w:rsid w:val="0E423A8C"/>
    <w:rsid w:val="0EC74D82"/>
    <w:rsid w:val="0EE97DED"/>
    <w:rsid w:val="0EFB7D3C"/>
    <w:rsid w:val="0F243128"/>
    <w:rsid w:val="0F9E1CA1"/>
    <w:rsid w:val="0FAD216F"/>
    <w:rsid w:val="0FF73CDB"/>
    <w:rsid w:val="102D3663"/>
    <w:rsid w:val="108528C9"/>
    <w:rsid w:val="114477B7"/>
    <w:rsid w:val="114663D6"/>
    <w:rsid w:val="118A7274"/>
    <w:rsid w:val="119A2539"/>
    <w:rsid w:val="11D4677A"/>
    <w:rsid w:val="120437CA"/>
    <w:rsid w:val="120C1369"/>
    <w:rsid w:val="123B5ED3"/>
    <w:rsid w:val="12A35729"/>
    <w:rsid w:val="12D96445"/>
    <w:rsid w:val="130F5A16"/>
    <w:rsid w:val="139A45C6"/>
    <w:rsid w:val="13B963DE"/>
    <w:rsid w:val="141568A8"/>
    <w:rsid w:val="145F324E"/>
    <w:rsid w:val="152A6FFB"/>
    <w:rsid w:val="15674947"/>
    <w:rsid w:val="157F5DF0"/>
    <w:rsid w:val="15BE425D"/>
    <w:rsid w:val="15F644C9"/>
    <w:rsid w:val="16050A55"/>
    <w:rsid w:val="16F10992"/>
    <w:rsid w:val="170D67C9"/>
    <w:rsid w:val="178D0926"/>
    <w:rsid w:val="17A41BA1"/>
    <w:rsid w:val="17E916D0"/>
    <w:rsid w:val="182C525E"/>
    <w:rsid w:val="18AD4F2D"/>
    <w:rsid w:val="18E070E7"/>
    <w:rsid w:val="18F22563"/>
    <w:rsid w:val="19347F57"/>
    <w:rsid w:val="19454639"/>
    <w:rsid w:val="19607AAD"/>
    <w:rsid w:val="19624072"/>
    <w:rsid w:val="199F2F35"/>
    <w:rsid w:val="19B173D3"/>
    <w:rsid w:val="19BE5CCD"/>
    <w:rsid w:val="19CF1978"/>
    <w:rsid w:val="1A255B25"/>
    <w:rsid w:val="1A737D8F"/>
    <w:rsid w:val="1AC32E02"/>
    <w:rsid w:val="1ACC2807"/>
    <w:rsid w:val="1B154669"/>
    <w:rsid w:val="1B203353"/>
    <w:rsid w:val="1B2A0398"/>
    <w:rsid w:val="1B615614"/>
    <w:rsid w:val="1B724103"/>
    <w:rsid w:val="1B751CAA"/>
    <w:rsid w:val="1C24405D"/>
    <w:rsid w:val="1C2F325A"/>
    <w:rsid w:val="1CB212B9"/>
    <w:rsid w:val="1CE261BB"/>
    <w:rsid w:val="1CEA7F89"/>
    <w:rsid w:val="1CEF5F50"/>
    <w:rsid w:val="1D2B6BF4"/>
    <w:rsid w:val="1D5A0FD8"/>
    <w:rsid w:val="1D7C7548"/>
    <w:rsid w:val="1D9B6F4F"/>
    <w:rsid w:val="1DD30EB7"/>
    <w:rsid w:val="1DF829BA"/>
    <w:rsid w:val="1E040F23"/>
    <w:rsid w:val="1E2E0DE1"/>
    <w:rsid w:val="1E2F54AD"/>
    <w:rsid w:val="1E3406F4"/>
    <w:rsid w:val="1E596D3D"/>
    <w:rsid w:val="1F184430"/>
    <w:rsid w:val="1F24143A"/>
    <w:rsid w:val="1F451673"/>
    <w:rsid w:val="1F7A3516"/>
    <w:rsid w:val="1FC8217C"/>
    <w:rsid w:val="1FDB5546"/>
    <w:rsid w:val="1FF37248"/>
    <w:rsid w:val="204728FB"/>
    <w:rsid w:val="20871370"/>
    <w:rsid w:val="20965EA8"/>
    <w:rsid w:val="2098240C"/>
    <w:rsid w:val="20B14CDC"/>
    <w:rsid w:val="20D17779"/>
    <w:rsid w:val="21080895"/>
    <w:rsid w:val="217B79C3"/>
    <w:rsid w:val="21907505"/>
    <w:rsid w:val="21970245"/>
    <w:rsid w:val="21D256FA"/>
    <w:rsid w:val="221E008F"/>
    <w:rsid w:val="223D7894"/>
    <w:rsid w:val="22C24078"/>
    <w:rsid w:val="22CD069A"/>
    <w:rsid w:val="232E6DD3"/>
    <w:rsid w:val="23395F16"/>
    <w:rsid w:val="236E0405"/>
    <w:rsid w:val="237573F6"/>
    <w:rsid w:val="23932C5E"/>
    <w:rsid w:val="24290A39"/>
    <w:rsid w:val="243F2602"/>
    <w:rsid w:val="244E1422"/>
    <w:rsid w:val="247E0BFD"/>
    <w:rsid w:val="249B3689"/>
    <w:rsid w:val="24BD45FF"/>
    <w:rsid w:val="24C3784F"/>
    <w:rsid w:val="24D40C6A"/>
    <w:rsid w:val="24F44592"/>
    <w:rsid w:val="251B1C77"/>
    <w:rsid w:val="25300C26"/>
    <w:rsid w:val="255833F9"/>
    <w:rsid w:val="25823C5D"/>
    <w:rsid w:val="25846028"/>
    <w:rsid w:val="25AE7806"/>
    <w:rsid w:val="25D41246"/>
    <w:rsid w:val="25E90C26"/>
    <w:rsid w:val="26252B39"/>
    <w:rsid w:val="26555092"/>
    <w:rsid w:val="2682484F"/>
    <w:rsid w:val="26A64A3C"/>
    <w:rsid w:val="26A70E59"/>
    <w:rsid w:val="26B46625"/>
    <w:rsid w:val="26BC426D"/>
    <w:rsid w:val="275222D2"/>
    <w:rsid w:val="27AA5E6A"/>
    <w:rsid w:val="27C22D69"/>
    <w:rsid w:val="27F31124"/>
    <w:rsid w:val="28302846"/>
    <w:rsid w:val="28680727"/>
    <w:rsid w:val="288A45BB"/>
    <w:rsid w:val="28D94E2E"/>
    <w:rsid w:val="28FD0760"/>
    <w:rsid w:val="291500F5"/>
    <w:rsid w:val="29681128"/>
    <w:rsid w:val="29B52BD8"/>
    <w:rsid w:val="29E47283"/>
    <w:rsid w:val="29FA32F1"/>
    <w:rsid w:val="2A411D0D"/>
    <w:rsid w:val="2A8C04EF"/>
    <w:rsid w:val="2AA17684"/>
    <w:rsid w:val="2AE31E89"/>
    <w:rsid w:val="2B2E1546"/>
    <w:rsid w:val="2B5C1A40"/>
    <w:rsid w:val="2B960F67"/>
    <w:rsid w:val="2BD71C38"/>
    <w:rsid w:val="2BDB1D58"/>
    <w:rsid w:val="2BDB3937"/>
    <w:rsid w:val="2C0D76C4"/>
    <w:rsid w:val="2CD14C75"/>
    <w:rsid w:val="2CD34388"/>
    <w:rsid w:val="2D786558"/>
    <w:rsid w:val="2D9D3043"/>
    <w:rsid w:val="2E165F08"/>
    <w:rsid w:val="2E1D699C"/>
    <w:rsid w:val="2E1E0C49"/>
    <w:rsid w:val="2E801E22"/>
    <w:rsid w:val="2EC65A8A"/>
    <w:rsid w:val="2ECE2306"/>
    <w:rsid w:val="2F537ED0"/>
    <w:rsid w:val="2F7E5FAE"/>
    <w:rsid w:val="2F901AC9"/>
    <w:rsid w:val="2F9F2A1B"/>
    <w:rsid w:val="2FE067A7"/>
    <w:rsid w:val="30085BDC"/>
    <w:rsid w:val="30BB1122"/>
    <w:rsid w:val="30DC0635"/>
    <w:rsid w:val="31083B70"/>
    <w:rsid w:val="31113F53"/>
    <w:rsid w:val="31542413"/>
    <w:rsid w:val="31896707"/>
    <w:rsid w:val="31B40028"/>
    <w:rsid w:val="322B2502"/>
    <w:rsid w:val="324517E4"/>
    <w:rsid w:val="32AE5338"/>
    <w:rsid w:val="32E53F26"/>
    <w:rsid w:val="337919B2"/>
    <w:rsid w:val="33B231DB"/>
    <w:rsid w:val="33D3585D"/>
    <w:rsid w:val="33D41B99"/>
    <w:rsid w:val="33F94BE5"/>
    <w:rsid w:val="34CB7FED"/>
    <w:rsid w:val="34DC7615"/>
    <w:rsid w:val="35E068FB"/>
    <w:rsid w:val="35F50971"/>
    <w:rsid w:val="36914967"/>
    <w:rsid w:val="36BC0934"/>
    <w:rsid w:val="36CA33BA"/>
    <w:rsid w:val="373B74CD"/>
    <w:rsid w:val="37914489"/>
    <w:rsid w:val="37993612"/>
    <w:rsid w:val="379E31F8"/>
    <w:rsid w:val="37BC0733"/>
    <w:rsid w:val="37FA3441"/>
    <w:rsid w:val="384037C7"/>
    <w:rsid w:val="388650C4"/>
    <w:rsid w:val="391825BD"/>
    <w:rsid w:val="396956C2"/>
    <w:rsid w:val="396C02A8"/>
    <w:rsid w:val="398079A4"/>
    <w:rsid w:val="39E50ED7"/>
    <w:rsid w:val="39EA4402"/>
    <w:rsid w:val="3A1F2173"/>
    <w:rsid w:val="3A463A71"/>
    <w:rsid w:val="3A54012A"/>
    <w:rsid w:val="3AD20373"/>
    <w:rsid w:val="3B116CB1"/>
    <w:rsid w:val="3B164E90"/>
    <w:rsid w:val="3B6B7CB6"/>
    <w:rsid w:val="3B6E44EF"/>
    <w:rsid w:val="3BB55331"/>
    <w:rsid w:val="3C8D6F34"/>
    <w:rsid w:val="3CA615C9"/>
    <w:rsid w:val="3CDF6F86"/>
    <w:rsid w:val="3D055AAC"/>
    <w:rsid w:val="3D3B1D6A"/>
    <w:rsid w:val="3D586268"/>
    <w:rsid w:val="3D7F4CB2"/>
    <w:rsid w:val="3D9140E4"/>
    <w:rsid w:val="3E5A4A46"/>
    <w:rsid w:val="3E5F7C07"/>
    <w:rsid w:val="3E8E6C18"/>
    <w:rsid w:val="3ECE1D22"/>
    <w:rsid w:val="3F8D228B"/>
    <w:rsid w:val="3F98074F"/>
    <w:rsid w:val="3FCC49BD"/>
    <w:rsid w:val="3FD622DF"/>
    <w:rsid w:val="3FEA1AC5"/>
    <w:rsid w:val="40140267"/>
    <w:rsid w:val="40165AD2"/>
    <w:rsid w:val="40466D0C"/>
    <w:rsid w:val="40B905FD"/>
    <w:rsid w:val="40CC0469"/>
    <w:rsid w:val="410C730E"/>
    <w:rsid w:val="41266893"/>
    <w:rsid w:val="413A1089"/>
    <w:rsid w:val="423B105D"/>
    <w:rsid w:val="424726E0"/>
    <w:rsid w:val="42883655"/>
    <w:rsid w:val="42F742DE"/>
    <w:rsid w:val="43011DAC"/>
    <w:rsid w:val="431714A0"/>
    <w:rsid w:val="43777B5C"/>
    <w:rsid w:val="439E5A3E"/>
    <w:rsid w:val="440D7AA3"/>
    <w:rsid w:val="441B0A5C"/>
    <w:rsid w:val="443C3207"/>
    <w:rsid w:val="44433DE0"/>
    <w:rsid w:val="44727354"/>
    <w:rsid w:val="44A60EE4"/>
    <w:rsid w:val="44E24309"/>
    <w:rsid w:val="451E19B9"/>
    <w:rsid w:val="45844259"/>
    <w:rsid w:val="45F85D5D"/>
    <w:rsid w:val="460C120C"/>
    <w:rsid w:val="46475B34"/>
    <w:rsid w:val="466C4D02"/>
    <w:rsid w:val="466D7D8A"/>
    <w:rsid w:val="46A93192"/>
    <w:rsid w:val="46E46872"/>
    <w:rsid w:val="46E81BE8"/>
    <w:rsid w:val="46FA48C3"/>
    <w:rsid w:val="472A4423"/>
    <w:rsid w:val="474749F0"/>
    <w:rsid w:val="476A3EBC"/>
    <w:rsid w:val="47F824E6"/>
    <w:rsid w:val="4822503C"/>
    <w:rsid w:val="48650F21"/>
    <w:rsid w:val="4913358B"/>
    <w:rsid w:val="4939707B"/>
    <w:rsid w:val="49626E9C"/>
    <w:rsid w:val="49900874"/>
    <w:rsid w:val="49B2680D"/>
    <w:rsid w:val="4A0252AB"/>
    <w:rsid w:val="4A2129E6"/>
    <w:rsid w:val="4A265D64"/>
    <w:rsid w:val="4A7A6E58"/>
    <w:rsid w:val="4AE139BC"/>
    <w:rsid w:val="4B2C4F1A"/>
    <w:rsid w:val="4B311417"/>
    <w:rsid w:val="4B7D4DC0"/>
    <w:rsid w:val="4B7D78C3"/>
    <w:rsid w:val="4B8667AD"/>
    <w:rsid w:val="4BCE286F"/>
    <w:rsid w:val="4C182492"/>
    <w:rsid w:val="4C5E4B17"/>
    <w:rsid w:val="4C7F2160"/>
    <w:rsid w:val="4CCE1585"/>
    <w:rsid w:val="4CE90D1D"/>
    <w:rsid w:val="4CF24A81"/>
    <w:rsid w:val="4D23452C"/>
    <w:rsid w:val="4D5E1D41"/>
    <w:rsid w:val="4D6D0C6E"/>
    <w:rsid w:val="4D9666A0"/>
    <w:rsid w:val="4DE83E6B"/>
    <w:rsid w:val="4DFD16F3"/>
    <w:rsid w:val="4ED605D8"/>
    <w:rsid w:val="4EE3231A"/>
    <w:rsid w:val="4EEF4DE5"/>
    <w:rsid w:val="4EFA1520"/>
    <w:rsid w:val="4F9738AE"/>
    <w:rsid w:val="500C118E"/>
    <w:rsid w:val="515B5C43"/>
    <w:rsid w:val="51F8452D"/>
    <w:rsid w:val="51FC3113"/>
    <w:rsid w:val="52314894"/>
    <w:rsid w:val="523305F4"/>
    <w:rsid w:val="52D03BE3"/>
    <w:rsid w:val="52F667CA"/>
    <w:rsid w:val="534E1067"/>
    <w:rsid w:val="53CE7479"/>
    <w:rsid w:val="53D12908"/>
    <w:rsid w:val="54862C21"/>
    <w:rsid w:val="54A94D1B"/>
    <w:rsid w:val="54EE2BE4"/>
    <w:rsid w:val="55033FF0"/>
    <w:rsid w:val="557F01F2"/>
    <w:rsid w:val="55AA3E0A"/>
    <w:rsid w:val="55B42C0D"/>
    <w:rsid w:val="55C51C07"/>
    <w:rsid w:val="56A04809"/>
    <w:rsid w:val="56AB3380"/>
    <w:rsid w:val="57405F2E"/>
    <w:rsid w:val="5745131D"/>
    <w:rsid w:val="575D3BFC"/>
    <w:rsid w:val="576E3023"/>
    <w:rsid w:val="57A81013"/>
    <w:rsid w:val="57B9435A"/>
    <w:rsid w:val="58210C08"/>
    <w:rsid w:val="582612C2"/>
    <w:rsid w:val="584C16BA"/>
    <w:rsid w:val="58801025"/>
    <w:rsid w:val="589924C7"/>
    <w:rsid w:val="58DF5F17"/>
    <w:rsid w:val="590E10DB"/>
    <w:rsid w:val="59491E2D"/>
    <w:rsid w:val="59834B3F"/>
    <w:rsid w:val="59C54C72"/>
    <w:rsid w:val="59F73FC2"/>
    <w:rsid w:val="5A3C21FB"/>
    <w:rsid w:val="5A8D61FC"/>
    <w:rsid w:val="5AB021A9"/>
    <w:rsid w:val="5AB81FAD"/>
    <w:rsid w:val="5ABB087D"/>
    <w:rsid w:val="5B321FEF"/>
    <w:rsid w:val="5BE500FF"/>
    <w:rsid w:val="5C0F472D"/>
    <w:rsid w:val="5C1550F8"/>
    <w:rsid w:val="5C5B2719"/>
    <w:rsid w:val="5C964514"/>
    <w:rsid w:val="5CB67FA6"/>
    <w:rsid w:val="5CF63079"/>
    <w:rsid w:val="5D301D35"/>
    <w:rsid w:val="5D3709EC"/>
    <w:rsid w:val="5DE56DAE"/>
    <w:rsid w:val="5E1B42B7"/>
    <w:rsid w:val="5E327788"/>
    <w:rsid w:val="5E52536D"/>
    <w:rsid w:val="5E527EE8"/>
    <w:rsid w:val="5EA302D9"/>
    <w:rsid w:val="5EBC5059"/>
    <w:rsid w:val="5EC32A4D"/>
    <w:rsid w:val="5EDD03DC"/>
    <w:rsid w:val="5F184024"/>
    <w:rsid w:val="5F482D85"/>
    <w:rsid w:val="5F55569C"/>
    <w:rsid w:val="5FA30DA2"/>
    <w:rsid w:val="5FBF0750"/>
    <w:rsid w:val="6039608C"/>
    <w:rsid w:val="607729AC"/>
    <w:rsid w:val="6091492A"/>
    <w:rsid w:val="60994108"/>
    <w:rsid w:val="60CE71D1"/>
    <w:rsid w:val="60D12E82"/>
    <w:rsid w:val="60E516BA"/>
    <w:rsid w:val="613F5A88"/>
    <w:rsid w:val="619C3351"/>
    <w:rsid w:val="61B23400"/>
    <w:rsid w:val="61D44B8A"/>
    <w:rsid w:val="61DC6840"/>
    <w:rsid w:val="62E85212"/>
    <w:rsid w:val="62F87340"/>
    <w:rsid w:val="63184335"/>
    <w:rsid w:val="639F4689"/>
    <w:rsid w:val="63B4505E"/>
    <w:rsid w:val="643369FF"/>
    <w:rsid w:val="643F70F2"/>
    <w:rsid w:val="64AD2A69"/>
    <w:rsid w:val="655608DF"/>
    <w:rsid w:val="65965279"/>
    <w:rsid w:val="65BF1487"/>
    <w:rsid w:val="65C245ED"/>
    <w:rsid w:val="65D61D84"/>
    <w:rsid w:val="664E0282"/>
    <w:rsid w:val="66577F65"/>
    <w:rsid w:val="668441D4"/>
    <w:rsid w:val="67054B92"/>
    <w:rsid w:val="67885A30"/>
    <w:rsid w:val="67B86476"/>
    <w:rsid w:val="68060F6F"/>
    <w:rsid w:val="681B514A"/>
    <w:rsid w:val="68526173"/>
    <w:rsid w:val="685C14DA"/>
    <w:rsid w:val="68635898"/>
    <w:rsid w:val="68A0049B"/>
    <w:rsid w:val="68A94C68"/>
    <w:rsid w:val="69417E67"/>
    <w:rsid w:val="69423B9E"/>
    <w:rsid w:val="695A54AA"/>
    <w:rsid w:val="6979140F"/>
    <w:rsid w:val="69802AEB"/>
    <w:rsid w:val="698B60FE"/>
    <w:rsid w:val="69977467"/>
    <w:rsid w:val="69DA7CA9"/>
    <w:rsid w:val="6A8A4A1E"/>
    <w:rsid w:val="6A8D083C"/>
    <w:rsid w:val="6AD0363A"/>
    <w:rsid w:val="6B645D3D"/>
    <w:rsid w:val="6B962CF0"/>
    <w:rsid w:val="6BBF7899"/>
    <w:rsid w:val="6BF02855"/>
    <w:rsid w:val="6BFB64AF"/>
    <w:rsid w:val="6C032217"/>
    <w:rsid w:val="6C364F23"/>
    <w:rsid w:val="6C435528"/>
    <w:rsid w:val="6C5E0776"/>
    <w:rsid w:val="6CD35FB5"/>
    <w:rsid w:val="6D5F1EC3"/>
    <w:rsid w:val="6D6F5A3A"/>
    <w:rsid w:val="6D9844EF"/>
    <w:rsid w:val="6DE22687"/>
    <w:rsid w:val="6DEB26BE"/>
    <w:rsid w:val="6E331460"/>
    <w:rsid w:val="6E4A161D"/>
    <w:rsid w:val="6E941CA0"/>
    <w:rsid w:val="6EA1195D"/>
    <w:rsid w:val="6F1C39E9"/>
    <w:rsid w:val="6F267C9E"/>
    <w:rsid w:val="6F9C69A6"/>
    <w:rsid w:val="6FC03252"/>
    <w:rsid w:val="6FD251B0"/>
    <w:rsid w:val="6FEF421B"/>
    <w:rsid w:val="70452C78"/>
    <w:rsid w:val="704E2BB2"/>
    <w:rsid w:val="707071F1"/>
    <w:rsid w:val="707A0F2D"/>
    <w:rsid w:val="7086660A"/>
    <w:rsid w:val="708C1993"/>
    <w:rsid w:val="7099001D"/>
    <w:rsid w:val="70DE0CE9"/>
    <w:rsid w:val="718A7FD3"/>
    <w:rsid w:val="71DA4B96"/>
    <w:rsid w:val="71E54713"/>
    <w:rsid w:val="720A36C8"/>
    <w:rsid w:val="720C68AA"/>
    <w:rsid w:val="721D7E78"/>
    <w:rsid w:val="725F3577"/>
    <w:rsid w:val="72821CF0"/>
    <w:rsid w:val="72E968C1"/>
    <w:rsid w:val="72F44E56"/>
    <w:rsid w:val="73775474"/>
    <w:rsid w:val="73885CD5"/>
    <w:rsid w:val="73F5181C"/>
    <w:rsid w:val="746A26D2"/>
    <w:rsid w:val="746C384A"/>
    <w:rsid w:val="746D0D28"/>
    <w:rsid w:val="748E0001"/>
    <w:rsid w:val="74AF1B7B"/>
    <w:rsid w:val="74E36706"/>
    <w:rsid w:val="754429A6"/>
    <w:rsid w:val="757E4D87"/>
    <w:rsid w:val="75826340"/>
    <w:rsid w:val="758D60C6"/>
    <w:rsid w:val="75E9501D"/>
    <w:rsid w:val="7600615C"/>
    <w:rsid w:val="767333C4"/>
    <w:rsid w:val="76842527"/>
    <w:rsid w:val="76CF02DA"/>
    <w:rsid w:val="76FA4155"/>
    <w:rsid w:val="76FC0F85"/>
    <w:rsid w:val="7700634C"/>
    <w:rsid w:val="772C65EC"/>
    <w:rsid w:val="77B83424"/>
    <w:rsid w:val="781843D7"/>
    <w:rsid w:val="78272345"/>
    <w:rsid w:val="782C0907"/>
    <w:rsid w:val="78386FB8"/>
    <w:rsid w:val="78D80822"/>
    <w:rsid w:val="79253F2D"/>
    <w:rsid w:val="79AD129F"/>
    <w:rsid w:val="79DA470C"/>
    <w:rsid w:val="79EA7500"/>
    <w:rsid w:val="7A344B19"/>
    <w:rsid w:val="7AAF5B4F"/>
    <w:rsid w:val="7ABC09D2"/>
    <w:rsid w:val="7AD92E80"/>
    <w:rsid w:val="7B094185"/>
    <w:rsid w:val="7BC7508D"/>
    <w:rsid w:val="7C1A3137"/>
    <w:rsid w:val="7C290409"/>
    <w:rsid w:val="7C7C5326"/>
    <w:rsid w:val="7D0F5883"/>
    <w:rsid w:val="7D31406F"/>
    <w:rsid w:val="7D356286"/>
    <w:rsid w:val="7D4A1FDD"/>
    <w:rsid w:val="7D5E1CB6"/>
    <w:rsid w:val="7DCE431D"/>
    <w:rsid w:val="7E3D6623"/>
    <w:rsid w:val="7E987895"/>
    <w:rsid w:val="7EAC78C5"/>
    <w:rsid w:val="7F7E61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3">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5">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6">
    <w:name w:val="Normal Indent"/>
    <w:basedOn w:val="1"/>
    <w:unhideWhenUsed/>
    <w:qFormat/>
    <w:uiPriority w:val="99"/>
    <w:pPr>
      <w:ind w:firstLine="420" w:firstLineChars="200"/>
    </w:p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character" w:customStyle="1" w:styleId="270">
    <w:name w:val="font81"/>
    <w:basedOn w:val="18"/>
    <w:qFormat/>
    <w:uiPriority w:val="0"/>
    <w:rPr>
      <w:rFonts w:hint="eastAsia" w:ascii="宋体" w:hAnsi="宋体" w:eastAsia="宋体" w:cs="宋体"/>
      <w:color w:val="000000"/>
      <w:sz w:val="18"/>
      <w:szCs w:val="18"/>
      <w:u w:val="none"/>
    </w:rPr>
  </w:style>
  <w:style w:type="character" w:customStyle="1" w:styleId="271">
    <w:name w:val="font71"/>
    <w:basedOn w:val="18"/>
    <w:qFormat/>
    <w:uiPriority w:val="0"/>
    <w:rPr>
      <w:rFonts w:hint="eastAsia" w:ascii="宋体" w:hAnsi="宋体" w:eastAsia="宋体" w:cs="宋体"/>
      <w:color w:val="000000"/>
      <w:sz w:val="18"/>
      <w:szCs w:val="18"/>
      <w:u w:val="none"/>
    </w:rPr>
  </w:style>
  <w:style w:type="paragraph" w:customStyle="1" w:styleId="272">
    <w:name w:val="表内文字"/>
    <w:basedOn w:val="273"/>
    <w:qFormat/>
    <w:uiPriority w:val="0"/>
    <w:pPr>
      <w:spacing w:line="240" w:lineRule="auto"/>
      <w:ind w:firstLine="0" w:firstLineChars="0"/>
      <w:jc w:val="center"/>
    </w:pPr>
    <w:rPr>
      <w:b w:val="0"/>
      <w:sz w:val="18"/>
    </w:rPr>
  </w:style>
  <w:style w:type="paragraph" w:customStyle="1" w:styleId="273">
    <w:name w:val="表头"/>
    <w:basedOn w:val="1"/>
    <w:qFormat/>
    <w:uiPriority w:val="0"/>
    <w:rPr>
      <w:rFonts w:ascii="Times New Roman" w:hAnsi="Times New Roman"/>
      <w:b/>
      <w:szCs w:val="28"/>
    </w:rPr>
  </w:style>
  <w:style w:type="character" w:customStyle="1" w:styleId="274">
    <w:name w:val="font91"/>
    <w:basedOn w:val="18"/>
    <w:qFormat/>
    <w:uiPriority w:val="0"/>
    <w:rPr>
      <w:rFonts w:ascii="仿宋_GB2312" w:eastAsia="仿宋_GB2312" w:cs="仿宋_GB2312"/>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5.jpeg"/><Relationship Id="rId53" Type="http://schemas.openxmlformats.org/officeDocument/2006/relationships/image" Target="media/image24.jpeg"/><Relationship Id="rId52" Type="http://schemas.openxmlformats.org/officeDocument/2006/relationships/image" Target="media/image23.jpe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er" Target="footer1.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wmf"/><Relationship Id="rId42" Type="http://schemas.openxmlformats.org/officeDocument/2006/relationships/oleObject" Target="embeddings/oleObject12.bin"/><Relationship Id="rId41" Type="http://schemas.openxmlformats.org/officeDocument/2006/relationships/image" Target="media/image13.wmf"/><Relationship Id="rId40" Type="http://schemas.openxmlformats.org/officeDocument/2006/relationships/oleObject" Target="embeddings/oleObject11.bin"/><Relationship Id="rId4" Type="http://schemas.openxmlformats.org/officeDocument/2006/relationships/endnotes" Target="endnotes.xml"/><Relationship Id="rId39" Type="http://schemas.openxmlformats.org/officeDocument/2006/relationships/image" Target="media/image12.wmf"/><Relationship Id="rId38" Type="http://schemas.openxmlformats.org/officeDocument/2006/relationships/oleObject" Target="embeddings/oleObject10.bin"/><Relationship Id="rId37" Type="http://schemas.openxmlformats.org/officeDocument/2006/relationships/image" Target="media/image11.wmf"/><Relationship Id="rId36" Type="http://schemas.openxmlformats.org/officeDocument/2006/relationships/oleObject" Target="embeddings/oleObject9.bin"/><Relationship Id="rId35" Type="http://schemas.openxmlformats.org/officeDocument/2006/relationships/image" Target="media/image10.wmf"/><Relationship Id="rId34" Type="http://schemas.openxmlformats.org/officeDocument/2006/relationships/oleObject" Target="embeddings/oleObject8.bin"/><Relationship Id="rId33" Type="http://schemas.openxmlformats.org/officeDocument/2006/relationships/image" Target="media/image9.wmf"/><Relationship Id="rId32" Type="http://schemas.openxmlformats.org/officeDocument/2006/relationships/oleObject" Target="embeddings/oleObject7.bin"/><Relationship Id="rId31" Type="http://schemas.openxmlformats.org/officeDocument/2006/relationships/image" Target="media/image8.w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7.wmf"/><Relationship Id="rId28" Type="http://schemas.openxmlformats.org/officeDocument/2006/relationships/oleObject" Target="embeddings/oleObject5.bin"/><Relationship Id="rId27" Type="http://schemas.openxmlformats.org/officeDocument/2006/relationships/image" Target="media/image6.wmf"/><Relationship Id="rId26" Type="http://schemas.openxmlformats.org/officeDocument/2006/relationships/oleObject" Target="embeddings/oleObject4.bin"/><Relationship Id="rId25" Type="http://schemas.openxmlformats.org/officeDocument/2006/relationships/image" Target="media/image5.wmf"/><Relationship Id="rId24" Type="http://schemas.openxmlformats.org/officeDocument/2006/relationships/oleObject" Target="embeddings/oleObject3.bin"/><Relationship Id="rId23" Type="http://schemas.openxmlformats.org/officeDocument/2006/relationships/image" Target="media/image4.wmf"/><Relationship Id="rId22" Type="http://schemas.openxmlformats.org/officeDocument/2006/relationships/oleObject" Target="embeddings/oleObject2.bin"/><Relationship Id="rId21" Type="http://schemas.openxmlformats.org/officeDocument/2006/relationships/image" Target="media/image3.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2.xml"/><Relationship Id="rId12" Type="http://schemas.openxmlformats.org/officeDocument/2006/relationships/header" Target="header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4097"/>
    <customShpInfo spid="_x0000_s4099"/>
    <customShpInfo spid="_x0000_s4098" textRotate="1"/>
    <customShpInfo spid="_x0000_s4101"/>
    <customShpInfo spid="_x0000_s4100"/>
    <customShpInfo spid="_x0000_s4103" textRotate="1"/>
    <customShpInfo spid="_x0000_s4102" textRotate="1"/>
    <customShpInfo spid="_x0000_s4105" textRotate="1"/>
    <customShpInfo spid="_x0000_s4104"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57</Pages>
  <Words>18255</Words>
  <Characters>25433</Characters>
  <Lines>228</Lines>
  <Paragraphs>64</Paragraphs>
  <TotalTime>0</TotalTime>
  <ScaleCrop>false</ScaleCrop>
  <LinksUpToDate>false</LinksUpToDate>
  <CharactersWithSpaces>26560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2020-09-07T12:44:00Z</cp:lastPrinted>
  <dcterms:modified xsi:type="dcterms:W3CDTF">2022-12-02T06:55:05Z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55EF224EC1C746A682CAD5F5B16CED70</vt:lpwstr>
  </property>
</Properties>
</file>