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F91AB">
      <w:pPr>
        <w:rPr>
          <w:color w:val="auto"/>
          <w:sz w:val="36"/>
          <w:szCs w:val="36"/>
          <w:highlight w:val="none"/>
        </w:rPr>
      </w:pPr>
    </w:p>
    <w:p w14:paraId="3052ACE1">
      <w:pPr>
        <w:rPr>
          <w:color w:val="auto"/>
          <w:sz w:val="36"/>
          <w:szCs w:val="36"/>
          <w:highlight w:val="none"/>
        </w:rPr>
      </w:pPr>
    </w:p>
    <w:p w14:paraId="4459FBD7">
      <w:pPr>
        <w:rPr>
          <w:color w:val="auto"/>
          <w:sz w:val="36"/>
          <w:szCs w:val="36"/>
          <w:highlight w:val="none"/>
        </w:rPr>
      </w:pPr>
    </w:p>
    <w:p w14:paraId="2518CDED">
      <w:pPr>
        <w:rPr>
          <w:color w:val="auto"/>
          <w:sz w:val="36"/>
          <w:szCs w:val="36"/>
          <w:highlight w:val="none"/>
        </w:rPr>
      </w:pPr>
    </w:p>
    <w:p w14:paraId="0920859D">
      <w:pPr>
        <w:adjustRightInd w:val="0"/>
        <w:snapToGrid w:val="0"/>
        <w:jc w:val="center"/>
        <w:outlineLvl w:val="0"/>
        <w:rPr>
          <w:bCs/>
          <w:color w:val="auto"/>
          <w:sz w:val="72"/>
          <w:szCs w:val="72"/>
          <w:highlight w:val="none"/>
        </w:rPr>
      </w:pPr>
      <w:bookmarkStart w:id="0" w:name="_Toc92182176"/>
      <w:r>
        <w:rPr>
          <w:bCs/>
          <w:color w:val="auto"/>
          <w:sz w:val="72"/>
          <w:szCs w:val="72"/>
          <w:highlight w:val="none"/>
        </w:rPr>
        <w:t>建设项目环境影响报告表</w:t>
      </w:r>
      <w:bookmarkEnd w:id="0"/>
    </w:p>
    <w:p w14:paraId="2E696F0D">
      <w:pPr>
        <w:adjustRightInd w:val="0"/>
        <w:snapToGrid w:val="0"/>
        <w:jc w:val="center"/>
        <w:outlineLvl w:val="0"/>
        <w:rPr>
          <w:rFonts w:hint="eastAsia" w:eastAsia="宋体"/>
          <w:bCs/>
          <w:color w:val="auto"/>
          <w:sz w:val="52"/>
          <w:szCs w:val="52"/>
          <w:highlight w:val="none"/>
          <w:lang w:eastAsia="zh-CN"/>
        </w:rPr>
      </w:pPr>
      <w:r>
        <w:rPr>
          <w:rFonts w:hint="eastAsia"/>
          <w:bCs/>
          <w:color w:val="auto"/>
          <w:sz w:val="52"/>
          <w:szCs w:val="52"/>
          <w:highlight w:val="none"/>
          <w:lang w:val="en-US" w:eastAsia="zh-CN"/>
        </w:rPr>
        <w:t xml:space="preserve"> </w:t>
      </w:r>
    </w:p>
    <w:p w14:paraId="1256C2A2">
      <w:pPr>
        <w:ind w:firstLine="1040"/>
        <w:rPr>
          <w:color w:val="auto"/>
          <w:sz w:val="44"/>
          <w:szCs w:val="44"/>
          <w:highlight w:val="none"/>
        </w:rPr>
      </w:pPr>
    </w:p>
    <w:p w14:paraId="52B070AF">
      <w:pPr>
        <w:ind w:firstLine="1040"/>
        <w:rPr>
          <w:color w:val="auto"/>
          <w:sz w:val="44"/>
          <w:szCs w:val="44"/>
          <w:highlight w:val="none"/>
        </w:rPr>
      </w:pPr>
    </w:p>
    <w:p w14:paraId="26E024FD">
      <w:pPr>
        <w:ind w:firstLine="1040"/>
        <w:rPr>
          <w:color w:val="auto"/>
          <w:sz w:val="44"/>
          <w:szCs w:val="44"/>
          <w:highlight w:val="none"/>
        </w:rPr>
      </w:pPr>
    </w:p>
    <w:p w14:paraId="75CADC61">
      <w:pPr>
        <w:ind w:firstLine="1040"/>
        <w:rPr>
          <w:color w:val="auto"/>
          <w:sz w:val="44"/>
          <w:szCs w:val="44"/>
          <w:highlight w:val="none"/>
        </w:rPr>
      </w:pPr>
    </w:p>
    <w:p w14:paraId="5F680BB1">
      <w:pPr>
        <w:ind w:firstLine="1040"/>
        <w:rPr>
          <w:color w:val="auto"/>
          <w:sz w:val="44"/>
          <w:szCs w:val="44"/>
          <w:highlight w:val="none"/>
        </w:rPr>
      </w:pPr>
    </w:p>
    <w:p w14:paraId="7960BADD">
      <w:pPr>
        <w:spacing w:line="360" w:lineRule="auto"/>
        <w:jc w:val="left"/>
        <w:rPr>
          <w:rFonts w:hint="eastAsia"/>
          <w:color w:val="auto"/>
          <w:sz w:val="32"/>
          <w:szCs w:val="32"/>
          <w:highlight w:val="none"/>
        </w:rPr>
      </w:pPr>
    </w:p>
    <w:p w14:paraId="556A604E">
      <w:pPr>
        <w:pStyle w:val="51"/>
        <w:rPr>
          <w:rFonts w:hint="eastAsia"/>
          <w:color w:val="auto"/>
          <w:highlight w:val="none"/>
        </w:rPr>
      </w:pPr>
    </w:p>
    <w:p w14:paraId="51902AE8">
      <w:pPr>
        <w:spacing w:line="360" w:lineRule="auto"/>
        <w:jc w:val="left"/>
        <w:rPr>
          <w:rFonts w:hint="eastAsia"/>
          <w:color w:val="auto"/>
          <w:sz w:val="32"/>
          <w:szCs w:val="32"/>
          <w:highlight w:val="none"/>
        </w:rPr>
      </w:pPr>
    </w:p>
    <w:p w14:paraId="6873E518">
      <w:pPr>
        <w:spacing w:line="360" w:lineRule="auto"/>
        <w:jc w:val="left"/>
        <w:rPr>
          <w:color w:val="auto"/>
          <w:sz w:val="36"/>
          <w:szCs w:val="36"/>
          <w:highlight w:val="none"/>
          <w:u w:val="single"/>
        </w:rPr>
      </w:pPr>
      <w:r>
        <w:rPr>
          <w:color w:val="auto"/>
          <w:sz w:val="36"/>
          <w:szCs w:val="36"/>
          <w:highlight w:val="none"/>
        </w:rPr>
        <w:t>项目名称：</w:t>
      </w:r>
      <w:r>
        <w:rPr>
          <w:rFonts w:hint="eastAsia"/>
          <w:color w:val="auto"/>
          <w:sz w:val="36"/>
          <w:szCs w:val="36"/>
          <w:highlight w:val="none"/>
          <w:u w:val="single"/>
          <w:lang w:val="en-US" w:eastAsia="zh-CN"/>
        </w:rPr>
        <w:t xml:space="preserve"> </w:t>
      </w:r>
      <w:r>
        <w:rPr>
          <w:rFonts w:hint="eastAsia"/>
          <w:caps/>
          <w:color w:val="auto"/>
          <w:sz w:val="36"/>
          <w:szCs w:val="36"/>
          <w:highlight w:val="none"/>
          <w:u w:val="single"/>
          <w:lang w:eastAsia="zh-CN"/>
        </w:rPr>
        <w:t>永州市耀福油脂有限公司锅炉技改项目</w:t>
      </w:r>
      <w:r>
        <w:rPr>
          <w:rFonts w:hint="eastAsia"/>
          <w:caps/>
          <w:color w:val="auto"/>
          <w:sz w:val="36"/>
          <w:szCs w:val="36"/>
          <w:highlight w:val="none"/>
          <w:u w:val="single"/>
        </w:rPr>
        <w:t xml:space="preserve">  </w:t>
      </w:r>
    </w:p>
    <w:p w14:paraId="15E3F5B0">
      <w:pPr>
        <w:spacing w:line="360" w:lineRule="auto"/>
        <w:rPr>
          <w:color w:val="auto"/>
          <w:sz w:val="36"/>
          <w:szCs w:val="36"/>
          <w:highlight w:val="none"/>
        </w:rPr>
      </w:pPr>
      <w:r>
        <w:rPr>
          <w:color w:val="auto"/>
          <w:sz w:val="36"/>
          <w:szCs w:val="36"/>
          <w:highlight w:val="none"/>
        </w:rPr>
        <w:t>建设单位（盖章）：</w:t>
      </w:r>
      <w:r>
        <w:rPr>
          <w:color w:val="auto"/>
          <w:sz w:val="36"/>
          <w:szCs w:val="36"/>
          <w:highlight w:val="none"/>
          <w:u w:val="single"/>
        </w:rPr>
        <w:t xml:space="preserve">   </w:t>
      </w:r>
      <w:r>
        <w:rPr>
          <w:rFonts w:hint="eastAsia"/>
          <w:color w:val="auto"/>
          <w:sz w:val="36"/>
          <w:szCs w:val="36"/>
          <w:highlight w:val="none"/>
          <w:u w:val="single"/>
        </w:rPr>
        <w:t xml:space="preserve">  </w:t>
      </w:r>
      <w:r>
        <w:rPr>
          <w:rFonts w:hint="eastAsia"/>
          <w:color w:val="auto"/>
          <w:sz w:val="36"/>
          <w:szCs w:val="36"/>
          <w:highlight w:val="none"/>
          <w:u w:val="single"/>
          <w:lang w:eastAsia="zh-CN"/>
        </w:rPr>
        <w:t>永州市耀福油脂有限公司</w:t>
      </w:r>
      <w:r>
        <w:rPr>
          <w:color w:val="auto"/>
          <w:sz w:val="36"/>
          <w:szCs w:val="36"/>
          <w:highlight w:val="none"/>
          <w:u w:val="single"/>
        </w:rPr>
        <w:t xml:space="preserve"> </w:t>
      </w:r>
      <w:r>
        <w:rPr>
          <w:rFonts w:hint="eastAsia"/>
          <w:color w:val="auto"/>
          <w:sz w:val="36"/>
          <w:szCs w:val="36"/>
          <w:highlight w:val="none"/>
          <w:u w:val="single"/>
        </w:rPr>
        <w:t xml:space="preserve">   </w:t>
      </w:r>
      <w:r>
        <w:rPr>
          <w:color w:val="auto"/>
          <w:sz w:val="36"/>
          <w:szCs w:val="36"/>
          <w:highlight w:val="none"/>
          <w:u w:val="single"/>
        </w:rPr>
        <w:t xml:space="preserve">   </w:t>
      </w:r>
    </w:p>
    <w:p w14:paraId="086FE331">
      <w:pPr>
        <w:adjustRightInd w:val="0"/>
        <w:snapToGrid w:val="0"/>
        <w:spacing w:line="360" w:lineRule="auto"/>
        <w:rPr>
          <w:color w:val="auto"/>
          <w:sz w:val="36"/>
          <w:szCs w:val="36"/>
          <w:highlight w:val="none"/>
          <w:u w:val="single"/>
        </w:rPr>
      </w:pPr>
      <w:r>
        <w:rPr>
          <w:color w:val="auto"/>
          <w:sz w:val="36"/>
          <w:szCs w:val="36"/>
          <w:highlight w:val="none"/>
        </w:rPr>
        <w:t>编制日期：</w:t>
      </w:r>
      <w:r>
        <w:rPr>
          <w:color w:val="auto"/>
          <w:sz w:val="36"/>
          <w:szCs w:val="36"/>
          <w:highlight w:val="none"/>
          <w:u w:val="single"/>
        </w:rPr>
        <w:t xml:space="preserve">              二零二</w:t>
      </w:r>
      <w:r>
        <w:rPr>
          <w:rFonts w:hint="eastAsia"/>
          <w:color w:val="auto"/>
          <w:sz w:val="36"/>
          <w:szCs w:val="36"/>
          <w:highlight w:val="none"/>
          <w:u w:val="single"/>
          <w:lang w:val="en-US" w:eastAsia="zh-CN"/>
        </w:rPr>
        <w:t>六</w:t>
      </w:r>
      <w:r>
        <w:rPr>
          <w:color w:val="auto"/>
          <w:sz w:val="36"/>
          <w:szCs w:val="36"/>
          <w:highlight w:val="none"/>
          <w:u w:val="single"/>
        </w:rPr>
        <w:t>年</w:t>
      </w:r>
      <w:r>
        <w:rPr>
          <w:rFonts w:hint="eastAsia"/>
          <w:color w:val="auto"/>
          <w:sz w:val="36"/>
          <w:szCs w:val="36"/>
          <w:highlight w:val="none"/>
          <w:u w:val="single"/>
          <w:lang w:val="en-US" w:eastAsia="zh-CN"/>
        </w:rPr>
        <w:t>五</w:t>
      </w:r>
      <w:r>
        <w:rPr>
          <w:color w:val="auto"/>
          <w:sz w:val="36"/>
          <w:szCs w:val="36"/>
          <w:highlight w:val="none"/>
          <w:u w:val="single"/>
        </w:rPr>
        <w:t xml:space="preserve">月                </w:t>
      </w:r>
    </w:p>
    <w:p w14:paraId="576EA2F1">
      <w:pPr>
        <w:adjustRightInd w:val="0"/>
        <w:snapToGrid w:val="0"/>
        <w:spacing w:line="288" w:lineRule="auto"/>
        <w:ind w:firstLine="1040"/>
        <w:rPr>
          <w:color w:val="auto"/>
          <w:sz w:val="36"/>
          <w:szCs w:val="36"/>
          <w:highlight w:val="none"/>
          <w:u w:val="single"/>
        </w:rPr>
      </w:pPr>
      <w:bookmarkStart w:id="1" w:name="_Hlk57884087"/>
    </w:p>
    <w:p w14:paraId="2B7B2765">
      <w:pPr>
        <w:adjustRightInd w:val="0"/>
        <w:snapToGrid w:val="0"/>
        <w:spacing w:line="288" w:lineRule="auto"/>
        <w:ind w:firstLine="1040"/>
        <w:rPr>
          <w:color w:val="auto"/>
          <w:sz w:val="36"/>
          <w:szCs w:val="36"/>
          <w:highlight w:val="none"/>
        </w:rPr>
      </w:pPr>
    </w:p>
    <w:p w14:paraId="78626513">
      <w:pPr>
        <w:adjustRightInd w:val="0"/>
        <w:snapToGrid w:val="0"/>
        <w:spacing w:line="288" w:lineRule="auto"/>
        <w:ind w:firstLine="1040"/>
        <w:rPr>
          <w:color w:val="auto"/>
          <w:sz w:val="36"/>
          <w:szCs w:val="36"/>
          <w:highlight w:val="none"/>
        </w:rPr>
      </w:pPr>
    </w:p>
    <w:p w14:paraId="67F9264B">
      <w:pPr>
        <w:adjustRightInd w:val="0"/>
        <w:snapToGrid w:val="0"/>
        <w:spacing w:line="288" w:lineRule="auto"/>
        <w:ind w:firstLine="1040"/>
        <w:rPr>
          <w:color w:val="auto"/>
          <w:sz w:val="36"/>
          <w:szCs w:val="36"/>
          <w:highlight w:val="none"/>
        </w:rPr>
      </w:pPr>
    </w:p>
    <w:p w14:paraId="091690D8">
      <w:pPr>
        <w:adjustRightInd w:val="0"/>
        <w:snapToGrid w:val="0"/>
        <w:spacing w:line="288" w:lineRule="auto"/>
        <w:ind w:firstLine="1040"/>
        <w:rPr>
          <w:color w:val="auto"/>
          <w:sz w:val="36"/>
          <w:szCs w:val="36"/>
          <w:highlight w:val="none"/>
        </w:rPr>
      </w:pPr>
    </w:p>
    <w:p w14:paraId="6EE9F8EB">
      <w:pPr>
        <w:adjustRightInd w:val="0"/>
        <w:snapToGrid w:val="0"/>
        <w:spacing w:line="288" w:lineRule="auto"/>
        <w:ind w:firstLine="1040"/>
        <w:rPr>
          <w:color w:val="auto"/>
          <w:sz w:val="36"/>
          <w:szCs w:val="36"/>
          <w:highlight w:val="none"/>
        </w:rPr>
      </w:pPr>
    </w:p>
    <w:bookmarkEnd w:id="1"/>
    <w:p w14:paraId="60D958C7">
      <w:pPr>
        <w:adjustRightInd w:val="0"/>
        <w:snapToGrid w:val="0"/>
        <w:spacing w:line="288" w:lineRule="auto"/>
        <w:jc w:val="center"/>
        <w:rPr>
          <w:color w:val="auto"/>
          <w:sz w:val="36"/>
          <w:szCs w:val="36"/>
          <w:highlight w:val="none"/>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color w:val="auto"/>
          <w:sz w:val="36"/>
          <w:szCs w:val="36"/>
          <w:highlight w:val="none"/>
        </w:rPr>
        <w:t>中华人民共和国生态环境部制</w:t>
      </w:r>
    </w:p>
    <w:p w14:paraId="3311C3B3">
      <w:pPr>
        <w:spacing w:beforeLines="100" w:afterLines="100"/>
        <w:jc w:val="center"/>
        <w:rPr>
          <w:rFonts w:ascii="宋体" w:hAnsi="宋体"/>
          <w:bCs/>
          <w:color w:val="auto"/>
          <w:sz w:val="36"/>
          <w:szCs w:val="36"/>
          <w:highlight w:val="none"/>
        </w:rPr>
      </w:pPr>
      <w:r>
        <w:rPr>
          <w:rFonts w:hint="eastAsia" w:ascii="宋体" w:hAnsi="宋体"/>
          <w:bCs/>
          <w:color w:val="auto"/>
          <w:sz w:val="36"/>
          <w:szCs w:val="36"/>
          <w:highlight w:val="none"/>
        </w:rPr>
        <w:t>目  录</w:t>
      </w:r>
    </w:p>
    <w:p w14:paraId="71E9054E">
      <w:pPr>
        <w:pStyle w:val="32"/>
        <w:tabs>
          <w:tab w:val="right" w:leader="dot" w:pos="8834"/>
        </w:tabs>
        <w:spacing w:line="360" w:lineRule="auto"/>
        <w:rPr>
          <w:bCs/>
          <w:color w:val="auto"/>
          <w:sz w:val="28"/>
          <w:szCs w:val="28"/>
          <w:highlight w:val="none"/>
        </w:rPr>
      </w:pPr>
      <w:r>
        <w:rPr>
          <w:bCs/>
          <w:color w:val="auto"/>
          <w:sz w:val="28"/>
          <w:szCs w:val="28"/>
          <w:highlight w:val="none"/>
        </w:rPr>
        <w:fldChar w:fldCharType="begin"/>
      </w:r>
      <w:r>
        <w:rPr>
          <w:bCs/>
          <w:color w:val="auto"/>
          <w:sz w:val="28"/>
          <w:szCs w:val="28"/>
          <w:highlight w:val="none"/>
        </w:rPr>
        <w:instrText xml:space="preserve">TOC \o "1-1" \h \u </w:instrText>
      </w:r>
      <w:r>
        <w:rPr>
          <w:bCs/>
          <w:color w:val="auto"/>
          <w:sz w:val="28"/>
          <w:szCs w:val="28"/>
          <w:highlight w:val="none"/>
        </w:rPr>
        <w:fldChar w:fldCharType="separate"/>
      </w:r>
      <w:r>
        <w:rPr>
          <w:color w:val="auto"/>
          <w:highlight w:val="none"/>
        </w:rPr>
        <w:fldChar w:fldCharType="begin"/>
      </w:r>
      <w:r>
        <w:rPr>
          <w:color w:val="auto"/>
          <w:highlight w:val="none"/>
        </w:rPr>
        <w:instrText xml:space="preserve"> HYPERLINK \l "_Toc92182177" </w:instrText>
      </w:r>
      <w:r>
        <w:rPr>
          <w:color w:val="auto"/>
          <w:highlight w:val="none"/>
        </w:rPr>
        <w:fldChar w:fldCharType="separate"/>
      </w:r>
      <w:r>
        <w:rPr>
          <w:rStyle w:val="48"/>
          <w:bCs/>
          <w:snapToGrid w:val="0"/>
          <w:color w:val="auto"/>
          <w:sz w:val="28"/>
          <w:szCs w:val="28"/>
          <w:highlight w:val="none"/>
        </w:rPr>
        <w:t>一、建设项目基本情况</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_Toc92182177 \h </w:instrText>
      </w:r>
      <w:r>
        <w:rPr>
          <w:bCs/>
          <w:color w:val="auto"/>
          <w:sz w:val="28"/>
          <w:szCs w:val="28"/>
          <w:highlight w:val="none"/>
        </w:rPr>
        <w:fldChar w:fldCharType="separate"/>
      </w:r>
      <w:r>
        <w:rPr>
          <w:bCs/>
          <w:color w:val="auto"/>
          <w:sz w:val="28"/>
          <w:szCs w:val="28"/>
          <w:highlight w:val="none"/>
        </w:rPr>
        <w:t>1</w:t>
      </w:r>
      <w:r>
        <w:rPr>
          <w:bCs/>
          <w:color w:val="auto"/>
          <w:sz w:val="28"/>
          <w:szCs w:val="28"/>
          <w:highlight w:val="none"/>
        </w:rPr>
        <w:fldChar w:fldCharType="end"/>
      </w:r>
      <w:r>
        <w:rPr>
          <w:bCs/>
          <w:color w:val="auto"/>
          <w:sz w:val="28"/>
          <w:szCs w:val="28"/>
          <w:highlight w:val="none"/>
        </w:rPr>
        <w:fldChar w:fldCharType="end"/>
      </w:r>
    </w:p>
    <w:p w14:paraId="5D4754A5">
      <w:pPr>
        <w:pStyle w:val="32"/>
        <w:tabs>
          <w:tab w:val="right" w:leader="dot" w:pos="8834"/>
        </w:tabs>
        <w:spacing w:line="360" w:lineRule="auto"/>
        <w:rPr>
          <w:bCs/>
          <w:color w:val="auto"/>
          <w:sz w:val="28"/>
          <w:szCs w:val="28"/>
          <w:highlight w:val="none"/>
        </w:rPr>
      </w:pPr>
      <w:r>
        <w:rPr>
          <w:color w:val="auto"/>
          <w:highlight w:val="none"/>
        </w:rPr>
        <w:fldChar w:fldCharType="begin"/>
      </w:r>
      <w:r>
        <w:rPr>
          <w:color w:val="auto"/>
          <w:highlight w:val="none"/>
        </w:rPr>
        <w:instrText xml:space="preserve"> HYPERLINK \l "_Toc92182178" </w:instrText>
      </w:r>
      <w:r>
        <w:rPr>
          <w:color w:val="auto"/>
          <w:highlight w:val="none"/>
        </w:rPr>
        <w:fldChar w:fldCharType="separate"/>
      </w:r>
      <w:r>
        <w:rPr>
          <w:rStyle w:val="48"/>
          <w:bCs/>
          <w:snapToGrid w:val="0"/>
          <w:color w:val="auto"/>
          <w:sz w:val="28"/>
          <w:szCs w:val="28"/>
          <w:highlight w:val="none"/>
        </w:rPr>
        <w:t>二、建设项目工程分析</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_Toc92182178 \h </w:instrText>
      </w:r>
      <w:r>
        <w:rPr>
          <w:bCs/>
          <w:color w:val="auto"/>
          <w:sz w:val="28"/>
          <w:szCs w:val="28"/>
          <w:highlight w:val="none"/>
        </w:rPr>
        <w:fldChar w:fldCharType="separate"/>
      </w:r>
      <w:r>
        <w:rPr>
          <w:bCs/>
          <w:color w:val="auto"/>
          <w:sz w:val="28"/>
          <w:szCs w:val="28"/>
          <w:highlight w:val="none"/>
        </w:rPr>
        <w:t>7</w:t>
      </w:r>
      <w:r>
        <w:rPr>
          <w:bCs/>
          <w:color w:val="auto"/>
          <w:sz w:val="28"/>
          <w:szCs w:val="28"/>
          <w:highlight w:val="none"/>
        </w:rPr>
        <w:fldChar w:fldCharType="end"/>
      </w:r>
      <w:r>
        <w:rPr>
          <w:bCs/>
          <w:color w:val="auto"/>
          <w:sz w:val="28"/>
          <w:szCs w:val="28"/>
          <w:highlight w:val="none"/>
        </w:rPr>
        <w:fldChar w:fldCharType="end"/>
      </w:r>
    </w:p>
    <w:p w14:paraId="143723F0">
      <w:pPr>
        <w:pStyle w:val="32"/>
        <w:tabs>
          <w:tab w:val="right" w:leader="dot" w:pos="8834"/>
        </w:tabs>
        <w:spacing w:line="360" w:lineRule="auto"/>
        <w:rPr>
          <w:bCs/>
          <w:color w:val="auto"/>
          <w:sz w:val="28"/>
          <w:szCs w:val="28"/>
          <w:highlight w:val="none"/>
        </w:rPr>
      </w:pPr>
      <w:r>
        <w:rPr>
          <w:color w:val="auto"/>
          <w:highlight w:val="none"/>
        </w:rPr>
        <w:fldChar w:fldCharType="begin"/>
      </w:r>
      <w:r>
        <w:rPr>
          <w:color w:val="auto"/>
          <w:highlight w:val="none"/>
        </w:rPr>
        <w:instrText xml:space="preserve"> HYPERLINK \l "_Toc92182179" </w:instrText>
      </w:r>
      <w:r>
        <w:rPr>
          <w:color w:val="auto"/>
          <w:highlight w:val="none"/>
        </w:rPr>
        <w:fldChar w:fldCharType="separate"/>
      </w:r>
      <w:r>
        <w:rPr>
          <w:rStyle w:val="48"/>
          <w:bCs/>
          <w:snapToGrid w:val="0"/>
          <w:color w:val="auto"/>
          <w:sz w:val="28"/>
          <w:szCs w:val="28"/>
          <w:highlight w:val="none"/>
        </w:rPr>
        <w:t>三、区域环境质量现状、环境保护目标及评价标准</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_Toc92182179 \h </w:instrText>
      </w:r>
      <w:r>
        <w:rPr>
          <w:bCs/>
          <w:color w:val="auto"/>
          <w:sz w:val="28"/>
          <w:szCs w:val="28"/>
          <w:highlight w:val="none"/>
        </w:rPr>
        <w:fldChar w:fldCharType="separate"/>
      </w:r>
      <w:r>
        <w:rPr>
          <w:bCs/>
          <w:color w:val="auto"/>
          <w:sz w:val="28"/>
          <w:szCs w:val="28"/>
          <w:highlight w:val="none"/>
        </w:rPr>
        <w:t>23</w:t>
      </w:r>
      <w:r>
        <w:rPr>
          <w:bCs/>
          <w:color w:val="auto"/>
          <w:sz w:val="28"/>
          <w:szCs w:val="28"/>
          <w:highlight w:val="none"/>
        </w:rPr>
        <w:fldChar w:fldCharType="end"/>
      </w:r>
      <w:r>
        <w:rPr>
          <w:bCs/>
          <w:color w:val="auto"/>
          <w:sz w:val="28"/>
          <w:szCs w:val="28"/>
          <w:highlight w:val="none"/>
        </w:rPr>
        <w:fldChar w:fldCharType="end"/>
      </w:r>
    </w:p>
    <w:p w14:paraId="78BFC480">
      <w:pPr>
        <w:pStyle w:val="32"/>
        <w:tabs>
          <w:tab w:val="right" w:leader="dot" w:pos="8834"/>
        </w:tabs>
        <w:spacing w:line="360" w:lineRule="auto"/>
        <w:rPr>
          <w:bCs/>
          <w:color w:val="auto"/>
          <w:sz w:val="28"/>
          <w:szCs w:val="28"/>
          <w:highlight w:val="none"/>
        </w:rPr>
      </w:pPr>
      <w:r>
        <w:rPr>
          <w:color w:val="auto"/>
          <w:highlight w:val="none"/>
        </w:rPr>
        <w:fldChar w:fldCharType="begin"/>
      </w:r>
      <w:r>
        <w:rPr>
          <w:color w:val="auto"/>
          <w:highlight w:val="none"/>
        </w:rPr>
        <w:instrText xml:space="preserve"> HYPERLINK \l "_Toc92182180" </w:instrText>
      </w:r>
      <w:r>
        <w:rPr>
          <w:color w:val="auto"/>
          <w:highlight w:val="none"/>
        </w:rPr>
        <w:fldChar w:fldCharType="separate"/>
      </w:r>
      <w:r>
        <w:rPr>
          <w:rStyle w:val="48"/>
          <w:bCs/>
          <w:snapToGrid w:val="0"/>
          <w:color w:val="auto"/>
          <w:sz w:val="28"/>
          <w:szCs w:val="28"/>
          <w:highlight w:val="none"/>
        </w:rPr>
        <w:t>四、主要环境影响和保护措施</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_Toc92182180 \h </w:instrText>
      </w:r>
      <w:r>
        <w:rPr>
          <w:bCs/>
          <w:color w:val="auto"/>
          <w:sz w:val="28"/>
          <w:szCs w:val="28"/>
          <w:highlight w:val="none"/>
        </w:rPr>
        <w:fldChar w:fldCharType="separate"/>
      </w:r>
      <w:r>
        <w:rPr>
          <w:bCs/>
          <w:color w:val="auto"/>
          <w:sz w:val="28"/>
          <w:szCs w:val="28"/>
          <w:highlight w:val="none"/>
        </w:rPr>
        <w:t>30</w:t>
      </w:r>
      <w:r>
        <w:rPr>
          <w:bCs/>
          <w:color w:val="auto"/>
          <w:sz w:val="28"/>
          <w:szCs w:val="28"/>
          <w:highlight w:val="none"/>
        </w:rPr>
        <w:fldChar w:fldCharType="end"/>
      </w:r>
      <w:r>
        <w:rPr>
          <w:bCs/>
          <w:color w:val="auto"/>
          <w:sz w:val="28"/>
          <w:szCs w:val="28"/>
          <w:highlight w:val="none"/>
        </w:rPr>
        <w:fldChar w:fldCharType="end"/>
      </w:r>
    </w:p>
    <w:p w14:paraId="03AB9F78">
      <w:pPr>
        <w:pStyle w:val="32"/>
        <w:tabs>
          <w:tab w:val="right" w:leader="dot" w:pos="8834"/>
        </w:tabs>
        <w:spacing w:line="360" w:lineRule="auto"/>
        <w:rPr>
          <w:bCs/>
          <w:color w:val="auto"/>
          <w:sz w:val="28"/>
          <w:szCs w:val="28"/>
          <w:highlight w:val="none"/>
        </w:rPr>
      </w:pPr>
      <w:r>
        <w:rPr>
          <w:color w:val="auto"/>
          <w:highlight w:val="none"/>
        </w:rPr>
        <w:fldChar w:fldCharType="begin"/>
      </w:r>
      <w:r>
        <w:rPr>
          <w:color w:val="auto"/>
          <w:highlight w:val="none"/>
        </w:rPr>
        <w:instrText xml:space="preserve"> HYPERLINK \l "_Toc92182181" </w:instrText>
      </w:r>
      <w:r>
        <w:rPr>
          <w:color w:val="auto"/>
          <w:highlight w:val="none"/>
        </w:rPr>
        <w:fldChar w:fldCharType="separate"/>
      </w:r>
      <w:r>
        <w:rPr>
          <w:rStyle w:val="48"/>
          <w:bCs/>
          <w:snapToGrid w:val="0"/>
          <w:color w:val="auto"/>
          <w:sz w:val="28"/>
          <w:szCs w:val="28"/>
          <w:highlight w:val="none"/>
        </w:rPr>
        <w:t>五、环境保护措施监督检查清单</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_Toc92182181 \h </w:instrText>
      </w:r>
      <w:r>
        <w:rPr>
          <w:bCs/>
          <w:color w:val="auto"/>
          <w:sz w:val="28"/>
          <w:szCs w:val="28"/>
          <w:highlight w:val="none"/>
        </w:rPr>
        <w:fldChar w:fldCharType="separate"/>
      </w:r>
      <w:r>
        <w:rPr>
          <w:bCs/>
          <w:color w:val="auto"/>
          <w:sz w:val="28"/>
          <w:szCs w:val="28"/>
          <w:highlight w:val="none"/>
        </w:rPr>
        <w:t>50</w:t>
      </w:r>
      <w:r>
        <w:rPr>
          <w:bCs/>
          <w:color w:val="auto"/>
          <w:sz w:val="28"/>
          <w:szCs w:val="28"/>
          <w:highlight w:val="none"/>
        </w:rPr>
        <w:fldChar w:fldCharType="end"/>
      </w:r>
      <w:r>
        <w:rPr>
          <w:bCs/>
          <w:color w:val="auto"/>
          <w:sz w:val="28"/>
          <w:szCs w:val="28"/>
          <w:highlight w:val="none"/>
        </w:rPr>
        <w:fldChar w:fldCharType="end"/>
      </w:r>
    </w:p>
    <w:p w14:paraId="0D0CEA73">
      <w:pPr>
        <w:pStyle w:val="32"/>
        <w:tabs>
          <w:tab w:val="right" w:leader="dot" w:pos="8834"/>
        </w:tabs>
        <w:spacing w:line="360" w:lineRule="auto"/>
        <w:rPr>
          <w:bCs/>
          <w:color w:val="auto"/>
          <w:sz w:val="28"/>
          <w:szCs w:val="28"/>
          <w:highlight w:val="none"/>
        </w:rPr>
      </w:pPr>
      <w:r>
        <w:rPr>
          <w:color w:val="auto"/>
          <w:highlight w:val="none"/>
        </w:rPr>
        <w:fldChar w:fldCharType="begin"/>
      </w:r>
      <w:r>
        <w:rPr>
          <w:color w:val="auto"/>
          <w:highlight w:val="none"/>
        </w:rPr>
        <w:instrText xml:space="preserve"> HYPERLINK \l "_Toc92182182" </w:instrText>
      </w:r>
      <w:r>
        <w:rPr>
          <w:color w:val="auto"/>
          <w:highlight w:val="none"/>
        </w:rPr>
        <w:fldChar w:fldCharType="separate"/>
      </w:r>
      <w:r>
        <w:rPr>
          <w:rStyle w:val="48"/>
          <w:bCs/>
          <w:snapToGrid w:val="0"/>
          <w:color w:val="auto"/>
          <w:sz w:val="28"/>
          <w:szCs w:val="28"/>
          <w:highlight w:val="none"/>
        </w:rPr>
        <w:t>六、结论</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_Toc92182182 \h </w:instrText>
      </w:r>
      <w:r>
        <w:rPr>
          <w:bCs/>
          <w:color w:val="auto"/>
          <w:sz w:val="28"/>
          <w:szCs w:val="28"/>
          <w:highlight w:val="none"/>
        </w:rPr>
        <w:fldChar w:fldCharType="separate"/>
      </w:r>
      <w:r>
        <w:rPr>
          <w:bCs/>
          <w:color w:val="auto"/>
          <w:sz w:val="28"/>
          <w:szCs w:val="28"/>
          <w:highlight w:val="none"/>
        </w:rPr>
        <w:t>56</w:t>
      </w:r>
      <w:r>
        <w:rPr>
          <w:bCs/>
          <w:color w:val="auto"/>
          <w:sz w:val="28"/>
          <w:szCs w:val="28"/>
          <w:highlight w:val="none"/>
        </w:rPr>
        <w:fldChar w:fldCharType="end"/>
      </w:r>
      <w:r>
        <w:rPr>
          <w:bCs/>
          <w:color w:val="auto"/>
          <w:sz w:val="28"/>
          <w:szCs w:val="28"/>
          <w:highlight w:val="none"/>
        </w:rPr>
        <w:fldChar w:fldCharType="end"/>
      </w:r>
    </w:p>
    <w:p w14:paraId="63CC1809">
      <w:pPr>
        <w:pStyle w:val="32"/>
        <w:tabs>
          <w:tab w:val="right" w:leader="dot" w:pos="8834"/>
        </w:tabs>
        <w:spacing w:line="360" w:lineRule="auto"/>
        <w:rPr>
          <w:rFonts w:ascii="等线" w:hAnsi="等线" w:eastAsia="等线"/>
          <w:bCs/>
          <w:color w:val="auto"/>
          <w:szCs w:val="22"/>
          <w:highlight w:val="none"/>
        </w:rPr>
      </w:pPr>
      <w:r>
        <w:rPr>
          <w:color w:val="auto"/>
          <w:highlight w:val="none"/>
        </w:rPr>
        <w:fldChar w:fldCharType="begin"/>
      </w:r>
      <w:r>
        <w:rPr>
          <w:color w:val="auto"/>
          <w:highlight w:val="none"/>
        </w:rPr>
        <w:instrText xml:space="preserve"> HYPERLINK \l "_Toc92182183" </w:instrText>
      </w:r>
      <w:r>
        <w:rPr>
          <w:color w:val="auto"/>
          <w:highlight w:val="none"/>
        </w:rPr>
        <w:fldChar w:fldCharType="separate"/>
      </w:r>
      <w:r>
        <w:rPr>
          <w:rStyle w:val="48"/>
          <w:bCs/>
          <w:snapToGrid w:val="0"/>
          <w:color w:val="auto"/>
          <w:sz w:val="28"/>
          <w:szCs w:val="28"/>
          <w:highlight w:val="none"/>
        </w:rPr>
        <w:t>附表</w:t>
      </w:r>
      <w:r>
        <w:rPr>
          <w:bCs/>
          <w:color w:val="auto"/>
          <w:sz w:val="28"/>
          <w:szCs w:val="28"/>
          <w:highlight w:val="none"/>
        </w:rPr>
        <w:tab/>
      </w:r>
      <w:r>
        <w:rPr>
          <w:bCs/>
          <w:color w:val="auto"/>
          <w:sz w:val="28"/>
          <w:szCs w:val="28"/>
          <w:highlight w:val="none"/>
        </w:rPr>
        <w:fldChar w:fldCharType="begin"/>
      </w:r>
      <w:r>
        <w:rPr>
          <w:bCs/>
          <w:color w:val="auto"/>
          <w:sz w:val="28"/>
          <w:szCs w:val="28"/>
          <w:highlight w:val="none"/>
        </w:rPr>
        <w:instrText xml:space="preserve"> PAGEREF _Toc92182183 \h </w:instrText>
      </w:r>
      <w:r>
        <w:rPr>
          <w:bCs/>
          <w:color w:val="auto"/>
          <w:sz w:val="28"/>
          <w:szCs w:val="28"/>
          <w:highlight w:val="none"/>
        </w:rPr>
        <w:fldChar w:fldCharType="separate"/>
      </w:r>
      <w:r>
        <w:rPr>
          <w:bCs/>
          <w:color w:val="auto"/>
          <w:sz w:val="28"/>
          <w:szCs w:val="28"/>
          <w:highlight w:val="none"/>
        </w:rPr>
        <w:t>57</w:t>
      </w:r>
      <w:r>
        <w:rPr>
          <w:bCs/>
          <w:color w:val="auto"/>
          <w:sz w:val="28"/>
          <w:szCs w:val="28"/>
          <w:highlight w:val="none"/>
        </w:rPr>
        <w:fldChar w:fldCharType="end"/>
      </w:r>
      <w:r>
        <w:rPr>
          <w:bCs/>
          <w:color w:val="auto"/>
          <w:sz w:val="28"/>
          <w:szCs w:val="28"/>
          <w:highlight w:val="none"/>
        </w:rPr>
        <w:fldChar w:fldCharType="end"/>
      </w:r>
    </w:p>
    <w:p w14:paraId="39352E01">
      <w:pPr>
        <w:spacing w:line="360" w:lineRule="auto"/>
        <w:jc w:val="left"/>
        <w:rPr>
          <w:color w:val="auto"/>
          <w:sz w:val="28"/>
          <w:szCs w:val="28"/>
          <w:highlight w:val="none"/>
        </w:rPr>
      </w:pPr>
      <w:r>
        <w:rPr>
          <w:bCs/>
          <w:color w:val="auto"/>
          <w:sz w:val="28"/>
          <w:szCs w:val="28"/>
          <w:highlight w:val="none"/>
        </w:rPr>
        <w:fldChar w:fldCharType="end"/>
      </w:r>
    </w:p>
    <w:p w14:paraId="38E6298D">
      <w:pPr>
        <w:adjustRightInd w:val="0"/>
        <w:snapToGrid w:val="0"/>
        <w:spacing w:line="360" w:lineRule="auto"/>
        <w:jc w:val="left"/>
        <w:rPr>
          <w:b/>
          <w:color w:val="auto"/>
          <w:sz w:val="24"/>
          <w:highlight w:val="none"/>
        </w:rPr>
      </w:pPr>
      <w:r>
        <w:rPr>
          <w:b/>
          <w:color w:val="auto"/>
          <w:sz w:val="24"/>
          <w:highlight w:val="none"/>
        </w:rPr>
        <w:t>附件：</w:t>
      </w:r>
    </w:p>
    <w:p w14:paraId="2032D04E">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附件1</w:t>
      </w:r>
      <w:r>
        <w:rPr>
          <w:rFonts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rPr>
        <w:t>营业执照</w:t>
      </w:r>
    </w:p>
    <w:p w14:paraId="0BE71639">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 xml:space="preserve">附件2 </w:t>
      </w:r>
      <w:r>
        <w:rPr>
          <w:rFonts w:hint="eastAsia"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lang w:val="en-US" w:eastAsia="zh-CN"/>
        </w:rPr>
        <w:t>质保单</w:t>
      </w:r>
    </w:p>
    <w:p w14:paraId="5F62B3E7">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rPr>
        <w:t>附件</w:t>
      </w:r>
      <w:r>
        <w:rPr>
          <w:rFonts w:hint="eastAsia" w:ascii="Times New Roman" w:hAnsi="Times New Roman" w:eastAsia="宋体" w:cs="Times New Roman"/>
          <w:color w:val="auto"/>
          <w:sz w:val="24"/>
          <w:highlight w:val="none"/>
          <w:lang w:val="en-US" w:eastAsia="zh-CN"/>
        </w:rPr>
        <w:t>3</w:t>
      </w:r>
      <w:r>
        <w:rPr>
          <w:rFonts w:ascii="Times New Roman" w:hAnsi="Times New Roman" w:eastAsia="宋体" w:cs="Times New Roman"/>
          <w:color w:val="auto"/>
          <w:sz w:val="24"/>
          <w:highlight w:val="none"/>
        </w:rPr>
        <w:t xml:space="preserve"> </w:t>
      </w:r>
      <w:r>
        <w:rPr>
          <w:rFonts w:hint="eastAsia" w:ascii="Times New Roman" w:hAnsi="Times New Roman" w:eastAsia="宋体" w:cs="Times New Roman"/>
          <w:color w:val="auto"/>
          <w:sz w:val="24"/>
          <w:highlight w:val="none"/>
          <w:lang w:eastAsia="zh-CN"/>
        </w:rPr>
        <w:t xml:space="preserve"> </w:t>
      </w:r>
      <w:r>
        <w:rPr>
          <w:rFonts w:hint="eastAsia" w:ascii="Times New Roman" w:hAnsi="Times New Roman" w:eastAsia="宋体" w:cs="Times New Roman"/>
          <w:color w:val="auto"/>
          <w:sz w:val="24"/>
          <w:highlight w:val="none"/>
          <w:lang w:val="en-US" w:eastAsia="zh-CN"/>
        </w:rPr>
        <w:t>现有项目环评批复</w:t>
      </w:r>
    </w:p>
    <w:p w14:paraId="44F9C3AE">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附件</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eastAsia="zh-CN"/>
        </w:rPr>
        <w:t xml:space="preserve">  现有项目验收意见</w:t>
      </w:r>
    </w:p>
    <w:p w14:paraId="1939F423">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附件</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lang w:eastAsia="zh-CN"/>
        </w:rPr>
        <w:t xml:space="preserve">  现有项目排污</w:t>
      </w:r>
      <w:r>
        <w:rPr>
          <w:rFonts w:hint="eastAsia" w:cs="Times New Roman"/>
          <w:color w:val="auto"/>
          <w:sz w:val="24"/>
          <w:highlight w:val="none"/>
          <w:lang w:val="en-US" w:eastAsia="zh-CN"/>
        </w:rPr>
        <w:t>许可证</w:t>
      </w:r>
    </w:p>
    <w:p w14:paraId="601E71FE">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附件</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排污权证</w:t>
      </w:r>
    </w:p>
    <w:p w14:paraId="091B5E8F">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附件</w:t>
      </w:r>
      <w:r>
        <w:rPr>
          <w:rFonts w:hint="eastAsia" w:cs="Times New Roman"/>
          <w:color w:val="auto"/>
          <w:sz w:val="24"/>
          <w:highlight w:val="none"/>
          <w:lang w:val="en-US" w:eastAsia="zh-CN"/>
        </w:rPr>
        <w:t>7</w:t>
      </w:r>
      <w:r>
        <w:rPr>
          <w:rFonts w:hint="eastAsia" w:ascii="Times New Roman" w:hAnsi="Times New Roman" w:eastAsia="宋体" w:cs="Times New Roman"/>
          <w:color w:val="auto"/>
          <w:sz w:val="24"/>
          <w:highlight w:val="none"/>
          <w:lang w:val="en-US" w:eastAsia="zh-CN"/>
        </w:rPr>
        <w:t xml:space="preserve">  废水转运协议</w:t>
      </w:r>
    </w:p>
    <w:p w14:paraId="50198559">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附件8  检测报告</w:t>
      </w:r>
    </w:p>
    <w:p w14:paraId="6110C28F">
      <w:pPr>
        <w:pStyle w:val="22"/>
        <w:rPr>
          <w:rFonts w:hint="default"/>
          <w:lang w:val="en-US" w:eastAsia="zh-CN"/>
        </w:rPr>
      </w:pPr>
    </w:p>
    <w:p w14:paraId="4B2909EF">
      <w:pPr>
        <w:adjustRightInd w:val="0"/>
        <w:snapToGrid w:val="0"/>
        <w:spacing w:line="360" w:lineRule="auto"/>
        <w:jc w:val="left"/>
        <w:rPr>
          <w:b/>
          <w:color w:val="auto"/>
          <w:sz w:val="24"/>
          <w:highlight w:val="none"/>
        </w:rPr>
      </w:pPr>
      <w:r>
        <w:rPr>
          <w:rFonts w:hint="eastAsia"/>
          <w:b/>
          <w:color w:val="auto"/>
          <w:sz w:val="24"/>
          <w:highlight w:val="none"/>
        </w:rPr>
        <w:t>附图：</w:t>
      </w:r>
    </w:p>
    <w:p w14:paraId="3412B3D8">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附图1  项目地理位置图</w:t>
      </w:r>
    </w:p>
    <w:p w14:paraId="762CC157">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附图2  项目平面布置图</w:t>
      </w:r>
    </w:p>
    <w:p w14:paraId="32C33747">
      <w:pPr>
        <w:adjustRightInd w:val="0"/>
        <w:snapToGrid w:val="0"/>
        <w:spacing w:line="360" w:lineRule="auto"/>
        <w:ind w:firstLine="480" w:firstLineChars="200"/>
        <w:jc w:val="left"/>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附图3  项目敏感目标分布图</w:t>
      </w:r>
    </w:p>
    <w:p w14:paraId="7CA202A1">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eastAsia="zh-CN"/>
        </w:rPr>
        <w:t xml:space="preserve">附图4  </w:t>
      </w:r>
      <w:r>
        <w:rPr>
          <w:rFonts w:hint="eastAsia" w:cs="Times New Roman"/>
          <w:color w:val="auto"/>
          <w:sz w:val="24"/>
          <w:highlight w:val="none"/>
          <w:lang w:val="en-US" w:eastAsia="zh-CN"/>
        </w:rPr>
        <w:t>项目监测布点图</w:t>
      </w:r>
    </w:p>
    <w:p w14:paraId="368F164A">
      <w:pPr>
        <w:adjustRightInd w:val="0"/>
        <w:snapToGrid w:val="0"/>
        <w:spacing w:line="360" w:lineRule="auto"/>
        <w:ind w:firstLine="480" w:firstLineChars="200"/>
        <w:jc w:val="left"/>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eastAsia="zh-CN"/>
        </w:rPr>
        <w:t>附图</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lang w:eastAsia="zh-CN"/>
        </w:rPr>
        <w:t xml:space="preserve">  </w:t>
      </w:r>
      <w:r>
        <w:rPr>
          <w:rFonts w:hint="eastAsia" w:ascii="Times New Roman" w:hAnsi="Times New Roman" w:eastAsia="宋体" w:cs="Times New Roman"/>
          <w:color w:val="auto"/>
          <w:sz w:val="24"/>
          <w:highlight w:val="none"/>
          <w:lang w:val="en-US" w:eastAsia="zh-CN"/>
        </w:rPr>
        <w:t>现场照片</w:t>
      </w:r>
    </w:p>
    <w:p w14:paraId="3D49CD69">
      <w:pPr>
        <w:pStyle w:val="8"/>
        <w:rPr>
          <w:color w:val="auto"/>
          <w:highlight w:val="none"/>
        </w:rPr>
      </w:pPr>
    </w:p>
    <w:p w14:paraId="5BDEF154">
      <w:pPr>
        <w:pStyle w:val="8"/>
        <w:rPr>
          <w:color w:val="auto"/>
          <w:highlight w:val="none"/>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14:paraId="785922DD">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pPr>
      <w:bookmarkStart w:id="2" w:name="_Toc92182177"/>
    </w:p>
    <w:p w14:paraId="1D51C504">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pPr>
      <w:r>
        <w:rPr>
          <w:rFonts w:ascii="Times New Roman" w:hAnsi="Times New Roman"/>
          <w:b/>
          <w:bCs/>
          <w:snapToGrid w:val="0"/>
          <w:color w:val="auto"/>
          <w:sz w:val="30"/>
          <w:szCs w:val="30"/>
          <w:highlight w:val="none"/>
        </w:rPr>
        <w:t>一、建设项目基本情况</w:t>
      </w:r>
      <w:bookmarkEnd w:id="2"/>
    </w:p>
    <w:tbl>
      <w:tblPr>
        <w:tblStyle w:val="42"/>
        <w:tblW w:w="91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170"/>
        <w:gridCol w:w="2428"/>
        <w:gridCol w:w="2359"/>
        <w:gridCol w:w="3217"/>
      </w:tblGrid>
      <w:tr w14:paraId="4F717E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170" w:type="dxa"/>
            <w:tcMar>
              <w:top w:w="16" w:type="dxa"/>
              <w:left w:w="16" w:type="dxa"/>
              <w:right w:w="16" w:type="dxa"/>
            </w:tcMar>
            <w:vAlign w:val="center"/>
          </w:tcPr>
          <w:p w14:paraId="5919F6F3">
            <w:pPr>
              <w:jc w:val="center"/>
              <w:rPr>
                <w:color w:val="auto"/>
                <w:sz w:val="24"/>
                <w:highlight w:val="none"/>
              </w:rPr>
            </w:pPr>
            <w:r>
              <w:rPr>
                <w:color w:val="auto"/>
                <w:sz w:val="24"/>
                <w:highlight w:val="none"/>
              </w:rPr>
              <w:t>建设项目名称</w:t>
            </w:r>
          </w:p>
        </w:tc>
        <w:tc>
          <w:tcPr>
            <w:tcW w:w="8004" w:type="dxa"/>
            <w:gridSpan w:val="3"/>
            <w:vAlign w:val="center"/>
          </w:tcPr>
          <w:p w14:paraId="4D71F664">
            <w:pPr>
              <w:jc w:val="center"/>
              <w:rPr>
                <w:color w:val="auto"/>
                <w:sz w:val="24"/>
                <w:highlight w:val="none"/>
              </w:rPr>
            </w:pPr>
            <w:r>
              <w:rPr>
                <w:rFonts w:hint="eastAsia"/>
                <w:color w:val="auto"/>
                <w:sz w:val="24"/>
                <w:highlight w:val="none"/>
                <w:lang w:eastAsia="zh-CN"/>
              </w:rPr>
              <w:t>永州市耀福油脂有限公司锅炉技改项目</w:t>
            </w:r>
          </w:p>
        </w:tc>
      </w:tr>
      <w:tr w14:paraId="7405DB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0" w:type="dxa"/>
            <w:tcMar>
              <w:top w:w="16" w:type="dxa"/>
              <w:left w:w="16" w:type="dxa"/>
              <w:right w:w="16" w:type="dxa"/>
            </w:tcMar>
            <w:vAlign w:val="center"/>
          </w:tcPr>
          <w:p w14:paraId="5A6238AF">
            <w:pPr>
              <w:jc w:val="center"/>
              <w:rPr>
                <w:color w:val="auto"/>
                <w:sz w:val="24"/>
                <w:highlight w:val="none"/>
              </w:rPr>
            </w:pPr>
            <w:r>
              <w:rPr>
                <w:color w:val="auto"/>
                <w:sz w:val="24"/>
                <w:highlight w:val="none"/>
              </w:rPr>
              <w:t>项目代码</w:t>
            </w:r>
          </w:p>
        </w:tc>
        <w:tc>
          <w:tcPr>
            <w:tcW w:w="8004" w:type="dxa"/>
            <w:gridSpan w:val="3"/>
            <w:vAlign w:val="center"/>
          </w:tcPr>
          <w:p w14:paraId="2397111B">
            <w:pPr>
              <w:jc w:val="center"/>
              <w:rPr>
                <w:rFonts w:hint="default" w:eastAsia="宋体"/>
                <w:color w:val="auto"/>
                <w:sz w:val="24"/>
                <w:highlight w:val="none"/>
                <w:lang w:val="en-US" w:eastAsia="zh-CN"/>
              </w:rPr>
            </w:pPr>
            <w:r>
              <w:rPr>
                <w:rFonts w:hint="eastAsia"/>
                <w:color w:val="auto"/>
                <w:sz w:val="24"/>
                <w:highlight w:val="none"/>
                <w:lang w:val="en-US" w:eastAsia="zh-CN"/>
              </w:rPr>
              <w:t>/</w:t>
            </w:r>
          </w:p>
        </w:tc>
      </w:tr>
      <w:tr w14:paraId="2B83C13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170" w:type="dxa"/>
            <w:shd w:val="clear" w:color="auto" w:fill="auto"/>
            <w:tcMar>
              <w:top w:w="16" w:type="dxa"/>
              <w:left w:w="16" w:type="dxa"/>
              <w:right w:w="16" w:type="dxa"/>
            </w:tcMar>
            <w:vAlign w:val="center"/>
          </w:tcPr>
          <w:p w14:paraId="3601F69E">
            <w:pPr>
              <w:jc w:val="center"/>
              <w:rPr>
                <w:color w:val="auto"/>
                <w:sz w:val="24"/>
                <w:highlight w:val="none"/>
              </w:rPr>
            </w:pPr>
            <w:r>
              <w:rPr>
                <w:color w:val="auto"/>
                <w:sz w:val="24"/>
                <w:highlight w:val="none"/>
              </w:rPr>
              <w:t>建设单位联系人</w:t>
            </w:r>
          </w:p>
        </w:tc>
        <w:tc>
          <w:tcPr>
            <w:tcW w:w="2428" w:type="dxa"/>
            <w:shd w:val="clear" w:color="auto" w:fill="auto"/>
            <w:vAlign w:val="center"/>
          </w:tcPr>
          <w:p w14:paraId="04FAB94A">
            <w:pPr>
              <w:jc w:val="center"/>
              <w:rPr>
                <w:rFonts w:hint="default"/>
                <w:color w:val="auto"/>
                <w:sz w:val="24"/>
                <w:highlight w:val="none"/>
                <w:lang w:val="en-US" w:eastAsia="zh-CN"/>
              </w:rPr>
            </w:pPr>
            <w:r>
              <w:rPr>
                <w:rFonts w:hint="eastAsia"/>
                <w:color w:val="auto"/>
                <w:sz w:val="24"/>
                <w:highlight w:val="none"/>
                <w:lang w:val="en-US" w:eastAsia="zh-CN"/>
              </w:rPr>
              <w:t>段青玲</w:t>
            </w:r>
          </w:p>
        </w:tc>
        <w:tc>
          <w:tcPr>
            <w:tcW w:w="2359" w:type="dxa"/>
            <w:shd w:val="clear" w:color="auto" w:fill="auto"/>
            <w:vAlign w:val="center"/>
          </w:tcPr>
          <w:p w14:paraId="528A6C96">
            <w:pPr>
              <w:jc w:val="center"/>
              <w:rPr>
                <w:color w:val="auto"/>
                <w:sz w:val="24"/>
                <w:highlight w:val="none"/>
              </w:rPr>
            </w:pPr>
            <w:r>
              <w:rPr>
                <w:color w:val="auto"/>
                <w:sz w:val="24"/>
                <w:highlight w:val="none"/>
              </w:rPr>
              <w:t>联系方式</w:t>
            </w:r>
          </w:p>
        </w:tc>
        <w:tc>
          <w:tcPr>
            <w:tcW w:w="3217" w:type="dxa"/>
            <w:shd w:val="clear" w:color="auto" w:fill="auto"/>
            <w:vAlign w:val="center"/>
          </w:tcPr>
          <w:p w14:paraId="55E847A1">
            <w:pPr>
              <w:jc w:val="center"/>
              <w:rPr>
                <w:rFonts w:hint="default"/>
                <w:color w:val="auto"/>
                <w:sz w:val="24"/>
                <w:highlight w:val="none"/>
                <w:lang w:val="en-US" w:eastAsia="zh-CN"/>
              </w:rPr>
            </w:pPr>
            <w:r>
              <w:rPr>
                <w:rFonts w:hint="default"/>
                <w:color w:val="auto"/>
                <w:sz w:val="24"/>
                <w:highlight w:val="none"/>
                <w:lang w:val="en-US" w:eastAsia="zh-CN"/>
              </w:rPr>
              <w:t>131</w:t>
            </w:r>
            <w:r>
              <w:rPr>
                <w:rFonts w:hint="eastAsia"/>
                <w:color w:val="auto"/>
                <w:sz w:val="24"/>
                <w:highlight w:val="none"/>
                <w:lang w:val="en-US" w:eastAsia="zh-CN"/>
              </w:rPr>
              <w:t>****</w:t>
            </w:r>
            <w:bookmarkStart w:id="14" w:name="_GoBack"/>
            <w:bookmarkEnd w:id="14"/>
            <w:r>
              <w:rPr>
                <w:rFonts w:hint="default"/>
                <w:color w:val="auto"/>
                <w:sz w:val="24"/>
                <w:highlight w:val="none"/>
                <w:lang w:val="en-US" w:eastAsia="zh-CN"/>
              </w:rPr>
              <w:t>9661</w:t>
            </w:r>
          </w:p>
        </w:tc>
      </w:tr>
      <w:tr w14:paraId="1388D7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3" w:hRule="atLeast"/>
          <w:jc w:val="center"/>
        </w:trPr>
        <w:tc>
          <w:tcPr>
            <w:tcW w:w="1170" w:type="dxa"/>
            <w:shd w:val="clear" w:color="auto" w:fill="auto"/>
            <w:tcMar>
              <w:top w:w="16" w:type="dxa"/>
              <w:left w:w="16" w:type="dxa"/>
              <w:right w:w="16" w:type="dxa"/>
            </w:tcMar>
            <w:vAlign w:val="center"/>
          </w:tcPr>
          <w:p w14:paraId="2024211F">
            <w:pPr>
              <w:jc w:val="center"/>
              <w:rPr>
                <w:color w:val="auto"/>
                <w:sz w:val="24"/>
                <w:highlight w:val="none"/>
              </w:rPr>
            </w:pPr>
            <w:r>
              <w:rPr>
                <w:color w:val="auto"/>
                <w:sz w:val="24"/>
                <w:highlight w:val="none"/>
              </w:rPr>
              <w:t>建设地点</w:t>
            </w:r>
          </w:p>
        </w:tc>
        <w:tc>
          <w:tcPr>
            <w:tcW w:w="8004" w:type="dxa"/>
            <w:gridSpan w:val="3"/>
            <w:shd w:val="clear" w:color="auto" w:fill="auto"/>
            <w:vAlign w:val="center"/>
          </w:tcPr>
          <w:p w14:paraId="3F9AB0FC">
            <w:pPr>
              <w:jc w:val="center"/>
              <w:rPr>
                <w:rFonts w:hint="eastAsia" w:eastAsia="宋体"/>
                <w:color w:val="auto"/>
                <w:sz w:val="24"/>
                <w:highlight w:val="none"/>
                <w:u w:val="none"/>
                <w:lang w:val="en-US" w:eastAsia="zh-CN"/>
              </w:rPr>
            </w:pPr>
            <w:r>
              <w:rPr>
                <w:rFonts w:hint="eastAsia"/>
                <w:color w:val="auto"/>
                <w:sz w:val="24"/>
                <w:highlight w:val="none"/>
                <w:u w:val="none"/>
                <w:lang w:eastAsia="zh-CN"/>
              </w:rPr>
              <w:t>湖南省永州市祁阳市进宝塘镇大富村12组</w:t>
            </w:r>
          </w:p>
        </w:tc>
      </w:tr>
      <w:tr w14:paraId="113BA2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33" w:hRule="atLeast"/>
          <w:jc w:val="center"/>
        </w:trPr>
        <w:tc>
          <w:tcPr>
            <w:tcW w:w="1170" w:type="dxa"/>
            <w:tcMar>
              <w:top w:w="16" w:type="dxa"/>
              <w:left w:w="16" w:type="dxa"/>
              <w:right w:w="16" w:type="dxa"/>
            </w:tcMar>
            <w:vAlign w:val="center"/>
          </w:tcPr>
          <w:p w14:paraId="0836F943">
            <w:pPr>
              <w:jc w:val="center"/>
              <w:rPr>
                <w:color w:val="auto"/>
                <w:sz w:val="24"/>
                <w:highlight w:val="none"/>
              </w:rPr>
            </w:pPr>
            <w:r>
              <w:rPr>
                <w:color w:val="auto"/>
                <w:sz w:val="24"/>
                <w:highlight w:val="none"/>
              </w:rPr>
              <w:t>地理坐标</w:t>
            </w:r>
          </w:p>
        </w:tc>
        <w:tc>
          <w:tcPr>
            <w:tcW w:w="8004" w:type="dxa"/>
            <w:gridSpan w:val="3"/>
            <w:vAlign w:val="center"/>
          </w:tcPr>
          <w:p w14:paraId="17D7FC8B">
            <w:pPr>
              <w:jc w:val="center"/>
              <w:rPr>
                <w:color w:val="auto"/>
                <w:sz w:val="24"/>
                <w:highlight w:val="none"/>
                <w:u w:val="none"/>
              </w:rPr>
            </w:pPr>
            <w:r>
              <w:rPr>
                <w:rFonts w:hint="eastAsia"/>
                <w:color w:val="auto"/>
                <w:sz w:val="24"/>
                <w:highlight w:val="none"/>
                <w:u w:val="none"/>
                <w:lang w:eastAsia="zh-CN"/>
              </w:rPr>
              <w:t>E112.117637°，N26.388388°</w:t>
            </w:r>
          </w:p>
        </w:tc>
      </w:tr>
      <w:tr w14:paraId="6B6872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70" w:type="dxa"/>
            <w:tcMar>
              <w:top w:w="16" w:type="dxa"/>
              <w:left w:w="16" w:type="dxa"/>
              <w:right w:w="16" w:type="dxa"/>
            </w:tcMar>
            <w:vAlign w:val="center"/>
          </w:tcPr>
          <w:p w14:paraId="0D6E1E10">
            <w:pPr>
              <w:jc w:val="center"/>
              <w:rPr>
                <w:color w:val="auto"/>
                <w:sz w:val="24"/>
                <w:highlight w:val="none"/>
              </w:rPr>
            </w:pPr>
            <w:r>
              <w:rPr>
                <w:color w:val="auto"/>
                <w:sz w:val="24"/>
                <w:highlight w:val="none"/>
              </w:rPr>
              <w:t>国民经济</w:t>
            </w:r>
          </w:p>
          <w:p w14:paraId="01ACCC62">
            <w:pPr>
              <w:jc w:val="center"/>
              <w:rPr>
                <w:color w:val="auto"/>
                <w:sz w:val="24"/>
                <w:highlight w:val="none"/>
              </w:rPr>
            </w:pPr>
            <w:r>
              <w:rPr>
                <w:color w:val="auto"/>
                <w:sz w:val="24"/>
                <w:highlight w:val="none"/>
              </w:rPr>
              <w:t>行业类别</w:t>
            </w:r>
          </w:p>
        </w:tc>
        <w:tc>
          <w:tcPr>
            <w:tcW w:w="2428" w:type="dxa"/>
            <w:shd w:val="clear" w:color="auto" w:fill="auto"/>
            <w:vAlign w:val="center"/>
          </w:tcPr>
          <w:p w14:paraId="53F58423">
            <w:pPr>
              <w:jc w:val="center"/>
              <w:rPr>
                <w:rFonts w:hint="default" w:ascii="Times New Roman" w:hAnsi="Times New Roman" w:eastAsia="宋体" w:cs="Times New Roman"/>
                <w:color w:val="auto"/>
                <w:sz w:val="24"/>
                <w:highlight w:val="none"/>
                <w:lang w:val="en-US" w:eastAsia="zh-CN"/>
              </w:rPr>
            </w:pPr>
            <w:r>
              <w:rPr>
                <w:rFonts w:ascii="Times New Roman" w:hAnsi="Times New Roman" w:eastAsia="宋体" w:cs="Times New Roman"/>
                <w:color w:val="auto"/>
                <w:sz w:val="24"/>
                <w:highlight w:val="none"/>
              </w:rPr>
              <w:t>D4430热力生产和供应</w:t>
            </w:r>
          </w:p>
        </w:tc>
        <w:tc>
          <w:tcPr>
            <w:tcW w:w="2359" w:type="dxa"/>
            <w:vAlign w:val="center"/>
          </w:tcPr>
          <w:p w14:paraId="6C65EBB9">
            <w:pPr>
              <w:jc w:val="center"/>
              <w:rPr>
                <w:rFonts w:ascii="Times New Roman" w:hAnsi="Times New Roman" w:eastAsia="宋体" w:cs="Times New Roman"/>
                <w:color w:val="auto"/>
                <w:sz w:val="24"/>
                <w:highlight w:val="none"/>
              </w:rPr>
            </w:pPr>
            <w:bookmarkStart w:id="3" w:name="_Hlk49843745"/>
            <w:r>
              <w:rPr>
                <w:rFonts w:ascii="Times New Roman" w:hAnsi="Times New Roman" w:eastAsia="宋体" w:cs="Times New Roman"/>
                <w:color w:val="auto"/>
                <w:sz w:val="24"/>
                <w:highlight w:val="none"/>
              </w:rPr>
              <w:t>建设项目</w:t>
            </w:r>
          </w:p>
          <w:p w14:paraId="607B2C31">
            <w:pPr>
              <w:jc w:val="center"/>
              <w:rPr>
                <w:rFonts w:ascii="Times New Roman" w:hAnsi="Times New Roman" w:eastAsia="宋体" w:cs="Times New Roman"/>
                <w:color w:val="auto"/>
                <w:sz w:val="24"/>
                <w:highlight w:val="none"/>
              </w:rPr>
            </w:pPr>
            <w:r>
              <w:rPr>
                <w:rFonts w:ascii="Times New Roman" w:hAnsi="Times New Roman" w:eastAsia="宋体" w:cs="Times New Roman"/>
                <w:color w:val="auto"/>
                <w:sz w:val="24"/>
                <w:highlight w:val="none"/>
              </w:rPr>
              <w:t>行业类别</w:t>
            </w:r>
            <w:bookmarkEnd w:id="3"/>
          </w:p>
        </w:tc>
        <w:tc>
          <w:tcPr>
            <w:tcW w:w="3217" w:type="dxa"/>
            <w:shd w:val="clear" w:color="auto" w:fill="auto"/>
            <w:vAlign w:val="center"/>
          </w:tcPr>
          <w:p w14:paraId="14A0882F">
            <w:pPr>
              <w:jc w:val="center"/>
              <w:rPr>
                <w:color w:val="auto"/>
                <w:sz w:val="24"/>
                <w:highlight w:val="none"/>
              </w:rPr>
            </w:pPr>
            <w:r>
              <w:rPr>
                <w:rFonts w:hint="eastAsia"/>
                <w:color w:val="auto"/>
                <w:sz w:val="24"/>
                <w:highlight w:val="none"/>
              </w:rPr>
              <w:t>四十一、电力、热力生产和供 应业-91 、热力生产和供应工程 （包括建设单位自建自用的供 热工程）</w:t>
            </w:r>
          </w:p>
        </w:tc>
      </w:tr>
      <w:tr w14:paraId="6C7182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70" w:type="dxa"/>
            <w:tcMar>
              <w:top w:w="16" w:type="dxa"/>
              <w:left w:w="16" w:type="dxa"/>
              <w:right w:w="16" w:type="dxa"/>
            </w:tcMar>
            <w:vAlign w:val="center"/>
          </w:tcPr>
          <w:p w14:paraId="61FE9014">
            <w:pPr>
              <w:jc w:val="center"/>
              <w:rPr>
                <w:color w:val="auto"/>
                <w:sz w:val="24"/>
                <w:highlight w:val="none"/>
              </w:rPr>
            </w:pPr>
            <w:r>
              <w:rPr>
                <w:color w:val="auto"/>
                <w:sz w:val="24"/>
                <w:highlight w:val="none"/>
              </w:rPr>
              <w:t>建设性质</w:t>
            </w:r>
          </w:p>
        </w:tc>
        <w:tc>
          <w:tcPr>
            <w:tcW w:w="2428" w:type="dxa"/>
            <w:vAlign w:val="center"/>
          </w:tcPr>
          <w:p w14:paraId="487B8D59">
            <w:pPr>
              <w:jc w:val="left"/>
              <w:rPr>
                <w:color w:val="auto"/>
                <w:sz w:val="24"/>
                <w:highlight w:val="none"/>
              </w:rPr>
            </w:pPr>
            <w:r>
              <w:rPr>
                <w:color w:val="auto"/>
                <w:sz w:val="24"/>
                <w:highlight w:val="none"/>
              </w:rPr>
              <w:sym w:font="Wingdings 2" w:char="00A3"/>
            </w:r>
            <w:r>
              <w:rPr>
                <w:color w:val="auto"/>
                <w:sz w:val="24"/>
                <w:highlight w:val="none"/>
              </w:rPr>
              <w:t>新建（迁建）</w:t>
            </w:r>
          </w:p>
          <w:p w14:paraId="4AAEEF5C">
            <w:pPr>
              <w:jc w:val="left"/>
              <w:rPr>
                <w:color w:val="auto"/>
                <w:sz w:val="24"/>
                <w:highlight w:val="none"/>
              </w:rPr>
            </w:pPr>
            <w:r>
              <w:rPr>
                <w:color w:val="auto"/>
                <w:sz w:val="24"/>
                <w:highlight w:val="none"/>
              </w:rPr>
              <w:sym w:font="Wingdings 2" w:char="00A3"/>
            </w:r>
            <w:r>
              <w:rPr>
                <w:color w:val="auto"/>
                <w:sz w:val="24"/>
                <w:highlight w:val="none"/>
              </w:rPr>
              <w:t>改建</w:t>
            </w:r>
          </w:p>
          <w:p w14:paraId="7B721E2D">
            <w:pPr>
              <w:jc w:val="left"/>
              <w:rPr>
                <w:color w:val="auto"/>
                <w:sz w:val="24"/>
                <w:highlight w:val="none"/>
              </w:rPr>
            </w:pPr>
            <w:r>
              <w:rPr>
                <w:color w:val="auto"/>
                <w:sz w:val="24"/>
                <w:highlight w:val="none"/>
              </w:rPr>
              <w:sym w:font="Wingdings 2" w:char="00A3"/>
            </w:r>
            <w:r>
              <w:rPr>
                <w:color w:val="auto"/>
                <w:sz w:val="24"/>
                <w:highlight w:val="none"/>
              </w:rPr>
              <w:t>扩建</w:t>
            </w:r>
          </w:p>
          <w:p w14:paraId="2114B427">
            <w:pPr>
              <w:jc w:val="left"/>
              <w:rPr>
                <w:color w:val="auto"/>
                <w:sz w:val="24"/>
                <w:highlight w:val="none"/>
              </w:rPr>
            </w:pPr>
            <w:r>
              <w:rPr>
                <w:color w:val="auto"/>
                <w:sz w:val="24"/>
                <w:highlight w:val="none"/>
              </w:rPr>
              <w:sym w:font="Wingdings 2" w:char="0052"/>
            </w:r>
            <w:r>
              <w:rPr>
                <w:color w:val="auto"/>
                <w:sz w:val="24"/>
                <w:highlight w:val="none"/>
              </w:rPr>
              <w:t>技术改造</w:t>
            </w:r>
          </w:p>
        </w:tc>
        <w:tc>
          <w:tcPr>
            <w:tcW w:w="2359" w:type="dxa"/>
            <w:vAlign w:val="center"/>
          </w:tcPr>
          <w:p w14:paraId="262083D3">
            <w:pPr>
              <w:jc w:val="center"/>
              <w:rPr>
                <w:color w:val="auto"/>
                <w:sz w:val="24"/>
                <w:highlight w:val="none"/>
              </w:rPr>
            </w:pPr>
            <w:r>
              <w:rPr>
                <w:color w:val="auto"/>
                <w:sz w:val="24"/>
                <w:highlight w:val="none"/>
              </w:rPr>
              <w:t>建设项目</w:t>
            </w:r>
          </w:p>
          <w:p w14:paraId="3A13BB35">
            <w:pPr>
              <w:jc w:val="center"/>
              <w:rPr>
                <w:color w:val="auto"/>
                <w:sz w:val="24"/>
                <w:highlight w:val="none"/>
              </w:rPr>
            </w:pPr>
            <w:r>
              <w:rPr>
                <w:color w:val="auto"/>
                <w:sz w:val="24"/>
                <w:highlight w:val="none"/>
              </w:rPr>
              <w:t>申报情形</w:t>
            </w:r>
          </w:p>
        </w:tc>
        <w:tc>
          <w:tcPr>
            <w:tcW w:w="3217" w:type="dxa"/>
            <w:vAlign w:val="center"/>
          </w:tcPr>
          <w:p w14:paraId="17684F53">
            <w:pPr>
              <w:jc w:val="left"/>
              <w:rPr>
                <w:color w:val="auto"/>
                <w:sz w:val="24"/>
                <w:highlight w:val="none"/>
              </w:rPr>
            </w:pPr>
            <w:r>
              <w:rPr>
                <w:color w:val="auto"/>
                <w:sz w:val="24"/>
                <w:highlight w:val="none"/>
              </w:rPr>
              <w:sym w:font="Wingdings 2" w:char="0052"/>
            </w:r>
            <w:r>
              <w:rPr>
                <w:color w:val="auto"/>
                <w:sz w:val="24"/>
                <w:highlight w:val="none"/>
              </w:rPr>
              <w:t xml:space="preserve">首次申报项目             </w:t>
            </w:r>
          </w:p>
          <w:p w14:paraId="0B3E5844">
            <w:pPr>
              <w:jc w:val="left"/>
              <w:rPr>
                <w:color w:val="auto"/>
                <w:sz w:val="24"/>
                <w:highlight w:val="none"/>
              </w:rPr>
            </w:pPr>
            <w:r>
              <w:rPr>
                <w:color w:val="auto"/>
                <w:sz w:val="24"/>
                <w:highlight w:val="none"/>
              </w:rPr>
              <w:sym w:font="Wingdings 2" w:char="00A3"/>
            </w:r>
            <w:r>
              <w:rPr>
                <w:color w:val="auto"/>
                <w:sz w:val="24"/>
                <w:highlight w:val="none"/>
              </w:rPr>
              <w:t>不予批准后再次申报项目</w:t>
            </w:r>
          </w:p>
          <w:p w14:paraId="2B031B4B">
            <w:pPr>
              <w:jc w:val="left"/>
              <w:rPr>
                <w:color w:val="auto"/>
                <w:sz w:val="24"/>
                <w:highlight w:val="none"/>
              </w:rPr>
            </w:pPr>
            <w:r>
              <w:rPr>
                <w:color w:val="auto"/>
                <w:sz w:val="24"/>
                <w:highlight w:val="none"/>
              </w:rPr>
              <w:sym w:font="Wingdings 2" w:char="00A3"/>
            </w:r>
            <w:r>
              <w:rPr>
                <w:color w:val="auto"/>
                <w:sz w:val="24"/>
                <w:highlight w:val="none"/>
              </w:rPr>
              <w:t xml:space="preserve">超五年重新审核项目     </w:t>
            </w:r>
          </w:p>
          <w:p w14:paraId="2A6B7D4C">
            <w:pPr>
              <w:jc w:val="left"/>
              <w:rPr>
                <w:color w:val="auto"/>
                <w:sz w:val="24"/>
                <w:highlight w:val="none"/>
              </w:rPr>
            </w:pPr>
            <w:r>
              <w:rPr>
                <w:color w:val="auto"/>
                <w:sz w:val="24"/>
                <w:highlight w:val="none"/>
              </w:rPr>
              <w:sym w:font="Wingdings 2" w:char="00A3"/>
            </w:r>
            <w:r>
              <w:rPr>
                <w:color w:val="auto"/>
                <w:sz w:val="24"/>
                <w:highlight w:val="none"/>
              </w:rPr>
              <w:t>重大变动重新报批项目</w:t>
            </w:r>
          </w:p>
        </w:tc>
      </w:tr>
      <w:tr w14:paraId="2099BF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70" w:type="dxa"/>
            <w:shd w:val="clear" w:color="auto" w:fill="auto"/>
            <w:tcMar>
              <w:top w:w="16" w:type="dxa"/>
              <w:left w:w="16" w:type="dxa"/>
              <w:right w:w="16" w:type="dxa"/>
            </w:tcMar>
            <w:vAlign w:val="center"/>
          </w:tcPr>
          <w:p w14:paraId="5EC021AD">
            <w:pPr>
              <w:jc w:val="center"/>
              <w:rPr>
                <w:color w:val="auto"/>
                <w:sz w:val="24"/>
                <w:highlight w:val="none"/>
              </w:rPr>
            </w:pPr>
            <w:r>
              <w:rPr>
                <w:color w:val="auto"/>
                <w:sz w:val="24"/>
                <w:highlight w:val="none"/>
              </w:rPr>
              <w:t>项目审批（核准/备案）部门（选填）</w:t>
            </w:r>
          </w:p>
        </w:tc>
        <w:tc>
          <w:tcPr>
            <w:tcW w:w="2428" w:type="dxa"/>
            <w:shd w:val="clear" w:color="auto" w:fill="auto"/>
            <w:vAlign w:val="center"/>
          </w:tcPr>
          <w:p w14:paraId="3622108D">
            <w:pPr>
              <w:jc w:val="center"/>
              <w:rPr>
                <w:rFonts w:hint="default" w:eastAsia="宋体"/>
                <w:color w:val="auto"/>
                <w:sz w:val="24"/>
                <w:highlight w:val="none"/>
                <w:lang w:val="en-US" w:eastAsia="zh-CN"/>
              </w:rPr>
            </w:pPr>
            <w:r>
              <w:rPr>
                <w:rFonts w:hint="eastAsia"/>
                <w:color w:val="auto"/>
                <w:sz w:val="24"/>
                <w:highlight w:val="none"/>
                <w:lang w:val="en-US" w:eastAsia="zh-CN"/>
              </w:rPr>
              <w:t xml:space="preserve"> /</w:t>
            </w:r>
          </w:p>
        </w:tc>
        <w:tc>
          <w:tcPr>
            <w:tcW w:w="2359" w:type="dxa"/>
            <w:shd w:val="clear" w:color="auto" w:fill="auto"/>
            <w:vAlign w:val="center"/>
          </w:tcPr>
          <w:p w14:paraId="14FADC2F">
            <w:pPr>
              <w:jc w:val="center"/>
              <w:rPr>
                <w:color w:val="auto"/>
                <w:sz w:val="24"/>
                <w:highlight w:val="none"/>
              </w:rPr>
            </w:pPr>
            <w:r>
              <w:rPr>
                <w:color w:val="auto"/>
                <w:sz w:val="24"/>
                <w:highlight w:val="none"/>
              </w:rPr>
              <w:t>项目审批（核准/</w:t>
            </w:r>
          </w:p>
          <w:p w14:paraId="06269ADC">
            <w:pPr>
              <w:jc w:val="center"/>
              <w:rPr>
                <w:color w:val="auto"/>
                <w:sz w:val="24"/>
                <w:highlight w:val="none"/>
              </w:rPr>
            </w:pPr>
            <w:r>
              <w:rPr>
                <w:color w:val="auto"/>
                <w:sz w:val="24"/>
                <w:highlight w:val="none"/>
              </w:rPr>
              <w:t>备案）文号（选填）</w:t>
            </w:r>
          </w:p>
        </w:tc>
        <w:tc>
          <w:tcPr>
            <w:tcW w:w="3217" w:type="dxa"/>
            <w:shd w:val="clear" w:color="auto" w:fill="auto"/>
            <w:vAlign w:val="center"/>
          </w:tcPr>
          <w:p w14:paraId="74CCA829">
            <w:pPr>
              <w:jc w:val="center"/>
              <w:rPr>
                <w:rFonts w:hint="default" w:eastAsia="宋体"/>
                <w:color w:val="auto"/>
                <w:sz w:val="24"/>
                <w:highlight w:val="none"/>
                <w:lang w:val="en-US" w:eastAsia="zh-CN"/>
              </w:rPr>
            </w:pPr>
            <w:r>
              <w:rPr>
                <w:rFonts w:hint="eastAsia"/>
                <w:color w:val="auto"/>
                <w:sz w:val="24"/>
                <w:highlight w:val="none"/>
                <w:lang w:val="en-US" w:eastAsia="zh-CN"/>
              </w:rPr>
              <w:t xml:space="preserve">/ </w:t>
            </w:r>
          </w:p>
        </w:tc>
      </w:tr>
      <w:tr w14:paraId="101AB4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66" w:hRule="atLeast"/>
          <w:jc w:val="center"/>
        </w:trPr>
        <w:tc>
          <w:tcPr>
            <w:tcW w:w="1170" w:type="dxa"/>
            <w:shd w:val="clear" w:color="auto" w:fill="auto"/>
            <w:tcMar>
              <w:top w:w="16" w:type="dxa"/>
              <w:left w:w="16" w:type="dxa"/>
              <w:right w:w="16" w:type="dxa"/>
            </w:tcMar>
            <w:vAlign w:val="center"/>
          </w:tcPr>
          <w:p w14:paraId="512FB58C">
            <w:pPr>
              <w:jc w:val="center"/>
              <w:rPr>
                <w:color w:val="auto"/>
                <w:sz w:val="24"/>
                <w:highlight w:val="none"/>
              </w:rPr>
            </w:pPr>
            <w:r>
              <w:rPr>
                <w:color w:val="auto"/>
                <w:sz w:val="24"/>
                <w:highlight w:val="none"/>
              </w:rPr>
              <w:t>总投资（万元）</w:t>
            </w:r>
          </w:p>
        </w:tc>
        <w:tc>
          <w:tcPr>
            <w:tcW w:w="2428" w:type="dxa"/>
            <w:shd w:val="clear" w:color="auto" w:fill="auto"/>
            <w:vAlign w:val="center"/>
          </w:tcPr>
          <w:p w14:paraId="24C24916">
            <w:pPr>
              <w:jc w:val="center"/>
              <w:rPr>
                <w:rFonts w:hint="default"/>
                <w:color w:val="auto"/>
                <w:sz w:val="24"/>
                <w:highlight w:val="none"/>
                <w:lang w:val="en-US"/>
              </w:rPr>
            </w:pPr>
            <w:r>
              <w:rPr>
                <w:rFonts w:hint="eastAsia" w:cs="Times New Roman"/>
                <w:color w:val="auto"/>
                <w:spacing w:val="-6"/>
                <w:sz w:val="24"/>
                <w:szCs w:val="24"/>
                <w:highlight w:val="none"/>
                <w:lang w:val="en-US" w:eastAsia="zh-CN"/>
              </w:rPr>
              <w:t>60</w:t>
            </w:r>
          </w:p>
        </w:tc>
        <w:tc>
          <w:tcPr>
            <w:tcW w:w="2359" w:type="dxa"/>
            <w:shd w:val="clear" w:color="auto" w:fill="auto"/>
            <w:tcMar>
              <w:top w:w="16" w:type="dxa"/>
              <w:left w:w="16" w:type="dxa"/>
              <w:right w:w="16" w:type="dxa"/>
            </w:tcMar>
            <w:vAlign w:val="center"/>
          </w:tcPr>
          <w:p w14:paraId="5BFA478C">
            <w:pPr>
              <w:jc w:val="center"/>
              <w:rPr>
                <w:color w:val="auto"/>
                <w:sz w:val="24"/>
                <w:highlight w:val="none"/>
              </w:rPr>
            </w:pPr>
            <w:r>
              <w:rPr>
                <w:color w:val="auto"/>
                <w:sz w:val="24"/>
                <w:highlight w:val="none"/>
              </w:rPr>
              <w:t>环保投资（万元）</w:t>
            </w:r>
          </w:p>
        </w:tc>
        <w:tc>
          <w:tcPr>
            <w:tcW w:w="3217" w:type="dxa"/>
            <w:shd w:val="clear" w:color="auto" w:fill="auto"/>
            <w:vAlign w:val="center"/>
          </w:tcPr>
          <w:p w14:paraId="404AF099">
            <w:pPr>
              <w:jc w:val="center"/>
              <w:rPr>
                <w:rFonts w:hint="default" w:eastAsia="宋体"/>
                <w:color w:val="auto"/>
                <w:sz w:val="24"/>
                <w:highlight w:val="none"/>
                <w:lang w:val="en-US" w:eastAsia="zh-CN"/>
              </w:rPr>
            </w:pPr>
            <w:r>
              <w:rPr>
                <w:rFonts w:hint="eastAsia"/>
                <w:color w:val="auto"/>
                <w:sz w:val="24"/>
                <w:highlight w:val="none"/>
                <w:lang w:val="en-US" w:eastAsia="zh-CN"/>
              </w:rPr>
              <w:t>9</w:t>
            </w:r>
          </w:p>
        </w:tc>
      </w:tr>
      <w:tr w14:paraId="5F3F58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3" w:hRule="atLeast"/>
          <w:jc w:val="center"/>
        </w:trPr>
        <w:tc>
          <w:tcPr>
            <w:tcW w:w="1170" w:type="dxa"/>
            <w:shd w:val="clear" w:color="auto" w:fill="auto"/>
            <w:tcMar>
              <w:top w:w="16" w:type="dxa"/>
              <w:left w:w="16" w:type="dxa"/>
              <w:right w:w="16" w:type="dxa"/>
            </w:tcMar>
            <w:vAlign w:val="center"/>
          </w:tcPr>
          <w:p w14:paraId="4E299FDB">
            <w:pPr>
              <w:jc w:val="center"/>
              <w:rPr>
                <w:color w:val="auto"/>
                <w:sz w:val="24"/>
                <w:highlight w:val="none"/>
              </w:rPr>
            </w:pPr>
            <w:r>
              <w:rPr>
                <w:color w:val="auto"/>
                <w:sz w:val="24"/>
                <w:highlight w:val="none"/>
              </w:rPr>
              <w:t>环保投资占比（%）</w:t>
            </w:r>
          </w:p>
        </w:tc>
        <w:tc>
          <w:tcPr>
            <w:tcW w:w="2428" w:type="dxa"/>
            <w:shd w:val="clear" w:color="auto" w:fill="auto"/>
            <w:vAlign w:val="center"/>
          </w:tcPr>
          <w:p w14:paraId="0DFC6497">
            <w:pPr>
              <w:jc w:val="center"/>
              <w:rPr>
                <w:rFonts w:hint="default" w:eastAsia="宋体"/>
                <w:color w:val="auto"/>
                <w:sz w:val="24"/>
                <w:highlight w:val="none"/>
                <w:lang w:val="en-US" w:eastAsia="zh-CN"/>
              </w:rPr>
            </w:pPr>
            <w:r>
              <w:rPr>
                <w:rFonts w:hint="eastAsia"/>
                <w:color w:val="auto"/>
                <w:sz w:val="24"/>
                <w:highlight w:val="none"/>
                <w:lang w:val="en-US" w:eastAsia="zh-CN"/>
              </w:rPr>
              <w:t>15</w:t>
            </w:r>
          </w:p>
        </w:tc>
        <w:tc>
          <w:tcPr>
            <w:tcW w:w="2359" w:type="dxa"/>
            <w:shd w:val="clear" w:color="auto" w:fill="auto"/>
            <w:tcMar>
              <w:top w:w="16" w:type="dxa"/>
              <w:left w:w="16" w:type="dxa"/>
              <w:right w:w="16" w:type="dxa"/>
            </w:tcMar>
            <w:vAlign w:val="center"/>
          </w:tcPr>
          <w:p w14:paraId="4B74137F">
            <w:pPr>
              <w:jc w:val="center"/>
              <w:rPr>
                <w:color w:val="auto"/>
                <w:sz w:val="24"/>
                <w:highlight w:val="none"/>
              </w:rPr>
            </w:pPr>
            <w:r>
              <w:rPr>
                <w:color w:val="auto"/>
                <w:sz w:val="24"/>
                <w:highlight w:val="none"/>
              </w:rPr>
              <w:t>施工工期</w:t>
            </w:r>
          </w:p>
        </w:tc>
        <w:tc>
          <w:tcPr>
            <w:tcW w:w="3217" w:type="dxa"/>
            <w:shd w:val="clear" w:color="auto" w:fill="auto"/>
            <w:vAlign w:val="center"/>
          </w:tcPr>
          <w:p w14:paraId="3FF4884A">
            <w:pPr>
              <w:jc w:val="center"/>
              <w:rPr>
                <w:rFonts w:hint="eastAsia" w:eastAsia="宋体"/>
                <w:color w:val="auto"/>
                <w:sz w:val="24"/>
                <w:highlight w:val="none"/>
                <w:lang w:eastAsia="zh-CN"/>
              </w:rPr>
            </w:pPr>
            <w:r>
              <w:rPr>
                <w:rFonts w:hint="eastAsia"/>
                <w:color w:val="auto"/>
                <w:sz w:val="24"/>
                <w:highlight w:val="none"/>
                <w:lang w:val="en-US" w:eastAsia="zh-CN"/>
              </w:rPr>
              <w:t>1个月</w:t>
            </w:r>
          </w:p>
        </w:tc>
      </w:tr>
      <w:tr w14:paraId="11D0B8B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170" w:type="dxa"/>
            <w:shd w:val="clear" w:color="auto" w:fill="auto"/>
            <w:tcMar>
              <w:top w:w="16" w:type="dxa"/>
              <w:left w:w="16" w:type="dxa"/>
              <w:right w:w="16" w:type="dxa"/>
            </w:tcMar>
            <w:vAlign w:val="center"/>
          </w:tcPr>
          <w:p w14:paraId="7298C554">
            <w:pPr>
              <w:adjustRightInd w:val="0"/>
              <w:snapToGrid w:val="0"/>
              <w:jc w:val="center"/>
              <w:rPr>
                <w:color w:val="auto"/>
                <w:sz w:val="24"/>
                <w:highlight w:val="none"/>
              </w:rPr>
            </w:pPr>
            <w:r>
              <w:rPr>
                <w:color w:val="auto"/>
                <w:sz w:val="24"/>
                <w:highlight w:val="none"/>
              </w:rPr>
              <w:t>是否开工建设</w:t>
            </w:r>
          </w:p>
        </w:tc>
        <w:tc>
          <w:tcPr>
            <w:tcW w:w="2428" w:type="dxa"/>
            <w:shd w:val="clear" w:color="auto" w:fill="auto"/>
            <w:vAlign w:val="center"/>
          </w:tcPr>
          <w:p w14:paraId="1052A9EE">
            <w:pPr>
              <w:adjustRightInd w:val="0"/>
              <w:snapToGrid w:val="0"/>
              <w:rPr>
                <w:color w:val="auto"/>
                <w:sz w:val="24"/>
                <w:highlight w:val="none"/>
              </w:rPr>
            </w:pPr>
            <w:r>
              <w:rPr>
                <w:color w:val="auto"/>
                <w:sz w:val="24"/>
                <w:highlight w:val="none"/>
              </w:rPr>
              <w:sym w:font="Wingdings 2" w:char="0052"/>
            </w:r>
            <w:r>
              <w:rPr>
                <w:color w:val="auto"/>
                <w:sz w:val="24"/>
                <w:highlight w:val="none"/>
              </w:rPr>
              <w:t>否</w:t>
            </w:r>
          </w:p>
          <w:p w14:paraId="3B95B8FC">
            <w:pPr>
              <w:adjustRightInd w:val="0"/>
              <w:snapToGrid w:val="0"/>
              <w:rPr>
                <w:color w:val="auto"/>
                <w:sz w:val="24"/>
                <w:highlight w:val="none"/>
              </w:rPr>
            </w:pPr>
            <w:r>
              <w:rPr>
                <w:color w:val="auto"/>
                <w:sz w:val="24"/>
                <w:highlight w:val="none"/>
              </w:rPr>
              <w:sym w:font="Wingdings 2" w:char="00A3"/>
            </w:r>
            <w:r>
              <w:rPr>
                <w:color w:val="auto"/>
                <w:sz w:val="24"/>
                <w:highlight w:val="none"/>
              </w:rPr>
              <w:t>是：</w:t>
            </w:r>
            <w:r>
              <w:rPr>
                <w:color w:val="auto"/>
                <w:sz w:val="24"/>
                <w:highlight w:val="none"/>
                <w:u w:val="single"/>
              </w:rPr>
              <w:t xml:space="preserve">            </w:t>
            </w:r>
          </w:p>
        </w:tc>
        <w:tc>
          <w:tcPr>
            <w:tcW w:w="2359" w:type="dxa"/>
            <w:shd w:val="clear" w:color="auto" w:fill="auto"/>
            <w:tcMar>
              <w:top w:w="16" w:type="dxa"/>
              <w:left w:w="16" w:type="dxa"/>
              <w:right w:w="16" w:type="dxa"/>
            </w:tcMar>
            <w:vAlign w:val="center"/>
          </w:tcPr>
          <w:p w14:paraId="496CABA7">
            <w:pPr>
              <w:adjustRightInd w:val="0"/>
              <w:snapToGrid w:val="0"/>
              <w:jc w:val="center"/>
              <w:rPr>
                <w:color w:val="auto"/>
                <w:spacing w:val="-6"/>
                <w:sz w:val="24"/>
                <w:highlight w:val="none"/>
              </w:rPr>
            </w:pPr>
            <w:r>
              <w:rPr>
                <w:color w:val="auto"/>
                <w:spacing w:val="-6"/>
                <w:sz w:val="24"/>
                <w:highlight w:val="none"/>
              </w:rPr>
              <w:t>用地（用海）</w:t>
            </w:r>
          </w:p>
          <w:p w14:paraId="5A9453B2">
            <w:pPr>
              <w:adjustRightInd w:val="0"/>
              <w:snapToGrid w:val="0"/>
              <w:jc w:val="center"/>
              <w:rPr>
                <w:color w:val="auto"/>
                <w:sz w:val="24"/>
                <w:highlight w:val="none"/>
              </w:rPr>
            </w:pPr>
            <w:r>
              <w:rPr>
                <w:color w:val="auto"/>
                <w:spacing w:val="-6"/>
                <w:sz w:val="24"/>
                <w:highlight w:val="none"/>
              </w:rPr>
              <w:t>面积（m</w:t>
            </w:r>
            <w:r>
              <w:rPr>
                <w:color w:val="auto"/>
                <w:spacing w:val="-6"/>
                <w:sz w:val="24"/>
                <w:highlight w:val="none"/>
                <w:vertAlign w:val="superscript"/>
              </w:rPr>
              <w:t>2</w:t>
            </w:r>
            <w:r>
              <w:rPr>
                <w:color w:val="auto"/>
                <w:spacing w:val="-6"/>
                <w:sz w:val="24"/>
                <w:highlight w:val="none"/>
              </w:rPr>
              <w:t>）</w:t>
            </w:r>
          </w:p>
        </w:tc>
        <w:tc>
          <w:tcPr>
            <w:tcW w:w="3217" w:type="dxa"/>
            <w:shd w:val="clear" w:color="auto" w:fill="auto"/>
            <w:vAlign w:val="center"/>
          </w:tcPr>
          <w:p w14:paraId="6C37255B">
            <w:pPr>
              <w:adjustRightInd w:val="0"/>
              <w:snapToGrid w:val="0"/>
              <w:jc w:val="center"/>
              <w:rPr>
                <w:rFonts w:hint="default"/>
                <w:color w:val="auto"/>
                <w:sz w:val="24"/>
                <w:highlight w:val="none"/>
                <w:lang w:val="en-US"/>
              </w:rPr>
            </w:pPr>
            <w:r>
              <w:rPr>
                <w:rFonts w:ascii="宋体" w:hAnsi="宋体" w:eastAsia="宋体" w:cs="宋体"/>
                <w:sz w:val="24"/>
                <w:szCs w:val="24"/>
              </w:rPr>
              <w:t>在现有厂区范围内建设，不新增用地</w:t>
            </w:r>
          </w:p>
        </w:tc>
      </w:tr>
      <w:tr w14:paraId="3E8D37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44" w:hRule="atLeast"/>
          <w:jc w:val="center"/>
        </w:trPr>
        <w:tc>
          <w:tcPr>
            <w:tcW w:w="1170" w:type="dxa"/>
            <w:vAlign w:val="center"/>
          </w:tcPr>
          <w:p w14:paraId="4E845000">
            <w:pPr>
              <w:autoSpaceDE w:val="0"/>
              <w:autoSpaceDN w:val="0"/>
              <w:jc w:val="center"/>
              <w:rPr>
                <w:color w:val="auto"/>
                <w:kern w:val="0"/>
                <w:sz w:val="24"/>
                <w:highlight w:val="none"/>
              </w:rPr>
            </w:pPr>
            <w:r>
              <w:rPr>
                <w:color w:val="auto"/>
                <w:kern w:val="0"/>
                <w:sz w:val="24"/>
                <w:highlight w:val="none"/>
              </w:rPr>
              <w:t>专项评价</w:t>
            </w:r>
          </w:p>
          <w:p w14:paraId="79D4FF47">
            <w:pPr>
              <w:autoSpaceDE w:val="0"/>
              <w:autoSpaceDN w:val="0"/>
              <w:jc w:val="center"/>
              <w:rPr>
                <w:color w:val="auto"/>
                <w:kern w:val="0"/>
                <w:sz w:val="24"/>
                <w:highlight w:val="none"/>
              </w:rPr>
            </w:pPr>
            <w:r>
              <w:rPr>
                <w:color w:val="auto"/>
                <w:kern w:val="0"/>
                <w:sz w:val="24"/>
                <w:highlight w:val="none"/>
              </w:rPr>
              <w:t>设置情况</w:t>
            </w:r>
          </w:p>
        </w:tc>
        <w:tc>
          <w:tcPr>
            <w:tcW w:w="8004" w:type="dxa"/>
            <w:gridSpan w:val="3"/>
            <w:vAlign w:val="center"/>
          </w:tcPr>
          <w:p w14:paraId="498C92A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rPr>
            </w:pPr>
            <w:r>
              <w:rPr>
                <w:rFonts w:hint="eastAsia" w:ascii="Times New Roman" w:hAnsi="Times New Roman" w:eastAsia="宋体" w:cs="Times New Roman"/>
                <w:color w:val="auto"/>
                <w:sz w:val="24"/>
                <w:highlight w:val="none"/>
                <w:u w:val="none" w:color="auto"/>
              </w:rPr>
              <w:t>根据环办环评〔</w:t>
            </w:r>
            <w:r>
              <w:rPr>
                <w:rFonts w:hint="default" w:ascii="Times New Roman" w:hAnsi="Times New Roman" w:eastAsia="宋体" w:cs="Times New Roman"/>
                <w:color w:val="auto"/>
                <w:sz w:val="24"/>
                <w:highlight w:val="none"/>
                <w:u w:val="none" w:color="auto"/>
              </w:rPr>
              <w:t>2020</w:t>
            </w:r>
            <w:r>
              <w:rPr>
                <w:rFonts w:hint="eastAsia" w:ascii="Times New Roman" w:hAnsi="Times New Roman" w:eastAsia="宋体" w:cs="Times New Roman"/>
                <w:color w:val="auto"/>
                <w:sz w:val="24"/>
                <w:highlight w:val="none"/>
                <w:u w:val="none" w:color="auto"/>
              </w:rPr>
              <w:t>〕</w:t>
            </w:r>
            <w:r>
              <w:rPr>
                <w:rFonts w:hint="default" w:ascii="Times New Roman" w:hAnsi="Times New Roman" w:eastAsia="宋体" w:cs="Times New Roman"/>
                <w:color w:val="auto"/>
                <w:sz w:val="24"/>
                <w:highlight w:val="none"/>
                <w:u w:val="none" w:color="auto"/>
              </w:rPr>
              <w:t xml:space="preserve">33 </w:t>
            </w:r>
            <w:r>
              <w:rPr>
                <w:rFonts w:hint="eastAsia" w:ascii="Times New Roman" w:hAnsi="Times New Roman" w:eastAsia="宋体" w:cs="Times New Roman"/>
                <w:color w:val="auto"/>
                <w:sz w:val="24"/>
                <w:highlight w:val="none"/>
                <w:u w:val="none" w:color="auto"/>
              </w:rPr>
              <w:t>号“关于印发《建设项目环境影响报告表》内容、格式及编制技术指南的通知等有关文件”中建设项目环境影响评价报告表编制技术指南（污染影响类）（试行）：</w:t>
            </w:r>
          </w:p>
          <w:p w14:paraId="71BC78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eastAsia" w:ascii="Times New Roman" w:hAnsi="Times New Roman" w:eastAsia="宋体" w:cs="Times New Roman"/>
                <w:color w:val="auto"/>
                <w:sz w:val="24"/>
                <w:highlight w:val="none"/>
                <w:u w:val="none" w:color="auto"/>
              </w:rPr>
            </w:pPr>
            <w:r>
              <w:rPr>
                <w:rFonts w:hint="eastAsia" w:ascii="Times New Roman" w:hAnsi="Times New Roman" w:eastAsia="宋体" w:cs="Times New Roman"/>
                <w:color w:val="auto"/>
                <w:sz w:val="24"/>
                <w:highlight w:val="none"/>
                <w:u w:val="none" w:color="auto"/>
              </w:rPr>
              <w:t>一般情况下，建设单位应按照本指南要求，组织填写建设项目环境影响报告表。建设项目产生的环境影响需要深入论证的，应参照环境影响价相关技术导则开展专项评价工作。根据建设项目排污情况及所涉环境敏感程度，确定专项评价的类别。大气、地表水、环境风险、生态和海洋专项评价具体设置原则见表</w:t>
            </w:r>
            <w:r>
              <w:rPr>
                <w:rFonts w:hint="default" w:ascii="Times New Roman" w:hAnsi="Times New Roman" w:eastAsia="宋体" w:cs="Times New Roman"/>
                <w:color w:val="auto"/>
                <w:sz w:val="24"/>
                <w:highlight w:val="none"/>
                <w:u w:val="none" w:color="auto"/>
              </w:rPr>
              <w:t xml:space="preserve"> 1-1</w:t>
            </w:r>
            <w:r>
              <w:rPr>
                <w:rFonts w:hint="eastAsia" w:ascii="Times New Roman" w:hAnsi="Times New Roman" w:eastAsia="宋体" w:cs="Times New Roman"/>
                <w:color w:val="auto"/>
                <w:sz w:val="24"/>
                <w:highlight w:val="none"/>
                <w:u w:val="none" w:color="auto"/>
              </w:rPr>
              <w:t>。</w:t>
            </w:r>
          </w:p>
          <w:p w14:paraId="12BE1B2B">
            <w:pPr>
              <w:pStyle w:val="56"/>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b/>
                <w:bCs/>
                <w:color w:val="auto"/>
                <w:sz w:val="24"/>
                <w:highlight w:val="none"/>
              </w:rPr>
            </w:pPr>
            <w:r>
              <w:rPr>
                <w:rFonts w:hint="eastAsia"/>
                <w:b/>
                <w:bCs/>
                <w:color w:val="auto"/>
                <w:sz w:val="24"/>
                <w:highlight w:val="none"/>
              </w:rPr>
              <w:t>表1-1  专项评价设置原则说明表</w:t>
            </w:r>
          </w:p>
          <w:tbl>
            <w:tblPr>
              <w:tblStyle w:val="42"/>
              <w:tblW w:w="4914" w:type="pct"/>
              <w:tblInd w:w="-1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86"/>
              <w:gridCol w:w="3755"/>
              <w:gridCol w:w="2783"/>
            </w:tblGrid>
            <w:tr w14:paraId="7753EA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712" w:type="pct"/>
                  <w:tcBorders>
                    <w:tl2br w:val="nil"/>
                    <w:tr2bl w:val="nil"/>
                  </w:tcBorders>
                  <w:vAlign w:val="center"/>
                </w:tcPr>
                <w:p w14:paraId="0B8E8158">
                  <w:pPr>
                    <w:pStyle w:val="94"/>
                    <w:keepNext w:val="0"/>
                    <w:keepLines w:val="0"/>
                    <w:pageBreakBefore w:val="0"/>
                    <w:widowControl w:val="0"/>
                    <w:kinsoku/>
                    <w:wordWrap/>
                    <w:overflowPunct/>
                    <w:bidi w:val="0"/>
                    <w:adjustRightInd/>
                    <w:snapToGrid/>
                    <w:spacing w:line="240" w:lineRule="auto"/>
                    <w:jc w:val="center"/>
                    <w:textAlignment w:val="auto"/>
                    <w:rPr>
                      <w:color w:val="auto"/>
                      <w:szCs w:val="21"/>
                      <w:highlight w:val="none"/>
                    </w:rPr>
                  </w:pPr>
                  <w:r>
                    <w:rPr>
                      <w:rFonts w:hint="eastAsia"/>
                      <w:color w:val="auto"/>
                      <w:highlight w:val="none"/>
                    </w:rPr>
                    <w:t>专</w:t>
                  </w:r>
                  <w:r>
                    <w:rPr>
                      <w:rFonts w:hint="eastAsia"/>
                      <w:color w:val="auto"/>
                      <w:spacing w:val="2"/>
                      <w:highlight w:val="none"/>
                    </w:rPr>
                    <w:t>项</w:t>
                  </w:r>
                  <w:r>
                    <w:rPr>
                      <w:rFonts w:hint="eastAsia"/>
                      <w:color w:val="auto"/>
                      <w:highlight w:val="none"/>
                    </w:rPr>
                    <w:t>评价</w:t>
                  </w:r>
                  <w:r>
                    <w:rPr>
                      <w:rFonts w:hint="eastAsia"/>
                      <w:color w:val="auto"/>
                      <w:spacing w:val="2"/>
                      <w:highlight w:val="none"/>
                    </w:rPr>
                    <w:t>类</w:t>
                  </w:r>
                  <w:r>
                    <w:rPr>
                      <w:rFonts w:hint="eastAsia"/>
                      <w:color w:val="auto"/>
                      <w:highlight w:val="none"/>
                    </w:rPr>
                    <w:t>别</w:t>
                  </w:r>
                </w:p>
              </w:tc>
              <w:tc>
                <w:tcPr>
                  <w:tcW w:w="2462" w:type="pct"/>
                  <w:tcBorders>
                    <w:tl2br w:val="nil"/>
                    <w:tr2bl w:val="nil"/>
                  </w:tcBorders>
                  <w:vAlign w:val="center"/>
                </w:tcPr>
                <w:p w14:paraId="6EAF84A9">
                  <w:pPr>
                    <w:pStyle w:val="81"/>
                    <w:keepNext w:val="0"/>
                    <w:keepLines w:val="0"/>
                    <w:pageBreakBefore w:val="0"/>
                    <w:widowControl w:val="0"/>
                    <w:kinsoku/>
                    <w:wordWrap/>
                    <w:overflowPunct/>
                    <w:bidi w:val="0"/>
                    <w:adjustRightInd/>
                    <w:snapToGrid/>
                    <w:spacing w:line="240" w:lineRule="auto"/>
                    <w:textAlignment w:val="auto"/>
                    <w:rPr>
                      <w:color w:val="auto"/>
                      <w:szCs w:val="21"/>
                      <w:highlight w:val="none"/>
                    </w:rPr>
                  </w:pPr>
                  <w:r>
                    <w:rPr>
                      <w:rFonts w:hint="eastAsia" w:ascii="宋体" w:hAnsi="宋体" w:cs="宋体"/>
                      <w:color w:val="auto"/>
                      <w:spacing w:val="-1"/>
                      <w:szCs w:val="21"/>
                      <w:highlight w:val="none"/>
                    </w:rPr>
                    <w:t>设</w:t>
                  </w:r>
                  <w:r>
                    <w:rPr>
                      <w:rFonts w:hint="eastAsia" w:ascii="宋体" w:hAnsi="宋体" w:cs="宋体"/>
                      <w:color w:val="auto"/>
                      <w:spacing w:val="2"/>
                      <w:szCs w:val="21"/>
                      <w:highlight w:val="none"/>
                    </w:rPr>
                    <w:t>置</w:t>
                  </w:r>
                  <w:r>
                    <w:rPr>
                      <w:rFonts w:hint="eastAsia" w:ascii="宋体" w:hAnsi="宋体" w:cs="宋体"/>
                      <w:color w:val="auto"/>
                      <w:spacing w:val="-1"/>
                      <w:szCs w:val="21"/>
                      <w:highlight w:val="none"/>
                    </w:rPr>
                    <w:t>原</w:t>
                  </w:r>
                  <w:r>
                    <w:rPr>
                      <w:rFonts w:hint="eastAsia" w:ascii="宋体" w:hAnsi="宋体" w:cs="宋体"/>
                      <w:color w:val="auto"/>
                      <w:szCs w:val="21"/>
                      <w:highlight w:val="none"/>
                    </w:rPr>
                    <w:t>则</w:t>
                  </w:r>
                </w:p>
              </w:tc>
              <w:tc>
                <w:tcPr>
                  <w:tcW w:w="1824" w:type="pct"/>
                  <w:tcBorders>
                    <w:tl2br w:val="nil"/>
                    <w:tr2bl w:val="nil"/>
                  </w:tcBorders>
                  <w:vAlign w:val="center"/>
                </w:tcPr>
                <w:p w14:paraId="0C1F6C5B">
                  <w:pPr>
                    <w:pStyle w:val="81"/>
                    <w:keepNext w:val="0"/>
                    <w:keepLines w:val="0"/>
                    <w:pageBreakBefore w:val="0"/>
                    <w:widowControl w:val="0"/>
                    <w:kinsoku/>
                    <w:wordWrap/>
                    <w:overflowPunct/>
                    <w:bidi w:val="0"/>
                    <w:adjustRightInd/>
                    <w:snapToGrid/>
                    <w:spacing w:line="240" w:lineRule="auto"/>
                    <w:textAlignment w:val="auto"/>
                    <w:rPr>
                      <w:color w:val="auto"/>
                      <w:szCs w:val="21"/>
                      <w:highlight w:val="none"/>
                    </w:rPr>
                  </w:pPr>
                  <w:r>
                    <w:rPr>
                      <w:rFonts w:hint="eastAsia" w:ascii="宋体" w:hAnsi="宋体" w:cs="宋体"/>
                      <w:color w:val="auto"/>
                      <w:spacing w:val="-1"/>
                      <w:szCs w:val="21"/>
                      <w:highlight w:val="none"/>
                    </w:rPr>
                    <w:t>项</w:t>
                  </w:r>
                  <w:r>
                    <w:rPr>
                      <w:rFonts w:hint="eastAsia" w:ascii="宋体" w:hAnsi="宋体" w:cs="宋体"/>
                      <w:color w:val="auto"/>
                      <w:spacing w:val="2"/>
                      <w:szCs w:val="21"/>
                      <w:highlight w:val="none"/>
                    </w:rPr>
                    <w:t>目</w:t>
                  </w:r>
                  <w:r>
                    <w:rPr>
                      <w:rFonts w:hint="eastAsia" w:ascii="宋体" w:hAnsi="宋体" w:cs="宋体"/>
                      <w:color w:val="auto"/>
                      <w:spacing w:val="-1"/>
                      <w:szCs w:val="21"/>
                      <w:highlight w:val="none"/>
                    </w:rPr>
                    <w:t>判</w:t>
                  </w:r>
                  <w:r>
                    <w:rPr>
                      <w:rFonts w:hint="eastAsia" w:ascii="宋体" w:hAnsi="宋体" w:cs="宋体"/>
                      <w:color w:val="auto"/>
                      <w:spacing w:val="2"/>
                      <w:szCs w:val="21"/>
                      <w:highlight w:val="none"/>
                    </w:rPr>
                    <w:t>断</w:t>
                  </w:r>
                  <w:r>
                    <w:rPr>
                      <w:rFonts w:hint="eastAsia" w:ascii="宋体" w:hAnsi="宋体" w:cs="宋体"/>
                      <w:color w:val="auto"/>
                      <w:spacing w:val="-1"/>
                      <w:szCs w:val="21"/>
                      <w:highlight w:val="none"/>
                    </w:rPr>
                    <w:t>情</w:t>
                  </w:r>
                  <w:r>
                    <w:rPr>
                      <w:rFonts w:hint="eastAsia" w:ascii="宋体" w:hAnsi="宋体" w:cs="宋体"/>
                      <w:color w:val="auto"/>
                      <w:szCs w:val="21"/>
                      <w:highlight w:val="none"/>
                    </w:rPr>
                    <w:t>况</w:t>
                  </w:r>
                </w:p>
              </w:tc>
            </w:tr>
            <w:tr w14:paraId="1BC2D6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12" w:type="pct"/>
                  <w:tcBorders>
                    <w:tl2br w:val="nil"/>
                    <w:tr2bl w:val="nil"/>
                  </w:tcBorders>
                  <w:vAlign w:val="center"/>
                </w:tcPr>
                <w:p w14:paraId="110FD898">
                  <w:pPr>
                    <w:keepNext w:val="0"/>
                    <w:keepLines w:val="0"/>
                    <w:pageBreakBefore w:val="0"/>
                    <w:widowControl w:val="0"/>
                    <w:kinsoku/>
                    <w:wordWrap/>
                    <w:overflowPunct/>
                    <w:bidi w:val="0"/>
                    <w:adjustRightInd/>
                    <w:snapToGrid/>
                    <w:spacing w:line="240" w:lineRule="auto"/>
                    <w:jc w:val="center"/>
                    <w:textAlignment w:val="auto"/>
                    <w:rPr>
                      <w:color w:val="auto"/>
                      <w:kern w:val="0"/>
                      <w:szCs w:val="21"/>
                      <w:highlight w:val="none"/>
                    </w:rPr>
                  </w:pPr>
                  <w:r>
                    <w:rPr>
                      <w:rFonts w:hint="eastAsia" w:ascii="宋体" w:hAnsi="宋体" w:cs="宋体"/>
                      <w:color w:val="auto"/>
                      <w:spacing w:val="-1"/>
                      <w:szCs w:val="21"/>
                      <w:highlight w:val="none"/>
                    </w:rPr>
                    <w:t>大</w:t>
                  </w:r>
                  <w:r>
                    <w:rPr>
                      <w:rFonts w:hint="eastAsia" w:ascii="宋体" w:hAnsi="宋体" w:cs="宋体"/>
                      <w:color w:val="auto"/>
                      <w:szCs w:val="21"/>
                      <w:highlight w:val="none"/>
                    </w:rPr>
                    <w:t>气</w:t>
                  </w:r>
                </w:p>
              </w:tc>
              <w:tc>
                <w:tcPr>
                  <w:tcW w:w="2462" w:type="pct"/>
                  <w:tcBorders>
                    <w:tl2br w:val="nil"/>
                    <w:tr2bl w:val="nil"/>
                  </w:tcBorders>
                  <w:vAlign w:val="center"/>
                </w:tcPr>
                <w:p w14:paraId="785AF474">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排放废气含有毒有害污染物</w:t>
                  </w:r>
                  <w:r>
                    <w:rPr>
                      <w:color w:val="auto"/>
                      <w:kern w:val="0"/>
                      <w:szCs w:val="21"/>
                      <w:highlight w:val="none"/>
                    </w:rPr>
                    <w:t xml:space="preserve"> </w:t>
                  </w:r>
                  <w:r>
                    <w:rPr>
                      <w:color w:val="auto"/>
                      <w:kern w:val="0"/>
                      <w:szCs w:val="21"/>
                      <w:highlight w:val="none"/>
                      <w:vertAlign w:val="superscript"/>
                    </w:rPr>
                    <w:t>1</w:t>
                  </w:r>
                  <w:r>
                    <w:rPr>
                      <w:rFonts w:hint="eastAsia"/>
                      <w:color w:val="auto"/>
                      <w:kern w:val="0"/>
                      <w:szCs w:val="21"/>
                      <w:highlight w:val="none"/>
                    </w:rPr>
                    <w:t>、二噁英、苯并</w:t>
                  </w:r>
                  <w:r>
                    <w:rPr>
                      <w:color w:val="auto"/>
                      <w:kern w:val="0"/>
                      <w:szCs w:val="21"/>
                      <w:highlight w:val="none"/>
                    </w:rPr>
                    <w:t>[a]</w:t>
                  </w:r>
                  <w:r>
                    <w:rPr>
                      <w:rFonts w:hint="eastAsia"/>
                      <w:color w:val="auto"/>
                      <w:kern w:val="0"/>
                      <w:szCs w:val="21"/>
                      <w:highlight w:val="none"/>
                    </w:rPr>
                    <w:t>芘、氰化物、氯气且厂界外</w:t>
                  </w:r>
                  <w:r>
                    <w:rPr>
                      <w:color w:val="auto"/>
                      <w:kern w:val="0"/>
                      <w:szCs w:val="21"/>
                      <w:highlight w:val="none"/>
                    </w:rPr>
                    <w:t xml:space="preserve"> 500 </w:t>
                  </w:r>
                  <w:r>
                    <w:rPr>
                      <w:rFonts w:hint="eastAsia"/>
                      <w:color w:val="auto"/>
                      <w:kern w:val="0"/>
                      <w:szCs w:val="21"/>
                      <w:highlight w:val="none"/>
                    </w:rPr>
                    <w:t>米范围内有环境空气保护目标</w:t>
                  </w:r>
                  <w:r>
                    <w:rPr>
                      <w:color w:val="auto"/>
                      <w:kern w:val="0"/>
                      <w:szCs w:val="21"/>
                      <w:highlight w:val="none"/>
                      <w:vertAlign w:val="superscript"/>
                    </w:rPr>
                    <w:t xml:space="preserve">2 </w:t>
                  </w:r>
                  <w:r>
                    <w:rPr>
                      <w:rFonts w:hint="eastAsia"/>
                      <w:color w:val="auto"/>
                      <w:kern w:val="0"/>
                      <w:szCs w:val="21"/>
                      <w:highlight w:val="none"/>
                    </w:rPr>
                    <w:t>的建设项目</w:t>
                  </w:r>
                </w:p>
              </w:tc>
              <w:tc>
                <w:tcPr>
                  <w:tcW w:w="1824" w:type="pct"/>
                  <w:tcBorders>
                    <w:tl2br w:val="nil"/>
                    <w:tr2bl w:val="nil"/>
                  </w:tcBorders>
                  <w:vAlign w:val="center"/>
                </w:tcPr>
                <w:p w14:paraId="3E7A36AE">
                  <w:pPr>
                    <w:keepNext w:val="0"/>
                    <w:keepLines w:val="0"/>
                    <w:pageBreakBefore w:val="0"/>
                    <w:widowControl w:val="0"/>
                    <w:kinsoku/>
                    <w:wordWrap/>
                    <w:overflowPunct/>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项目排放废气不含有毒有害污染物、二噁英、苯并</w:t>
                  </w:r>
                  <w:r>
                    <w:rPr>
                      <w:color w:val="auto"/>
                      <w:kern w:val="0"/>
                      <w:szCs w:val="21"/>
                      <w:highlight w:val="none"/>
                    </w:rPr>
                    <w:t xml:space="preserve"> [a]</w:t>
                  </w:r>
                  <w:r>
                    <w:rPr>
                      <w:rFonts w:hint="eastAsia"/>
                      <w:color w:val="auto"/>
                      <w:kern w:val="0"/>
                      <w:szCs w:val="21"/>
                      <w:highlight w:val="none"/>
                    </w:rPr>
                    <w:t>芘、氰化物、氯气等物质，因此无需设置大气专项评价。</w:t>
                  </w:r>
                </w:p>
              </w:tc>
            </w:tr>
            <w:tr w14:paraId="48686E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12" w:type="pct"/>
                  <w:tcBorders>
                    <w:tl2br w:val="nil"/>
                    <w:tr2bl w:val="nil"/>
                  </w:tcBorders>
                  <w:vAlign w:val="center"/>
                </w:tcPr>
                <w:p w14:paraId="29C7A772">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r>
                    <w:rPr>
                      <w:rFonts w:hint="eastAsia" w:ascii="宋体" w:hAnsi="宋体" w:cs="宋体"/>
                      <w:color w:val="auto"/>
                      <w:spacing w:val="-1"/>
                      <w:szCs w:val="21"/>
                      <w:highlight w:val="none"/>
                    </w:rPr>
                    <w:t>地表水</w:t>
                  </w:r>
                </w:p>
              </w:tc>
              <w:tc>
                <w:tcPr>
                  <w:tcW w:w="2462" w:type="pct"/>
                  <w:tcBorders>
                    <w:tl2br w:val="nil"/>
                    <w:tr2bl w:val="nil"/>
                  </w:tcBorders>
                  <w:vAlign w:val="center"/>
                </w:tcPr>
                <w:p w14:paraId="4053019F">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新增工业废水直排建设项目（槽罐车外送污水处理厂的除外）；新增废水直排的污水集中处理厂</w:t>
                  </w:r>
                </w:p>
              </w:tc>
              <w:tc>
                <w:tcPr>
                  <w:tcW w:w="1824" w:type="pct"/>
                  <w:tcBorders>
                    <w:tl2br w:val="nil"/>
                    <w:tr2bl w:val="nil"/>
                  </w:tcBorders>
                  <w:vAlign w:val="center"/>
                </w:tcPr>
                <w:p w14:paraId="4330A9CF">
                  <w:pPr>
                    <w:pStyle w:val="94"/>
                    <w:keepNext w:val="0"/>
                    <w:keepLines w:val="0"/>
                    <w:pageBreakBefore w:val="0"/>
                    <w:widowControl w:val="0"/>
                    <w:kinsoku/>
                    <w:wordWrap/>
                    <w:overflowPunct/>
                    <w:bidi w:val="0"/>
                    <w:adjustRightInd/>
                    <w:snapToGrid/>
                    <w:spacing w:line="240" w:lineRule="auto"/>
                    <w:jc w:val="center"/>
                    <w:textAlignment w:val="auto"/>
                    <w:rPr>
                      <w:color w:val="auto"/>
                      <w:szCs w:val="21"/>
                      <w:highlight w:val="none"/>
                    </w:rPr>
                  </w:pPr>
                  <w:r>
                    <w:rPr>
                      <w:rFonts w:hint="eastAsia"/>
                      <w:color w:val="auto"/>
                      <w:highlight w:val="none"/>
                    </w:rPr>
                    <w:t>项</w:t>
                  </w:r>
                  <w:r>
                    <w:rPr>
                      <w:rFonts w:hint="eastAsia"/>
                      <w:color w:val="auto"/>
                      <w:spacing w:val="2"/>
                      <w:highlight w:val="none"/>
                    </w:rPr>
                    <w:t>目</w:t>
                  </w:r>
                  <w:r>
                    <w:rPr>
                      <w:rFonts w:hint="eastAsia"/>
                      <w:color w:val="auto"/>
                      <w:highlight w:val="none"/>
                    </w:rPr>
                    <w:t>无</w:t>
                  </w:r>
                  <w:r>
                    <w:rPr>
                      <w:rFonts w:hint="eastAsia" w:eastAsia="宋体"/>
                      <w:color w:val="auto"/>
                      <w:spacing w:val="2"/>
                      <w:highlight w:val="none"/>
                    </w:rPr>
                    <w:t>工业</w:t>
                  </w:r>
                  <w:r>
                    <w:rPr>
                      <w:rFonts w:hint="eastAsia"/>
                      <w:color w:val="auto"/>
                      <w:spacing w:val="2"/>
                      <w:highlight w:val="none"/>
                    </w:rPr>
                    <w:t>废</w:t>
                  </w:r>
                  <w:r>
                    <w:rPr>
                      <w:rFonts w:hint="eastAsia"/>
                      <w:color w:val="auto"/>
                      <w:highlight w:val="none"/>
                    </w:rPr>
                    <w:t>水</w:t>
                  </w:r>
                  <w:r>
                    <w:rPr>
                      <w:rFonts w:hint="eastAsia" w:eastAsia="宋体"/>
                      <w:color w:val="auto"/>
                      <w:highlight w:val="none"/>
                    </w:rPr>
                    <w:t>直接</w:t>
                  </w:r>
                  <w:r>
                    <w:rPr>
                      <w:rFonts w:hint="eastAsia"/>
                      <w:color w:val="auto"/>
                      <w:highlight w:val="none"/>
                    </w:rPr>
                    <w:t>排放</w:t>
                  </w:r>
                  <w:r>
                    <w:rPr>
                      <w:rFonts w:hint="eastAsia"/>
                      <w:color w:val="auto"/>
                      <w:spacing w:val="2"/>
                      <w:highlight w:val="none"/>
                    </w:rPr>
                    <w:t>，</w:t>
                  </w:r>
                  <w:r>
                    <w:rPr>
                      <w:rFonts w:hint="eastAsia"/>
                      <w:color w:val="auto"/>
                      <w:highlight w:val="none"/>
                    </w:rPr>
                    <w:t>因</w:t>
                  </w:r>
                  <w:r>
                    <w:rPr>
                      <w:rFonts w:hint="eastAsia"/>
                      <w:color w:val="auto"/>
                      <w:spacing w:val="2"/>
                      <w:highlight w:val="none"/>
                    </w:rPr>
                    <w:t>此</w:t>
                  </w:r>
                  <w:r>
                    <w:rPr>
                      <w:rFonts w:hint="eastAsia"/>
                      <w:color w:val="auto"/>
                      <w:highlight w:val="none"/>
                    </w:rPr>
                    <w:t>无</w:t>
                  </w:r>
                  <w:r>
                    <w:rPr>
                      <w:rFonts w:hint="eastAsia"/>
                      <w:color w:val="auto"/>
                      <w:spacing w:val="2"/>
                      <w:highlight w:val="none"/>
                    </w:rPr>
                    <w:t>需</w:t>
                  </w:r>
                  <w:r>
                    <w:rPr>
                      <w:rFonts w:hint="eastAsia"/>
                      <w:color w:val="auto"/>
                      <w:highlight w:val="none"/>
                    </w:rPr>
                    <w:t>设</w:t>
                  </w:r>
                  <w:r>
                    <w:rPr>
                      <w:rFonts w:hint="eastAsia"/>
                      <w:color w:val="auto"/>
                      <w:spacing w:val="2"/>
                      <w:highlight w:val="none"/>
                    </w:rPr>
                    <w:t>置</w:t>
                  </w:r>
                  <w:r>
                    <w:rPr>
                      <w:rFonts w:hint="eastAsia"/>
                      <w:color w:val="auto"/>
                      <w:highlight w:val="none"/>
                    </w:rPr>
                    <w:t>地</w:t>
                  </w:r>
                  <w:r>
                    <w:rPr>
                      <w:rFonts w:hint="eastAsia"/>
                      <w:color w:val="auto"/>
                      <w:spacing w:val="2"/>
                      <w:highlight w:val="none"/>
                    </w:rPr>
                    <w:t>表</w:t>
                  </w:r>
                  <w:r>
                    <w:rPr>
                      <w:rFonts w:hint="eastAsia"/>
                      <w:color w:val="auto"/>
                      <w:highlight w:val="none"/>
                    </w:rPr>
                    <w:t>水专</w:t>
                  </w:r>
                  <w:r>
                    <w:rPr>
                      <w:rFonts w:hint="eastAsia"/>
                      <w:color w:val="auto"/>
                      <w:spacing w:val="2"/>
                      <w:highlight w:val="none"/>
                    </w:rPr>
                    <w:t>项</w:t>
                  </w:r>
                  <w:r>
                    <w:rPr>
                      <w:rFonts w:hint="eastAsia"/>
                      <w:color w:val="auto"/>
                      <w:highlight w:val="none"/>
                    </w:rPr>
                    <w:t>评价</w:t>
                  </w:r>
                </w:p>
              </w:tc>
            </w:tr>
            <w:tr w14:paraId="6C1768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12" w:type="pct"/>
                  <w:tcBorders>
                    <w:tl2br w:val="nil"/>
                    <w:tr2bl w:val="nil"/>
                  </w:tcBorders>
                  <w:vAlign w:val="center"/>
                </w:tcPr>
                <w:p w14:paraId="46D280B1">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r>
                    <w:rPr>
                      <w:rFonts w:ascii="宋体" w:hAnsi="宋体" w:cs="宋体"/>
                      <w:color w:val="auto"/>
                      <w:spacing w:val="-1"/>
                      <w:szCs w:val="21"/>
                      <w:highlight w:val="none"/>
                    </w:rPr>
                    <w:t>环境风险</w:t>
                  </w:r>
                </w:p>
              </w:tc>
              <w:tc>
                <w:tcPr>
                  <w:tcW w:w="2462" w:type="pct"/>
                  <w:tcBorders>
                    <w:tl2br w:val="nil"/>
                    <w:tr2bl w:val="nil"/>
                  </w:tcBorders>
                  <w:vAlign w:val="center"/>
                </w:tcPr>
                <w:p w14:paraId="7068BA1C">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有毒有害和易燃易爆危险物质存储量超过临界量</w:t>
                  </w:r>
                  <w:r>
                    <w:rPr>
                      <w:color w:val="auto"/>
                      <w:kern w:val="0"/>
                      <w:szCs w:val="21"/>
                      <w:highlight w:val="none"/>
                      <w:vertAlign w:val="superscript"/>
                    </w:rPr>
                    <w:t>3</w:t>
                  </w:r>
                  <w:r>
                    <w:rPr>
                      <w:rFonts w:hint="eastAsia"/>
                      <w:color w:val="auto"/>
                      <w:kern w:val="0"/>
                      <w:szCs w:val="21"/>
                      <w:highlight w:val="none"/>
                    </w:rPr>
                    <w:t>的建设项目</w:t>
                  </w:r>
                </w:p>
              </w:tc>
              <w:tc>
                <w:tcPr>
                  <w:tcW w:w="1824" w:type="pct"/>
                  <w:tcBorders>
                    <w:tl2br w:val="nil"/>
                    <w:tr2bl w:val="nil"/>
                  </w:tcBorders>
                  <w:vAlign w:val="center"/>
                </w:tcPr>
                <w:p w14:paraId="7AE12F49">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有毒有害和易燃易爆危险物质存储量未超过临界量，因此无需设置环境风险专项评价</w:t>
                  </w:r>
                </w:p>
              </w:tc>
            </w:tr>
            <w:tr w14:paraId="07DC7B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12" w:type="pct"/>
                  <w:tcBorders>
                    <w:tl2br w:val="nil"/>
                    <w:tr2bl w:val="nil"/>
                  </w:tcBorders>
                  <w:vAlign w:val="center"/>
                </w:tcPr>
                <w:p w14:paraId="7BEE311E">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r>
                    <w:rPr>
                      <w:rFonts w:ascii="宋体" w:hAnsi="宋体" w:cs="宋体"/>
                      <w:color w:val="auto"/>
                      <w:spacing w:val="-1"/>
                      <w:szCs w:val="21"/>
                      <w:highlight w:val="none"/>
                    </w:rPr>
                    <w:t>生态</w:t>
                  </w:r>
                </w:p>
              </w:tc>
              <w:tc>
                <w:tcPr>
                  <w:tcW w:w="2462" w:type="pct"/>
                  <w:tcBorders>
                    <w:tl2br w:val="nil"/>
                    <w:tr2bl w:val="nil"/>
                  </w:tcBorders>
                  <w:vAlign w:val="center"/>
                </w:tcPr>
                <w:p w14:paraId="6856321E">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取水口下游</w:t>
                  </w:r>
                  <w:r>
                    <w:rPr>
                      <w:color w:val="auto"/>
                      <w:kern w:val="0"/>
                      <w:szCs w:val="21"/>
                      <w:highlight w:val="none"/>
                    </w:rPr>
                    <w:t>500</w:t>
                  </w:r>
                  <w:r>
                    <w:rPr>
                      <w:rFonts w:hint="eastAsia"/>
                      <w:color w:val="auto"/>
                      <w:kern w:val="0"/>
                      <w:szCs w:val="21"/>
                      <w:highlight w:val="none"/>
                    </w:rPr>
                    <w:t>米范围内有重要水生生物的自然产卵场、索饵场、越冬场和洄游通道的新增河道取水的污染类</w:t>
                  </w:r>
                </w:p>
              </w:tc>
              <w:tc>
                <w:tcPr>
                  <w:tcW w:w="1824" w:type="pct"/>
                  <w:tcBorders>
                    <w:tl2br w:val="nil"/>
                    <w:tr2bl w:val="nil"/>
                  </w:tcBorders>
                  <w:vAlign w:val="center"/>
                </w:tcPr>
                <w:p w14:paraId="5D7B4626">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项目不涉及取水口，因此无需设置生态专项评价</w:t>
                  </w:r>
                </w:p>
              </w:tc>
            </w:tr>
            <w:tr w14:paraId="4CE240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712" w:type="pct"/>
                  <w:tcBorders>
                    <w:tl2br w:val="nil"/>
                    <w:tr2bl w:val="nil"/>
                  </w:tcBorders>
                  <w:vAlign w:val="center"/>
                </w:tcPr>
                <w:p w14:paraId="58CC42FB">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r>
                    <w:rPr>
                      <w:rFonts w:ascii="宋体" w:hAnsi="宋体" w:cs="宋体"/>
                      <w:color w:val="auto"/>
                      <w:spacing w:val="-1"/>
                      <w:szCs w:val="21"/>
                      <w:highlight w:val="none"/>
                    </w:rPr>
                    <w:t>海洋</w:t>
                  </w:r>
                </w:p>
              </w:tc>
              <w:tc>
                <w:tcPr>
                  <w:tcW w:w="2462" w:type="pct"/>
                  <w:tcBorders>
                    <w:tl2br w:val="nil"/>
                    <w:tr2bl w:val="nil"/>
                  </w:tcBorders>
                  <w:vAlign w:val="center"/>
                </w:tcPr>
                <w:p w14:paraId="274717C7">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直接向海排放污染物的海洋工程建设项目</w:t>
                  </w:r>
                </w:p>
              </w:tc>
              <w:tc>
                <w:tcPr>
                  <w:tcW w:w="1824" w:type="pct"/>
                  <w:tcBorders>
                    <w:tl2br w:val="nil"/>
                    <w:tr2bl w:val="nil"/>
                  </w:tcBorders>
                  <w:vAlign w:val="center"/>
                </w:tcPr>
                <w:p w14:paraId="69FA82DC">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kern w:val="0"/>
                      <w:szCs w:val="21"/>
                      <w:highlight w:val="none"/>
                    </w:rPr>
                  </w:pPr>
                  <w:r>
                    <w:rPr>
                      <w:rFonts w:hint="eastAsia"/>
                      <w:color w:val="auto"/>
                      <w:kern w:val="0"/>
                      <w:szCs w:val="21"/>
                      <w:highlight w:val="none"/>
                    </w:rPr>
                    <w:t>项目不涉及向海洋排放污染物，因此无需设置海洋专项评价</w:t>
                  </w:r>
                </w:p>
              </w:tc>
            </w:tr>
            <w:tr w14:paraId="11C7C8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712" w:type="pct"/>
                  <w:vMerge w:val="restart"/>
                  <w:tcBorders>
                    <w:tl2br w:val="nil"/>
                    <w:tr2bl w:val="nil"/>
                  </w:tcBorders>
                  <w:vAlign w:val="center"/>
                </w:tcPr>
                <w:p w14:paraId="170C32FA">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r>
                    <w:rPr>
                      <w:rFonts w:ascii="宋体" w:hAnsi="宋体" w:cs="宋体"/>
                      <w:color w:val="auto"/>
                      <w:spacing w:val="-1"/>
                      <w:szCs w:val="21"/>
                      <w:highlight w:val="none"/>
                    </w:rPr>
                    <w:t>备注</w:t>
                  </w:r>
                </w:p>
              </w:tc>
              <w:tc>
                <w:tcPr>
                  <w:tcW w:w="4287" w:type="pct"/>
                  <w:gridSpan w:val="2"/>
                  <w:tcBorders>
                    <w:tl2br w:val="nil"/>
                    <w:tr2bl w:val="nil"/>
                  </w:tcBorders>
                  <w:vAlign w:val="center"/>
                </w:tcPr>
                <w:p w14:paraId="041E42A2">
                  <w:pPr>
                    <w:pStyle w:val="94"/>
                    <w:keepNext w:val="0"/>
                    <w:keepLines w:val="0"/>
                    <w:pageBreakBefore w:val="0"/>
                    <w:widowControl w:val="0"/>
                    <w:kinsoku/>
                    <w:wordWrap/>
                    <w:overflowPunct/>
                    <w:bidi w:val="0"/>
                    <w:adjustRightInd/>
                    <w:snapToGrid/>
                    <w:spacing w:line="240" w:lineRule="auto"/>
                    <w:jc w:val="center"/>
                    <w:textAlignment w:val="auto"/>
                    <w:rPr>
                      <w:color w:val="auto"/>
                      <w:szCs w:val="21"/>
                      <w:highlight w:val="none"/>
                    </w:rPr>
                  </w:pPr>
                  <w:r>
                    <w:rPr>
                      <w:rFonts w:ascii="思源宋體 TW" w:hAnsi="思源宋體 TW" w:eastAsia="思源宋體 TW" w:cs="思源宋體 TW"/>
                      <w:color w:val="auto"/>
                      <w:spacing w:val="1"/>
                      <w:szCs w:val="21"/>
                      <w:highlight w:val="none"/>
                    </w:rPr>
                    <w:t>1</w:t>
                  </w:r>
                  <w:r>
                    <w:rPr>
                      <w:rFonts w:ascii="思源宋體 TW" w:hAnsi="思源宋體 TW" w:eastAsia="思源宋體 TW" w:cs="思源宋體 TW"/>
                      <w:color w:val="auto"/>
                      <w:spacing w:val="2"/>
                      <w:szCs w:val="21"/>
                      <w:highlight w:val="none"/>
                    </w:rPr>
                    <w:t>.</w:t>
                  </w:r>
                  <w:r>
                    <w:rPr>
                      <w:rFonts w:hint="eastAsia"/>
                      <w:color w:val="auto"/>
                      <w:spacing w:val="4"/>
                      <w:szCs w:val="21"/>
                      <w:highlight w:val="none"/>
                    </w:rPr>
                    <w:t>废气中有毒有</w:t>
                  </w:r>
                  <w:r>
                    <w:rPr>
                      <w:rFonts w:hint="eastAsia"/>
                      <w:color w:val="auto"/>
                      <w:spacing w:val="2"/>
                      <w:szCs w:val="21"/>
                      <w:highlight w:val="none"/>
                    </w:rPr>
                    <w:t>害</w:t>
                  </w:r>
                  <w:r>
                    <w:rPr>
                      <w:rFonts w:hint="eastAsia"/>
                      <w:color w:val="auto"/>
                      <w:spacing w:val="4"/>
                      <w:szCs w:val="21"/>
                      <w:highlight w:val="none"/>
                    </w:rPr>
                    <w:t>污染物指纳入《有毒有害</w:t>
                  </w:r>
                  <w:r>
                    <w:rPr>
                      <w:rFonts w:hint="eastAsia"/>
                      <w:color w:val="auto"/>
                      <w:spacing w:val="2"/>
                      <w:szCs w:val="21"/>
                      <w:highlight w:val="none"/>
                    </w:rPr>
                    <w:t>大</w:t>
                  </w:r>
                  <w:r>
                    <w:rPr>
                      <w:rFonts w:hint="eastAsia"/>
                      <w:color w:val="auto"/>
                      <w:spacing w:val="4"/>
                      <w:szCs w:val="21"/>
                      <w:highlight w:val="none"/>
                    </w:rPr>
                    <w:t>气污染物名录》</w:t>
                  </w:r>
                  <w:r>
                    <w:rPr>
                      <w:rFonts w:hint="eastAsia"/>
                      <w:color w:val="auto"/>
                      <w:szCs w:val="21"/>
                      <w:highlight w:val="none"/>
                    </w:rPr>
                    <w:t>的</w:t>
                  </w:r>
                  <w:r>
                    <w:rPr>
                      <w:rFonts w:hint="eastAsia"/>
                      <w:color w:val="auto"/>
                      <w:spacing w:val="-1"/>
                      <w:szCs w:val="21"/>
                      <w:highlight w:val="none"/>
                    </w:rPr>
                    <w:t>污</w:t>
                  </w:r>
                  <w:r>
                    <w:rPr>
                      <w:rFonts w:hint="eastAsia"/>
                      <w:color w:val="auto"/>
                      <w:spacing w:val="2"/>
                      <w:szCs w:val="21"/>
                      <w:highlight w:val="none"/>
                    </w:rPr>
                    <w:t>染</w:t>
                  </w:r>
                  <w:r>
                    <w:rPr>
                      <w:rFonts w:hint="eastAsia"/>
                      <w:color w:val="auto"/>
                      <w:spacing w:val="-1"/>
                      <w:szCs w:val="21"/>
                      <w:highlight w:val="none"/>
                    </w:rPr>
                    <w:t>物</w:t>
                  </w:r>
                  <w:r>
                    <w:rPr>
                      <w:rFonts w:hint="eastAsia"/>
                      <w:color w:val="auto"/>
                      <w:spacing w:val="2"/>
                      <w:szCs w:val="21"/>
                      <w:highlight w:val="none"/>
                    </w:rPr>
                    <w:t>（</w:t>
                  </w:r>
                  <w:r>
                    <w:rPr>
                      <w:rFonts w:hint="eastAsia"/>
                      <w:color w:val="auto"/>
                      <w:spacing w:val="-1"/>
                      <w:szCs w:val="21"/>
                      <w:highlight w:val="none"/>
                    </w:rPr>
                    <w:t>不</w:t>
                  </w:r>
                  <w:r>
                    <w:rPr>
                      <w:rFonts w:hint="eastAsia"/>
                      <w:color w:val="auto"/>
                      <w:spacing w:val="2"/>
                      <w:szCs w:val="21"/>
                      <w:highlight w:val="none"/>
                    </w:rPr>
                    <w:t>包</w:t>
                  </w:r>
                  <w:r>
                    <w:rPr>
                      <w:rFonts w:hint="eastAsia"/>
                      <w:color w:val="auto"/>
                      <w:spacing w:val="-1"/>
                      <w:szCs w:val="21"/>
                      <w:highlight w:val="none"/>
                    </w:rPr>
                    <w:t>括</w:t>
                  </w:r>
                  <w:r>
                    <w:rPr>
                      <w:rFonts w:hint="eastAsia"/>
                      <w:color w:val="auto"/>
                      <w:spacing w:val="2"/>
                      <w:szCs w:val="21"/>
                      <w:highlight w:val="none"/>
                    </w:rPr>
                    <w:t>无</w:t>
                  </w:r>
                  <w:r>
                    <w:rPr>
                      <w:rFonts w:hint="eastAsia"/>
                      <w:color w:val="auto"/>
                      <w:spacing w:val="-1"/>
                      <w:szCs w:val="21"/>
                      <w:highlight w:val="none"/>
                    </w:rPr>
                    <w:t>排</w:t>
                  </w:r>
                  <w:r>
                    <w:rPr>
                      <w:rFonts w:hint="eastAsia"/>
                      <w:color w:val="auto"/>
                      <w:spacing w:val="2"/>
                      <w:szCs w:val="21"/>
                      <w:highlight w:val="none"/>
                    </w:rPr>
                    <w:t>放</w:t>
                  </w:r>
                  <w:r>
                    <w:rPr>
                      <w:rFonts w:hint="eastAsia"/>
                      <w:color w:val="auto"/>
                      <w:spacing w:val="-1"/>
                      <w:szCs w:val="21"/>
                      <w:highlight w:val="none"/>
                    </w:rPr>
                    <w:t>标</w:t>
                  </w:r>
                  <w:r>
                    <w:rPr>
                      <w:rFonts w:hint="eastAsia"/>
                      <w:color w:val="auto"/>
                      <w:spacing w:val="2"/>
                      <w:szCs w:val="21"/>
                      <w:highlight w:val="none"/>
                    </w:rPr>
                    <w:t>准</w:t>
                  </w:r>
                  <w:r>
                    <w:rPr>
                      <w:rFonts w:hint="eastAsia"/>
                      <w:color w:val="auto"/>
                      <w:spacing w:val="-1"/>
                      <w:szCs w:val="21"/>
                      <w:highlight w:val="none"/>
                    </w:rPr>
                    <w:t>的</w:t>
                  </w:r>
                  <w:r>
                    <w:rPr>
                      <w:rFonts w:hint="eastAsia"/>
                      <w:color w:val="auto"/>
                      <w:spacing w:val="2"/>
                      <w:szCs w:val="21"/>
                      <w:highlight w:val="none"/>
                    </w:rPr>
                    <w:t>污</w:t>
                  </w:r>
                  <w:r>
                    <w:rPr>
                      <w:rFonts w:hint="eastAsia"/>
                      <w:color w:val="auto"/>
                      <w:spacing w:val="-1"/>
                      <w:szCs w:val="21"/>
                      <w:highlight w:val="none"/>
                    </w:rPr>
                    <w:t>染</w:t>
                  </w:r>
                  <w:r>
                    <w:rPr>
                      <w:rFonts w:hint="eastAsia"/>
                      <w:color w:val="auto"/>
                      <w:spacing w:val="2"/>
                      <w:szCs w:val="21"/>
                      <w:highlight w:val="none"/>
                    </w:rPr>
                    <w:t>物</w:t>
                  </w:r>
                  <w:r>
                    <w:rPr>
                      <w:rFonts w:hint="eastAsia"/>
                      <w:color w:val="auto"/>
                      <w:spacing w:val="-1"/>
                      <w:szCs w:val="21"/>
                      <w:highlight w:val="none"/>
                    </w:rPr>
                    <w:t>）</w:t>
                  </w:r>
                  <w:r>
                    <w:rPr>
                      <w:rFonts w:hint="eastAsia"/>
                      <w:color w:val="auto"/>
                      <w:szCs w:val="21"/>
                      <w:highlight w:val="none"/>
                    </w:rPr>
                    <w:t>。</w:t>
                  </w:r>
                </w:p>
              </w:tc>
            </w:tr>
            <w:tr w14:paraId="25A55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712" w:type="pct"/>
                  <w:vMerge w:val="continue"/>
                  <w:tcBorders>
                    <w:tl2br w:val="nil"/>
                    <w:tr2bl w:val="nil"/>
                  </w:tcBorders>
                  <w:vAlign w:val="center"/>
                </w:tcPr>
                <w:p w14:paraId="6790BD4F">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p>
              </w:tc>
              <w:tc>
                <w:tcPr>
                  <w:tcW w:w="4287" w:type="pct"/>
                  <w:gridSpan w:val="2"/>
                  <w:tcBorders>
                    <w:tl2br w:val="nil"/>
                    <w:tr2bl w:val="nil"/>
                  </w:tcBorders>
                  <w:vAlign w:val="center"/>
                </w:tcPr>
                <w:p w14:paraId="1CAFA658">
                  <w:pPr>
                    <w:pStyle w:val="94"/>
                    <w:keepNext w:val="0"/>
                    <w:keepLines w:val="0"/>
                    <w:pageBreakBefore w:val="0"/>
                    <w:widowControl w:val="0"/>
                    <w:kinsoku/>
                    <w:wordWrap/>
                    <w:overflowPunct/>
                    <w:bidi w:val="0"/>
                    <w:adjustRightInd/>
                    <w:snapToGrid/>
                    <w:spacing w:line="240" w:lineRule="auto"/>
                    <w:jc w:val="center"/>
                    <w:textAlignment w:val="auto"/>
                    <w:rPr>
                      <w:color w:val="auto"/>
                      <w:szCs w:val="21"/>
                      <w:highlight w:val="none"/>
                    </w:rPr>
                  </w:pPr>
                  <w:r>
                    <w:rPr>
                      <w:rFonts w:ascii="思源宋體 TW" w:hAnsi="思源宋體 TW" w:eastAsia="思源宋體 TW" w:cs="思源宋體 TW"/>
                      <w:color w:val="auto"/>
                      <w:spacing w:val="1"/>
                      <w:szCs w:val="21"/>
                      <w:highlight w:val="none"/>
                    </w:rPr>
                    <w:t>2</w:t>
                  </w:r>
                  <w:r>
                    <w:rPr>
                      <w:rFonts w:ascii="思源宋體 TW" w:hAnsi="思源宋體 TW" w:eastAsia="思源宋體 TW" w:cs="思源宋體 TW"/>
                      <w:color w:val="auto"/>
                      <w:spacing w:val="2"/>
                      <w:szCs w:val="21"/>
                      <w:highlight w:val="none"/>
                    </w:rPr>
                    <w:t>.</w:t>
                  </w:r>
                  <w:r>
                    <w:rPr>
                      <w:rFonts w:hint="eastAsia"/>
                      <w:color w:val="auto"/>
                      <w:spacing w:val="4"/>
                      <w:szCs w:val="21"/>
                      <w:highlight w:val="none"/>
                    </w:rPr>
                    <w:t>环境空气保护</w:t>
                  </w:r>
                  <w:r>
                    <w:rPr>
                      <w:rFonts w:hint="eastAsia"/>
                      <w:color w:val="auto"/>
                      <w:spacing w:val="2"/>
                      <w:szCs w:val="21"/>
                      <w:highlight w:val="none"/>
                    </w:rPr>
                    <w:t>目</w:t>
                  </w:r>
                  <w:r>
                    <w:rPr>
                      <w:rFonts w:hint="eastAsia"/>
                      <w:color w:val="auto"/>
                      <w:spacing w:val="4"/>
                      <w:szCs w:val="21"/>
                      <w:highlight w:val="none"/>
                    </w:rPr>
                    <w:t>标指自然保护区、风景名</w:t>
                  </w:r>
                  <w:r>
                    <w:rPr>
                      <w:rFonts w:hint="eastAsia"/>
                      <w:color w:val="auto"/>
                      <w:spacing w:val="2"/>
                      <w:szCs w:val="21"/>
                      <w:highlight w:val="none"/>
                    </w:rPr>
                    <w:t>胜</w:t>
                  </w:r>
                  <w:r>
                    <w:rPr>
                      <w:rFonts w:hint="eastAsia"/>
                      <w:color w:val="auto"/>
                      <w:spacing w:val="4"/>
                      <w:szCs w:val="21"/>
                      <w:highlight w:val="none"/>
                    </w:rPr>
                    <w:t>区、居住区、文</w:t>
                  </w:r>
                  <w:r>
                    <w:rPr>
                      <w:rFonts w:hint="eastAsia"/>
                      <w:color w:val="auto"/>
                      <w:szCs w:val="21"/>
                      <w:highlight w:val="none"/>
                    </w:rPr>
                    <w:t>化</w:t>
                  </w:r>
                  <w:r>
                    <w:rPr>
                      <w:rFonts w:hint="eastAsia"/>
                      <w:color w:val="auto"/>
                      <w:spacing w:val="-1"/>
                      <w:szCs w:val="21"/>
                      <w:highlight w:val="none"/>
                    </w:rPr>
                    <w:t>区</w:t>
                  </w:r>
                  <w:r>
                    <w:rPr>
                      <w:rFonts w:hint="eastAsia"/>
                      <w:color w:val="auto"/>
                      <w:spacing w:val="2"/>
                      <w:szCs w:val="21"/>
                      <w:highlight w:val="none"/>
                    </w:rPr>
                    <w:t>和</w:t>
                  </w:r>
                  <w:r>
                    <w:rPr>
                      <w:rFonts w:hint="eastAsia"/>
                      <w:color w:val="auto"/>
                      <w:spacing w:val="-1"/>
                      <w:szCs w:val="21"/>
                      <w:highlight w:val="none"/>
                    </w:rPr>
                    <w:t>农</w:t>
                  </w:r>
                  <w:r>
                    <w:rPr>
                      <w:rFonts w:hint="eastAsia"/>
                      <w:color w:val="auto"/>
                      <w:spacing w:val="2"/>
                      <w:szCs w:val="21"/>
                      <w:highlight w:val="none"/>
                    </w:rPr>
                    <w:t>村</w:t>
                  </w:r>
                  <w:r>
                    <w:rPr>
                      <w:rFonts w:hint="eastAsia"/>
                      <w:color w:val="auto"/>
                      <w:spacing w:val="-1"/>
                      <w:szCs w:val="21"/>
                      <w:highlight w:val="none"/>
                    </w:rPr>
                    <w:t>地</w:t>
                  </w:r>
                  <w:r>
                    <w:rPr>
                      <w:rFonts w:hint="eastAsia"/>
                      <w:color w:val="auto"/>
                      <w:spacing w:val="2"/>
                      <w:szCs w:val="21"/>
                      <w:highlight w:val="none"/>
                    </w:rPr>
                    <w:t>区</w:t>
                  </w:r>
                  <w:r>
                    <w:rPr>
                      <w:rFonts w:hint="eastAsia"/>
                      <w:color w:val="auto"/>
                      <w:spacing w:val="-1"/>
                      <w:szCs w:val="21"/>
                      <w:highlight w:val="none"/>
                    </w:rPr>
                    <w:t>中</w:t>
                  </w:r>
                  <w:r>
                    <w:rPr>
                      <w:rFonts w:hint="eastAsia"/>
                      <w:color w:val="auto"/>
                      <w:spacing w:val="2"/>
                      <w:szCs w:val="21"/>
                      <w:highlight w:val="none"/>
                    </w:rPr>
                    <w:t>人</w:t>
                  </w:r>
                  <w:r>
                    <w:rPr>
                      <w:rFonts w:hint="eastAsia"/>
                      <w:color w:val="auto"/>
                      <w:spacing w:val="-1"/>
                      <w:szCs w:val="21"/>
                      <w:highlight w:val="none"/>
                    </w:rPr>
                    <w:t>群</w:t>
                  </w:r>
                  <w:r>
                    <w:rPr>
                      <w:rFonts w:hint="eastAsia"/>
                      <w:color w:val="auto"/>
                      <w:spacing w:val="2"/>
                      <w:szCs w:val="21"/>
                      <w:highlight w:val="none"/>
                    </w:rPr>
                    <w:t>较</w:t>
                  </w:r>
                  <w:r>
                    <w:rPr>
                      <w:rFonts w:hint="eastAsia"/>
                      <w:color w:val="auto"/>
                      <w:spacing w:val="-1"/>
                      <w:szCs w:val="21"/>
                      <w:highlight w:val="none"/>
                    </w:rPr>
                    <w:t>集</w:t>
                  </w:r>
                  <w:r>
                    <w:rPr>
                      <w:rFonts w:hint="eastAsia"/>
                      <w:color w:val="auto"/>
                      <w:spacing w:val="2"/>
                      <w:szCs w:val="21"/>
                      <w:highlight w:val="none"/>
                    </w:rPr>
                    <w:t>中</w:t>
                  </w:r>
                  <w:r>
                    <w:rPr>
                      <w:rFonts w:hint="eastAsia"/>
                      <w:color w:val="auto"/>
                      <w:spacing w:val="-1"/>
                      <w:szCs w:val="21"/>
                      <w:highlight w:val="none"/>
                    </w:rPr>
                    <w:t>的</w:t>
                  </w:r>
                  <w:r>
                    <w:rPr>
                      <w:rFonts w:hint="eastAsia"/>
                      <w:color w:val="auto"/>
                      <w:spacing w:val="2"/>
                      <w:szCs w:val="21"/>
                      <w:highlight w:val="none"/>
                    </w:rPr>
                    <w:t>区</w:t>
                  </w:r>
                  <w:r>
                    <w:rPr>
                      <w:rFonts w:hint="eastAsia"/>
                      <w:color w:val="auto"/>
                      <w:spacing w:val="-1"/>
                      <w:szCs w:val="21"/>
                      <w:highlight w:val="none"/>
                    </w:rPr>
                    <w:t>域</w:t>
                  </w:r>
                  <w:r>
                    <w:rPr>
                      <w:rFonts w:hint="eastAsia"/>
                      <w:color w:val="auto"/>
                      <w:szCs w:val="21"/>
                      <w:highlight w:val="none"/>
                    </w:rPr>
                    <w:t>。</w:t>
                  </w:r>
                </w:p>
              </w:tc>
            </w:tr>
            <w:tr w14:paraId="251C8A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12" w:type="pct"/>
                  <w:vMerge w:val="continue"/>
                  <w:tcBorders>
                    <w:tl2br w:val="nil"/>
                    <w:tr2bl w:val="nil"/>
                  </w:tcBorders>
                  <w:vAlign w:val="center"/>
                </w:tcPr>
                <w:p w14:paraId="4F43CDAC">
                  <w:pPr>
                    <w:keepNext w:val="0"/>
                    <w:keepLines w:val="0"/>
                    <w:pageBreakBefore w:val="0"/>
                    <w:widowControl w:val="0"/>
                    <w:kinsoku/>
                    <w:wordWrap/>
                    <w:overflowPunct/>
                    <w:bidi w:val="0"/>
                    <w:adjustRightInd/>
                    <w:snapToGrid/>
                    <w:spacing w:line="240" w:lineRule="auto"/>
                    <w:jc w:val="center"/>
                    <w:textAlignment w:val="auto"/>
                    <w:rPr>
                      <w:rFonts w:ascii="宋体" w:hAnsi="宋体" w:cs="宋体"/>
                      <w:color w:val="auto"/>
                      <w:spacing w:val="-1"/>
                      <w:szCs w:val="21"/>
                      <w:highlight w:val="none"/>
                    </w:rPr>
                  </w:pPr>
                </w:p>
              </w:tc>
              <w:tc>
                <w:tcPr>
                  <w:tcW w:w="4287" w:type="pct"/>
                  <w:gridSpan w:val="2"/>
                  <w:tcBorders>
                    <w:tl2br w:val="nil"/>
                    <w:tr2bl w:val="nil"/>
                  </w:tcBorders>
                  <w:vAlign w:val="center"/>
                </w:tcPr>
                <w:p w14:paraId="71DE55F5">
                  <w:pPr>
                    <w:keepNext w:val="0"/>
                    <w:keepLines w:val="0"/>
                    <w:pageBreakBefore w:val="0"/>
                    <w:widowControl w:val="0"/>
                    <w:kinsoku/>
                    <w:wordWrap/>
                    <w:overflowPunct/>
                    <w:autoSpaceDE w:val="0"/>
                    <w:autoSpaceDN w:val="0"/>
                    <w:bidi w:val="0"/>
                    <w:adjustRightInd/>
                    <w:snapToGrid/>
                    <w:spacing w:line="240" w:lineRule="auto"/>
                    <w:jc w:val="center"/>
                    <w:textAlignment w:val="auto"/>
                    <w:rPr>
                      <w:color w:val="auto"/>
                      <w:szCs w:val="21"/>
                      <w:highlight w:val="none"/>
                    </w:rPr>
                  </w:pPr>
                  <w:r>
                    <w:rPr>
                      <w:color w:val="auto"/>
                      <w:kern w:val="0"/>
                      <w:szCs w:val="21"/>
                      <w:highlight w:val="none"/>
                    </w:rPr>
                    <w:t>3.</w:t>
                  </w:r>
                  <w:r>
                    <w:rPr>
                      <w:rFonts w:hint="eastAsia"/>
                      <w:color w:val="auto"/>
                      <w:kern w:val="0"/>
                      <w:szCs w:val="21"/>
                      <w:highlight w:val="none"/>
                    </w:rPr>
                    <w:t>临界量及其计算方法可参考《建设项目环境风险评价技术导则》（</w:t>
                  </w:r>
                  <w:r>
                    <w:rPr>
                      <w:color w:val="auto"/>
                      <w:kern w:val="0"/>
                      <w:szCs w:val="21"/>
                      <w:highlight w:val="none"/>
                    </w:rPr>
                    <w:t>HJ 169</w:t>
                  </w:r>
                  <w:r>
                    <w:rPr>
                      <w:rFonts w:hint="eastAsia"/>
                      <w:color w:val="auto"/>
                      <w:kern w:val="0"/>
                      <w:szCs w:val="21"/>
                      <w:highlight w:val="none"/>
                    </w:rPr>
                    <w:t>）附录</w:t>
                  </w:r>
                  <w:r>
                    <w:rPr>
                      <w:color w:val="auto"/>
                      <w:kern w:val="0"/>
                      <w:szCs w:val="21"/>
                      <w:highlight w:val="none"/>
                    </w:rPr>
                    <w:t xml:space="preserve"> B</w:t>
                  </w:r>
                  <w:r>
                    <w:rPr>
                      <w:rFonts w:hint="eastAsia"/>
                      <w:color w:val="auto"/>
                      <w:kern w:val="0"/>
                      <w:szCs w:val="21"/>
                      <w:highlight w:val="none"/>
                    </w:rPr>
                    <w:t>、附录</w:t>
                  </w:r>
                  <w:r>
                    <w:rPr>
                      <w:color w:val="auto"/>
                      <w:kern w:val="0"/>
                      <w:szCs w:val="21"/>
                      <w:highlight w:val="none"/>
                    </w:rPr>
                    <w:t xml:space="preserve"> C</w:t>
                  </w:r>
                  <w:r>
                    <w:rPr>
                      <w:rFonts w:hint="eastAsia"/>
                      <w:color w:val="auto"/>
                      <w:kern w:val="0"/>
                      <w:szCs w:val="21"/>
                      <w:highlight w:val="none"/>
                    </w:rPr>
                    <w:t>。</w:t>
                  </w:r>
                </w:p>
              </w:tc>
            </w:tr>
          </w:tbl>
          <w:p w14:paraId="5D3E5A9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auto"/>
                <w:kern w:val="0"/>
                <w:sz w:val="24"/>
                <w:highlight w:val="none"/>
              </w:rPr>
            </w:pPr>
            <w:r>
              <w:rPr>
                <w:rFonts w:hint="eastAsia" w:ascii="Times New Roman" w:hAnsi="Times New Roman" w:eastAsia="宋体" w:cs="Times New Roman"/>
                <w:color w:val="auto"/>
                <w:sz w:val="24"/>
                <w:highlight w:val="none"/>
                <w:u w:val="none" w:color="auto"/>
              </w:rPr>
              <w:t>根据《建设项目环境影响评价报告表编制技术指南（污染影响类）（试行）》表1专项设置原则表，本项目无需设置大气、地表水、生态、风险、海洋等专项评价。</w:t>
            </w:r>
          </w:p>
        </w:tc>
      </w:tr>
      <w:tr w14:paraId="0C3AF1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170" w:type="dxa"/>
            <w:vAlign w:val="center"/>
          </w:tcPr>
          <w:p w14:paraId="4F5CBFEF">
            <w:pPr>
              <w:autoSpaceDE w:val="0"/>
              <w:autoSpaceDN w:val="0"/>
              <w:adjustRightInd w:val="0"/>
              <w:snapToGrid w:val="0"/>
              <w:jc w:val="center"/>
              <w:rPr>
                <w:color w:val="auto"/>
                <w:kern w:val="0"/>
                <w:sz w:val="24"/>
                <w:highlight w:val="none"/>
              </w:rPr>
            </w:pPr>
            <w:r>
              <w:rPr>
                <w:color w:val="auto"/>
                <w:sz w:val="24"/>
                <w:highlight w:val="none"/>
              </w:rPr>
              <w:t>规划情况</w:t>
            </w:r>
          </w:p>
        </w:tc>
        <w:tc>
          <w:tcPr>
            <w:tcW w:w="8004" w:type="dxa"/>
            <w:gridSpan w:val="3"/>
            <w:vAlign w:val="center"/>
          </w:tcPr>
          <w:p w14:paraId="344544E9">
            <w:pPr>
              <w:autoSpaceDE w:val="0"/>
              <w:autoSpaceDN w:val="0"/>
              <w:adjustRightInd w:val="0"/>
              <w:snapToGrid w:val="0"/>
              <w:jc w:val="left"/>
              <w:rPr>
                <w:rFonts w:hint="eastAsia" w:eastAsia="宋体"/>
                <w:color w:val="auto"/>
                <w:highlight w:val="none"/>
                <w:u w:val="none"/>
                <w:lang w:val="en-US" w:eastAsia="zh-CN"/>
              </w:rPr>
            </w:pPr>
            <w:r>
              <w:rPr>
                <w:rFonts w:hint="eastAsia" w:cs="Times New Roman"/>
                <w:color w:val="auto"/>
                <w:sz w:val="24"/>
                <w:highlight w:val="none"/>
                <w:u w:val="none" w:color="auto"/>
                <w:lang w:val="en-US" w:eastAsia="zh-CN"/>
              </w:rPr>
              <w:t>无</w:t>
            </w:r>
          </w:p>
        </w:tc>
      </w:tr>
      <w:tr w14:paraId="6D87A5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1170" w:type="dxa"/>
            <w:vAlign w:val="center"/>
          </w:tcPr>
          <w:p w14:paraId="01900BC1">
            <w:pPr>
              <w:adjustRightInd w:val="0"/>
              <w:snapToGrid w:val="0"/>
              <w:jc w:val="center"/>
              <w:rPr>
                <w:color w:val="auto"/>
                <w:sz w:val="24"/>
                <w:highlight w:val="none"/>
              </w:rPr>
            </w:pPr>
            <w:r>
              <w:rPr>
                <w:color w:val="auto"/>
                <w:sz w:val="24"/>
                <w:highlight w:val="none"/>
              </w:rPr>
              <w:t>规划环境影响</w:t>
            </w:r>
          </w:p>
          <w:p w14:paraId="656B3B53">
            <w:pPr>
              <w:adjustRightInd w:val="0"/>
              <w:snapToGrid w:val="0"/>
              <w:jc w:val="center"/>
              <w:rPr>
                <w:color w:val="auto"/>
                <w:kern w:val="0"/>
                <w:sz w:val="24"/>
                <w:highlight w:val="none"/>
              </w:rPr>
            </w:pPr>
            <w:r>
              <w:rPr>
                <w:color w:val="auto"/>
                <w:sz w:val="24"/>
                <w:highlight w:val="none"/>
              </w:rPr>
              <w:t>评价情况</w:t>
            </w:r>
          </w:p>
        </w:tc>
        <w:tc>
          <w:tcPr>
            <w:tcW w:w="8004" w:type="dxa"/>
            <w:gridSpan w:val="3"/>
            <w:vAlign w:val="center"/>
          </w:tcPr>
          <w:p w14:paraId="4523B8FF">
            <w:pPr>
              <w:spacing w:line="360" w:lineRule="auto"/>
              <w:ind w:firstLine="0"/>
              <w:jc w:val="both"/>
              <w:rPr>
                <w:rFonts w:hint="eastAsia" w:eastAsia="宋体"/>
                <w:color w:val="auto"/>
                <w:kern w:val="0"/>
                <w:sz w:val="24"/>
                <w:highlight w:val="none"/>
                <w:u w:val="none"/>
                <w:lang w:eastAsia="zh-CN"/>
              </w:rPr>
            </w:pPr>
            <w:r>
              <w:rPr>
                <w:rFonts w:hint="eastAsia" w:cs="Times New Roman"/>
                <w:color w:val="auto"/>
                <w:sz w:val="24"/>
                <w:highlight w:val="none"/>
                <w:u w:val="none" w:color="auto"/>
                <w:lang w:val="en-US" w:eastAsia="zh-CN"/>
              </w:rPr>
              <w:t>无</w:t>
            </w:r>
          </w:p>
        </w:tc>
      </w:tr>
      <w:tr w14:paraId="37E12B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 w:hRule="atLeast"/>
          <w:jc w:val="center"/>
        </w:trPr>
        <w:tc>
          <w:tcPr>
            <w:tcW w:w="1170" w:type="dxa"/>
            <w:vAlign w:val="center"/>
          </w:tcPr>
          <w:p w14:paraId="272BD178">
            <w:pPr>
              <w:autoSpaceDE w:val="0"/>
              <w:autoSpaceDN w:val="0"/>
              <w:adjustRightInd w:val="0"/>
              <w:snapToGrid w:val="0"/>
              <w:jc w:val="center"/>
              <w:rPr>
                <w:color w:val="auto"/>
                <w:kern w:val="0"/>
                <w:sz w:val="24"/>
                <w:highlight w:val="none"/>
              </w:rPr>
            </w:pPr>
            <w:r>
              <w:rPr>
                <w:color w:val="auto"/>
                <w:kern w:val="0"/>
                <w:sz w:val="24"/>
                <w:highlight w:val="none"/>
              </w:rPr>
              <w:t>规划及规划环境影响评价符合性分析</w:t>
            </w:r>
          </w:p>
        </w:tc>
        <w:tc>
          <w:tcPr>
            <w:tcW w:w="8004" w:type="dxa"/>
            <w:gridSpan w:val="3"/>
            <w:vAlign w:val="center"/>
          </w:tcPr>
          <w:p w14:paraId="35B1ED86">
            <w:pPr>
              <w:spacing w:line="480" w:lineRule="exact"/>
              <w:jc w:val="left"/>
              <w:rPr>
                <w:rFonts w:hint="eastAsia" w:ascii="Times New Roman" w:hAnsi="Times New Roman" w:cs="Times New Roman"/>
                <w:color w:val="auto"/>
                <w:kern w:val="0"/>
                <w:sz w:val="24"/>
                <w:highlight w:val="none"/>
                <w:u w:val="none" w:color="auto"/>
              </w:rPr>
            </w:pPr>
            <w:r>
              <w:rPr>
                <w:rFonts w:hint="eastAsia" w:cs="Times New Roman"/>
                <w:color w:val="auto"/>
                <w:sz w:val="24"/>
                <w:highlight w:val="none"/>
                <w:u w:val="none" w:color="auto"/>
                <w:lang w:val="en-US" w:eastAsia="zh-CN"/>
              </w:rPr>
              <w:t>无</w:t>
            </w:r>
          </w:p>
        </w:tc>
      </w:tr>
      <w:tr w14:paraId="2B3FB5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642" w:hRule="atLeast"/>
          <w:jc w:val="center"/>
        </w:trPr>
        <w:tc>
          <w:tcPr>
            <w:tcW w:w="1170" w:type="dxa"/>
            <w:vAlign w:val="center"/>
          </w:tcPr>
          <w:p w14:paraId="7C5994AA">
            <w:pPr>
              <w:autoSpaceDE w:val="0"/>
              <w:autoSpaceDN w:val="0"/>
              <w:jc w:val="center"/>
              <w:rPr>
                <w:color w:val="auto"/>
                <w:kern w:val="0"/>
                <w:sz w:val="24"/>
                <w:highlight w:val="none"/>
              </w:rPr>
            </w:pPr>
            <w:r>
              <w:rPr>
                <w:color w:val="auto"/>
                <w:kern w:val="0"/>
                <w:sz w:val="24"/>
                <w:highlight w:val="none"/>
              </w:rPr>
              <w:t>其他符合性分析</w:t>
            </w:r>
          </w:p>
        </w:tc>
        <w:tc>
          <w:tcPr>
            <w:tcW w:w="8004" w:type="dxa"/>
            <w:gridSpan w:val="3"/>
            <w:vAlign w:val="center"/>
          </w:tcPr>
          <w:p w14:paraId="471017BE">
            <w:pPr>
              <w:tabs>
                <w:tab w:val="left" w:pos="360"/>
              </w:tabs>
              <w:spacing w:line="360" w:lineRule="auto"/>
              <w:rPr>
                <w:b/>
                <w:snapToGrid w:val="0"/>
                <w:color w:val="auto"/>
                <w:sz w:val="24"/>
                <w:highlight w:val="none"/>
              </w:rPr>
            </w:pPr>
            <w:r>
              <w:rPr>
                <w:rFonts w:hint="eastAsia"/>
                <w:b/>
                <w:snapToGrid w:val="0"/>
                <w:color w:val="auto"/>
                <w:sz w:val="24"/>
                <w:highlight w:val="none"/>
                <w:lang w:val="en-US" w:eastAsia="zh-CN"/>
              </w:rPr>
              <w:t>1</w:t>
            </w:r>
            <w:r>
              <w:rPr>
                <w:b/>
                <w:snapToGrid w:val="0"/>
                <w:color w:val="auto"/>
                <w:sz w:val="24"/>
                <w:highlight w:val="none"/>
              </w:rPr>
              <w:t>、</w:t>
            </w:r>
            <w:r>
              <w:rPr>
                <w:b/>
                <w:bCs/>
                <w:color w:val="auto"/>
                <w:kern w:val="0"/>
                <w:sz w:val="24"/>
                <w:highlight w:val="none"/>
                <w:u w:val="none" w:color="auto"/>
              </w:rPr>
              <w:t>“三线一单”</w:t>
            </w:r>
            <w:r>
              <w:rPr>
                <w:rFonts w:hint="eastAsia"/>
                <w:b/>
                <w:bCs/>
                <w:color w:val="auto"/>
                <w:kern w:val="0"/>
                <w:sz w:val="24"/>
                <w:highlight w:val="none"/>
                <w:u w:val="none" w:color="auto"/>
                <w:lang w:val="en-US" w:eastAsia="zh-CN"/>
              </w:rPr>
              <w:t>及生态环境分区管控</w:t>
            </w:r>
            <w:r>
              <w:rPr>
                <w:b/>
                <w:bCs/>
                <w:color w:val="auto"/>
                <w:kern w:val="0"/>
                <w:sz w:val="24"/>
                <w:highlight w:val="none"/>
                <w:u w:val="none" w:color="auto"/>
              </w:rPr>
              <w:t>符合性分析</w:t>
            </w:r>
          </w:p>
          <w:p w14:paraId="60BBF48E">
            <w:pPr>
              <w:widowControl/>
              <w:adjustRightInd w:val="0"/>
              <w:snapToGrid w:val="0"/>
              <w:spacing w:line="360" w:lineRule="auto"/>
              <w:ind w:firstLine="480" w:firstLineChars="200"/>
              <w:rPr>
                <w:bCs/>
                <w:color w:val="auto"/>
                <w:sz w:val="24"/>
                <w:highlight w:val="none"/>
                <w:u w:val="none" w:color="auto"/>
              </w:rPr>
            </w:pPr>
            <w:r>
              <w:rPr>
                <w:rFonts w:hint="eastAsia"/>
                <w:bCs/>
                <w:color w:val="auto"/>
                <w:sz w:val="24"/>
                <w:highlight w:val="none"/>
                <w:u w:val="none" w:color="auto"/>
                <w:lang w:eastAsia="zh-CN"/>
              </w:rPr>
              <w:t>(</w:t>
            </w:r>
            <w:r>
              <w:rPr>
                <w:bCs/>
                <w:color w:val="auto"/>
                <w:sz w:val="24"/>
                <w:highlight w:val="none"/>
                <w:u w:val="none" w:color="auto"/>
              </w:rPr>
              <w:t>1</w:t>
            </w:r>
            <w:r>
              <w:rPr>
                <w:rFonts w:hint="eastAsia"/>
                <w:bCs/>
                <w:color w:val="auto"/>
                <w:sz w:val="24"/>
                <w:highlight w:val="none"/>
                <w:u w:val="none" w:color="auto"/>
                <w:lang w:eastAsia="zh-CN"/>
              </w:rPr>
              <w:t>)</w:t>
            </w:r>
            <w:r>
              <w:rPr>
                <w:bCs/>
                <w:color w:val="auto"/>
                <w:sz w:val="24"/>
                <w:highlight w:val="none"/>
                <w:u w:val="none" w:color="auto"/>
              </w:rPr>
              <w:t>生态保护红线</w:t>
            </w:r>
          </w:p>
          <w:p w14:paraId="4E439681">
            <w:pPr>
              <w:autoSpaceDE w:val="0"/>
              <w:autoSpaceDN w:val="0"/>
              <w:adjustRightInd w:val="0"/>
              <w:snapToGrid w:val="0"/>
              <w:spacing w:line="360" w:lineRule="auto"/>
              <w:ind w:firstLine="480" w:firstLineChars="200"/>
              <w:rPr>
                <w:rFonts w:hint="default" w:ascii="Times New Roman" w:hAnsi="Times New Roman" w:eastAsia="宋体" w:cs="Times New Roman"/>
                <w:bCs/>
                <w:snapToGrid w:val="0"/>
                <w:color w:val="auto"/>
                <w:sz w:val="24"/>
                <w:szCs w:val="24"/>
                <w:highlight w:val="none"/>
                <w:u w:val="none" w:color="auto"/>
              </w:rPr>
            </w:pPr>
            <w:r>
              <w:rPr>
                <w:rFonts w:hint="default" w:ascii="Times New Roman" w:hAnsi="Times New Roman" w:eastAsia="宋体" w:cs="Times New Roman"/>
                <w:color w:val="auto"/>
                <w:sz w:val="24"/>
                <w:highlight w:val="none"/>
                <w:u w:val="none" w:color="auto"/>
              </w:rPr>
              <w:t>本项目位于</w:t>
            </w:r>
            <w:r>
              <w:rPr>
                <w:rFonts w:hint="eastAsia" w:cs="Times New Roman"/>
                <w:color w:val="auto"/>
                <w:sz w:val="24"/>
                <w:szCs w:val="24"/>
                <w:highlight w:val="none"/>
                <w:u w:val="none" w:color="auto"/>
                <w:shd w:val="clear" w:color="auto" w:fill="FFFFFF"/>
                <w:lang w:val="en-US" w:eastAsia="zh-CN"/>
              </w:rPr>
              <w:t>永州市祁阳市进宝塘镇大富村12组</w:t>
            </w:r>
            <w:r>
              <w:rPr>
                <w:rFonts w:hint="default" w:ascii="Times New Roman" w:hAnsi="Times New Roman" w:eastAsia="宋体" w:cs="Times New Roman"/>
                <w:color w:val="auto"/>
                <w:sz w:val="24"/>
                <w:szCs w:val="24"/>
                <w:highlight w:val="none"/>
                <w:u w:val="none" w:color="auto"/>
              </w:rPr>
              <w:t>，</w:t>
            </w:r>
            <w:r>
              <w:rPr>
                <w:rFonts w:hint="eastAsia" w:cs="Times New Roman"/>
                <w:color w:val="auto"/>
                <w:sz w:val="24"/>
                <w:szCs w:val="24"/>
                <w:highlight w:val="none"/>
                <w:u w:val="none" w:color="auto"/>
                <w:lang w:val="en-US" w:eastAsia="zh-CN"/>
              </w:rPr>
              <w:t>在现有厂区内进行锅炉技改，</w:t>
            </w:r>
            <w:r>
              <w:rPr>
                <w:rFonts w:hint="default" w:ascii="Times New Roman" w:hAnsi="Times New Roman" w:eastAsia="宋体" w:cs="Times New Roman"/>
                <w:color w:val="auto"/>
                <w:sz w:val="24"/>
                <w:highlight w:val="none"/>
                <w:u w:val="none" w:color="auto"/>
              </w:rPr>
              <w:t>根据《湖南省人民政府关于印发&lt;湖南省生态保护红线&gt;的通知》</w:t>
            </w:r>
            <w:r>
              <w:rPr>
                <w:rFonts w:hint="default" w:ascii="Times New Roman" w:hAnsi="Times New Roman" w:eastAsia="宋体" w:cs="Times New Roman"/>
                <w:color w:val="auto"/>
                <w:sz w:val="24"/>
                <w:highlight w:val="none"/>
                <w:u w:val="none" w:color="auto"/>
                <w:lang w:eastAsia="zh-CN"/>
              </w:rPr>
              <w:t>(</w:t>
            </w:r>
            <w:r>
              <w:rPr>
                <w:rFonts w:hint="default" w:ascii="Times New Roman" w:hAnsi="Times New Roman" w:eastAsia="宋体" w:cs="Times New Roman"/>
                <w:color w:val="auto"/>
                <w:sz w:val="24"/>
                <w:highlight w:val="none"/>
                <w:u w:val="none" w:color="auto"/>
              </w:rPr>
              <w:t>湘政发〔2018〕20号</w:t>
            </w:r>
            <w:r>
              <w:rPr>
                <w:rFonts w:hint="default" w:ascii="Times New Roman" w:hAnsi="Times New Roman" w:eastAsia="宋体" w:cs="Times New Roman"/>
                <w:color w:val="auto"/>
                <w:sz w:val="24"/>
                <w:highlight w:val="none"/>
                <w:u w:val="none" w:color="auto"/>
                <w:lang w:eastAsia="zh-CN"/>
              </w:rPr>
              <w:t>)</w:t>
            </w:r>
            <w:r>
              <w:rPr>
                <w:rFonts w:hint="default" w:ascii="Times New Roman" w:hAnsi="Times New Roman" w:eastAsia="宋体" w:cs="Times New Roman"/>
                <w:color w:val="auto"/>
                <w:sz w:val="24"/>
                <w:highlight w:val="none"/>
                <w:u w:val="none" w:color="auto"/>
              </w:rPr>
              <w:t>和永</w:t>
            </w:r>
            <w:r>
              <w:rPr>
                <w:rFonts w:hint="default" w:ascii="Times New Roman" w:hAnsi="Times New Roman" w:eastAsia="宋体" w:cs="Times New Roman"/>
                <w:color w:val="auto"/>
                <w:sz w:val="24"/>
                <w:highlight w:val="none"/>
                <w:u w:val="none" w:color="auto"/>
                <w:lang w:bidi="ar"/>
              </w:rPr>
              <w:t>州市生态保护红线划定情况，本项目不在</w:t>
            </w:r>
            <w:r>
              <w:rPr>
                <w:rFonts w:hint="eastAsia" w:ascii="Times New Roman" w:hAnsi="Times New Roman" w:eastAsia="宋体" w:cs="Times New Roman"/>
                <w:color w:val="auto"/>
                <w:sz w:val="24"/>
                <w:highlight w:val="none"/>
                <w:u w:val="none" w:color="auto"/>
                <w:lang w:val="en-US" w:eastAsia="zh-CN" w:bidi="ar"/>
              </w:rPr>
              <w:t>永州市</w:t>
            </w:r>
            <w:r>
              <w:rPr>
                <w:rFonts w:hint="default" w:ascii="Times New Roman" w:hAnsi="Times New Roman" w:eastAsia="宋体" w:cs="Times New Roman"/>
                <w:color w:val="auto"/>
                <w:sz w:val="24"/>
                <w:highlight w:val="none"/>
                <w:u w:val="none" w:color="auto"/>
                <w:lang w:bidi="ar"/>
              </w:rPr>
              <w:t>生态保护红线范围内</w:t>
            </w:r>
            <w:r>
              <w:rPr>
                <w:rFonts w:hint="default" w:ascii="Times New Roman" w:hAnsi="Times New Roman" w:cs="Times New Roman"/>
                <w:color w:val="auto"/>
                <w:sz w:val="24"/>
                <w:szCs w:val="24"/>
                <w:highlight w:val="none"/>
                <w:u w:val="none" w:color="auto"/>
              </w:rPr>
              <w:t>，因此项目建设符合生态</w:t>
            </w:r>
            <w:r>
              <w:rPr>
                <w:rFonts w:hint="default" w:ascii="Times New Roman" w:hAnsi="Times New Roman" w:cs="Times New Roman"/>
                <w:color w:val="auto"/>
                <w:sz w:val="24"/>
                <w:szCs w:val="24"/>
                <w:highlight w:val="none"/>
                <w:u w:val="none" w:color="auto"/>
                <w:lang w:val="en-US" w:eastAsia="zh-CN"/>
              </w:rPr>
              <w:t>保护</w:t>
            </w:r>
            <w:r>
              <w:rPr>
                <w:rFonts w:hint="default" w:ascii="Times New Roman" w:hAnsi="Times New Roman" w:cs="Times New Roman"/>
                <w:color w:val="auto"/>
                <w:sz w:val="24"/>
                <w:szCs w:val="24"/>
                <w:highlight w:val="none"/>
                <w:u w:val="none" w:color="auto"/>
              </w:rPr>
              <w:t>红线要求</w:t>
            </w:r>
            <w:r>
              <w:rPr>
                <w:rFonts w:hint="default" w:ascii="Times New Roman" w:hAnsi="Times New Roman" w:eastAsia="宋体" w:cs="Times New Roman"/>
                <w:bCs/>
                <w:snapToGrid w:val="0"/>
                <w:color w:val="auto"/>
                <w:sz w:val="24"/>
                <w:szCs w:val="24"/>
                <w:highlight w:val="none"/>
                <w:u w:val="none" w:color="auto"/>
              </w:rPr>
              <w:t>。</w:t>
            </w:r>
          </w:p>
          <w:p w14:paraId="55BB41C9">
            <w:pPr>
              <w:autoSpaceDE w:val="0"/>
              <w:autoSpaceDN w:val="0"/>
              <w:adjustRightInd w:val="0"/>
              <w:snapToGrid w:val="0"/>
              <w:spacing w:line="360" w:lineRule="auto"/>
              <w:ind w:firstLine="480" w:firstLineChars="200"/>
              <w:rPr>
                <w:rFonts w:hint="default" w:ascii="Times New Roman" w:hAnsi="Times New Roman" w:eastAsia="宋体" w:cs="Times New Roman"/>
                <w:bCs/>
                <w:snapToGrid w:val="0"/>
                <w:color w:val="auto"/>
                <w:sz w:val="24"/>
                <w:szCs w:val="24"/>
                <w:highlight w:val="none"/>
                <w:u w:val="none" w:color="auto"/>
              </w:rPr>
            </w:pPr>
            <w:r>
              <w:rPr>
                <w:rFonts w:hint="default" w:ascii="Times New Roman" w:hAnsi="Times New Roman" w:eastAsia="宋体" w:cs="Times New Roman"/>
                <w:bCs/>
                <w:snapToGrid w:val="0"/>
                <w:color w:val="auto"/>
                <w:sz w:val="24"/>
                <w:szCs w:val="24"/>
                <w:highlight w:val="none"/>
                <w:u w:val="none" w:color="auto"/>
                <w:lang w:eastAsia="zh-CN"/>
              </w:rPr>
              <w:t>(</w:t>
            </w:r>
            <w:r>
              <w:rPr>
                <w:rFonts w:hint="default" w:ascii="Times New Roman" w:hAnsi="Times New Roman" w:eastAsia="宋体" w:cs="Times New Roman"/>
                <w:bCs/>
                <w:snapToGrid w:val="0"/>
                <w:color w:val="auto"/>
                <w:sz w:val="24"/>
                <w:szCs w:val="24"/>
                <w:highlight w:val="none"/>
                <w:u w:val="none" w:color="auto"/>
              </w:rPr>
              <w:t>2</w:t>
            </w:r>
            <w:r>
              <w:rPr>
                <w:rFonts w:hint="default" w:ascii="Times New Roman" w:hAnsi="Times New Roman" w:eastAsia="宋体" w:cs="Times New Roman"/>
                <w:bCs/>
                <w:snapToGrid w:val="0"/>
                <w:color w:val="auto"/>
                <w:sz w:val="24"/>
                <w:szCs w:val="24"/>
                <w:highlight w:val="none"/>
                <w:u w:val="none" w:color="auto"/>
                <w:lang w:eastAsia="zh-CN"/>
              </w:rPr>
              <w:t>)</w:t>
            </w:r>
            <w:r>
              <w:rPr>
                <w:rFonts w:hint="default" w:ascii="Times New Roman" w:hAnsi="Times New Roman" w:eastAsia="宋体" w:cs="Times New Roman"/>
                <w:bCs/>
                <w:snapToGrid w:val="0"/>
                <w:color w:val="auto"/>
                <w:sz w:val="24"/>
                <w:szCs w:val="24"/>
                <w:highlight w:val="none"/>
                <w:u w:val="none" w:color="auto"/>
              </w:rPr>
              <w:t>与环境底线相符</w:t>
            </w:r>
          </w:p>
          <w:p w14:paraId="25E2CC08">
            <w:pPr>
              <w:pStyle w:val="138"/>
              <w:spacing w:line="360" w:lineRule="auto"/>
              <w:ind w:firstLine="480"/>
              <w:rPr>
                <w:rFonts w:hint="default"/>
                <w:color w:val="auto"/>
                <w:kern w:val="0"/>
                <w:highlight w:val="none"/>
                <w:u w:val="none" w:color="auto"/>
              </w:rPr>
            </w:pPr>
            <w:r>
              <w:rPr>
                <w:color w:val="auto"/>
                <w:kern w:val="0"/>
                <w:highlight w:val="none"/>
                <w:u w:val="none" w:color="auto"/>
              </w:rPr>
              <w:t>根据本项目污染物排放影响情况，本项目运营后对区域环境影响不大，环境质量基本可以保持现有水平</w:t>
            </w:r>
            <w:r>
              <w:rPr>
                <w:rFonts w:hint="default"/>
                <w:color w:val="auto"/>
                <w:kern w:val="0"/>
                <w:highlight w:val="none"/>
                <w:u w:val="none" w:color="auto"/>
              </w:rPr>
              <w:t>。</w:t>
            </w:r>
          </w:p>
          <w:p w14:paraId="2227A0F4">
            <w:pPr>
              <w:pStyle w:val="138"/>
              <w:spacing w:line="360" w:lineRule="auto"/>
              <w:ind w:firstLine="480"/>
              <w:rPr>
                <w:rFonts w:hint="default" w:eastAsia="宋体"/>
                <w:color w:val="auto"/>
                <w:kern w:val="0"/>
                <w:highlight w:val="none"/>
                <w:u w:val="none" w:color="auto"/>
                <w:lang w:val="en-US" w:eastAsia="zh-CN"/>
              </w:rPr>
            </w:pPr>
            <w:r>
              <w:rPr>
                <w:rFonts w:hint="default"/>
                <w:color w:val="auto"/>
                <w:kern w:val="0"/>
                <w:highlight w:val="none"/>
                <w:u w:val="none" w:color="auto"/>
                <w:lang w:eastAsia="zh-CN"/>
              </w:rPr>
              <w:t>(</w:t>
            </w:r>
            <w:r>
              <w:rPr>
                <w:rFonts w:hint="default"/>
                <w:color w:val="auto"/>
                <w:kern w:val="0"/>
                <w:highlight w:val="none"/>
                <w:u w:val="none" w:color="auto"/>
              </w:rPr>
              <w:t>3</w:t>
            </w:r>
            <w:r>
              <w:rPr>
                <w:rFonts w:hint="default"/>
                <w:color w:val="auto"/>
                <w:kern w:val="0"/>
                <w:highlight w:val="none"/>
                <w:u w:val="none" w:color="auto"/>
                <w:lang w:eastAsia="zh-CN"/>
              </w:rPr>
              <w:t>)</w:t>
            </w:r>
            <w:r>
              <w:rPr>
                <w:color w:val="auto"/>
                <w:kern w:val="0"/>
                <w:highlight w:val="none"/>
                <w:u w:val="none" w:color="auto"/>
              </w:rPr>
              <w:t>资源利用上线</w:t>
            </w:r>
          </w:p>
          <w:p w14:paraId="55E9890F">
            <w:pPr>
              <w:pStyle w:val="138"/>
              <w:spacing w:line="360" w:lineRule="auto"/>
              <w:ind w:firstLine="480"/>
              <w:rPr>
                <w:rFonts w:hint="default"/>
                <w:color w:val="auto"/>
                <w:kern w:val="0"/>
                <w:highlight w:val="none"/>
                <w:u w:val="none" w:color="auto"/>
              </w:rPr>
            </w:pPr>
            <w:r>
              <w:rPr>
                <w:rFonts w:ascii="宋体" w:hAnsi="宋体" w:eastAsia="宋体" w:cs="宋体"/>
                <w:sz w:val="24"/>
                <w:szCs w:val="24"/>
              </w:rPr>
              <w:t>本项目营运过程中消耗一定量的水资源和电资源、成型生物质颗粒燃料资源，区域内生产和生活用水均使用自来水，能源主要依托当地电网供电，项目资源消耗相对区域资源利用总量较小，符合资源利用上线要求</w:t>
            </w:r>
            <w:r>
              <w:rPr>
                <w:color w:val="auto"/>
                <w:kern w:val="0"/>
                <w:highlight w:val="none"/>
                <w:u w:val="none" w:color="auto"/>
              </w:rPr>
              <w:t>。</w:t>
            </w:r>
          </w:p>
          <w:p w14:paraId="45914530">
            <w:pPr>
              <w:autoSpaceDE w:val="0"/>
              <w:autoSpaceDN w:val="0"/>
              <w:adjustRightInd w:val="0"/>
              <w:snapToGrid w:val="0"/>
              <w:spacing w:line="360" w:lineRule="auto"/>
              <w:ind w:firstLine="480" w:firstLineChars="200"/>
              <w:rPr>
                <w:rFonts w:hint="default" w:ascii="Times New Roman" w:hAnsi="Times New Roman" w:eastAsia="宋体" w:cs="Times New Roman"/>
                <w:bCs/>
                <w:snapToGrid w:val="0"/>
                <w:color w:val="auto"/>
                <w:sz w:val="24"/>
                <w:szCs w:val="24"/>
                <w:highlight w:val="none"/>
                <w:u w:val="none" w:color="auto"/>
                <w:lang w:val="en-US"/>
              </w:rPr>
            </w:pPr>
            <w:r>
              <w:rPr>
                <w:rFonts w:hint="default" w:ascii="Times New Roman" w:hAnsi="Times New Roman" w:eastAsia="宋体" w:cs="Times New Roman"/>
                <w:bCs/>
                <w:snapToGrid w:val="0"/>
                <w:color w:val="auto"/>
                <w:sz w:val="24"/>
                <w:szCs w:val="24"/>
                <w:highlight w:val="none"/>
                <w:u w:val="none" w:color="auto"/>
                <w:lang w:eastAsia="zh-CN"/>
              </w:rPr>
              <w:t>(</w:t>
            </w:r>
            <w:r>
              <w:rPr>
                <w:rFonts w:hint="default" w:ascii="Times New Roman" w:hAnsi="Times New Roman" w:eastAsia="宋体" w:cs="Times New Roman"/>
                <w:bCs/>
                <w:snapToGrid w:val="0"/>
                <w:color w:val="auto"/>
                <w:sz w:val="24"/>
                <w:szCs w:val="24"/>
                <w:highlight w:val="none"/>
                <w:u w:val="none" w:color="auto"/>
              </w:rPr>
              <w:t>4</w:t>
            </w:r>
            <w:r>
              <w:rPr>
                <w:rFonts w:hint="default" w:ascii="Times New Roman" w:hAnsi="Times New Roman" w:eastAsia="宋体" w:cs="Times New Roman"/>
                <w:bCs/>
                <w:snapToGrid w:val="0"/>
                <w:color w:val="auto"/>
                <w:sz w:val="24"/>
                <w:szCs w:val="24"/>
                <w:highlight w:val="none"/>
                <w:u w:val="none" w:color="auto"/>
                <w:lang w:eastAsia="zh-CN"/>
              </w:rPr>
              <w:t>)生态环境准入清单</w:t>
            </w:r>
          </w:p>
          <w:p w14:paraId="0B616563">
            <w:pPr>
              <w:tabs>
                <w:tab w:val="left" w:pos="360"/>
              </w:tabs>
              <w:spacing w:line="360" w:lineRule="auto"/>
              <w:ind w:firstLine="480" w:firstLineChars="200"/>
              <w:rPr>
                <w:color w:val="auto"/>
                <w:kern w:val="0"/>
                <w:sz w:val="24"/>
                <w:highlight w:val="none"/>
              </w:rPr>
            </w:pPr>
            <w:r>
              <w:rPr>
                <w:rFonts w:hint="default" w:ascii="Times New Roman" w:hAnsi="Times New Roman" w:eastAsia="宋体" w:cs="Times New Roman"/>
                <w:bCs/>
                <w:snapToGrid w:val="0"/>
                <w:color w:val="auto"/>
                <w:sz w:val="24"/>
                <w:szCs w:val="24"/>
                <w:highlight w:val="none"/>
                <w:u w:val="none" w:color="auto"/>
              </w:rPr>
              <w:t>根据永州市生态环境局《关于发布永州市生态环境分区管控更新成果（2023 版）的通知》（永环发〔2024〕31 号）中附件4《永州市环境管控单元（省级以上产业园区除外）生态环境准入清单（2023版）》，可知本项目</w:t>
            </w:r>
            <w:r>
              <w:rPr>
                <w:rFonts w:hint="eastAsia" w:cs="Times New Roman"/>
                <w:bCs/>
                <w:snapToGrid w:val="0"/>
                <w:color w:val="auto"/>
                <w:sz w:val="24"/>
                <w:szCs w:val="24"/>
                <w:highlight w:val="none"/>
                <w:u w:val="none" w:color="auto"/>
                <w:lang w:val="en-US" w:eastAsia="zh-CN"/>
              </w:rPr>
              <w:t>所在</w:t>
            </w:r>
            <w:r>
              <w:rPr>
                <w:rFonts w:hint="default" w:ascii="Times New Roman" w:hAnsi="Times New Roman" w:eastAsia="宋体" w:cs="Times New Roman"/>
                <w:bCs/>
                <w:snapToGrid w:val="0"/>
                <w:color w:val="auto"/>
                <w:sz w:val="24"/>
                <w:szCs w:val="24"/>
                <w:highlight w:val="none"/>
                <w:u w:val="none" w:color="auto"/>
              </w:rPr>
              <w:t>属于重点管控单元，进宝塘镇环境管控单元编码为ZH43112120001，主要功能定位为农产品主产区，根据文件提出的管控要求分析符合性如下表</w:t>
            </w:r>
            <w:r>
              <w:rPr>
                <w:rFonts w:hint="eastAsia" w:ascii="Times New Roman" w:hAnsi="Times New Roman" w:eastAsia="宋体" w:cs="Times New Roman"/>
                <w:bCs/>
                <w:snapToGrid w:val="0"/>
                <w:color w:val="auto"/>
                <w:sz w:val="24"/>
                <w:szCs w:val="24"/>
                <w:highlight w:val="none"/>
                <w:u w:val="none" w:color="auto"/>
                <w:lang w:eastAsia="zh-CN"/>
              </w:rPr>
              <w:t>：</w:t>
            </w:r>
          </w:p>
          <w:p w14:paraId="49C31550">
            <w:pPr>
              <w:pStyle w:val="8"/>
              <w:rPr>
                <w:rFonts w:hint="eastAsia" w:eastAsia="宋体"/>
                <w:b/>
                <w:color w:val="auto"/>
                <w:highlight w:val="none"/>
              </w:rPr>
            </w:pPr>
            <w:r>
              <w:rPr>
                <w:rFonts w:eastAsia="宋体"/>
                <w:b/>
                <w:color w:val="auto"/>
                <w:highlight w:val="none"/>
              </w:rPr>
              <w:t>表1-</w:t>
            </w:r>
            <w:r>
              <w:rPr>
                <w:rFonts w:hint="eastAsia" w:eastAsia="宋体"/>
                <w:b/>
                <w:color w:val="auto"/>
                <w:highlight w:val="none"/>
                <w:lang w:val="en-US" w:eastAsia="zh-CN"/>
              </w:rPr>
              <w:t>2</w:t>
            </w:r>
            <w:r>
              <w:rPr>
                <w:rFonts w:eastAsia="宋体"/>
                <w:b/>
                <w:color w:val="auto"/>
                <w:highlight w:val="none"/>
              </w:rPr>
              <w:t xml:space="preserve">  </w:t>
            </w:r>
            <w:r>
              <w:rPr>
                <w:rFonts w:hint="eastAsia" w:eastAsia="宋体"/>
                <w:b/>
                <w:color w:val="auto"/>
                <w:highlight w:val="none"/>
              </w:rPr>
              <w:t xml:space="preserve"> 本项目与“永州市生态环境分区管控要求”的相符性分析</w:t>
            </w:r>
          </w:p>
          <w:tbl>
            <w:tblPr>
              <w:tblStyle w:val="43"/>
              <w:tblW w:w="497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16"/>
              <w:gridCol w:w="4569"/>
              <w:gridCol w:w="1638"/>
              <w:gridCol w:w="899"/>
            </w:tblGrid>
            <w:tr w14:paraId="4D9CE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8" w:type="pct"/>
                  <w:tcBorders>
                    <w:tl2br w:val="nil"/>
                    <w:tr2bl w:val="nil"/>
                  </w:tcBorders>
                  <w:noWrap/>
                  <w:vAlign w:val="center"/>
                </w:tcPr>
                <w:p w14:paraId="6C8862CF">
                  <w:pPr>
                    <w:pStyle w:val="81"/>
                    <w:rPr>
                      <w:rFonts w:ascii="Calibri" w:hAnsi="Calibri"/>
                      <w:b/>
                      <w:bCs/>
                      <w:color w:val="auto"/>
                      <w:sz w:val="18"/>
                      <w:szCs w:val="18"/>
                      <w:highlight w:val="none"/>
                    </w:rPr>
                  </w:pPr>
                  <w:r>
                    <w:rPr>
                      <w:rFonts w:hint="eastAsia" w:ascii="Calibri" w:hAnsi="Calibri"/>
                      <w:b/>
                      <w:bCs/>
                      <w:color w:val="auto"/>
                      <w:sz w:val="18"/>
                      <w:szCs w:val="18"/>
                      <w:highlight w:val="none"/>
                    </w:rPr>
                    <w:t>管控维度</w:t>
                  </w:r>
                </w:p>
              </w:tc>
              <w:tc>
                <w:tcPr>
                  <w:tcW w:w="2958" w:type="pct"/>
                  <w:tcBorders>
                    <w:tl2br w:val="nil"/>
                    <w:tr2bl w:val="nil"/>
                  </w:tcBorders>
                  <w:noWrap/>
                  <w:vAlign w:val="center"/>
                </w:tcPr>
                <w:p w14:paraId="7C48A465">
                  <w:pPr>
                    <w:pStyle w:val="81"/>
                    <w:rPr>
                      <w:rFonts w:ascii="Calibri" w:hAnsi="Calibri"/>
                      <w:b/>
                      <w:bCs/>
                      <w:color w:val="auto"/>
                      <w:sz w:val="18"/>
                      <w:szCs w:val="18"/>
                      <w:highlight w:val="none"/>
                    </w:rPr>
                  </w:pPr>
                  <w:r>
                    <w:rPr>
                      <w:rFonts w:hint="eastAsia" w:ascii="Calibri" w:hAnsi="Calibri"/>
                      <w:b/>
                      <w:bCs/>
                      <w:color w:val="auto"/>
                      <w:sz w:val="18"/>
                      <w:szCs w:val="18"/>
                      <w:highlight w:val="none"/>
                    </w:rPr>
                    <w:t>管控要求</w:t>
                  </w:r>
                </w:p>
              </w:tc>
              <w:tc>
                <w:tcPr>
                  <w:tcW w:w="1060" w:type="pct"/>
                  <w:tcBorders>
                    <w:tl2br w:val="nil"/>
                    <w:tr2bl w:val="nil"/>
                  </w:tcBorders>
                  <w:noWrap/>
                  <w:vAlign w:val="center"/>
                </w:tcPr>
                <w:p w14:paraId="1D5108E3">
                  <w:pPr>
                    <w:pStyle w:val="81"/>
                    <w:rPr>
                      <w:rFonts w:hint="default" w:ascii="Calibri" w:hAnsi="Calibri" w:eastAsia="宋体"/>
                      <w:color w:val="auto"/>
                      <w:sz w:val="18"/>
                      <w:szCs w:val="18"/>
                      <w:highlight w:val="none"/>
                      <w:lang w:val="en-US" w:eastAsia="zh-CN"/>
                    </w:rPr>
                  </w:pPr>
                  <w:r>
                    <w:rPr>
                      <w:rFonts w:hint="eastAsia" w:ascii="Calibri" w:hAnsi="Calibri"/>
                      <w:b/>
                      <w:bCs/>
                      <w:color w:val="auto"/>
                      <w:sz w:val="18"/>
                      <w:szCs w:val="18"/>
                      <w:highlight w:val="none"/>
                      <w:lang w:val="en-US" w:eastAsia="zh-CN"/>
                    </w:rPr>
                    <w:t>项目情况</w:t>
                  </w:r>
                </w:p>
              </w:tc>
              <w:tc>
                <w:tcPr>
                  <w:tcW w:w="582" w:type="pct"/>
                  <w:tcBorders>
                    <w:tl2br w:val="nil"/>
                    <w:tr2bl w:val="nil"/>
                  </w:tcBorders>
                  <w:noWrap/>
                  <w:vAlign w:val="center"/>
                </w:tcPr>
                <w:p w14:paraId="0318CA5F">
                  <w:pPr>
                    <w:pStyle w:val="81"/>
                    <w:rPr>
                      <w:rFonts w:hint="default" w:ascii="Calibri" w:hAnsi="Calibri"/>
                      <w:b/>
                      <w:bCs/>
                      <w:color w:val="auto"/>
                      <w:sz w:val="18"/>
                      <w:szCs w:val="18"/>
                      <w:highlight w:val="none"/>
                      <w:lang w:val="en-US" w:eastAsia="zh-CN"/>
                    </w:rPr>
                  </w:pPr>
                  <w:r>
                    <w:rPr>
                      <w:rFonts w:hint="eastAsia" w:ascii="Calibri" w:hAnsi="Calibri"/>
                      <w:b/>
                      <w:bCs/>
                      <w:color w:val="auto"/>
                      <w:sz w:val="18"/>
                      <w:szCs w:val="18"/>
                      <w:highlight w:val="none"/>
                      <w:lang w:val="en-US" w:eastAsia="zh-CN"/>
                    </w:rPr>
                    <w:t>符合性分析</w:t>
                  </w:r>
                </w:p>
              </w:tc>
            </w:tr>
            <w:tr w14:paraId="189A2A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8" w:type="pct"/>
                  <w:tcBorders>
                    <w:tl2br w:val="nil"/>
                    <w:tr2bl w:val="nil"/>
                  </w:tcBorders>
                  <w:noWrap/>
                  <w:vAlign w:val="center"/>
                </w:tcPr>
                <w:p w14:paraId="32DCEEF7">
                  <w:pPr>
                    <w:pStyle w:val="81"/>
                    <w:rPr>
                      <w:rFonts w:ascii="Calibri" w:hAnsi="Calibri"/>
                      <w:color w:val="auto"/>
                      <w:sz w:val="18"/>
                      <w:szCs w:val="18"/>
                      <w:highlight w:val="none"/>
                    </w:rPr>
                  </w:pPr>
                  <w:r>
                    <w:rPr>
                      <w:rFonts w:hint="eastAsia" w:ascii="Calibri" w:hAnsi="Calibri"/>
                      <w:b/>
                      <w:bCs/>
                      <w:color w:val="auto"/>
                      <w:sz w:val="18"/>
                      <w:szCs w:val="18"/>
                      <w:highlight w:val="none"/>
                    </w:rPr>
                    <w:t>空间布局约束</w:t>
                  </w:r>
                </w:p>
              </w:tc>
              <w:tc>
                <w:tcPr>
                  <w:tcW w:w="2958" w:type="pct"/>
                  <w:tcBorders>
                    <w:tl2br w:val="nil"/>
                    <w:tr2bl w:val="nil"/>
                  </w:tcBorders>
                  <w:noWrap/>
                  <w:vAlign w:val="center"/>
                </w:tcPr>
                <w:p w14:paraId="23280845">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（1.1）畜禽养殖产业布局应符合《祁阳县畜禽养殖布局规划》（2020-2024年）的要求。</w:t>
                  </w:r>
                </w:p>
                <w:p w14:paraId="77226672">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（1.2）湖南祁阳浯溪国家湿地公园：执行《湖南祁阳浯溪国家湿地公园保护管理办法》相关规定。</w:t>
                  </w:r>
                </w:p>
                <w:p w14:paraId="22E9D13C">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（1.3）开展沿江化工污染整治，落实湘江干流（祁阳段）及主要支流岸线1公里范围内不准新建、扩建化工园区和化工项目要求，依法淘汰取缔违法违规工业园区。</w:t>
                  </w:r>
                </w:p>
                <w:p w14:paraId="285C138D">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（1.4）生态保护红线内自然保护区、风景名胜区、饮用水水源保护区等区域依照法律法规执行</w:t>
                  </w:r>
                </w:p>
              </w:tc>
              <w:tc>
                <w:tcPr>
                  <w:tcW w:w="1060" w:type="pct"/>
                  <w:tcBorders>
                    <w:tl2br w:val="nil"/>
                    <w:tr2bl w:val="nil"/>
                  </w:tcBorders>
                  <w:noWrap/>
                  <w:vAlign w:val="center"/>
                </w:tcPr>
                <w:p w14:paraId="154F4724">
                  <w:pPr>
                    <w:pStyle w:val="81"/>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本项目为配套锅炉技改项目，不属于畜禽养殖业，位于永州市祁阳市进宝塘镇大富村12组，不在湖南祁阳浯溪国家湿地公园范围内。</w:t>
                  </w:r>
                </w:p>
              </w:tc>
              <w:tc>
                <w:tcPr>
                  <w:tcW w:w="582" w:type="pct"/>
                  <w:tcBorders>
                    <w:tl2br w:val="nil"/>
                    <w:tr2bl w:val="nil"/>
                  </w:tcBorders>
                  <w:noWrap/>
                  <w:vAlign w:val="center"/>
                </w:tcPr>
                <w:p w14:paraId="50C6BE97">
                  <w:pPr>
                    <w:pStyle w:val="81"/>
                    <w:jc w:val="center"/>
                    <w:rPr>
                      <w:rFonts w:hint="default" w:ascii="Calibri" w:hAnsi="Calibri" w:eastAsia="宋体"/>
                      <w:color w:val="auto"/>
                      <w:sz w:val="18"/>
                      <w:szCs w:val="18"/>
                      <w:highlight w:val="none"/>
                      <w:u w:val="single"/>
                      <w:lang w:val="en-US" w:eastAsia="zh-CN"/>
                    </w:rPr>
                  </w:pPr>
                  <w:r>
                    <w:rPr>
                      <w:rFonts w:hint="eastAsia" w:ascii="Calibri" w:hAnsi="Calibri"/>
                      <w:color w:val="auto"/>
                      <w:sz w:val="18"/>
                      <w:szCs w:val="18"/>
                      <w:highlight w:val="none"/>
                      <w:u w:val="none"/>
                      <w:lang w:val="en-US" w:eastAsia="zh-CN"/>
                    </w:rPr>
                    <w:t>符合</w:t>
                  </w:r>
                </w:p>
              </w:tc>
            </w:tr>
            <w:tr w14:paraId="49CE44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8" w:type="pct"/>
                  <w:tcBorders>
                    <w:tl2br w:val="nil"/>
                    <w:tr2bl w:val="nil"/>
                  </w:tcBorders>
                  <w:noWrap/>
                  <w:vAlign w:val="center"/>
                </w:tcPr>
                <w:p w14:paraId="3840C782">
                  <w:pPr>
                    <w:pStyle w:val="81"/>
                    <w:rPr>
                      <w:rFonts w:ascii="Calibri" w:hAnsi="Calibri"/>
                      <w:b/>
                      <w:bCs/>
                      <w:color w:val="auto"/>
                      <w:sz w:val="18"/>
                      <w:szCs w:val="18"/>
                      <w:highlight w:val="none"/>
                    </w:rPr>
                  </w:pPr>
                  <w:r>
                    <w:rPr>
                      <w:rFonts w:hint="eastAsia" w:ascii="Calibri" w:hAnsi="Calibri"/>
                      <w:b/>
                      <w:bCs/>
                      <w:color w:val="auto"/>
                      <w:sz w:val="18"/>
                      <w:szCs w:val="18"/>
                      <w:highlight w:val="none"/>
                    </w:rPr>
                    <w:t>污染物排</w:t>
                  </w:r>
                </w:p>
                <w:p w14:paraId="3D3BD5C3">
                  <w:pPr>
                    <w:pStyle w:val="81"/>
                    <w:rPr>
                      <w:rFonts w:ascii="Calibri" w:hAnsi="Calibri"/>
                      <w:b/>
                      <w:bCs/>
                      <w:color w:val="auto"/>
                      <w:sz w:val="18"/>
                      <w:szCs w:val="18"/>
                      <w:highlight w:val="none"/>
                    </w:rPr>
                  </w:pPr>
                  <w:r>
                    <w:rPr>
                      <w:rFonts w:hint="eastAsia" w:ascii="Calibri" w:hAnsi="Calibri"/>
                      <w:b/>
                      <w:bCs/>
                      <w:color w:val="auto"/>
                      <w:sz w:val="18"/>
                      <w:szCs w:val="18"/>
                      <w:highlight w:val="none"/>
                    </w:rPr>
                    <w:t>放管控</w:t>
                  </w:r>
                </w:p>
              </w:tc>
              <w:tc>
                <w:tcPr>
                  <w:tcW w:w="2958" w:type="pct"/>
                  <w:tcBorders>
                    <w:tl2br w:val="nil"/>
                    <w:tr2bl w:val="nil"/>
                  </w:tcBorders>
                  <w:noWrap/>
                  <w:vAlign w:val="center"/>
                </w:tcPr>
                <w:p w14:paraId="0DF475F2">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（2.1）全域禁止露天焚烧秸秆。城区建成区规模以上的餐饮服务单位全部安装高效油烟净化设施。严格控制烟花爆竹燃放，城区全面禁止燃放烟花爆竹。</w:t>
                  </w:r>
                </w:p>
                <w:p w14:paraId="33D6BD4A">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（2.2）严格禁养区管理，依法处理违规畜禽养殖行为。对全市限养区、适养区内传统畜禽养殖场全面进行提质改造，配套建设畜禽废弃物无害化处理和资源化利用设施设备，使畜禽养殖污水稳定达标排放。</w:t>
                  </w:r>
                </w:p>
              </w:tc>
              <w:tc>
                <w:tcPr>
                  <w:tcW w:w="1060" w:type="pct"/>
                  <w:tcBorders>
                    <w:tl2br w:val="nil"/>
                    <w:tr2bl w:val="nil"/>
                  </w:tcBorders>
                  <w:noWrap/>
                  <w:vAlign w:val="center"/>
                </w:tcPr>
                <w:p w14:paraId="456A06F7">
                  <w:pPr>
                    <w:pStyle w:val="81"/>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项目原料采用成型生物质燃料，不涉及秸秆焚烧；不涉及畜禽养殖业。</w:t>
                  </w:r>
                </w:p>
              </w:tc>
              <w:tc>
                <w:tcPr>
                  <w:tcW w:w="582" w:type="pct"/>
                  <w:tcBorders>
                    <w:tl2br w:val="nil"/>
                    <w:tr2bl w:val="nil"/>
                  </w:tcBorders>
                  <w:noWrap/>
                  <w:vAlign w:val="center"/>
                </w:tcPr>
                <w:p w14:paraId="5712A264">
                  <w:pPr>
                    <w:pStyle w:val="81"/>
                    <w:rPr>
                      <w:rFonts w:hint="eastAsia" w:ascii="Calibri" w:hAnsi="Calibri"/>
                      <w:color w:val="auto"/>
                      <w:sz w:val="18"/>
                      <w:szCs w:val="18"/>
                      <w:highlight w:val="none"/>
                      <w:u w:val="single"/>
                    </w:rPr>
                  </w:pPr>
                  <w:r>
                    <w:rPr>
                      <w:rFonts w:hint="eastAsia" w:ascii="Calibri" w:hAnsi="Calibri"/>
                      <w:color w:val="auto"/>
                      <w:sz w:val="18"/>
                      <w:szCs w:val="18"/>
                      <w:highlight w:val="none"/>
                      <w:u w:val="none"/>
                      <w:lang w:val="en-US" w:eastAsia="zh-CN"/>
                    </w:rPr>
                    <w:t>符合</w:t>
                  </w:r>
                </w:p>
              </w:tc>
            </w:tr>
            <w:tr w14:paraId="4F0362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58" w:hRule="atLeast"/>
              </w:trPr>
              <w:tc>
                <w:tcPr>
                  <w:tcW w:w="398" w:type="pct"/>
                  <w:tcBorders>
                    <w:tl2br w:val="nil"/>
                    <w:tr2bl w:val="nil"/>
                  </w:tcBorders>
                  <w:noWrap/>
                  <w:vAlign w:val="center"/>
                </w:tcPr>
                <w:p w14:paraId="147EAB36">
                  <w:pPr>
                    <w:pStyle w:val="81"/>
                    <w:rPr>
                      <w:rFonts w:ascii="Calibri" w:hAnsi="Calibri"/>
                      <w:b/>
                      <w:bCs/>
                      <w:color w:val="auto"/>
                      <w:sz w:val="18"/>
                      <w:szCs w:val="18"/>
                      <w:highlight w:val="none"/>
                    </w:rPr>
                  </w:pPr>
                  <w:r>
                    <w:rPr>
                      <w:rFonts w:hint="eastAsia" w:ascii="Calibri" w:hAnsi="Calibri"/>
                      <w:b/>
                      <w:bCs/>
                      <w:color w:val="auto"/>
                      <w:sz w:val="18"/>
                      <w:szCs w:val="18"/>
                      <w:highlight w:val="none"/>
                    </w:rPr>
                    <w:t>环境风险</w:t>
                  </w:r>
                </w:p>
                <w:p w14:paraId="59DED7F8">
                  <w:pPr>
                    <w:pStyle w:val="81"/>
                    <w:rPr>
                      <w:rFonts w:ascii="Calibri" w:hAnsi="Calibri"/>
                      <w:b/>
                      <w:bCs/>
                      <w:color w:val="auto"/>
                      <w:sz w:val="18"/>
                      <w:szCs w:val="18"/>
                      <w:highlight w:val="none"/>
                    </w:rPr>
                  </w:pPr>
                  <w:r>
                    <w:rPr>
                      <w:rFonts w:hint="eastAsia" w:ascii="Calibri" w:hAnsi="Calibri"/>
                      <w:b/>
                      <w:bCs/>
                      <w:color w:val="auto"/>
                      <w:sz w:val="18"/>
                      <w:szCs w:val="18"/>
                      <w:highlight w:val="none"/>
                    </w:rPr>
                    <w:t>防控</w:t>
                  </w:r>
                </w:p>
              </w:tc>
              <w:tc>
                <w:tcPr>
                  <w:tcW w:w="2958" w:type="pct"/>
                  <w:tcBorders>
                    <w:tl2br w:val="nil"/>
                    <w:tr2bl w:val="nil"/>
                  </w:tcBorders>
                  <w:noWrap/>
                  <w:vAlign w:val="center"/>
                </w:tcPr>
                <w:p w14:paraId="5DB29435">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（3.1）按</w:t>
                  </w:r>
                  <w:r>
                    <w:rPr>
                      <w:rFonts w:hint="eastAsia" w:ascii="Calibri" w:hAnsi="Calibri"/>
                      <w:color w:val="auto"/>
                      <w:sz w:val="18"/>
                      <w:szCs w:val="18"/>
                      <w:highlight w:val="none"/>
                      <w:u w:val="none"/>
                      <w:lang w:val="en-US" w:eastAsia="zh-Hans"/>
                    </w:rPr>
                    <w:t>照《</w:t>
                  </w:r>
                  <w:r>
                    <w:rPr>
                      <w:rFonts w:hint="eastAsia" w:ascii="Calibri" w:hAnsi="Calibri"/>
                      <w:color w:val="auto"/>
                      <w:sz w:val="18"/>
                      <w:szCs w:val="18"/>
                      <w:highlight w:val="none"/>
                      <w:u w:val="none"/>
                      <w:lang w:val="en-US" w:eastAsia="zh-CN"/>
                    </w:rPr>
                    <w:t>永州</w:t>
                  </w:r>
                  <w:r>
                    <w:rPr>
                      <w:rFonts w:hint="eastAsia" w:ascii="Calibri" w:hAnsi="Calibri"/>
                      <w:color w:val="auto"/>
                      <w:sz w:val="18"/>
                      <w:szCs w:val="18"/>
                      <w:highlight w:val="none"/>
                      <w:u w:val="none"/>
                      <w:lang w:val="en-US" w:eastAsia="zh-Hans"/>
                    </w:rPr>
                    <w:t>市“十四五”生态环境保护规划》《</w:t>
                  </w:r>
                  <w:r>
                    <w:rPr>
                      <w:rFonts w:hint="eastAsia" w:ascii="Calibri" w:hAnsi="Calibri"/>
                      <w:color w:val="auto"/>
                      <w:sz w:val="18"/>
                      <w:szCs w:val="18"/>
                      <w:highlight w:val="none"/>
                      <w:u w:val="none"/>
                      <w:lang w:val="en-US" w:eastAsia="zh-CN"/>
                    </w:rPr>
                    <w:t>祁阳市</w:t>
                  </w:r>
                  <w:r>
                    <w:rPr>
                      <w:rFonts w:hint="eastAsia" w:ascii="Calibri" w:hAnsi="Calibri"/>
                      <w:color w:val="auto"/>
                      <w:sz w:val="18"/>
                      <w:szCs w:val="18"/>
                      <w:highlight w:val="none"/>
                      <w:u w:val="none"/>
                      <w:lang w:val="en-US" w:eastAsia="zh-Hans"/>
                    </w:rPr>
                    <w:t>突发环境事件应急预案》强化环境风险管控，完善环境风险防控体系。</w:t>
                  </w:r>
                </w:p>
              </w:tc>
              <w:tc>
                <w:tcPr>
                  <w:tcW w:w="1060" w:type="pct"/>
                  <w:tcBorders>
                    <w:tl2br w:val="nil"/>
                    <w:tr2bl w:val="nil"/>
                  </w:tcBorders>
                  <w:noWrap/>
                  <w:vAlign w:val="center"/>
                </w:tcPr>
                <w:p w14:paraId="1BD8D38F">
                  <w:pPr>
                    <w:pStyle w:val="81"/>
                    <w:rPr>
                      <w:rFonts w:hint="default"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按要求完善环境风险防控体系</w:t>
                  </w:r>
                </w:p>
              </w:tc>
              <w:tc>
                <w:tcPr>
                  <w:tcW w:w="582" w:type="pct"/>
                  <w:tcBorders>
                    <w:tl2br w:val="nil"/>
                    <w:tr2bl w:val="nil"/>
                  </w:tcBorders>
                  <w:noWrap/>
                  <w:vAlign w:val="center"/>
                </w:tcPr>
                <w:p w14:paraId="176BF1E3">
                  <w:pPr>
                    <w:pStyle w:val="81"/>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符合</w:t>
                  </w:r>
                </w:p>
              </w:tc>
            </w:tr>
            <w:tr w14:paraId="77732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98" w:type="pct"/>
                  <w:tcBorders>
                    <w:tl2br w:val="nil"/>
                    <w:tr2bl w:val="nil"/>
                  </w:tcBorders>
                  <w:noWrap/>
                  <w:vAlign w:val="center"/>
                </w:tcPr>
                <w:p w14:paraId="04865981">
                  <w:pPr>
                    <w:pStyle w:val="81"/>
                    <w:rPr>
                      <w:rFonts w:ascii="Calibri" w:hAnsi="Calibri"/>
                      <w:b/>
                      <w:bCs/>
                      <w:color w:val="auto"/>
                      <w:sz w:val="18"/>
                      <w:szCs w:val="18"/>
                      <w:highlight w:val="none"/>
                    </w:rPr>
                  </w:pPr>
                  <w:r>
                    <w:rPr>
                      <w:rFonts w:hint="eastAsia" w:ascii="Calibri" w:hAnsi="Calibri"/>
                      <w:b/>
                      <w:bCs/>
                      <w:color w:val="auto"/>
                      <w:sz w:val="18"/>
                      <w:szCs w:val="18"/>
                      <w:highlight w:val="none"/>
                    </w:rPr>
                    <w:t>资源开发</w:t>
                  </w:r>
                </w:p>
                <w:p w14:paraId="76154A90">
                  <w:pPr>
                    <w:pStyle w:val="81"/>
                    <w:rPr>
                      <w:rFonts w:ascii="Calibri" w:hAnsi="Calibri"/>
                      <w:b/>
                      <w:bCs/>
                      <w:color w:val="auto"/>
                      <w:sz w:val="18"/>
                      <w:szCs w:val="18"/>
                      <w:highlight w:val="none"/>
                    </w:rPr>
                  </w:pPr>
                  <w:r>
                    <w:rPr>
                      <w:rFonts w:hint="eastAsia" w:ascii="Calibri" w:hAnsi="Calibri"/>
                      <w:b/>
                      <w:bCs/>
                      <w:color w:val="auto"/>
                      <w:sz w:val="18"/>
                      <w:szCs w:val="18"/>
                      <w:highlight w:val="none"/>
                    </w:rPr>
                    <w:t>效率要求</w:t>
                  </w:r>
                </w:p>
              </w:tc>
              <w:tc>
                <w:tcPr>
                  <w:tcW w:w="2958" w:type="pct"/>
                  <w:tcBorders>
                    <w:tl2br w:val="nil"/>
                    <w:tr2bl w:val="nil"/>
                  </w:tcBorders>
                  <w:noWrap/>
                  <w:vAlign w:val="center"/>
                </w:tcPr>
                <w:p w14:paraId="407DE228">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（4.1）能源：</w:t>
                  </w:r>
                </w:p>
                <w:p w14:paraId="34B149D7">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加快推进煤改气、煤改电、煤改清洁能源等工程实施，拓展天然气供应渠道，加快建设风能、太阳能、生物质能和地热等新能源应用示范项目，并逐步推广，减少煤炭使用量，到2025年煤炭占一次能源消费比重控制在 50%以内。</w:t>
                  </w:r>
                </w:p>
                <w:p w14:paraId="200C58B3">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（4.2）水资源：</w:t>
                  </w:r>
                </w:p>
                <w:p w14:paraId="337928E7">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4.2.1）到2025年，祁阳市用水总量控制在34567万立方米以内，农业用水总量控制在28071万立方米以内，万元地区生产总值用水量、万元工业增加值用水量分别比2020年降低18.06%、8.87%，农田灌溉水有效利用系数为0.545。</w:t>
                  </w:r>
                </w:p>
                <w:p w14:paraId="5E3F38B2">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（4.2.2）加强生态流量保障。“十四五”期间通过明确闸坝、水库生态调度任务和推进农村水电站生态流量监管，对水资源进行优化调度，保障河流生态流量和最小水位要求。</w:t>
                  </w:r>
                </w:p>
                <w:p w14:paraId="7B7DC1AD">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（4.3）土地资源：</w:t>
                  </w:r>
                </w:p>
                <w:p w14:paraId="56E326F0">
                  <w:pPr>
                    <w:pStyle w:val="81"/>
                    <w:jc w:val="left"/>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规划到2035年，全市耕地保有量不低于70.11万亩（其中金洞管理区2.62万亩），永久基本农田保护面积不低于65万亩（其中金洞管理区2.38万亩），全市生态保护红线面积不低于523.30平方千米（其中金洞管理区104.38平方千米）；全市划定城镇开发边界54.96平方千米以内（其中金洞管理区控制在0.86平方千米以内），划定城镇发展区5561.36公顷，乡村发展区88006.56公顷，矿产能源发展区779.61公顷。</w:t>
                  </w:r>
                </w:p>
                <w:p w14:paraId="5AD33E78">
                  <w:pPr>
                    <w:pStyle w:val="81"/>
                    <w:jc w:val="left"/>
                    <w:rPr>
                      <w:rFonts w:hint="eastAsia" w:ascii="Calibri" w:hAnsi="Calibri"/>
                      <w:color w:val="auto"/>
                      <w:sz w:val="18"/>
                      <w:szCs w:val="18"/>
                      <w:highlight w:val="none"/>
                      <w:u w:val="none"/>
                      <w:lang w:val="en-US" w:eastAsia="zh-CN"/>
                    </w:rPr>
                  </w:pPr>
                </w:p>
              </w:tc>
              <w:tc>
                <w:tcPr>
                  <w:tcW w:w="1060" w:type="pct"/>
                  <w:tcBorders>
                    <w:tl2br w:val="nil"/>
                    <w:tr2bl w:val="nil"/>
                  </w:tcBorders>
                  <w:noWrap/>
                  <w:vAlign w:val="center"/>
                </w:tcPr>
                <w:p w14:paraId="5043C100">
                  <w:pPr>
                    <w:pStyle w:val="81"/>
                    <w:rPr>
                      <w:rFonts w:hint="default"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本项目为永州市耀福油脂有限公司配套锅炉技改项目，使用少量成型生物质燃料，不涉及资源开发</w:t>
                  </w:r>
                </w:p>
              </w:tc>
              <w:tc>
                <w:tcPr>
                  <w:tcW w:w="582" w:type="pct"/>
                  <w:tcBorders>
                    <w:tl2br w:val="nil"/>
                    <w:tr2bl w:val="nil"/>
                  </w:tcBorders>
                  <w:noWrap/>
                  <w:vAlign w:val="center"/>
                </w:tcPr>
                <w:p w14:paraId="2B990C5D">
                  <w:pPr>
                    <w:pStyle w:val="81"/>
                    <w:rPr>
                      <w:rFonts w:hint="eastAsia" w:ascii="Calibri" w:hAnsi="Calibri"/>
                      <w:color w:val="auto"/>
                      <w:sz w:val="18"/>
                      <w:szCs w:val="18"/>
                      <w:highlight w:val="none"/>
                      <w:u w:val="none"/>
                      <w:lang w:val="en-US" w:eastAsia="zh-CN"/>
                    </w:rPr>
                  </w:pPr>
                  <w:r>
                    <w:rPr>
                      <w:rFonts w:hint="eastAsia" w:ascii="Calibri" w:hAnsi="Calibri"/>
                      <w:color w:val="auto"/>
                      <w:sz w:val="18"/>
                      <w:szCs w:val="18"/>
                      <w:highlight w:val="none"/>
                      <w:u w:val="none"/>
                      <w:lang w:val="en-US" w:eastAsia="zh-CN"/>
                    </w:rPr>
                    <w:t>符合</w:t>
                  </w:r>
                </w:p>
              </w:tc>
            </w:tr>
          </w:tbl>
          <w:p w14:paraId="2E1789E0">
            <w:pPr>
              <w:autoSpaceDE w:val="0"/>
              <w:autoSpaceDN w:val="0"/>
              <w:spacing w:line="360" w:lineRule="auto"/>
              <w:ind w:firstLine="480" w:firstLineChars="200"/>
              <w:rPr>
                <w:rFonts w:hint="eastAsia"/>
                <w:bCs/>
                <w:snapToGrid w:val="0"/>
                <w:color w:val="auto"/>
                <w:sz w:val="24"/>
                <w:highlight w:val="none"/>
                <w:lang w:val="en-US" w:eastAsia="zh-CN"/>
              </w:rPr>
            </w:pPr>
            <w:r>
              <w:rPr>
                <w:rFonts w:hint="eastAsia"/>
                <w:bCs/>
                <w:snapToGrid w:val="0"/>
                <w:color w:val="auto"/>
                <w:sz w:val="24"/>
                <w:highlight w:val="none"/>
                <w:lang w:val="en-US" w:eastAsia="zh-CN"/>
              </w:rPr>
              <w:t>综上，项目符合“三线一单”及生态环境分区管控要求。</w:t>
            </w:r>
          </w:p>
          <w:p w14:paraId="79C038F2">
            <w:pPr>
              <w:tabs>
                <w:tab w:val="left" w:pos="360"/>
              </w:tabs>
              <w:spacing w:line="360" w:lineRule="auto"/>
              <w:rPr>
                <w:b/>
                <w:snapToGrid w:val="0"/>
                <w:color w:val="auto"/>
                <w:sz w:val="24"/>
                <w:highlight w:val="none"/>
              </w:rPr>
            </w:pPr>
            <w:r>
              <w:rPr>
                <w:rFonts w:hint="eastAsia"/>
                <w:b/>
                <w:snapToGrid w:val="0"/>
                <w:color w:val="auto"/>
                <w:sz w:val="24"/>
                <w:highlight w:val="none"/>
                <w:lang w:val="en-US" w:eastAsia="zh-CN"/>
              </w:rPr>
              <w:t>2</w:t>
            </w:r>
            <w:r>
              <w:rPr>
                <w:b/>
                <w:snapToGrid w:val="0"/>
                <w:color w:val="auto"/>
                <w:sz w:val="24"/>
                <w:highlight w:val="none"/>
              </w:rPr>
              <w:t>、产业政策符合性分析</w:t>
            </w:r>
          </w:p>
          <w:p w14:paraId="2D70BA34">
            <w:pPr>
              <w:autoSpaceDE w:val="0"/>
              <w:autoSpaceDN w:val="0"/>
              <w:spacing w:line="360" w:lineRule="auto"/>
              <w:ind w:firstLine="480" w:firstLineChars="200"/>
              <w:rPr>
                <w:rFonts w:hint="eastAsia"/>
                <w:color w:val="auto"/>
                <w:sz w:val="24"/>
                <w:highlight w:val="none"/>
              </w:rPr>
            </w:pPr>
            <w:r>
              <w:rPr>
                <w:rFonts w:hint="eastAsia"/>
                <w:color w:val="auto"/>
                <w:sz w:val="24"/>
                <w:highlight w:val="none"/>
              </w:rPr>
              <w:t>根据《国民经济行业分类》(GB/T4754-2017)(2019年修改）</w:t>
            </w:r>
            <w:r>
              <w:rPr>
                <w:rFonts w:hint="eastAsia"/>
                <w:color w:val="auto"/>
                <w:sz w:val="24"/>
                <w:highlight w:val="none"/>
                <w:lang w:eastAsia="zh-CN"/>
              </w:rPr>
              <w:t>，</w:t>
            </w:r>
            <w:r>
              <w:rPr>
                <w:rFonts w:hint="eastAsia"/>
                <w:color w:val="auto"/>
                <w:sz w:val="24"/>
                <w:highlight w:val="none"/>
              </w:rPr>
              <w:t>技改项目的行业类别及代码为 D 电力、热力、燃气及水生产和供应业--D4430热力生产和供应。根据《产业结构调整指导目录（2024年本）》，</w:t>
            </w:r>
            <w:r>
              <w:rPr>
                <w:rFonts w:ascii="宋体" w:hAnsi="宋体" w:eastAsia="宋体" w:cs="宋体"/>
                <w:sz w:val="24"/>
                <w:szCs w:val="24"/>
              </w:rPr>
              <w:t>锅炉技改项目不属限制类、淘汰类目录的项目，未被列入国家《市场准入负面清单(2</w:t>
            </w:r>
            <w:r>
              <w:rPr>
                <w:rFonts w:hint="eastAsia"/>
                <w:color w:val="auto"/>
                <w:sz w:val="24"/>
                <w:highlight w:val="none"/>
              </w:rPr>
              <w:t>022 年版)》（发改体改规[2020]1880 号)。</w:t>
            </w:r>
          </w:p>
          <w:p w14:paraId="72E392C3">
            <w:pPr>
              <w:autoSpaceDE w:val="0"/>
              <w:autoSpaceDN w:val="0"/>
              <w:spacing w:line="360" w:lineRule="auto"/>
              <w:ind w:firstLine="480" w:firstLineChars="200"/>
              <w:rPr>
                <w:rFonts w:hint="eastAsia"/>
                <w:color w:val="auto"/>
                <w:sz w:val="24"/>
                <w:highlight w:val="none"/>
              </w:rPr>
            </w:pPr>
            <w:r>
              <w:rPr>
                <w:rFonts w:hint="eastAsia"/>
                <w:color w:val="auto"/>
                <w:sz w:val="24"/>
                <w:highlight w:val="none"/>
              </w:rPr>
              <w:t>同时，本项目使用的2.1t/h 生物质锅炉，不属于淘汰类的“每小时2蒸吨及以下生物质锅炉”，为允许类。因此，技改项目符合国家和地方相关产业政策要求。</w:t>
            </w:r>
          </w:p>
          <w:p w14:paraId="2A736843">
            <w:pPr>
              <w:spacing w:line="360" w:lineRule="auto"/>
              <w:rPr>
                <w:rFonts w:hint="eastAsia" w:cs="Times New Roman"/>
                <w:b/>
                <w:snapToGrid w:val="0"/>
                <w:color w:val="auto"/>
                <w:sz w:val="24"/>
                <w:highlight w:val="none"/>
                <w:u w:val="none"/>
                <w:lang w:val="en-US" w:eastAsia="zh-CN"/>
              </w:rPr>
            </w:pPr>
            <w:r>
              <w:rPr>
                <w:rFonts w:hint="eastAsia" w:cs="Times New Roman"/>
                <w:b/>
                <w:snapToGrid w:val="0"/>
                <w:color w:val="auto"/>
                <w:sz w:val="24"/>
                <w:highlight w:val="none"/>
                <w:u w:val="none"/>
                <w:lang w:val="en-US" w:eastAsia="zh-CN"/>
              </w:rPr>
              <w:t>3、湖南省人民政府办公厅关于印发《湖南省大气污染防治“守护蓝天”攻坚行动计划（2023—2025年）》的通知相符性分析</w:t>
            </w:r>
          </w:p>
          <w:p w14:paraId="6D284A97">
            <w:pPr>
              <w:autoSpaceDE w:val="0"/>
              <w:autoSpaceDN w:val="0"/>
              <w:spacing w:line="360" w:lineRule="auto"/>
              <w:ind w:firstLine="480" w:firstLineChars="200"/>
              <w:rPr>
                <w:rFonts w:hint="default" w:ascii="Times New Roman" w:hAnsi="Times New Roman" w:cs="Times New Roman"/>
                <w:color w:val="auto"/>
                <w:sz w:val="24"/>
                <w:highlight w:val="none"/>
                <w:u w:val="none"/>
                <w:lang w:val="en-US" w:eastAsia="zh-CN"/>
              </w:rPr>
            </w:pPr>
            <w:r>
              <w:rPr>
                <w:rFonts w:hint="eastAsia" w:ascii="Times New Roman" w:hAnsi="Times New Roman" w:cs="Times New Roman"/>
                <w:color w:val="auto"/>
                <w:sz w:val="24"/>
                <w:highlight w:val="none"/>
                <w:u w:val="none"/>
                <w:lang w:val="en-US" w:eastAsia="zh-CN"/>
              </w:rPr>
              <w:t>本项目与《湖南省大气污染防治“守护蓝天”攻坚行动计划（2023—2025年）》相符性分析见下表。</w:t>
            </w:r>
          </w:p>
          <w:p w14:paraId="3C237203">
            <w:pPr>
              <w:pStyle w:val="8"/>
              <w:rPr>
                <w:rFonts w:hint="eastAsia" w:eastAsia="宋体"/>
                <w:b/>
                <w:color w:val="auto"/>
                <w:highlight w:val="none"/>
                <w:u w:val="none"/>
              </w:rPr>
            </w:pPr>
            <w:r>
              <w:rPr>
                <w:rFonts w:eastAsia="宋体"/>
                <w:b/>
                <w:color w:val="auto"/>
                <w:highlight w:val="none"/>
                <w:u w:val="none"/>
              </w:rPr>
              <w:t>表1</w:t>
            </w:r>
            <w:r>
              <w:rPr>
                <w:rFonts w:hint="eastAsia" w:eastAsia="宋体"/>
                <w:b/>
                <w:color w:val="auto"/>
                <w:highlight w:val="none"/>
                <w:u w:val="none"/>
                <w:lang w:val="en-US" w:eastAsia="zh-CN"/>
              </w:rPr>
              <w:t>-3</w:t>
            </w:r>
            <w:r>
              <w:rPr>
                <w:rFonts w:eastAsia="宋体"/>
                <w:b/>
                <w:color w:val="auto"/>
                <w:highlight w:val="none"/>
                <w:u w:val="none"/>
              </w:rPr>
              <w:t xml:space="preserve">  </w:t>
            </w:r>
            <w:r>
              <w:rPr>
                <w:rFonts w:hint="eastAsia" w:eastAsia="宋体"/>
                <w:b/>
                <w:color w:val="auto"/>
                <w:highlight w:val="none"/>
                <w:u w:val="none"/>
              </w:rPr>
              <w:t xml:space="preserve"> 本项目与“</w:t>
            </w:r>
            <w:r>
              <w:rPr>
                <w:rFonts w:hint="eastAsia" w:eastAsia="宋体"/>
                <w:b/>
                <w:color w:val="auto"/>
                <w:highlight w:val="none"/>
                <w:u w:val="none"/>
                <w:lang w:val="en-US" w:eastAsia="zh-CN"/>
              </w:rPr>
              <w:t>湖</w:t>
            </w:r>
            <w:r>
              <w:rPr>
                <w:rFonts w:hint="eastAsia" w:eastAsia="宋体"/>
                <w:b/>
                <w:color w:val="auto"/>
                <w:highlight w:val="none"/>
                <w:u w:val="none"/>
              </w:rPr>
              <w:t>南省大气污染防治“守护蓝天”攻坚行动计划（2023—2025年）”的相符性分析</w:t>
            </w:r>
          </w:p>
          <w:tbl>
            <w:tblPr>
              <w:tblStyle w:val="43"/>
              <w:tblW w:w="497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67"/>
              <w:gridCol w:w="4417"/>
              <w:gridCol w:w="1638"/>
              <w:gridCol w:w="899"/>
            </w:tblGrid>
            <w:tr w14:paraId="3DCCB7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6" w:type="pct"/>
                  <w:tcBorders>
                    <w:tl2br w:val="nil"/>
                    <w:tr2bl w:val="nil"/>
                  </w:tcBorders>
                  <w:noWrap/>
                  <w:vAlign w:val="center"/>
                </w:tcPr>
                <w:p w14:paraId="65F7F73D">
                  <w:pPr>
                    <w:pStyle w:val="81"/>
                    <w:rPr>
                      <w:rFonts w:hint="default" w:ascii="Calibri" w:hAnsi="Calibri" w:eastAsia="宋体"/>
                      <w:b/>
                      <w:bCs/>
                      <w:color w:val="auto"/>
                      <w:sz w:val="21"/>
                      <w:szCs w:val="21"/>
                      <w:highlight w:val="none"/>
                      <w:u w:val="none"/>
                      <w:lang w:val="en-US" w:eastAsia="zh-CN"/>
                    </w:rPr>
                  </w:pPr>
                  <w:r>
                    <w:rPr>
                      <w:rFonts w:hint="eastAsia" w:ascii="Calibri" w:hAnsi="Calibri"/>
                      <w:b/>
                      <w:bCs/>
                      <w:color w:val="auto"/>
                      <w:sz w:val="21"/>
                      <w:szCs w:val="21"/>
                      <w:highlight w:val="none"/>
                      <w:u w:val="none"/>
                      <w:lang w:val="en-US" w:eastAsia="zh-CN"/>
                    </w:rPr>
                    <w:t>计划内容</w:t>
                  </w:r>
                </w:p>
              </w:tc>
              <w:tc>
                <w:tcPr>
                  <w:tcW w:w="2860" w:type="pct"/>
                  <w:tcBorders>
                    <w:tl2br w:val="nil"/>
                    <w:tr2bl w:val="nil"/>
                  </w:tcBorders>
                  <w:noWrap/>
                  <w:vAlign w:val="center"/>
                </w:tcPr>
                <w:p w14:paraId="7B67186E">
                  <w:pPr>
                    <w:pStyle w:val="81"/>
                    <w:rPr>
                      <w:rFonts w:hint="default" w:ascii="Calibri" w:hAnsi="Calibri" w:eastAsia="宋体"/>
                      <w:b/>
                      <w:bCs/>
                      <w:color w:val="auto"/>
                      <w:sz w:val="21"/>
                      <w:szCs w:val="21"/>
                      <w:highlight w:val="none"/>
                      <w:u w:val="none"/>
                      <w:lang w:val="en-US" w:eastAsia="zh-CN"/>
                    </w:rPr>
                  </w:pPr>
                  <w:r>
                    <w:rPr>
                      <w:rFonts w:hint="eastAsia" w:ascii="Calibri" w:hAnsi="Calibri"/>
                      <w:b/>
                      <w:bCs/>
                      <w:color w:val="auto"/>
                      <w:sz w:val="21"/>
                      <w:szCs w:val="21"/>
                      <w:highlight w:val="none"/>
                      <w:u w:val="none"/>
                      <w:lang w:val="en-US" w:eastAsia="zh-CN"/>
                    </w:rPr>
                    <w:t>具体内容</w:t>
                  </w:r>
                </w:p>
              </w:tc>
              <w:tc>
                <w:tcPr>
                  <w:tcW w:w="1060" w:type="pct"/>
                  <w:tcBorders>
                    <w:tl2br w:val="nil"/>
                    <w:tr2bl w:val="nil"/>
                  </w:tcBorders>
                  <w:noWrap/>
                  <w:vAlign w:val="center"/>
                </w:tcPr>
                <w:p w14:paraId="58E42F5E">
                  <w:pPr>
                    <w:pStyle w:val="81"/>
                    <w:rPr>
                      <w:rFonts w:hint="default" w:ascii="Calibri" w:hAnsi="Calibri" w:eastAsia="宋体"/>
                      <w:color w:val="auto"/>
                      <w:sz w:val="21"/>
                      <w:szCs w:val="21"/>
                      <w:highlight w:val="none"/>
                      <w:u w:val="none"/>
                      <w:lang w:val="en-US" w:eastAsia="zh-CN"/>
                    </w:rPr>
                  </w:pPr>
                  <w:r>
                    <w:rPr>
                      <w:rFonts w:hint="eastAsia" w:ascii="Calibri" w:hAnsi="Calibri"/>
                      <w:b/>
                      <w:bCs/>
                      <w:color w:val="auto"/>
                      <w:sz w:val="21"/>
                      <w:szCs w:val="21"/>
                      <w:highlight w:val="none"/>
                      <w:u w:val="none"/>
                      <w:lang w:val="en-US" w:eastAsia="zh-CN"/>
                    </w:rPr>
                    <w:t>项目情况</w:t>
                  </w:r>
                </w:p>
              </w:tc>
              <w:tc>
                <w:tcPr>
                  <w:tcW w:w="582" w:type="pct"/>
                  <w:tcBorders>
                    <w:tl2br w:val="nil"/>
                    <w:tr2bl w:val="nil"/>
                  </w:tcBorders>
                  <w:noWrap/>
                  <w:vAlign w:val="center"/>
                </w:tcPr>
                <w:p w14:paraId="5122C68E">
                  <w:pPr>
                    <w:pStyle w:val="81"/>
                    <w:rPr>
                      <w:rFonts w:hint="default" w:ascii="Calibri" w:hAnsi="Calibri"/>
                      <w:b/>
                      <w:bCs/>
                      <w:color w:val="auto"/>
                      <w:sz w:val="21"/>
                      <w:szCs w:val="21"/>
                      <w:highlight w:val="none"/>
                      <w:u w:val="none"/>
                      <w:lang w:val="en-US" w:eastAsia="zh-CN"/>
                    </w:rPr>
                  </w:pPr>
                  <w:r>
                    <w:rPr>
                      <w:rFonts w:hint="eastAsia" w:ascii="Calibri" w:hAnsi="Calibri"/>
                      <w:b/>
                      <w:bCs/>
                      <w:color w:val="auto"/>
                      <w:sz w:val="21"/>
                      <w:szCs w:val="21"/>
                      <w:highlight w:val="none"/>
                      <w:u w:val="none"/>
                      <w:lang w:val="en-US" w:eastAsia="zh-CN"/>
                    </w:rPr>
                    <w:t>符合性分析</w:t>
                  </w:r>
                </w:p>
              </w:tc>
            </w:tr>
            <w:tr w14:paraId="27E90E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6" w:type="pct"/>
                  <w:tcBorders>
                    <w:tl2br w:val="nil"/>
                    <w:tr2bl w:val="nil"/>
                  </w:tcBorders>
                  <w:noWrap/>
                  <w:vAlign w:val="center"/>
                </w:tcPr>
                <w:p w14:paraId="5FE38140">
                  <w:pPr>
                    <w:pStyle w:val="81"/>
                    <w:rPr>
                      <w:rFonts w:hint="default" w:ascii="Calibri" w:hAnsi="Calibri" w:eastAsia="宋体"/>
                      <w:color w:val="auto"/>
                      <w:sz w:val="21"/>
                      <w:szCs w:val="21"/>
                      <w:highlight w:val="none"/>
                      <w:u w:val="none"/>
                      <w:lang w:val="en-US" w:eastAsia="zh-CN"/>
                    </w:rPr>
                  </w:pPr>
                  <w:r>
                    <w:rPr>
                      <w:rFonts w:hint="eastAsia" w:ascii="Calibri" w:hAnsi="Calibri"/>
                      <w:b/>
                      <w:bCs/>
                      <w:color w:val="auto"/>
                      <w:sz w:val="21"/>
                      <w:szCs w:val="21"/>
                      <w:highlight w:val="none"/>
                      <w:u w:val="none"/>
                      <w:lang w:val="en-US" w:eastAsia="zh-CN"/>
                    </w:rPr>
                    <w:t>能源领域</w:t>
                  </w:r>
                </w:p>
              </w:tc>
              <w:tc>
                <w:tcPr>
                  <w:tcW w:w="2860" w:type="pct"/>
                  <w:tcBorders>
                    <w:tl2br w:val="nil"/>
                    <w:tr2bl w:val="nil"/>
                  </w:tcBorders>
                  <w:noWrap/>
                  <w:vAlign w:val="center"/>
                </w:tcPr>
                <w:p w14:paraId="5D509AF8">
                  <w:pPr>
                    <w:pStyle w:val="81"/>
                    <w:jc w:val="left"/>
                    <w:rPr>
                      <w:rFonts w:hint="eastAsia" w:ascii="Calibri" w:hAnsi="Calibri" w:eastAsia="宋体" w:cs="Times New Roman"/>
                      <w:color w:val="auto"/>
                      <w:sz w:val="21"/>
                      <w:szCs w:val="21"/>
                      <w:highlight w:val="none"/>
                      <w:u w:val="none"/>
                      <w:lang w:val="en-US" w:eastAsia="zh-CN"/>
                    </w:rPr>
                  </w:pPr>
                  <w:r>
                    <w:rPr>
                      <w:rFonts w:hint="eastAsia" w:ascii="Calibri" w:hAnsi="Calibri" w:eastAsia="宋体" w:cs="Times New Roman"/>
                      <w:color w:val="auto"/>
                      <w:sz w:val="21"/>
                      <w:szCs w:val="21"/>
                      <w:highlight w:val="none"/>
                      <w:u w:val="none"/>
                      <w:lang w:val="en-US" w:eastAsia="zh-CN"/>
                    </w:rPr>
                    <w:t>推动能源绿色低碳转型。严格落实煤炭等量、减量替代提高电煤消费占比。多渠道扩展天然气气源，扩大外受电比重，持续推进“煤改气”“煤改电”工程，大力推进使用清洁能源或电厂热力、工业余热等替代锅炉、炉窑燃料用煤，加快推动玻璃地板砖等建材行业企业以及有色冶炼行业鼓风炉、反射炉等“煤改气”,依法依规推进煤气发生炉有序退出</w:t>
                  </w:r>
                  <w:r>
                    <w:rPr>
                      <w:rFonts w:hint="eastAsia" w:ascii="Calibri" w:hAnsi="Calibri" w:cs="Times New Roman"/>
                      <w:color w:val="auto"/>
                      <w:sz w:val="21"/>
                      <w:szCs w:val="21"/>
                      <w:highlight w:val="none"/>
                      <w:u w:val="none"/>
                      <w:lang w:val="en-US" w:eastAsia="zh-CN"/>
                    </w:rPr>
                    <w:t>，</w:t>
                  </w:r>
                  <w:r>
                    <w:rPr>
                      <w:rFonts w:hint="eastAsia" w:ascii="Calibri" w:hAnsi="Calibri" w:eastAsia="宋体" w:cs="Times New Roman"/>
                      <w:color w:val="auto"/>
                      <w:sz w:val="21"/>
                      <w:szCs w:val="21"/>
                      <w:highlight w:val="none"/>
                      <w:u w:val="none"/>
                      <w:lang w:val="en-US" w:eastAsia="zh-CN"/>
                    </w:rPr>
                    <w:t>推动非化石能源发展到2025年，煤炭消费占一次能源消费比重下降至51%左右，电煤消费占比达到55%以上</w:t>
                  </w:r>
                </w:p>
              </w:tc>
              <w:tc>
                <w:tcPr>
                  <w:tcW w:w="1060" w:type="pct"/>
                  <w:tcBorders>
                    <w:tl2br w:val="nil"/>
                    <w:tr2bl w:val="nil"/>
                  </w:tcBorders>
                  <w:noWrap/>
                  <w:vAlign w:val="center"/>
                </w:tcPr>
                <w:p w14:paraId="3BB4E3F0">
                  <w:pPr>
                    <w:pStyle w:val="81"/>
                    <w:jc w:val="left"/>
                    <w:rPr>
                      <w:rFonts w:hint="eastAsia" w:ascii="Calibri" w:hAnsi="Calibri" w:eastAsia="宋体" w:cs="Times New Roman"/>
                      <w:color w:val="auto"/>
                      <w:sz w:val="21"/>
                      <w:szCs w:val="21"/>
                      <w:highlight w:val="none"/>
                      <w:u w:val="none"/>
                      <w:lang w:val="en-US" w:eastAsia="zh-CN"/>
                    </w:rPr>
                  </w:pPr>
                  <w:r>
                    <w:rPr>
                      <w:rFonts w:hint="eastAsia" w:ascii="Calibri" w:hAnsi="Calibri" w:eastAsia="宋体" w:cs="Times New Roman"/>
                      <w:color w:val="auto"/>
                      <w:sz w:val="21"/>
                      <w:szCs w:val="21"/>
                      <w:highlight w:val="none"/>
                      <w:u w:val="none"/>
                      <w:lang w:val="en-US" w:eastAsia="zh-CN"/>
                    </w:rPr>
                    <w:t>本项目</w:t>
                  </w:r>
                  <w:r>
                    <w:rPr>
                      <w:rFonts w:hint="eastAsia" w:ascii="Times New Roman" w:hAnsi="Times New Roman" w:cs="Times New Roman"/>
                      <w:color w:val="auto"/>
                      <w:spacing w:val="-1"/>
                      <w:highlight w:val="none"/>
                      <w:u w:val="none"/>
                      <w:lang w:val="en-US" w:eastAsia="zh-CN"/>
                    </w:rPr>
                    <w:t>拟</w:t>
                  </w:r>
                  <w:r>
                    <w:rPr>
                      <w:rFonts w:hint="eastAsia" w:cs="Times New Roman"/>
                      <w:color w:val="auto"/>
                      <w:spacing w:val="-1"/>
                      <w:highlight w:val="none"/>
                      <w:u w:val="none"/>
                      <w:lang w:val="en-US" w:eastAsia="zh-CN"/>
                    </w:rPr>
                    <w:t>将现有2</w:t>
                  </w:r>
                  <w:r>
                    <w:rPr>
                      <w:rFonts w:hint="default" w:ascii="Times New Roman" w:hAnsi="Times New Roman" w:cs="Times New Roman"/>
                      <w:color w:val="auto"/>
                      <w:spacing w:val="-1"/>
                      <w:highlight w:val="none"/>
                      <w:u w:val="none"/>
                    </w:rPr>
                    <w:t>t/h锅炉</w:t>
                  </w:r>
                  <w:r>
                    <w:rPr>
                      <w:rFonts w:hint="eastAsia" w:cs="Times New Roman"/>
                      <w:color w:val="auto"/>
                      <w:spacing w:val="-1"/>
                      <w:highlight w:val="none"/>
                      <w:u w:val="none"/>
                      <w:lang w:val="en-US" w:eastAsia="zh-CN"/>
                    </w:rPr>
                    <w:t>技改成</w:t>
                  </w:r>
                  <w:r>
                    <w:rPr>
                      <w:rFonts w:hint="eastAsia" w:ascii="Times New Roman" w:hAnsi="Times New Roman" w:cs="Times New Roman"/>
                      <w:color w:val="auto"/>
                      <w:spacing w:val="-1"/>
                      <w:highlight w:val="none"/>
                      <w:u w:val="none"/>
                      <w:lang w:val="en-US" w:eastAsia="zh-CN"/>
                    </w:rPr>
                    <w:t>一台</w:t>
                  </w:r>
                  <w:r>
                    <w:rPr>
                      <w:rFonts w:hint="eastAsia" w:cs="Times New Roman"/>
                      <w:color w:val="auto"/>
                      <w:spacing w:val="-1"/>
                      <w:highlight w:val="none"/>
                      <w:u w:val="none"/>
                      <w:lang w:val="en-US" w:eastAsia="zh-CN"/>
                    </w:rPr>
                    <w:t>2.1</w:t>
                  </w:r>
                  <w:r>
                    <w:rPr>
                      <w:rFonts w:hint="default" w:ascii="Times New Roman" w:hAnsi="Times New Roman" w:cs="Times New Roman"/>
                      <w:color w:val="auto"/>
                      <w:spacing w:val="-1"/>
                      <w:highlight w:val="none"/>
                      <w:u w:val="none"/>
                    </w:rPr>
                    <w:t>t/h锅炉</w:t>
                  </w:r>
                  <w:r>
                    <w:rPr>
                      <w:rFonts w:hint="eastAsia" w:ascii="Times New Roman" w:hAnsi="Times New Roman" w:cs="Times New Roman"/>
                      <w:color w:val="auto"/>
                      <w:spacing w:val="-1"/>
                      <w:highlight w:val="none"/>
                      <w:u w:val="none"/>
                      <w:lang w:eastAsia="zh-CN"/>
                    </w:rPr>
                    <w:t>，</w:t>
                  </w:r>
                  <w:r>
                    <w:rPr>
                      <w:rFonts w:hint="eastAsia" w:ascii="Times New Roman" w:hAnsi="Times New Roman" w:cs="Times New Roman"/>
                      <w:color w:val="auto"/>
                      <w:spacing w:val="-1"/>
                      <w:highlight w:val="none"/>
                      <w:u w:val="none"/>
                      <w:lang w:val="en-US" w:eastAsia="zh-CN"/>
                    </w:rPr>
                    <w:t>使用成型生物质燃料，属于清洁能源</w:t>
                  </w:r>
                  <w:r>
                    <w:rPr>
                      <w:rFonts w:hint="eastAsia" w:ascii="Calibri" w:hAnsi="Calibri" w:eastAsia="宋体" w:cs="Times New Roman"/>
                      <w:color w:val="auto"/>
                      <w:sz w:val="21"/>
                      <w:szCs w:val="21"/>
                      <w:highlight w:val="none"/>
                      <w:u w:val="none"/>
                      <w:lang w:val="en-US" w:eastAsia="zh-CN"/>
                    </w:rPr>
                    <w:t>。</w:t>
                  </w:r>
                </w:p>
              </w:tc>
              <w:tc>
                <w:tcPr>
                  <w:tcW w:w="582" w:type="pct"/>
                  <w:tcBorders>
                    <w:tl2br w:val="nil"/>
                    <w:tr2bl w:val="nil"/>
                  </w:tcBorders>
                  <w:noWrap/>
                  <w:vAlign w:val="center"/>
                </w:tcPr>
                <w:p w14:paraId="4AD2F5AE">
                  <w:pPr>
                    <w:pStyle w:val="81"/>
                    <w:jc w:val="center"/>
                    <w:rPr>
                      <w:rFonts w:hint="default" w:ascii="Calibri" w:hAnsi="Calibri" w:eastAsia="宋体"/>
                      <w:color w:val="auto"/>
                      <w:sz w:val="21"/>
                      <w:szCs w:val="21"/>
                      <w:highlight w:val="none"/>
                      <w:u w:val="none"/>
                      <w:lang w:val="en-US" w:eastAsia="zh-CN"/>
                    </w:rPr>
                  </w:pPr>
                  <w:r>
                    <w:rPr>
                      <w:rFonts w:hint="eastAsia" w:ascii="Calibri" w:hAnsi="Calibri"/>
                      <w:color w:val="auto"/>
                      <w:sz w:val="21"/>
                      <w:szCs w:val="21"/>
                      <w:highlight w:val="none"/>
                      <w:u w:val="none"/>
                      <w:lang w:val="en-US" w:eastAsia="zh-CN"/>
                    </w:rPr>
                    <w:t>符合</w:t>
                  </w:r>
                </w:p>
              </w:tc>
            </w:tr>
            <w:tr w14:paraId="58291C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96" w:type="pct"/>
                  <w:tcBorders>
                    <w:tl2br w:val="nil"/>
                    <w:tr2bl w:val="nil"/>
                  </w:tcBorders>
                  <w:noWrap/>
                  <w:vAlign w:val="center"/>
                </w:tcPr>
                <w:p w14:paraId="3438B3AE">
                  <w:pPr>
                    <w:pStyle w:val="81"/>
                    <w:rPr>
                      <w:rFonts w:hint="default" w:ascii="Calibri" w:hAnsi="Calibri" w:eastAsia="宋体"/>
                      <w:b/>
                      <w:bCs/>
                      <w:color w:val="auto"/>
                      <w:sz w:val="21"/>
                      <w:szCs w:val="21"/>
                      <w:highlight w:val="none"/>
                      <w:u w:val="none"/>
                      <w:lang w:val="en-US" w:eastAsia="zh-CN"/>
                    </w:rPr>
                  </w:pPr>
                  <w:r>
                    <w:rPr>
                      <w:rFonts w:hint="eastAsia" w:ascii="Calibri" w:hAnsi="Calibri"/>
                      <w:b/>
                      <w:bCs/>
                      <w:color w:val="auto"/>
                      <w:sz w:val="21"/>
                      <w:szCs w:val="21"/>
                      <w:highlight w:val="none"/>
                      <w:u w:val="none"/>
                      <w:lang w:val="en-US" w:eastAsia="zh-CN"/>
                    </w:rPr>
                    <w:t>工业治理领域</w:t>
                  </w:r>
                </w:p>
              </w:tc>
              <w:tc>
                <w:tcPr>
                  <w:tcW w:w="2860" w:type="pct"/>
                  <w:tcBorders>
                    <w:tl2br w:val="nil"/>
                    <w:tr2bl w:val="nil"/>
                  </w:tcBorders>
                  <w:noWrap/>
                  <w:vAlign w:val="center"/>
                </w:tcPr>
                <w:p w14:paraId="42AD09FA">
                  <w:pPr>
                    <w:pStyle w:val="81"/>
                    <w:jc w:val="left"/>
                    <w:rPr>
                      <w:rFonts w:hint="eastAsia" w:ascii="Calibri" w:hAnsi="Calibri" w:eastAsia="宋体" w:cs="Times New Roman"/>
                      <w:color w:val="auto"/>
                      <w:sz w:val="21"/>
                      <w:szCs w:val="21"/>
                      <w:highlight w:val="none"/>
                      <w:u w:val="none"/>
                      <w:lang w:val="en-US" w:eastAsia="zh-CN"/>
                    </w:rPr>
                  </w:pPr>
                  <w:r>
                    <w:rPr>
                      <w:rFonts w:hint="eastAsia" w:ascii="Calibri" w:hAnsi="Calibri" w:eastAsia="宋体" w:cs="Times New Roman"/>
                      <w:color w:val="auto"/>
                      <w:sz w:val="21"/>
                      <w:szCs w:val="21"/>
                      <w:highlight w:val="none"/>
                      <w:u w:val="none"/>
                      <w:lang w:val="en-US" w:eastAsia="zh-CN"/>
                    </w:rPr>
                    <w:t>推进锅密炉超低排放与深度治理。全面开展钢铁、水泥行业超低排放改造，深入开展锅炉窑炉深度治理和简易低效处理设施排查，对高排放重点行业开展专项整治。生物质锅炉使用专用炉具和成型燃料并配套高效治理设施，推动城市建成区生物质锅炉安装烟气在线监测设施。到 2025年，全面完成钢铁和重点城市水泥企业超低排放改造。</w:t>
                  </w:r>
                </w:p>
              </w:tc>
              <w:tc>
                <w:tcPr>
                  <w:tcW w:w="1060" w:type="pct"/>
                  <w:tcBorders>
                    <w:tl2br w:val="nil"/>
                    <w:tr2bl w:val="nil"/>
                  </w:tcBorders>
                  <w:noWrap/>
                  <w:vAlign w:val="center"/>
                </w:tcPr>
                <w:p w14:paraId="37E3B1C6">
                  <w:pPr>
                    <w:pStyle w:val="81"/>
                    <w:jc w:val="left"/>
                    <w:rPr>
                      <w:rFonts w:hint="eastAsia" w:ascii="Calibri" w:hAnsi="Calibri" w:eastAsia="宋体" w:cs="Times New Roman"/>
                      <w:color w:val="auto"/>
                      <w:sz w:val="21"/>
                      <w:szCs w:val="21"/>
                      <w:highlight w:val="none"/>
                      <w:u w:val="none"/>
                      <w:lang w:val="en-US" w:eastAsia="zh-CN"/>
                    </w:rPr>
                  </w:pPr>
                  <w:r>
                    <w:rPr>
                      <w:rFonts w:hint="eastAsia" w:ascii="Calibri" w:hAnsi="Calibri" w:cs="Times New Roman"/>
                      <w:color w:val="auto"/>
                      <w:sz w:val="21"/>
                      <w:szCs w:val="21"/>
                      <w:highlight w:val="none"/>
                      <w:u w:val="none"/>
                      <w:lang w:val="en-US" w:eastAsia="zh-CN"/>
                    </w:rPr>
                    <w:t>本项目</w:t>
                  </w:r>
                  <w:r>
                    <w:rPr>
                      <w:rFonts w:hint="eastAsia" w:ascii="Calibri" w:hAnsi="Calibri" w:eastAsia="宋体" w:cs="Times New Roman"/>
                      <w:color w:val="auto"/>
                      <w:sz w:val="21"/>
                      <w:szCs w:val="21"/>
                      <w:highlight w:val="none"/>
                      <w:u w:val="none"/>
                      <w:lang w:val="en-US" w:eastAsia="zh-CN"/>
                    </w:rPr>
                    <w:t>生物质锅炉使用专用炉具和成型燃料并配套</w:t>
                  </w:r>
                  <w:r>
                    <w:rPr>
                      <w:rFonts w:hint="eastAsia" w:ascii="Calibri" w:hAnsi="Calibri" w:cs="Times New Roman"/>
                      <w:color w:val="auto"/>
                      <w:sz w:val="21"/>
                      <w:szCs w:val="21"/>
                      <w:highlight w:val="none"/>
                      <w:u w:val="none"/>
                      <w:lang w:val="en-US" w:eastAsia="zh-CN"/>
                    </w:rPr>
                    <w:t>两级水膜除尘器处理锅炉废气。</w:t>
                  </w:r>
                </w:p>
              </w:tc>
              <w:tc>
                <w:tcPr>
                  <w:tcW w:w="582" w:type="pct"/>
                  <w:tcBorders>
                    <w:tl2br w:val="nil"/>
                    <w:tr2bl w:val="nil"/>
                  </w:tcBorders>
                  <w:noWrap/>
                  <w:vAlign w:val="center"/>
                </w:tcPr>
                <w:p w14:paraId="427702EF">
                  <w:pPr>
                    <w:pStyle w:val="81"/>
                    <w:rPr>
                      <w:rFonts w:hint="eastAsia" w:ascii="Calibri" w:hAnsi="Calibri"/>
                      <w:color w:val="auto"/>
                      <w:sz w:val="21"/>
                      <w:szCs w:val="21"/>
                      <w:highlight w:val="none"/>
                      <w:u w:val="none"/>
                    </w:rPr>
                  </w:pPr>
                  <w:r>
                    <w:rPr>
                      <w:rFonts w:hint="eastAsia" w:ascii="Calibri" w:hAnsi="Calibri"/>
                      <w:color w:val="auto"/>
                      <w:sz w:val="21"/>
                      <w:szCs w:val="21"/>
                      <w:highlight w:val="none"/>
                      <w:u w:val="none"/>
                      <w:lang w:val="en-US" w:eastAsia="zh-CN"/>
                    </w:rPr>
                    <w:t>符合</w:t>
                  </w:r>
                </w:p>
              </w:tc>
            </w:tr>
          </w:tbl>
          <w:p w14:paraId="419EAC71">
            <w:pPr>
              <w:spacing w:line="360" w:lineRule="auto"/>
              <w:rPr>
                <w:rFonts w:hint="eastAsia" w:cs="Times New Roman"/>
                <w:b/>
                <w:snapToGrid w:val="0"/>
                <w:color w:val="auto"/>
                <w:sz w:val="24"/>
                <w:highlight w:val="none"/>
                <w:lang w:val="en-US" w:eastAsia="zh-CN"/>
              </w:rPr>
            </w:pPr>
            <w:r>
              <w:rPr>
                <w:rFonts w:hint="eastAsia" w:cs="Times New Roman"/>
                <w:b/>
                <w:snapToGrid w:val="0"/>
                <w:color w:val="auto"/>
                <w:sz w:val="24"/>
                <w:highlight w:val="none"/>
                <w:lang w:val="en-US" w:eastAsia="zh-CN"/>
              </w:rPr>
              <w:t>4、与《永州市“十四五”生态环境保护规划》(2021-2025)的符合性分析：</w:t>
            </w:r>
          </w:p>
          <w:p w14:paraId="1A99FB22">
            <w:pPr>
              <w:pStyle w:val="78"/>
              <w:spacing w:line="360" w:lineRule="auto"/>
              <w:ind w:firstLine="472"/>
              <w:rPr>
                <w:rFonts w:hint="eastAsia" w:ascii="Times New Roman" w:hAnsi="Times New Roman" w:cs="Times New Roman"/>
                <w:color w:val="auto"/>
                <w:sz w:val="24"/>
                <w:highlight w:val="none"/>
                <w:u w:val="none" w:color="auto"/>
                <w:lang w:val="en-US" w:eastAsia="zh-CN"/>
              </w:rPr>
            </w:pPr>
            <w:r>
              <w:rPr>
                <w:rFonts w:hint="eastAsia" w:ascii="Times New Roman" w:hAnsi="Times New Roman" w:cs="Times New Roman"/>
                <w:color w:val="auto"/>
                <w:sz w:val="24"/>
                <w:highlight w:val="none"/>
                <w:u w:val="none" w:color="auto"/>
                <w:lang w:val="en-US" w:eastAsia="zh-CN"/>
              </w:rPr>
              <w:t>根据《永州市“十四五”生态环境保护规划(2021-2025)》中（二）加强大气污染防治，改善大气环境质量2、深化工业污染治理：原料、燃料破碎及制备成型工序排放的颗粒物、二氧化硫和氮氧化物应做到稳定达标排放。本项目生物质锅炉采取两级水膜除尘处理后通过35m高排气筒排放，能做到达标排放，与《永州市“十四五”生态环境保护规划(2021-2025)》相符。</w:t>
            </w:r>
          </w:p>
          <w:p w14:paraId="2AAF3A1B">
            <w:pPr>
              <w:spacing w:line="360" w:lineRule="auto"/>
              <w:rPr>
                <w:rFonts w:ascii="Times New Roman" w:hAnsi="Times New Roman" w:eastAsia="宋体" w:cs="Times New Roman"/>
                <w:b/>
                <w:snapToGrid w:val="0"/>
                <w:color w:val="auto"/>
                <w:sz w:val="24"/>
                <w:highlight w:val="none"/>
              </w:rPr>
            </w:pPr>
            <w:r>
              <w:rPr>
                <w:rFonts w:hint="eastAsia" w:cs="Times New Roman"/>
                <w:b/>
                <w:snapToGrid w:val="0"/>
                <w:color w:val="auto"/>
                <w:sz w:val="24"/>
                <w:highlight w:val="none"/>
                <w:lang w:val="en-US" w:eastAsia="zh-CN"/>
              </w:rPr>
              <w:t>5</w:t>
            </w:r>
            <w:r>
              <w:rPr>
                <w:rFonts w:ascii="Times New Roman" w:hAnsi="Times New Roman" w:eastAsia="宋体" w:cs="Times New Roman"/>
                <w:b/>
                <w:snapToGrid w:val="0"/>
                <w:color w:val="auto"/>
                <w:sz w:val="24"/>
                <w:highlight w:val="none"/>
              </w:rPr>
              <w:t>、项目选址符合性分析</w:t>
            </w:r>
          </w:p>
          <w:p w14:paraId="32E067E0">
            <w:pPr>
              <w:pStyle w:val="78"/>
              <w:spacing w:line="360" w:lineRule="auto"/>
              <w:ind w:firstLine="472"/>
              <w:rPr>
                <w:rFonts w:ascii="宋体" w:hAnsi="宋体" w:eastAsia="宋体" w:cs="宋体"/>
                <w:sz w:val="24"/>
                <w:szCs w:val="24"/>
              </w:rPr>
            </w:pPr>
            <w:r>
              <w:rPr>
                <w:rFonts w:hint="default" w:ascii="Times New Roman" w:hAnsi="Times New Roman" w:cs="Times New Roman"/>
                <w:color w:val="auto"/>
                <w:sz w:val="24"/>
                <w:highlight w:val="none"/>
                <w:u w:val="none" w:color="auto"/>
              </w:rPr>
              <w:t>本</w:t>
            </w:r>
            <w:r>
              <w:rPr>
                <w:rFonts w:hint="eastAsia"/>
                <w:color w:val="auto"/>
                <w:spacing w:val="-2"/>
                <w:kern w:val="0"/>
                <w:sz w:val="24"/>
                <w:highlight w:val="none"/>
                <w:lang w:val="en-US" w:eastAsia="zh-CN"/>
              </w:rPr>
              <w:t>技改</w:t>
            </w:r>
            <w:r>
              <w:rPr>
                <w:rFonts w:hint="default" w:ascii="Times New Roman" w:hAnsi="Times New Roman" w:cs="Times New Roman"/>
                <w:color w:val="auto"/>
                <w:sz w:val="24"/>
                <w:highlight w:val="none"/>
                <w:u w:val="none" w:color="auto"/>
              </w:rPr>
              <w:t>项目</w:t>
            </w:r>
            <w:r>
              <w:rPr>
                <w:rFonts w:hint="default" w:ascii="Times New Roman" w:hAnsi="Times New Roman" w:cs="Times New Roman"/>
                <w:color w:val="auto"/>
                <w:sz w:val="24"/>
                <w:highlight w:val="none"/>
                <w:u w:val="none" w:color="auto"/>
                <w:lang w:val="en-US" w:eastAsia="zh-CN"/>
              </w:rPr>
              <w:t>拟在</w:t>
            </w:r>
            <w:r>
              <w:rPr>
                <w:rFonts w:hint="eastAsia" w:ascii="Times New Roman" w:hAnsi="Times New Roman" w:cs="Times New Roman"/>
                <w:color w:val="auto"/>
                <w:highlight w:val="none"/>
                <w:lang w:eastAsia="zh-CN"/>
              </w:rPr>
              <w:t>永州市耀福油脂有限公司</w:t>
            </w:r>
            <w:r>
              <w:rPr>
                <w:rFonts w:hint="eastAsia" w:ascii="Times New Roman" w:hAnsi="Times New Roman" w:cs="Times New Roman"/>
                <w:color w:val="auto"/>
                <w:highlight w:val="none"/>
                <w:lang w:val="en-US" w:eastAsia="zh-CN"/>
              </w:rPr>
              <w:t>现有锅炉房</w:t>
            </w:r>
            <w:r>
              <w:rPr>
                <w:rFonts w:hint="default" w:ascii="Times New Roman" w:hAnsi="Times New Roman" w:cs="Times New Roman"/>
                <w:color w:val="auto"/>
                <w:highlight w:val="none"/>
                <w:lang w:val="en-US" w:eastAsia="zh-CN"/>
              </w:rPr>
              <w:t>内建设</w:t>
            </w:r>
            <w:r>
              <w:rPr>
                <w:rFonts w:hint="default" w:ascii="Times New Roman" w:hAnsi="Times New Roman" w:cs="Times New Roman"/>
                <w:color w:val="auto"/>
                <w:sz w:val="24"/>
                <w:highlight w:val="none"/>
                <w:u w:val="none" w:color="auto"/>
              </w:rPr>
              <w:t>，</w:t>
            </w:r>
            <w:r>
              <w:rPr>
                <w:rFonts w:hint="default" w:ascii="Times New Roman" w:hAnsi="Times New Roman" w:cs="Times New Roman"/>
                <w:color w:val="auto"/>
                <w:sz w:val="24"/>
                <w:highlight w:val="none"/>
                <w:u w:val="none" w:color="auto"/>
                <w:lang w:val="en-US" w:eastAsia="zh-CN"/>
              </w:rPr>
              <w:t>不新增占地范围。项目位于</w:t>
            </w:r>
            <w:r>
              <w:rPr>
                <w:rFonts w:hint="eastAsia" w:ascii="Times New Roman" w:hAnsi="Times New Roman" w:cs="Times New Roman"/>
                <w:color w:val="auto"/>
                <w:sz w:val="24"/>
                <w:highlight w:val="none"/>
                <w:u w:val="none" w:color="auto"/>
                <w:lang w:val="en-US" w:eastAsia="zh-CN"/>
              </w:rPr>
              <w:t>永州市祁阳市进宝塘镇大富村12组</w:t>
            </w:r>
            <w:r>
              <w:rPr>
                <w:rFonts w:hint="default" w:ascii="Times New Roman" w:hAnsi="Times New Roman" w:cs="Times New Roman"/>
                <w:color w:val="auto"/>
                <w:sz w:val="24"/>
                <w:highlight w:val="none"/>
                <w:u w:val="none" w:color="auto"/>
                <w:lang w:val="en-US" w:eastAsia="zh-CN"/>
              </w:rPr>
              <w:t>，</w:t>
            </w:r>
            <w:r>
              <w:rPr>
                <w:rFonts w:hint="eastAsia" w:ascii="Times New Roman" w:hAnsi="Times New Roman" w:cs="Times New Roman"/>
                <w:color w:val="auto"/>
                <w:sz w:val="24"/>
                <w:highlight w:val="none"/>
                <w:u w:val="none" w:color="auto"/>
                <w:lang w:val="en-US" w:eastAsia="zh-CN"/>
              </w:rPr>
              <w:t>北面120m为G356国道</w:t>
            </w:r>
            <w:r>
              <w:rPr>
                <w:rFonts w:hint="default" w:ascii="Times New Roman" w:hAnsi="Times New Roman" w:cs="Times New Roman"/>
                <w:color w:val="auto"/>
                <w:sz w:val="24"/>
                <w:highlight w:val="none"/>
                <w:u w:val="none" w:color="auto"/>
                <w:lang w:val="en-US" w:eastAsia="zh-CN"/>
              </w:rPr>
              <w:t>，</w:t>
            </w:r>
            <w:r>
              <w:rPr>
                <w:rFonts w:hint="default" w:ascii="Times New Roman" w:hAnsi="Times New Roman" w:cs="Times New Roman"/>
                <w:color w:val="auto"/>
                <w:sz w:val="24"/>
                <w:highlight w:val="none"/>
                <w:u w:val="none" w:color="auto"/>
              </w:rPr>
              <w:t>厂址交通便利，供水、供电设施齐全。</w:t>
            </w:r>
            <w:r>
              <w:rPr>
                <w:rFonts w:ascii="宋体" w:hAnsi="宋体" w:eastAsia="宋体" w:cs="宋体"/>
                <w:sz w:val="24"/>
                <w:szCs w:val="24"/>
              </w:rPr>
              <w:t>电力供应和水源供应均能保障，项目用地类型为建设用地，不占用基本农田、</w:t>
            </w:r>
            <w:r>
              <w:rPr>
                <w:rFonts w:hint="default" w:ascii="Times New Roman" w:hAnsi="Times New Roman" w:cs="Times New Roman"/>
                <w:color w:val="auto"/>
                <w:sz w:val="24"/>
                <w:highlight w:val="none"/>
                <w:u w:val="none" w:color="auto"/>
              </w:rPr>
              <w:t>风景名胜区、饮用水源保护区</w:t>
            </w:r>
            <w:r>
              <w:rPr>
                <w:rFonts w:ascii="宋体" w:hAnsi="宋体" w:eastAsia="宋体" w:cs="宋体"/>
                <w:sz w:val="24"/>
                <w:szCs w:val="24"/>
              </w:rPr>
              <w:t>，项目所在地不属于城市和城镇居民等人口集中地。</w:t>
            </w:r>
          </w:p>
          <w:p w14:paraId="1A444737">
            <w:pPr>
              <w:pStyle w:val="78"/>
              <w:spacing w:line="360" w:lineRule="auto"/>
              <w:ind w:firstLine="472"/>
              <w:rPr>
                <w:rFonts w:hint="default" w:ascii="Times New Roman" w:hAnsi="Times New Roman" w:cs="Times New Roman"/>
                <w:color w:val="auto"/>
                <w:sz w:val="24"/>
                <w:highlight w:val="none"/>
                <w:u w:val="none" w:color="auto"/>
              </w:rPr>
            </w:pPr>
            <w:r>
              <w:rPr>
                <w:rFonts w:ascii="宋体" w:hAnsi="宋体" w:eastAsia="宋体" w:cs="宋体"/>
                <w:sz w:val="24"/>
                <w:szCs w:val="24"/>
              </w:rPr>
              <w:t>在实施了本报告提出的环保措施的前提下，外排废气实现达标排放、生产固废实现综合利用、厂界噪声可达标，总体而言，项目选址具有良好的区位优势，在落实本评价提出的环境保护措施的前提下，本项目建设对周边环境影响较小。因此，从环保的角度考虑，项目的选址是合理的。</w:t>
            </w:r>
          </w:p>
          <w:p w14:paraId="02123AC1">
            <w:pPr>
              <w:spacing w:line="360" w:lineRule="auto"/>
              <w:rPr>
                <w:b/>
                <w:snapToGrid w:val="0"/>
                <w:color w:val="auto"/>
                <w:sz w:val="24"/>
                <w:highlight w:val="none"/>
              </w:rPr>
            </w:pPr>
            <w:r>
              <w:rPr>
                <w:rFonts w:hint="eastAsia"/>
                <w:b/>
                <w:snapToGrid w:val="0"/>
                <w:color w:val="auto"/>
                <w:sz w:val="24"/>
                <w:highlight w:val="none"/>
                <w:lang w:val="en-US" w:eastAsia="zh-CN"/>
              </w:rPr>
              <w:t>6</w:t>
            </w:r>
            <w:r>
              <w:rPr>
                <w:rFonts w:hint="eastAsia"/>
                <w:b/>
                <w:snapToGrid w:val="0"/>
                <w:color w:val="auto"/>
                <w:sz w:val="24"/>
                <w:highlight w:val="none"/>
              </w:rPr>
              <w:t>、</w:t>
            </w:r>
            <w:r>
              <w:rPr>
                <w:b/>
                <w:snapToGrid w:val="0"/>
                <w:color w:val="auto"/>
                <w:sz w:val="24"/>
                <w:highlight w:val="none"/>
              </w:rPr>
              <w:t>平面布局合理性分析</w:t>
            </w:r>
          </w:p>
          <w:p w14:paraId="52435B4C">
            <w:pPr>
              <w:pStyle w:val="78"/>
              <w:spacing w:line="360" w:lineRule="auto"/>
              <w:ind w:firstLine="472"/>
              <w:rPr>
                <w:rFonts w:ascii="Times New Roman" w:hAnsi="Times New Roman"/>
                <w:color w:val="auto"/>
                <w:spacing w:val="-2"/>
                <w:szCs w:val="21"/>
                <w:highlight w:val="none"/>
              </w:rPr>
            </w:pPr>
            <w:r>
              <w:rPr>
                <w:rFonts w:hint="eastAsia"/>
                <w:color w:val="auto"/>
                <w:spacing w:val="-2"/>
                <w:kern w:val="0"/>
                <w:sz w:val="24"/>
                <w:highlight w:val="none"/>
                <w:lang w:val="en-US" w:eastAsia="zh-CN"/>
              </w:rPr>
              <w:t>本技改项目仅</w:t>
            </w:r>
            <w:r>
              <w:rPr>
                <w:rFonts w:hint="eastAsia"/>
                <w:color w:val="auto"/>
                <w:highlight w:val="none"/>
                <w:lang w:val="en-US" w:eastAsia="zh-CN"/>
              </w:rPr>
              <w:t>在现有锅炉房内将</w:t>
            </w:r>
            <w:r>
              <w:rPr>
                <w:rFonts w:ascii="Times New Roman" w:hAnsi="Times New Roman" w:eastAsia="Times New Roman" w:cs="Times New Roman"/>
                <w:color w:val="auto"/>
                <w:highlight w:val="none"/>
              </w:rPr>
              <w:t>2t/h</w:t>
            </w:r>
            <w:r>
              <w:rPr>
                <w:color w:val="auto"/>
                <w:highlight w:val="none"/>
              </w:rPr>
              <w:t>生物质锅炉</w:t>
            </w:r>
            <w:r>
              <w:rPr>
                <w:rFonts w:hint="eastAsia"/>
                <w:color w:val="auto"/>
                <w:highlight w:val="none"/>
                <w:lang w:eastAsia="zh-CN"/>
              </w:rPr>
              <w:t>技改</w:t>
            </w:r>
            <w:r>
              <w:rPr>
                <w:color w:val="auto"/>
                <w:highlight w:val="none"/>
              </w:rPr>
              <w:t>为</w:t>
            </w:r>
            <w:r>
              <w:rPr>
                <w:rFonts w:hint="eastAsia" w:ascii="Times New Roman" w:hAnsi="Times New Roman" w:cs="Times New Roman"/>
                <w:color w:val="auto"/>
                <w:highlight w:val="none"/>
                <w:lang w:val="en-US" w:eastAsia="zh-CN"/>
              </w:rPr>
              <w:t>2.1t/h</w:t>
            </w:r>
            <w:r>
              <w:rPr>
                <w:color w:val="auto"/>
                <w:spacing w:val="-1"/>
                <w:highlight w:val="none"/>
              </w:rPr>
              <w:t>生物质锅炉，</w:t>
            </w:r>
            <w:r>
              <w:rPr>
                <w:rFonts w:hint="eastAsia"/>
                <w:color w:val="auto"/>
                <w:spacing w:val="-1"/>
                <w:highlight w:val="none"/>
                <w:lang w:val="en-US" w:eastAsia="zh-CN"/>
              </w:rPr>
              <w:t>锅炉房位于厂区西北部，</w:t>
            </w:r>
            <w:r>
              <w:rPr>
                <w:color w:val="auto"/>
                <w:spacing w:val="-1"/>
                <w:highlight w:val="none"/>
              </w:rPr>
              <w:t>锅炉位置不变</w:t>
            </w:r>
            <w:r>
              <w:rPr>
                <w:rFonts w:hint="eastAsia" w:cs="Times New Roman"/>
                <w:color w:val="auto"/>
                <w:spacing w:val="-2"/>
                <w:kern w:val="0"/>
                <w:sz w:val="24"/>
                <w:szCs w:val="20"/>
                <w:highlight w:val="none"/>
                <w:u w:val="none"/>
                <w:lang w:val="en-US" w:eastAsia="zh-CN"/>
              </w:rPr>
              <w:t>。</w:t>
            </w:r>
          </w:p>
          <w:p w14:paraId="1D72EE59">
            <w:pPr>
              <w:pStyle w:val="78"/>
              <w:spacing w:line="360" w:lineRule="auto"/>
              <w:rPr>
                <w:rFonts w:ascii="Times New Roman" w:hAnsi="Times New Roman"/>
                <w:color w:val="auto"/>
                <w:spacing w:val="-2"/>
                <w:szCs w:val="21"/>
                <w:highlight w:val="none"/>
              </w:rPr>
            </w:pPr>
          </w:p>
          <w:p w14:paraId="0C64FCE8">
            <w:pPr>
              <w:pStyle w:val="78"/>
              <w:spacing w:line="360" w:lineRule="auto"/>
              <w:rPr>
                <w:rFonts w:ascii="Times New Roman" w:hAnsi="Times New Roman"/>
                <w:color w:val="auto"/>
                <w:spacing w:val="-2"/>
                <w:szCs w:val="21"/>
                <w:highlight w:val="none"/>
              </w:rPr>
            </w:pPr>
          </w:p>
        </w:tc>
      </w:tr>
    </w:tbl>
    <w:p w14:paraId="00059C7A">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sectPr>
          <w:footerReference r:id="rId5" w:type="default"/>
          <w:pgSz w:w="11906" w:h="16838"/>
          <w:pgMar w:top="1701" w:right="1531" w:bottom="1701" w:left="1531" w:header="851" w:footer="851" w:gutter="0"/>
          <w:pgBorders>
            <w:top w:val="none" w:sz="0" w:space="0"/>
            <w:left w:val="none" w:sz="0" w:space="0"/>
            <w:bottom w:val="none" w:sz="0" w:space="0"/>
            <w:right w:val="none" w:sz="0" w:space="0"/>
          </w:pgBorders>
          <w:pgNumType w:start="1"/>
          <w:cols w:space="720" w:num="1"/>
          <w:docGrid w:linePitch="312" w:charSpace="0"/>
        </w:sectPr>
      </w:pPr>
    </w:p>
    <w:p w14:paraId="0C05ED4C">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pPr>
      <w:bookmarkStart w:id="4" w:name="_Toc92182178"/>
      <w:r>
        <w:rPr>
          <w:rFonts w:ascii="Times New Roman" w:hAnsi="Times New Roman"/>
          <w:b/>
          <w:bCs/>
          <w:snapToGrid w:val="0"/>
          <w:color w:val="auto"/>
          <w:sz w:val="30"/>
          <w:szCs w:val="30"/>
          <w:highlight w:val="none"/>
        </w:rPr>
        <w:t>二、建设项目工程分析</w:t>
      </w:r>
      <w:bookmarkEnd w:id="4"/>
    </w:p>
    <w:tbl>
      <w:tblPr>
        <w:tblStyle w:val="42"/>
        <w:tblW w:w="87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8"/>
        <w:gridCol w:w="8612"/>
      </w:tblGrid>
      <w:tr w14:paraId="76846FD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456" w:type="dxa"/>
            <w:vAlign w:val="center"/>
          </w:tcPr>
          <w:p w14:paraId="7601D59F">
            <w:pPr>
              <w:pStyle w:val="39"/>
              <w:adjustRightInd w:val="0"/>
              <w:snapToGrid w:val="0"/>
              <w:spacing w:before="0" w:beforeAutospacing="0" w:after="0" w:afterAutospacing="0"/>
              <w:jc w:val="center"/>
              <w:rPr>
                <w:rFonts w:hint="default" w:ascii="Times New Roman" w:hAnsi="Times New Roman" w:cs="Times New Roman"/>
                <w:color w:val="auto"/>
                <w:szCs w:val="24"/>
                <w:highlight w:val="none"/>
                <w:u w:val="none" w:color="auto"/>
              </w:rPr>
            </w:pPr>
            <w:r>
              <w:rPr>
                <w:rFonts w:hint="default" w:ascii="Times New Roman" w:hAnsi="Times New Roman" w:cs="Times New Roman"/>
                <w:color w:val="auto"/>
                <w:szCs w:val="24"/>
                <w:highlight w:val="none"/>
                <w:u w:val="none" w:color="auto"/>
              </w:rPr>
              <w:t>建设内容</w:t>
            </w:r>
          </w:p>
        </w:tc>
        <w:tc>
          <w:tcPr>
            <w:tcW w:w="8244" w:type="dxa"/>
          </w:tcPr>
          <w:p w14:paraId="4A24303D">
            <w:pPr>
              <w:tabs>
                <w:tab w:val="left" w:pos="360"/>
              </w:tabs>
              <w:spacing w:line="360" w:lineRule="auto"/>
              <w:rPr>
                <w:rFonts w:hint="default" w:ascii="Times New Roman" w:hAnsi="Times New Roman" w:cs="Times New Roman"/>
                <w:b/>
                <w:snapToGrid w:val="0"/>
                <w:color w:val="auto"/>
                <w:sz w:val="24"/>
                <w:highlight w:val="none"/>
                <w:u w:val="none" w:color="auto"/>
              </w:rPr>
            </w:pPr>
            <w:r>
              <w:rPr>
                <w:rFonts w:hint="default" w:ascii="Times New Roman" w:hAnsi="Times New Roman" w:cs="Times New Roman"/>
                <w:b/>
                <w:color w:val="auto"/>
                <w:sz w:val="24"/>
                <w:highlight w:val="none"/>
                <w:u w:val="none" w:color="auto"/>
              </w:rPr>
              <w:t>1、项目由来</w:t>
            </w:r>
          </w:p>
          <w:p w14:paraId="3EDDCBA9">
            <w:pPr>
              <w:pStyle w:val="101"/>
              <w:shd w:val="clear" w:color="auto" w:fill="FFFFFF"/>
              <w:tabs>
                <w:tab w:val="left" w:pos="5880"/>
              </w:tabs>
              <w:spacing w:before="0" w:beforeAutospacing="0" w:after="0" w:afterAutospacing="0" w:line="360" w:lineRule="auto"/>
              <w:ind w:firstLine="480" w:firstLineChars="200"/>
              <w:jc w:val="both"/>
              <w:rPr>
                <w:rFonts w:hint="default" w:ascii="Times New Roman" w:hAnsi="Times New Roman" w:cs="Times New Roman"/>
                <w:color w:val="auto"/>
                <w:highlight w:val="none"/>
                <w:u w:val="none" w:color="auto"/>
                <w:lang w:val="en-US" w:eastAsia="zh-CN"/>
              </w:rPr>
            </w:pPr>
            <w:r>
              <w:rPr>
                <w:rFonts w:hint="default" w:ascii="Times New Roman" w:hAnsi="Times New Roman" w:cs="Times New Roman"/>
                <w:color w:val="auto"/>
                <w:highlight w:val="none"/>
                <w:u w:val="none" w:color="auto"/>
                <w:lang w:val="en-US" w:eastAsia="zh-CN"/>
              </w:rPr>
              <w:t>原祁阳县进宝塘镇宝富油脂厂成立于2020年7月28日，主要进行油茶渣加工、销售，拟投资1000万元，在永州市祁阳市进宝塘镇大富村建设年产2000吨油茶渣加工项目，其中环保投资30万元，占总投资的3%，项目总占地面积4000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，主要建设内容包括：1栋1F原料车间建筑面积880m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，1栋2F生产加工车间建筑面积720m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，成品仓库建筑面积为820m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，1栋2F办公楼建筑面积为35m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，宿舍建筑面积为300m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共2层)，同时建设电力、给排水、绿化等配套工程。2020年11月，永州市耀福油脂有限公司（原祁阳县进宝塘镇宝富油脂厂）委托深圳市环翊环保科技有限公司编制完成了《祁阳县进宝塘镇宝富油脂厂年产2000吨茶油渣加工项目环境影响报告表》，2021年1月 27日，永州市生态环境局祁阳分局以祁环评[2021]3号予以批复。2021年4月15日，祁阳县进宝塘镇宝富油脂厂变更为永州市耀福油脂有限公司。2021年12月取得排污许可证（证书编号：91431121MA4T99J21T001Q）。2021年9月，永州市耀福油脂有限公司编制了《年产2000吨油茶渣加工项目竣工环境保护验收报告》进行了自主验收。</w:t>
            </w:r>
          </w:p>
          <w:p w14:paraId="22609EF5">
            <w:pPr>
              <w:pStyle w:val="101"/>
              <w:shd w:val="clear" w:color="auto" w:fill="FFFFFF"/>
              <w:spacing w:before="0" w:beforeAutospacing="0" w:after="0" w:afterAutospacing="0" w:line="360" w:lineRule="auto"/>
              <w:ind w:firstLine="468" w:firstLineChars="200"/>
              <w:jc w:val="both"/>
              <w:rPr>
                <w:rFonts w:hint="default" w:ascii="Times New Roman" w:hAnsi="Times New Roman" w:eastAsia="宋体" w:cs="Times New Roman"/>
                <w:color w:val="auto"/>
                <w:highlight w:val="none"/>
                <w:u w:val="none" w:color="auto"/>
                <w:lang w:val="en-US" w:eastAsia="zh-CN"/>
              </w:rPr>
            </w:pPr>
            <w:r>
              <w:rPr>
                <w:rFonts w:hint="default" w:ascii="Times New Roman" w:hAnsi="Times New Roman" w:cs="Times New Roman"/>
                <w:color w:val="auto"/>
                <w:spacing w:val="-3"/>
                <w:highlight w:val="none"/>
                <w:u w:val="none" w:color="auto"/>
                <w:lang w:val="en-US" w:eastAsia="zh-CN"/>
              </w:rPr>
              <w:t>原</w:t>
            </w:r>
            <w:r>
              <w:rPr>
                <w:rFonts w:hint="default" w:ascii="Times New Roman" w:hAnsi="Times New Roman" w:cs="Times New Roman"/>
                <w:color w:val="auto"/>
                <w:spacing w:val="-3"/>
                <w:highlight w:val="none"/>
                <w:u w:val="none" w:color="auto"/>
              </w:rPr>
              <w:t>项目使用</w:t>
            </w:r>
            <w:r>
              <w:rPr>
                <w:rFonts w:hint="default" w:ascii="Times New Roman" w:hAnsi="Times New Roman" w:cs="Times New Roman"/>
                <w:color w:val="auto"/>
                <w:spacing w:val="-3"/>
                <w:highlight w:val="none"/>
                <w:u w:val="none" w:color="auto"/>
                <w:lang w:val="en-US" w:eastAsia="zh-CN"/>
              </w:rPr>
              <w:t>一台</w:t>
            </w:r>
            <w:r>
              <w:rPr>
                <w:rFonts w:hint="default" w:ascii="Times New Roman" w:hAnsi="Times New Roman" w:cs="Times New Roman"/>
                <w:color w:val="auto"/>
                <w:spacing w:val="-55"/>
                <w:highlight w:val="none"/>
                <w:u w:val="none" w:color="auto"/>
              </w:rPr>
              <w:t xml:space="preserve"> </w:t>
            </w:r>
            <w:r>
              <w:rPr>
                <w:rFonts w:hint="default" w:ascii="Times New Roman" w:hAnsi="Times New Roman" w:eastAsia="Times New Roman" w:cs="Times New Roman"/>
                <w:color w:val="auto"/>
                <w:spacing w:val="-3"/>
                <w:highlight w:val="none"/>
                <w:u w:val="none" w:color="auto"/>
              </w:rPr>
              <w:t>2t/h</w:t>
            </w:r>
            <w:r>
              <w:rPr>
                <w:rFonts w:hint="default" w:ascii="Times New Roman" w:hAnsi="Times New Roman" w:cs="Times New Roman"/>
                <w:color w:val="auto"/>
                <w:spacing w:val="-3"/>
                <w:highlight w:val="none"/>
                <w:u w:val="none" w:color="auto"/>
              </w:rPr>
              <w:t>生物质锅炉</w:t>
            </w:r>
            <w:r>
              <w:rPr>
                <w:rFonts w:hint="default" w:ascii="Times New Roman" w:hAnsi="Times New Roman" w:cs="Times New Roman"/>
                <w:color w:val="auto"/>
                <w:spacing w:val="-3"/>
                <w:highlight w:val="none"/>
                <w:u w:val="none" w:color="auto"/>
                <w:lang w:val="en-US" w:eastAsia="zh-CN"/>
              </w:rPr>
              <w:t>进行供热</w:t>
            </w:r>
            <w:r>
              <w:rPr>
                <w:rFonts w:hint="default" w:ascii="Times New Roman" w:hAnsi="Times New Roman" w:cs="Times New Roman"/>
                <w:color w:val="auto"/>
                <w:spacing w:val="-3"/>
                <w:highlight w:val="none"/>
                <w:u w:val="none" w:color="auto"/>
              </w:rPr>
              <w:t>。</w:t>
            </w:r>
            <w:r>
              <w:rPr>
                <w:rFonts w:hint="default" w:ascii="Times New Roman" w:hAnsi="Times New Roman" w:cs="Times New Roman"/>
                <w:color w:val="auto"/>
                <w:spacing w:val="-3"/>
                <w:highlight w:val="none"/>
                <w:u w:val="none" w:color="auto"/>
                <w:lang w:val="en-US" w:eastAsia="zh-CN"/>
              </w:rPr>
              <w:t>但</w:t>
            </w:r>
            <w:r>
              <w:rPr>
                <w:rFonts w:hint="default" w:ascii="Times New Roman" w:hAnsi="Times New Roman" w:eastAsia="Times New Roman" w:cs="Times New Roman"/>
                <w:color w:val="auto"/>
                <w:spacing w:val="-3"/>
                <w:highlight w:val="none"/>
                <w:u w:val="none" w:color="auto"/>
              </w:rPr>
              <w:t>2</w:t>
            </w:r>
            <w:r>
              <w:rPr>
                <w:rFonts w:hint="default" w:ascii="Times New Roman" w:hAnsi="Times New Roman" w:cs="Times New Roman"/>
                <w:color w:val="auto"/>
                <w:spacing w:val="-4"/>
                <w:highlight w:val="none"/>
                <w:u w:val="none" w:color="auto"/>
              </w:rPr>
              <w:t>蒸吨以下的生物质锅炉已被列</w:t>
            </w:r>
            <w:r>
              <w:rPr>
                <w:rFonts w:hint="default" w:ascii="Times New Roman" w:hAnsi="Times New Roman" w:cs="Times New Roman"/>
                <w:color w:val="auto"/>
                <w:spacing w:val="3"/>
                <w:highlight w:val="none"/>
                <w:u w:val="none" w:color="auto"/>
              </w:rPr>
              <w:t>入《产业结构调整指导目录</w:t>
            </w:r>
            <w:r>
              <w:rPr>
                <w:rFonts w:hint="default" w:ascii="Times New Roman" w:hAnsi="Times New Roman" w:eastAsia="Times New Roman" w:cs="Times New Roman"/>
                <w:color w:val="auto"/>
                <w:spacing w:val="3"/>
                <w:highlight w:val="none"/>
                <w:u w:val="none" w:color="auto"/>
              </w:rPr>
              <w:t>(2024</w:t>
            </w:r>
            <w:r>
              <w:rPr>
                <w:rFonts w:hint="default" w:ascii="Times New Roman" w:hAnsi="Times New Roman" w:cs="Times New Roman"/>
                <w:color w:val="auto"/>
                <w:spacing w:val="3"/>
                <w:highlight w:val="none"/>
                <w:u w:val="none" w:color="auto"/>
              </w:rPr>
              <w:t>年本</w:t>
            </w:r>
            <w:r>
              <w:rPr>
                <w:rFonts w:hint="default" w:ascii="Times New Roman" w:hAnsi="Times New Roman" w:eastAsia="Times New Roman" w:cs="Times New Roman"/>
                <w:color w:val="auto"/>
                <w:spacing w:val="3"/>
                <w:highlight w:val="none"/>
                <w:u w:val="none" w:color="auto"/>
              </w:rPr>
              <w:t>)</w:t>
            </w:r>
            <w:r>
              <w:rPr>
                <w:rFonts w:hint="default" w:ascii="Times New Roman" w:hAnsi="Times New Roman" w:cs="Times New Roman"/>
                <w:color w:val="auto"/>
                <w:spacing w:val="3"/>
                <w:highlight w:val="none"/>
                <w:u w:val="none" w:color="auto"/>
              </w:rPr>
              <w:t>》中的淘汰类</w:t>
            </w:r>
            <w:r>
              <w:rPr>
                <w:rFonts w:hint="default" w:ascii="Times New Roman" w:hAnsi="Times New Roman" w:cs="Times New Roman"/>
                <w:color w:val="auto"/>
                <w:spacing w:val="3"/>
                <w:highlight w:val="none"/>
                <w:u w:val="none" w:color="auto"/>
                <w:lang w:eastAsia="zh-CN"/>
              </w:rPr>
              <w:t>—（</w:t>
            </w:r>
            <w:r>
              <w:rPr>
                <w:rFonts w:hint="default" w:ascii="Times New Roman" w:hAnsi="Times New Roman" w:cs="Times New Roman"/>
                <w:color w:val="auto"/>
                <w:spacing w:val="3"/>
                <w:highlight w:val="none"/>
                <w:u w:val="none" w:color="auto"/>
                <w:lang w:val="en-US" w:eastAsia="zh-CN"/>
              </w:rPr>
              <w:t>七</w:t>
            </w:r>
            <w:r>
              <w:rPr>
                <w:rFonts w:hint="default" w:ascii="Times New Roman" w:hAnsi="Times New Roman" w:cs="Times New Roman"/>
                <w:color w:val="auto"/>
                <w:spacing w:val="3"/>
                <w:highlight w:val="none"/>
                <w:u w:val="none" w:color="auto"/>
                <w:lang w:eastAsia="zh-CN"/>
              </w:rPr>
              <w:t>）</w:t>
            </w:r>
            <w:r>
              <w:rPr>
                <w:rFonts w:hint="default" w:ascii="Times New Roman" w:hAnsi="Times New Roman" w:cs="Times New Roman"/>
                <w:color w:val="auto"/>
                <w:spacing w:val="3"/>
                <w:highlight w:val="none"/>
                <w:u w:val="none" w:color="auto"/>
                <w:lang w:val="en-US" w:eastAsia="zh-CN"/>
              </w:rPr>
              <w:t>机械—66.每小时2蒸吨及以下生物质锅炉</w:t>
            </w:r>
            <w:r>
              <w:rPr>
                <w:rFonts w:hint="default" w:ascii="Times New Roman" w:hAnsi="Times New Roman" w:cs="Times New Roman"/>
                <w:color w:val="auto"/>
                <w:spacing w:val="2"/>
                <w:highlight w:val="none"/>
                <w:u w:val="none" w:color="auto"/>
                <w:lang w:eastAsia="zh-CN"/>
              </w:rPr>
              <w:t>。</w:t>
            </w:r>
            <w:r>
              <w:rPr>
                <w:rFonts w:hint="default" w:ascii="Times New Roman" w:hAnsi="Times New Roman" w:cs="Times New Roman"/>
                <w:color w:val="auto"/>
                <w:spacing w:val="2"/>
                <w:highlight w:val="none"/>
                <w:u w:val="none" w:color="auto"/>
              </w:rPr>
              <w:t>根据《国务院关于印</w:t>
            </w:r>
            <w:r>
              <w:rPr>
                <w:rFonts w:hint="default" w:ascii="Times New Roman" w:hAnsi="Times New Roman" w:cs="Times New Roman"/>
                <w:color w:val="auto"/>
                <w:spacing w:val="1"/>
                <w:highlight w:val="none"/>
                <w:u w:val="none" w:color="auto"/>
              </w:rPr>
              <w:t>发〈空气质量持续改善行动计划〉的通知》（国</w:t>
            </w:r>
            <w:r>
              <w:rPr>
                <w:rFonts w:hint="default" w:ascii="Times New Roman" w:hAnsi="Times New Roman" w:cs="Times New Roman"/>
                <w:color w:val="auto"/>
                <w:highlight w:val="none"/>
                <w:u w:val="none" w:color="auto"/>
              </w:rPr>
              <w:t>发〔</w:t>
            </w:r>
            <w:r>
              <w:rPr>
                <w:rFonts w:hint="default" w:ascii="Times New Roman" w:hAnsi="Times New Roman" w:eastAsia="Times New Roman" w:cs="Times New Roman"/>
                <w:color w:val="auto"/>
                <w:highlight w:val="none"/>
                <w:u w:val="none" w:color="auto"/>
              </w:rPr>
              <w:t>2023</w:t>
            </w:r>
            <w:r>
              <w:rPr>
                <w:rFonts w:hint="default" w:ascii="Times New Roman" w:hAnsi="Times New Roman" w:cs="Times New Roman"/>
                <w:color w:val="auto"/>
                <w:highlight w:val="none"/>
                <w:u w:val="none" w:color="auto"/>
              </w:rPr>
              <w:t>〕</w:t>
            </w:r>
            <w:r>
              <w:rPr>
                <w:rFonts w:hint="default" w:ascii="Times New Roman" w:hAnsi="Times New Roman" w:eastAsia="Times New Roman" w:cs="Times New Roman"/>
                <w:color w:val="auto"/>
                <w:highlight w:val="none"/>
                <w:u w:val="none" w:color="auto"/>
              </w:rPr>
              <w:t>24</w:t>
            </w:r>
            <w:r>
              <w:rPr>
                <w:rFonts w:hint="default" w:ascii="Times New Roman" w:hAnsi="Times New Roman" w:cs="Times New Roman"/>
                <w:color w:val="auto"/>
                <w:highlight w:val="none"/>
                <w:u w:val="none" w:color="auto"/>
              </w:rPr>
              <w:t>号）、《国务</w:t>
            </w:r>
            <w:r>
              <w:rPr>
                <w:rFonts w:hint="default" w:ascii="Times New Roman" w:hAnsi="Times New Roman" w:cs="Times New Roman"/>
                <w:color w:val="auto"/>
                <w:spacing w:val="-5"/>
                <w:highlight w:val="none"/>
                <w:u w:val="none" w:color="auto"/>
              </w:rPr>
              <w:t>院关于印发〈推动大规模设备更新和消费品以旧换新行动方案〉的通知》（国</w:t>
            </w:r>
            <w:r>
              <w:rPr>
                <w:rFonts w:hint="default" w:ascii="Times New Roman" w:hAnsi="Times New Roman" w:cs="Times New Roman"/>
                <w:color w:val="auto"/>
                <w:spacing w:val="-3"/>
                <w:highlight w:val="none"/>
                <w:u w:val="none" w:color="auto"/>
              </w:rPr>
              <w:t>发</w:t>
            </w:r>
            <w:r>
              <w:rPr>
                <w:rFonts w:hint="default" w:ascii="Times New Roman" w:hAnsi="Times New Roman" w:cs="Times New Roman"/>
                <w:color w:val="auto"/>
                <w:highlight w:val="none"/>
                <w:u w:val="none" w:color="auto"/>
              </w:rPr>
              <w:t>〔</w:t>
            </w:r>
            <w:r>
              <w:rPr>
                <w:rFonts w:hint="default" w:ascii="Times New Roman" w:hAnsi="Times New Roman" w:eastAsia="Times New Roman" w:cs="Times New Roman"/>
                <w:color w:val="auto"/>
                <w:highlight w:val="none"/>
                <w:u w:val="none" w:color="auto"/>
              </w:rPr>
              <w:t>202</w:t>
            </w:r>
            <w:r>
              <w:rPr>
                <w:rFonts w:hint="default" w:ascii="Times New Roman" w:hAnsi="Times New Roman" w:eastAsia="宋体" w:cs="Times New Roman"/>
                <w:color w:val="auto"/>
                <w:highlight w:val="none"/>
                <w:u w:val="none" w:color="auto"/>
                <w:lang w:val="en-US" w:eastAsia="zh-CN"/>
              </w:rPr>
              <w:t>4</w:t>
            </w:r>
            <w:r>
              <w:rPr>
                <w:rFonts w:hint="default" w:ascii="Times New Roman" w:hAnsi="Times New Roman" w:cs="Times New Roman"/>
                <w:color w:val="auto"/>
                <w:highlight w:val="none"/>
                <w:u w:val="none" w:color="auto"/>
              </w:rPr>
              <w:t>〕</w:t>
            </w:r>
            <w:r>
              <w:rPr>
                <w:rFonts w:hint="default" w:ascii="Times New Roman" w:hAnsi="Times New Roman" w:eastAsia="Times New Roman" w:cs="Times New Roman"/>
                <w:color w:val="auto"/>
                <w:spacing w:val="-3"/>
                <w:highlight w:val="none"/>
                <w:u w:val="none" w:color="auto"/>
              </w:rPr>
              <w:t>7</w:t>
            </w:r>
            <w:r>
              <w:rPr>
                <w:rFonts w:hint="default" w:ascii="Times New Roman" w:hAnsi="Times New Roman" w:cs="Times New Roman"/>
                <w:color w:val="auto"/>
                <w:spacing w:val="-3"/>
                <w:highlight w:val="none"/>
                <w:u w:val="none" w:color="auto"/>
              </w:rPr>
              <w:t>号）、国家发展改革委、市场监管</w:t>
            </w:r>
            <w:r>
              <w:rPr>
                <w:rFonts w:hint="default" w:ascii="Times New Roman" w:hAnsi="Times New Roman" w:cs="Times New Roman"/>
                <w:color w:val="auto"/>
                <w:spacing w:val="-4"/>
                <w:highlight w:val="none"/>
                <w:u w:val="none" w:color="auto"/>
              </w:rPr>
              <w:t>总局等</w:t>
            </w:r>
            <w:r>
              <w:rPr>
                <w:rFonts w:hint="default" w:ascii="Times New Roman" w:hAnsi="Times New Roman" w:cs="Times New Roman"/>
                <w:color w:val="auto"/>
                <w:spacing w:val="-49"/>
                <w:highlight w:val="none"/>
                <w:u w:val="none" w:color="auto"/>
              </w:rPr>
              <w:t xml:space="preserve"> </w:t>
            </w:r>
            <w:r>
              <w:rPr>
                <w:rFonts w:hint="default" w:ascii="Times New Roman" w:hAnsi="Times New Roman" w:eastAsia="Times New Roman" w:cs="Times New Roman"/>
                <w:color w:val="auto"/>
                <w:spacing w:val="-4"/>
                <w:highlight w:val="none"/>
                <w:u w:val="none" w:color="auto"/>
              </w:rPr>
              <w:t xml:space="preserve">5 </w:t>
            </w:r>
            <w:r>
              <w:rPr>
                <w:rFonts w:hint="default" w:ascii="Times New Roman" w:hAnsi="Times New Roman" w:cs="Times New Roman"/>
                <w:color w:val="auto"/>
                <w:spacing w:val="-4"/>
                <w:highlight w:val="none"/>
                <w:u w:val="none" w:color="auto"/>
              </w:rPr>
              <w:t>部门关于印发《锅炉</w:t>
            </w:r>
            <w:r>
              <w:rPr>
                <w:rFonts w:hint="default" w:ascii="Times New Roman" w:hAnsi="Times New Roman" w:cs="Times New Roman"/>
                <w:color w:val="auto"/>
                <w:spacing w:val="1"/>
                <w:highlight w:val="none"/>
                <w:u w:val="none" w:color="auto"/>
              </w:rPr>
              <w:t>绿色低碳高质量发展行动方案》的通知（发改环</w:t>
            </w:r>
            <w:r>
              <w:rPr>
                <w:rFonts w:hint="default" w:ascii="Times New Roman" w:hAnsi="Times New Roman" w:cs="Times New Roman"/>
                <w:color w:val="auto"/>
                <w:highlight w:val="none"/>
                <w:u w:val="none" w:color="auto"/>
              </w:rPr>
              <w:t>资〔</w:t>
            </w:r>
            <w:r>
              <w:rPr>
                <w:rFonts w:hint="default" w:ascii="Times New Roman" w:hAnsi="Times New Roman" w:eastAsia="Times New Roman" w:cs="Times New Roman"/>
                <w:color w:val="auto"/>
                <w:highlight w:val="none"/>
                <w:u w:val="none" w:color="auto"/>
              </w:rPr>
              <w:t>2023</w:t>
            </w:r>
            <w:r>
              <w:rPr>
                <w:rFonts w:hint="default" w:ascii="Times New Roman" w:hAnsi="Times New Roman" w:cs="Times New Roman"/>
                <w:color w:val="auto"/>
                <w:highlight w:val="none"/>
                <w:u w:val="none" w:color="auto"/>
              </w:rPr>
              <w:t>〕</w:t>
            </w:r>
            <w:r>
              <w:rPr>
                <w:rFonts w:hint="default" w:ascii="Times New Roman" w:hAnsi="Times New Roman" w:eastAsia="Times New Roman" w:cs="Times New Roman"/>
                <w:color w:val="auto"/>
                <w:highlight w:val="none"/>
                <w:u w:val="none" w:color="auto"/>
              </w:rPr>
              <w:t xml:space="preserve">1638 </w:t>
            </w:r>
            <w:r>
              <w:rPr>
                <w:rFonts w:hint="default" w:ascii="Times New Roman" w:hAnsi="Times New Roman" w:cs="Times New Roman"/>
                <w:color w:val="auto"/>
                <w:highlight w:val="none"/>
                <w:u w:val="none" w:color="auto"/>
              </w:rPr>
              <w:t>号）等文件</w:t>
            </w:r>
            <w:r>
              <w:rPr>
                <w:rFonts w:hint="default" w:ascii="Times New Roman" w:hAnsi="Times New Roman" w:cs="Times New Roman"/>
                <w:color w:val="auto"/>
                <w:spacing w:val="1"/>
                <w:highlight w:val="none"/>
                <w:u w:val="none" w:color="auto"/>
              </w:rPr>
              <w:t>要求，必须淘汰目前正在使用的</w:t>
            </w:r>
            <w:r>
              <w:rPr>
                <w:rFonts w:hint="default" w:ascii="Times New Roman" w:hAnsi="Times New Roman" w:cs="Times New Roman"/>
                <w:color w:val="auto"/>
                <w:spacing w:val="-55"/>
                <w:highlight w:val="none"/>
                <w:u w:val="none" w:color="auto"/>
              </w:rPr>
              <w:t xml:space="preserve"> </w:t>
            </w:r>
            <w:r>
              <w:rPr>
                <w:rFonts w:hint="default" w:ascii="Times New Roman" w:hAnsi="Times New Roman" w:eastAsia="Times New Roman" w:cs="Times New Roman"/>
                <w:color w:val="auto"/>
                <w:spacing w:val="1"/>
                <w:highlight w:val="none"/>
                <w:u w:val="none" w:color="auto"/>
              </w:rPr>
              <w:t>2t/h</w:t>
            </w:r>
            <w:r>
              <w:rPr>
                <w:rFonts w:hint="default" w:ascii="Times New Roman" w:hAnsi="Times New Roman" w:cs="Times New Roman"/>
                <w:color w:val="auto"/>
                <w:highlight w:val="none"/>
                <w:u w:val="none" w:color="auto"/>
              </w:rPr>
              <w:t>生物质锅炉。</w:t>
            </w:r>
            <w:r>
              <w:rPr>
                <w:rFonts w:hint="default" w:ascii="Times New Roman" w:hAnsi="Times New Roman" w:cs="Times New Roman"/>
                <w:color w:val="auto"/>
                <w:highlight w:val="none"/>
                <w:u w:val="none" w:color="auto"/>
                <w:lang w:val="en-US" w:eastAsia="zh-CN"/>
              </w:rPr>
              <w:t>因此，</w:t>
            </w:r>
            <w:r>
              <w:rPr>
                <w:rFonts w:hint="default" w:ascii="Times New Roman" w:hAnsi="Times New Roman" w:cs="Times New Roman"/>
                <w:color w:val="auto"/>
                <w:highlight w:val="none"/>
                <w:u w:val="none" w:color="auto"/>
                <w:lang w:eastAsia="zh-CN"/>
              </w:rPr>
              <w:t>永州市耀福油脂有限公司</w:t>
            </w:r>
            <w:r>
              <w:rPr>
                <w:rFonts w:hint="default" w:ascii="Times New Roman" w:hAnsi="Times New Roman" w:cs="Times New Roman"/>
                <w:color w:val="auto"/>
                <w:highlight w:val="none"/>
                <w:u w:val="none" w:color="auto"/>
                <w:lang w:val="en-US" w:eastAsia="zh-CN"/>
              </w:rPr>
              <w:t>已按政策要求</w:t>
            </w:r>
            <w:r>
              <w:rPr>
                <w:rFonts w:hint="default" w:ascii="Times New Roman" w:hAnsi="Times New Roman" w:cs="Times New Roman"/>
                <w:color w:val="auto"/>
                <w:spacing w:val="-1"/>
                <w:highlight w:val="none"/>
                <w:u w:val="none" w:color="auto"/>
                <w:lang w:val="en-US" w:eastAsia="zh-CN"/>
              </w:rPr>
              <w:t>停产淘汰现有</w:t>
            </w:r>
            <w:r>
              <w:rPr>
                <w:rFonts w:hint="default" w:ascii="Times New Roman" w:hAnsi="Times New Roman" w:eastAsia="宋体" w:cs="Times New Roman"/>
                <w:color w:val="auto"/>
                <w:spacing w:val="-1"/>
                <w:highlight w:val="none"/>
                <w:u w:val="none" w:color="auto"/>
              </w:rPr>
              <w:t>2t/h</w:t>
            </w:r>
            <w:r>
              <w:rPr>
                <w:rFonts w:hint="default" w:ascii="Times New Roman" w:hAnsi="Times New Roman" w:cs="Times New Roman"/>
                <w:color w:val="auto"/>
                <w:spacing w:val="-1"/>
                <w:highlight w:val="none"/>
                <w:u w:val="none" w:color="auto"/>
              </w:rPr>
              <w:t>生物质锅炉</w:t>
            </w:r>
            <w:r>
              <w:rPr>
                <w:rFonts w:hint="default" w:ascii="Times New Roman" w:hAnsi="Times New Roman" w:cs="Times New Roman"/>
                <w:color w:val="auto"/>
                <w:spacing w:val="-1"/>
                <w:highlight w:val="none"/>
                <w:u w:val="none" w:color="auto"/>
                <w:lang w:eastAsia="zh-CN"/>
              </w:rPr>
              <w:t>，</w:t>
            </w:r>
            <w:r>
              <w:rPr>
                <w:rFonts w:hint="default" w:ascii="Times New Roman" w:hAnsi="Times New Roman" w:cs="Times New Roman"/>
                <w:color w:val="auto"/>
                <w:spacing w:val="-1"/>
                <w:highlight w:val="none"/>
                <w:u w:val="none" w:color="auto"/>
                <w:lang w:val="en-US" w:eastAsia="zh-CN"/>
              </w:rPr>
              <w:t>技改建设一台2.1t/h</w:t>
            </w:r>
            <w:r>
              <w:rPr>
                <w:rFonts w:hint="default" w:ascii="Times New Roman" w:hAnsi="Times New Roman" w:cs="Times New Roman"/>
                <w:color w:val="auto"/>
                <w:spacing w:val="-1"/>
                <w:highlight w:val="none"/>
                <w:u w:val="none" w:color="auto"/>
              </w:rPr>
              <w:t>生物质锅炉</w:t>
            </w:r>
            <w:r>
              <w:rPr>
                <w:rFonts w:hint="default" w:ascii="Times New Roman" w:hAnsi="Times New Roman" w:cs="Times New Roman"/>
                <w:color w:val="auto"/>
                <w:spacing w:val="-1"/>
                <w:highlight w:val="none"/>
                <w:u w:val="none" w:color="auto"/>
                <w:lang w:eastAsia="zh-CN"/>
              </w:rPr>
              <w:t>。</w:t>
            </w:r>
          </w:p>
          <w:p w14:paraId="4ED07571">
            <w:pPr>
              <w:pStyle w:val="101"/>
              <w:shd w:val="clear" w:color="auto" w:fill="FFFFFF"/>
              <w:spacing w:before="0" w:beforeAutospacing="0" w:after="0" w:afterAutospacing="0" w:line="360" w:lineRule="auto"/>
              <w:ind w:firstLine="476" w:firstLineChars="200"/>
              <w:jc w:val="both"/>
              <w:rPr>
                <w:rFonts w:hint="default" w:ascii="Times New Roman" w:hAnsi="Times New Roman" w:cs="Times New Roman"/>
                <w:color w:val="auto"/>
                <w:spacing w:val="-1"/>
                <w:highlight w:val="none"/>
                <w:u w:val="none" w:color="auto"/>
              </w:rPr>
            </w:pPr>
            <w:r>
              <w:rPr>
                <w:rFonts w:hint="default" w:ascii="Times New Roman" w:hAnsi="Times New Roman" w:cs="Times New Roman"/>
                <w:color w:val="auto"/>
                <w:spacing w:val="-1"/>
                <w:highlight w:val="none"/>
                <w:u w:val="none" w:color="auto"/>
                <w:lang w:eastAsia="zh-CN"/>
              </w:rPr>
              <w:t>技改后</w:t>
            </w:r>
            <w:r>
              <w:rPr>
                <w:rFonts w:hint="default" w:ascii="Times New Roman" w:hAnsi="Times New Roman" w:cs="Times New Roman"/>
                <w:color w:val="auto"/>
                <w:spacing w:val="-1"/>
                <w:highlight w:val="none"/>
                <w:u w:val="none" w:color="auto"/>
              </w:rPr>
              <w:t>使用</w:t>
            </w:r>
            <w:r>
              <w:rPr>
                <w:rFonts w:hint="default" w:ascii="Times New Roman" w:hAnsi="Times New Roman" w:cs="Times New Roman"/>
                <w:color w:val="auto"/>
                <w:spacing w:val="-1"/>
                <w:highlight w:val="none"/>
                <w:u w:val="none" w:color="auto"/>
                <w:lang w:val="en-US" w:eastAsia="zh-CN"/>
              </w:rPr>
              <w:t>2.1t/h</w:t>
            </w:r>
            <w:r>
              <w:rPr>
                <w:rFonts w:hint="default" w:ascii="Times New Roman" w:hAnsi="Times New Roman" w:cs="Times New Roman"/>
                <w:color w:val="auto"/>
                <w:spacing w:val="-1"/>
                <w:highlight w:val="none"/>
                <w:u w:val="none" w:color="auto"/>
              </w:rPr>
              <w:t>生物质锅炉，在原有2t/h生物质锅炉的基础上，</w:t>
            </w:r>
            <w:r>
              <w:rPr>
                <w:rFonts w:hint="default" w:ascii="Times New Roman" w:hAnsi="Times New Roman" w:cs="Times New Roman"/>
                <w:color w:val="auto"/>
                <w:spacing w:val="-1"/>
                <w:highlight w:val="none"/>
                <w:u w:val="none" w:color="auto"/>
                <w:lang w:val="en-US" w:eastAsia="zh-CN"/>
              </w:rPr>
              <w:t>减少了锅炉的运行时间，随而减少了锅炉废气的排放时间，技改建设2.1t/h生物质锅炉后</w:t>
            </w:r>
            <w:r>
              <w:rPr>
                <w:rFonts w:hint="default" w:ascii="Times New Roman" w:hAnsi="Times New Roman" w:cs="Times New Roman"/>
                <w:color w:val="auto"/>
                <w:spacing w:val="-1"/>
                <w:highlight w:val="none"/>
                <w:u w:val="none" w:color="auto"/>
              </w:rPr>
              <w:t>合理安排锅炉使用时间，可完全提供生产线需求的蒸汽量，不影响项目生产线的生产，与项目的运行是匹配的。</w:t>
            </w:r>
          </w:p>
          <w:p w14:paraId="66B668EB">
            <w:pPr>
              <w:pStyle w:val="101"/>
              <w:shd w:val="clear" w:color="auto" w:fill="FFFFFF"/>
              <w:spacing w:before="0" w:beforeAutospacing="0" w:after="0" w:afterAutospacing="0" w:line="360" w:lineRule="auto"/>
              <w:ind w:firstLine="480" w:firstLineChars="200"/>
              <w:jc w:val="both"/>
              <w:rPr>
                <w:rFonts w:hint="default" w:ascii="Times New Roman" w:hAnsi="Times New Roman" w:eastAsia="宋体" w:cs="Times New Roman"/>
                <w:color w:val="auto"/>
                <w:spacing w:val="2"/>
                <w:highlight w:val="none"/>
                <w:u w:val="none" w:color="auto"/>
                <w:lang w:val="en-US" w:eastAsia="zh-CN"/>
              </w:rPr>
            </w:pPr>
            <w:r>
              <w:rPr>
                <w:rFonts w:hint="default" w:ascii="Times New Roman" w:hAnsi="Times New Roman" w:cs="Times New Roman"/>
                <w:color w:val="auto"/>
                <w:highlight w:val="none"/>
                <w:u w:val="none" w:color="auto"/>
              </w:rPr>
              <w:t>根据《中华人民共和国环境影响评价法》和中</w:t>
            </w:r>
            <w:r>
              <w:rPr>
                <w:rFonts w:hint="default" w:ascii="Times New Roman" w:hAnsi="Times New Roman" w:cs="Times New Roman"/>
                <w:color w:val="auto"/>
                <w:spacing w:val="-1"/>
                <w:highlight w:val="none"/>
                <w:u w:val="none" w:color="auto"/>
              </w:rPr>
              <w:t>华人民共和国国务院令第</w:t>
            </w:r>
            <w:r>
              <w:rPr>
                <w:rFonts w:hint="default" w:ascii="Times New Roman" w:hAnsi="Times New Roman" w:eastAsia="Times New Roman" w:cs="Times New Roman"/>
                <w:color w:val="auto"/>
                <w:spacing w:val="-1"/>
                <w:highlight w:val="none"/>
                <w:u w:val="none" w:color="auto"/>
              </w:rPr>
              <w:t>682</w:t>
            </w:r>
            <w:r>
              <w:rPr>
                <w:rFonts w:hint="default" w:ascii="Times New Roman" w:hAnsi="Times New Roman" w:cs="Times New Roman"/>
                <w:color w:val="auto"/>
                <w:spacing w:val="-1"/>
                <w:highlight w:val="none"/>
                <w:u w:val="none" w:color="auto"/>
              </w:rPr>
              <w:t>号《建设项目环境保护管理条例》有关规定，建设项目须履</w:t>
            </w:r>
            <w:r>
              <w:rPr>
                <w:rFonts w:hint="default" w:ascii="Times New Roman" w:hAnsi="Times New Roman" w:cs="Times New Roman"/>
                <w:color w:val="auto"/>
                <w:spacing w:val="-2"/>
                <w:highlight w:val="none"/>
                <w:u w:val="none" w:color="auto"/>
              </w:rPr>
              <w:t>行环境影响评</w:t>
            </w:r>
            <w:r>
              <w:rPr>
                <w:rFonts w:hint="default" w:ascii="Times New Roman" w:hAnsi="Times New Roman" w:cs="Times New Roman"/>
                <w:color w:val="auto"/>
                <w:highlight w:val="none"/>
                <w:u w:val="none" w:color="auto"/>
              </w:rPr>
              <w:t>价制度。依据《建设项目环境保护管理条例》和《</w:t>
            </w:r>
            <w:r>
              <w:rPr>
                <w:rFonts w:hint="default" w:ascii="Times New Roman" w:hAnsi="Times New Roman" w:cs="Times New Roman"/>
                <w:color w:val="auto"/>
                <w:spacing w:val="-1"/>
                <w:highlight w:val="none"/>
                <w:u w:val="none" w:color="auto"/>
              </w:rPr>
              <w:t>建设项目环境影响评价分</w:t>
            </w:r>
            <w:r>
              <w:rPr>
                <w:rFonts w:hint="default" w:ascii="Times New Roman" w:hAnsi="Times New Roman" w:cs="Times New Roman"/>
                <w:color w:val="auto"/>
                <w:spacing w:val="2"/>
                <w:highlight w:val="none"/>
                <w:u w:val="none" w:color="auto"/>
              </w:rPr>
              <w:t>类管理名录》（</w:t>
            </w:r>
            <w:r>
              <w:rPr>
                <w:rFonts w:hint="default" w:ascii="Times New Roman" w:hAnsi="Times New Roman" w:eastAsia="Times New Roman" w:cs="Times New Roman"/>
                <w:color w:val="auto"/>
                <w:spacing w:val="2"/>
                <w:highlight w:val="none"/>
                <w:u w:val="none" w:color="auto"/>
              </w:rPr>
              <w:t>2021</w:t>
            </w:r>
            <w:r>
              <w:rPr>
                <w:rFonts w:hint="default" w:ascii="Times New Roman" w:hAnsi="Times New Roman" w:cs="Times New Roman"/>
                <w:color w:val="auto"/>
                <w:spacing w:val="2"/>
                <w:highlight w:val="none"/>
                <w:u w:val="none" w:color="auto"/>
              </w:rPr>
              <w:t>版</w:t>
            </w:r>
            <w:r>
              <w:rPr>
                <w:rFonts w:hint="default" w:ascii="Times New Roman" w:hAnsi="Times New Roman" w:cs="Times New Roman"/>
                <w:color w:val="auto"/>
                <w:spacing w:val="6"/>
                <w:highlight w:val="none"/>
                <w:u w:val="none" w:color="auto"/>
              </w:rPr>
              <w:t>），</w:t>
            </w:r>
            <w:r>
              <w:rPr>
                <w:rFonts w:hint="default" w:ascii="Times New Roman" w:hAnsi="Times New Roman" w:cs="Times New Roman"/>
                <w:color w:val="auto"/>
                <w:spacing w:val="2"/>
                <w:highlight w:val="none"/>
                <w:u w:val="none" w:color="auto"/>
              </w:rPr>
              <w:t>本项目属于四十一、电力、热力生产和供应业-</w:t>
            </w:r>
            <w:r>
              <w:rPr>
                <w:rFonts w:hint="default" w:ascii="Times New Roman" w:hAnsi="Times New Roman" w:eastAsia="Times New Roman" w:cs="Times New Roman"/>
                <w:color w:val="auto"/>
                <w:spacing w:val="-2"/>
                <w:highlight w:val="none"/>
                <w:u w:val="none" w:color="auto"/>
              </w:rPr>
              <w:t>91</w:t>
            </w:r>
            <w:r>
              <w:rPr>
                <w:rFonts w:hint="default" w:ascii="Times New Roman" w:hAnsi="Times New Roman" w:eastAsia="Times New Roman" w:cs="Times New Roman"/>
                <w:color w:val="auto"/>
                <w:spacing w:val="-33"/>
                <w:highlight w:val="none"/>
                <w:u w:val="none" w:color="auto"/>
              </w:rPr>
              <w:t xml:space="preserve"> </w:t>
            </w:r>
            <w:r>
              <w:rPr>
                <w:rFonts w:hint="default" w:ascii="Times New Roman" w:hAnsi="Times New Roman" w:cs="Times New Roman"/>
                <w:color w:val="auto"/>
                <w:spacing w:val="-2"/>
                <w:highlight w:val="none"/>
                <w:u w:val="none" w:color="auto"/>
              </w:rPr>
              <w:t>、热力生产和供应工程（包括建设单位自建自用的供热工程</w:t>
            </w:r>
            <w:r>
              <w:rPr>
                <w:rFonts w:hint="default" w:ascii="Times New Roman" w:hAnsi="Times New Roman" w:cs="Times New Roman"/>
                <w:color w:val="auto"/>
                <w:spacing w:val="13"/>
                <w:highlight w:val="none"/>
                <w:u w:val="none" w:color="auto"/>
              </w:rPr>
              <w:t>），</w:t>
            </w:r>
            <w:r>
              <w:rPr>
                <w:rFonts w:hint="default" w:ascii="Times New Roman" w:hAnsi="Times New Roman" w:cs="Times New Roman"/>
                <w:color w:val="auto"/>
                <w:spacing w:val="-2"/>
                <w:highlight w:val="none"/>
                <w:u w:val="none" w:color="auto"/>
              </w:rPr>
              <w:t>本项目需</w:t>
            </w:r>
            <w:r>
              <w:rPr>
                <w:rFonts w:hint="default" w:ascii="Times New Roman" w:hAnsi="Times New Roman" w:cs="Times New Roman"/>
                <w:color w:val="auto"/>
                <w:highlight w:val="none"/>
                <w:u w:val="none" w:color="auto"/>
              </w:rPr>
              <w:t>编制环境影响评价报告表。为此，</w:t>
            </w:r>
            <w:r>
              <w:rPr>
                <w:rFonts w:hint="default" w:ascii="Times New Roman" w:hAnsi="Times New Roman" w:eastAsia="宋体" w:cs="Times New Roman"/>
                <w:color w:val="auto"/>
                <w:highlight w:val="none"/>
                <w:u w:val="none" w:color="auto"/>
                <w:lang w:eastAsia="zh-CN"/>
              </w:rPr>
              <w:t>在</w:t>
            </w:r>
            <w:r>
              <w:rPr>
                <w:rFonts w:hint="default" w:ascii="Times New Roman" w:hAnsi="Times New Roman" w:cs="Times New Roman"/>
                <w:color w:val="auto"/>
                <w:highlight w:val="none"/>
                <w:u w:val="none" w:color="auto"/>
                <w:lang w:eastAsia="zh-CN"/>
              </w:rPr>
              <w:t>永州市耀福油脂有限公司</w:t>
            </w:r>
            <w:r>
              <w:rPr>
                <w:rFonts w:hint="default" w:ascii="Times New Roman" w:hAnsi="Times New Roman" w:eastAsia="宋体" w:cs="Times New Roman"/>
                <w:color w:val="auto"/>
                <w:highlight w:val="none"/>
                <w:u w:val="none" w:color="auto"/>
                <w:lang w:eastAsia="zh-CN"/>
              </w:rPr>
              <w:t>郑重承诺不发生原环评报告及批复的建设项目的性质、规模、地点、生产工艺和环境保护措施五个因素中的一项或一项以上出现重大变动前提下，</w:t>
            </w:r>
            <w:r>
              <w:rPr>
                <w:rFonts w:hint="default" w:ascii="Times New Roman" w:hAnsi="Times New Roman" w:cs="Times New Roman"/>
                <w:color w:val="auto"/>
                <w:spacing w:val="-1"/>
                <w:highlight w:val="none"/>
                <w:u w:val="none" w:color="auto"/>
              </w:rPr>
              <w:t>委托我公司</w:t>
            </w:r>
            <w:r>
              <w:rPr>
                <w:rFonts w:hint="default" w:ascii="Times New Roman" w:hAnsi="Times New Roman" w:cs="Times New Roman"/>
                <w:color w:val="auto"/>
                <w:highlight w:val="none"/>
                <w:u w:val="none" w:color="auto"/>
              </w:rPr>
              <w:t>承担</w:t>
            </w:r>
            <w:r>
              <w:rPr>
                <w:rFonts w:hint="default" w:ascii="Times New Roman" w:hAnsi="Times New Roman" w:eastAsia="宋体" w:cs="Times New Roman"/>
                <w:color w:val="auto"/>
                <w:highlight w:val="none"/>
                <w:u w:val="none" w:color="auto"/>
                <w:lang w:eastAsia="zh-CN"/>
              </w:rPr>
              <w:t>对</w:t>
            </w:r>
            <w:r>
              <w:rPr>
                <w:rFonts w:hint="default" w:ascii="Times New Roman" w:hAnsi="Times New Roman" w:cs="Times New Roman"/>
                <w:color w:val="auto"/>
                <w:highlight w:val="none"/>
                <w:u w:val="none" w:color="auto"/>
                <w:lang w:val="en-US" w:eastAsia="zh-CN"/>
              </w:rPr>
              <w:t>其技改2.1t/h</w:t>
            </w:r>
            <w:r>
              <w:rPr>
                <w:rFonts w:hint="default" w:ascii="Times New Roman" w:hAnsi="Times New Roman" w:eastAsia="宋体" w:cs="Times New Roman"/>
                <w:color w:val="auto"/>
                <w:highlight w:val="none"/>
                <w:u w:val="none" w:color="auto"/>
                <w:lang w:eastAsia="zh-CN"/>
              </w:rPr>
              <w:t>生物质锅炉进行</w:t>
            </w:r>
            <w:r>
              <w:rPr>
                <w:rFonts w:hint="default" w:ascii="Times New Roman" w:hAnsi="Times New Roman" w:cs="Times New Roman"/>
                <w:color w:val="auto"/>
                <w:spacing w:val="-2"/>
                <w:highlight w:val="none"/>
                <w:u w:val="none" w:color="auto"/>
              </w:rPr>
              <w:t>环境影响评</w:t>
            </w:r>
            <w:r>
              <w:rPr>
                <w:rFonts w:hint="default" w:ascii="Times New Roman" w:hAnsi="Times New Roman" w:cs="Times New Roman"/>
                <w:color w:val="auto"/>
                <w:highlight w:val="none"/>
                <w:u w:val="none" w:color="auto"/>
              </w:rPr>
              <w:t>价工作。我司组织专业技</w:t>
            </w:r>
            <w:r>
              <w:rPr>
                <w:rFonts w:hint="default" w:ascii="Times New Roman" w:hAnsi="Times New Roman" w:cs="Times New Roman"/>
                <w:color w:val="auto"/>
                <w:spacing w:val="-1"/>
                <w:highlight w:val="none"/>
                <w:u w:val="none" w:color="auto"/>
              </w:rPr>
              <w:t>术人员深入现场勘察，收</w:t>
            </w:r>
            <w:r>
              <w:rPr>
                <w:rFonts w:hint="default" w:ascii="Times New Roman" w:hAnsi="Times New Roman" w:cs="Times New Roman"/>
                <w:color w:val="auto"/>
                <w:highlight w:val="none"/>
                <w:u w:val="none" w:color="auto"/>
              </w:rPr>
              <w:t>集项目资料，在工程分析和影响预测的基础上，编</w:t>
            </w:r>
            <w:r>
              <w:rPr>
                <w:rFonts w:hint="default" w:ascii="Times New Roman" w:hAnsi="Times New Roman" w:cs="Times New Roman"/>
                <w:color w:val="auto"/>
                <w:spacing w:val="-1"/>
                <w:highlight w:val="none"/>
                <w:u w:val="none" w:color="auto"/>
              </w:rPr>
              <w:t>制完成《</w:t>
            </w:r>
            <w:r>
              <w:rPr>
                <w:rFonts w:hint="default" w:ascii="Times New Roman" w:hAnsi="Times New Roman" w:cs="Times New Roman"/>
                <w:color w:val="auto"/>
                <w:highlight w:val="none"/>
                <w:u w:val="none" w:color="auto"/>
                <w:lang w:eastAsia="zh-CN"/>
              </w:rPr>
              <w:t>永州市耀福油脂有限公司</w:t>
            </w:r>
            <w:r>
              <w:rPr>
                <w:rFonts w:hint="eastAsia" w:ascii="Times New Roman" w:hAnsi="Times New Roman" w:cs="Times New Roman"/>
                <w:color w:val="auto"/>
                <w:spacing w:val="-1"/>
                <w:highlight w:val="none"/>
                <w:u w:val="none" w:color="auto"/>
                <w:lang w:eastAsia="zh-CN"/>
              </w:rPr>
              <w:t>锅炉技改项目</w:t>
            </w:r>
            <w:r>
              <w:rPr>
                <w:rFonts w:hint="default" w:ascii="Times New Roman" w:hAnsi="Times New Roman" w:cs="Times New Roman"/>
                <w:color w:val="auto"/>
                <w:spacing w:val="-1"/>
                <w:highlight w:val="none"/>
                <w:u w:val="none" w:color="auto"/>
              </w:rPr>
              <w:t>环境影响报告表》。</w:t>
            </w:r>
            <w:r>
              <w:rPr>
                <w:rFonts w:hint="default" w:ascii="Times New Roman" w:hAnsi="Times New Roman" w:cs="Times New Roman"/>
                <w:color w:val="auto"/>
                <w:spacing w:val="-1"/>
                <w:highlight w:val="none"/>
                <w:u w:val="none" w:color="auto"/>
                <w:lang w:val="en-US" w:eastAsia="zh-CN"/>
              </w:rPr>
              <w:t>本次评价对象仅为</w:t>
            </w:r>
            <w:r>
              <w:rPr>
                <w:rFonts w:hint="default" w:ascii="Times New Roman" w:hAnsi="Times New Roman" w:cs="Times New Roman"/>
                <w:color w:val="auto"/>
                <w:highlight w:val="none"/>
                <w:u w:val="none" w:color="auto"/>
                <w:lang w:eastAsia="zh-CN"/>
              </w:rPr>
              <w:t>永州市耀福油脂有限公司</w:t>
            </w:r>
            <w:r>
              <w:rPr>
                <w:rFonts w:hint="default" w:ascii="Times New Roman" w:hAnsi="Times New Roman" w:cs="Times New Roman"/>
                <w:color w:val="auto"/>
                <w:highlight w:val="none"/>
                <w:u w:val="none" w:color="auto"/>
                <w:lang w:val="en-US" w:eastAsia="zh-CN"/>
              </w:rPr>
              <w:t>锅炉技改，不涉及主体生产工艺等其他内容。</w:t>
            </w:r>
          </w:p>
          <w:p w14:paraId="486475BB">
            <w:pPr>
              <w:tabs>
                <w:tab w:val="left" w:pos="360"/>
              </w:tabs>
              <w:spacing w:line="360" w:lineRule="auto"/>
              <w:rPr>
                <w:rFonts w:hint="default" w:ascii="Times New Roman" w:hAnsi="Times New Roman" w:cs="Times New Roman"/>
                <w:b/>
                <w:snapToGrid w:val="0"/>
                <w:color w:val="auto"/>
                <w:sz w:val="24"/>
                <w:highlight w:val="none"/>
                <w:u w:val="none" w:color="auto"/>
              </w:rPr>
            </w:pPr>
            <w:r>
              <w:rPr>
                <w:rFonts w:hint="default" w:ascii="Times New Roman" w:hAnsi="Times New Roman" w:cs="Times New Roman"/>
                <w:b/>
                <w:snapToGrid w:val="0"/>
                <w:color w:val="auto"/>
                <w:sz w:val="24"/>
                <w:highlight w:val="none"/>
                <w:u w:val="none" w:color="auto"/>
                <w:lang w:val="en-US" w:eastAsia="zh-CN"/>
              </w:rPr>
              <w:t>2</w:t>
            </w:r>
            <w:r>
              <w:rPr>
                <w:rFonts w:hint="default" w:ascii="Times New Roman" w:hAnsi="Times New Roman" w:cs="Times New Roman"/>
                <w:b/>
                <w:snapToGrid w:val="0"/>
                <w:color w:val="auto"/>
                <w:sz w:val="24"/>
                <w:highlight w:val="none"/>
                <w:u w:val="none" w:color="auto"/>
              </w:rPr>
              <w:t>、主要建设内容</w:t>
            </w:r>
          </w:p>
          <w:p w14:paraId="5863D64A">
            <w:pPr>
              <w:pStyle w:val="101"/>
              <w:shd w:val="clear" w:color="auto" w:fill="FFFFFF"/>
              <w:spacing w:before="0" w:beforeAutospacing="0" w:after="0" w:afterAutospacing="0" w:line="360" w:lineRule="auto"/>
              <w:ind w:firstLine="480" w:firstLineChars="200"/>
              <w:jc w:val="both"/>
              <w:rPr>
                <w:rFonts w:hint="default" w:ascii="Times New Roman" w:hAnsi="Times New Roman" w:cs="Times New Roman"/>
                <w:b/>
                <w:color w:val="auto"/>
                <w:highlight w:val="yellow"/>
                <w:u w:val="none" w:color="auto"/>
              </w:rPr>
            </w:pPr>
            <w:r>
              <w:rPr>
                <w:rFonts w:hint="default" w:ascii="Times New Roman" w:hAnsi="Times New Roman" w:cs="Times New Roman"/>
                <w:color w:val="auto"/>
                <w:highlight w:val="none"/>
                <w:u w:val="none" w:color="auto"/>
                <w:lang w:val="en-US" w:eastAsia="zh-CN"/>
              </w:rPr>
              <w:t>本项目为技术改造，拟将现有2t/h生物质锅炉技改为2.1t/h生物质锅炉，锅炉位置不变，不改变其他现用生产设备及生产工艺，不新增占地面积和建筑面积</w:t>
            </w:r>
            <w:r>
              <w:rPr>
                <w:rFonts w:hint="default" w:ascii="Times New Roman" w:hAnsi="Times New Roman" w:cs="Times New Roman"/>
                <w:color w:val="auto"/>
                <w:highlight w:val="none"/>
                <w:u w:val="none" w:color="auto"/>
              </w:rPr>
              <w:t>。主要建设内容详见表2-1。</w:t>
            </w:r>
            <w:bookmarkStart w:id="5" w:name="_Ref267898789"/>
          </w:p>
          <w:p w14:paraId="3C386440">
            <w:pPr>
              <w:jc w:val="center"/>
              <w:rPr>
                <w:rFonts w:hint="default" w:ascii="Times New Roman" w:hAnsi="Times New Roman" w:cs="Times New Roman"/>
                <w:b/>
                <w:color w:val="auto"/>
                <w:szCs w:val="21"/>
                <w:highlight w:val="none"/>
                <w:u w:val="none" w:color="auto"/>
              </w:rPr>
            </w:pPr>
            <w:r>
              <w:rPr>
                <w:rFonts w:hint="default" w:ascii="Times New Roman" w:hAnsi="Times New Roman" w:cs="Times New Roman"/>
                <w:b/>
                <w:color w:val="auto"/>
                <w:szCs w:val="21"/>
                <w:highlight w:val="none"/>
                <w:u w:val="none" w:color="auto"/>
              </w:rPr>
              <w:t xml:space="preserve">表2-1  </w:t>
            </w:r>
            <w:r>
              <w:rPr>
                <w:rFonts w:hint="default" w:ascii="Times New Roman" w:hAnsi="Times New Roman" w:cs="Times New Roman"/>
                <w:b/>
                <w:color w:val="auto"/>
                <w:szCs w:val="21"/>
                <w:highlight w:val="none"/>
                <w:u w:val="none" w:color="auto"/>
                <w:lang w:eastAsia="zh-CN"/>
              </w:rPr>
              <w:t>技改</w:t>
            </w:r>
            <w:r>
              <w:rPr>
                <w:rFonts w:hint="default" w:ascii="Times New Roman" w:hAnsi="Times New Roman" w:cs="Times New Roman"/>
                <w:b/>
                <w:color w:val="auto"/>
                <w:szCs w:val="21"/>
                <w:highlight w:val="none"/>
                <w:u w:val="none" w:color="auto"/>
              </w:rPr>
              <w:t>项目主要建设内容一览表</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0"/>
              <w:gridCol w:w="1320"/>
              <w:gridCol w:w="2660"/>
              <w:gridCol w:w="2062"/>
              <w:gridCol w:w="1136"/>
            </w:tblGrid>
            <w:tr w14:paraId="61C403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tcBorders>
                    <w:bottom w:val="single" w:color="auto" w:sz="4" w:space="0"/>
                  </w:tcBorders>
                  <w:noWrap w:val="0"/>
                  <w:vAlign w:val="center"/>
                </w:tcPr>
                <w:p w14:paraId="5B8E0D15">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工程</w:t>
                  </w:r>
                </w:p>
                <w:p w14:paraId="4370DE43">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名称</w:t>
                  </w:r>
                </w:p>
              </w:tc>
              <w:tc>
                <w:tcPr>
                  <w:tcW w:w="1320" w:type="dxa"/>
                  <w:noWrap w:val="0"/>
                  <w:vAlign w:val="center"/>
                </w:tcPr>
                <w:p w14:paraId="444BE719">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建筑物</w:t>
                  </w:r>
                </w:p>
                <w:p w14:paraId="28125433">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名称</w:t>
                  </w:r>
                </w:p>
              </w:tc>
              <w:tc>
                <w:tcPr>
                  <w:tcW w:w="2660" w:type="dxa"/>
                  <w:noWrap w:val="0"/>
                  <w:vAlign w:val="center"/>
                </w:tcPr>
                <w:p w14:paraId="77386C6E">
                  <w:pPr>
                    <w:jc w:val="center"/>
                    <w:rPr>
                      <w:rFonts w:hint="default" w:ascii="Times New Roman" w:hAnsi="Times New Roman" w:cs="Times New Roman"/>
                      <w:sz w:val="21"/>
                      <w:szCs w:val="21"/>
                    </w:rPr>
                  </w:pPr>
                  <w:r>
                    <w:rPr>
                      <w:rFonts w:hint="default" w:ascii="Times New Roman" w:hAnsi="Times New Roman" w:cs="Times New Roman"/>
                      <w:b/>
                      <w:color w:val="auto"/>
                      <w:sz w:val="21"/>
                      <w:szCs w:val="21"/>
                      <w:u w:val="none" w:color="auto"/>
                    </w:rPr>
                    <w:t>现有</w:t>
                  </w:r>
                  <w:r>
                    <w:rPr>
                      <w:rFonts w:hint="default" w:ascii="Times New Roman" w:hAnsi="Times New Roman" w:cs="Times New Roman"/>
                      <w:b/>
                      <w:color w:val="auto"/>
                      <w:sz w:val="21"/>
                      <w:szCs w:val="21"/>
                      <w:u w:val="none" w:color="auto"/>
                      <w:lang w:val="en-US" w:eastAsia="zh-CN"/>
                    </w:rPr>
                    <w:t>实际</w:t>
                  </w:r>
                  <w:r>
                    <w:rPr>
                      <w:rFonts w:hint="default" w:ascii="Times New Roman" w:hAnsi="Times New Roman" w:cs="Times New Roman"/>
                      <w:b/>
                      <w:color w:val="auto"/>
                      <w:sz w:val="21"/>
                      <w:szCs w:val="21"/>
                      <w:u w:val="none" w:color="auto"/>
                    </w:rPr>
                    <w:t>工程内容</w:t>
                  </w:r>
                </w:p>
              </w:tc>
              <w:tc>
                <w:tcPr>
                  <w:tcW w:w="2062" w:type="dxa"/>
                  <w:noWrap w:val="0"/>
                  <w:vAlign w:val="center"/>
                </w:tcPr>
                <w:p w14:paraId="037149FE">
                  <w:pPr>
                    <w:jc w:val="center"/>
                    <w:rPr>
                      <w:rFonts w:hint="default" w:ascii="Times New Roman" w:hAnsi="Times New Roman" w:cs="Times New Roman"/>
                      <w:sz w:val="21"/>
                      <w:szCs w:val="21"/>
                    </w:rPr>
                  </w:pPr>
                  <w:r>
                    <w:rPr>
                      <w:rFonts w:hint="default" w:ascii="Times New Roman" w:hAnsi="Times New Roman" w:cs="Times New Roman"/>
                      <w:b/>
                      <w:color w:val="auto"/>
                      <w:sz w:val="21"/>
                      <w:szCs w:val="21"/>
                      <w:u w:val="none" w:color="auto"/>
                      <w:lang w:eastAsia="zh-CN"/>
                    </w:rPr>
                    <w:t>技改后</w:t>
                  </w:r>
                  <w:r>
                    <w:rPr>
                      <w:rFonts w:hint="default" w:ascii="Times New Roman" w:hAnsi="Times New Roman" w:cs="Times New Roman"/>
                      <w:b/>
                      <w:color w:val="auto"/>
                      <w:sz w:val="21"/>
                      <w:szCs w:val="21"/>
                      <w:u w:val="none" w:color="auto"/>
                    </w:rPr>
                    <w:t>工程内容</w:t>
                  </w:r>
                </w:p>
              </w:tc>
              <w:tc>
                <w:tcPr>
                  <w:tcW w:w="1136" w:type="dxa"/>
                  <w:noWrap w:val="0"/>
                  <w:vAlign w:val="center"/>
                </w:tcPr>
                <w:p w14:paraId="7E992FFF">
                  <w:pPr>
                    <w:jc w:val="center"/>
                    <w:rPr>
                      <w:rFonts w:hint="default" w:ascii="Times New Roman" w:hAnsi="Times New Roman" w:cs="Times New Roman"/>
                      <w:b/>
                      <w:color w:val="auto"/>
                      <w:sz w:val="21"/>
                      <w:szCs w:val="21"/>
                      <w:u w:val="none" w:color="auto"/>
                      <w:lang w:val="en-US" w:eastAsia="zh-CN"/>
                    </w:rPr>
                  </w:pPr>
                  <w:r>
                    <w:rPr>
                      <w:rFonts w:hint="default" w:ascii="Times New Roman" w:hAnsi="Times New Roman" w:cs="Times New Roman"/>
                      <w:b/>
                      <w:color w:val="auto"/>
                      <w:sz w:val="21"/>
                      <w:szCs w:val="21"/>
                      <w:u w:val="none" w:color="auto"/>
                      <w:lang w:val="en-US" w:eastAsia="zh-CN"/>
                    </w:rPr>
                    <w:t>备注</w:t>
                  </w:r>
                </w:p>
              </w:tc>
            </w:tr>
            <w:tr w14:paraId="0981EA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noWrap w:val="0"/>
                  <w:vAlign w:val="center"/>
                </w:tcPr>
                <w:p w14:paraId="236CCCE3">
                  <w:pPr>
                    <w:jc w:val="center"/>
                    <w:rPr>
                      <w:rFonts w:hint="default" w:ascii="Times New Roman" w:hAnsi="Times New Roman" w:cs="Times New Roman"/>
                      <w:sz w:val="21"/>
                      <w:szCs w:val="21"/>
                    </w:rPr>
                  </w:pPr>
                  <w:r>
                    <w:rPr>
                      <w:rFonts w:hint="default" w:ascii="Times New Roman" w:hAnsi="Times New Roman" w:cs="Times New Roman"/>
                      <w:sz w:val="21"/>
                      <w:szCs w:val="21"/>
                    </w:rPr>
                    <w:t>主体工程</w:t>
                  </w:r>
                </w:p>
              </w:tc>
              <w:tc>
                <w:tcPr>
                  <w:tcW w:w="1320" w:type="dxa"/>
                  <w:noWrap w:val="0"/>
                  <w:vAlign w:val="center"/>
                </w:tcPr>
                <w:p w14:paraId="1B691E7E">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生产加工车间</w:t>
                  </w:r>
                </w:p>
              </w:tc>
              <w:tc>
                <w:tcPr>
                  <w:tcW w:w="2660" w:type="dxa"/>
                  <w:noWrap w:val="0"/>
                  <w:vAlign w:val="center"/>
                </w:tcPr>
                <w:p w14:paraId="7709FAEC">
                  <w:pPr>
                    <w:jc w:val="center"/>
                    <w:rPr>
                      <w:rFonts w:hint="default" w:ascii="Times New Roman" w:hAnsi="Times New Roman" w:cs="Times New Roman"/>
                      <w:sz w:val="21"/>
                      <w:szCs w:val="21"/>
                    </w:rPr>
                  </w:pPr>
                  <w:r>
                    <w:rPr>
                      <w:rFonts w:hint="default" w:ascii="Times New Roman" w:hAnsi="Times New Roman" w:cs="Times New Roman"/>
                      <w:sz w:val="21"/>
                      <w:szCs w:val="21"/>
                    </w:rPr>
                    <w:t>1栋2F总建筑面积720m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，钢架结构，作为油脂浸出，溶剂回收车间</w:t>
                  </w:r>
                </w:p>
              </w:tc>
              <w:tc>
                <w:tcPr>
                  <w:tcW w:w="2062" w:type="dxa"/>
                  <w:noWrap w:val="0"/>
                  <w:vAlign w:val="center"/>
                </w:tcPr>
                <w:p w14:paraId="7CB6A8C1">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cs="Times New Roman"/>
                      <w:color w:val="auto"/>
                      <w:szCs w:val="21"/>
                      <w:u w:val="none" w:color="auto"/>
                    </w:rPr>
                    <w:t>不变</w:t>
                  </w:r>
                </w:p>
              </w:tc>
              <w:tc>
                <w:tcPr>
                  <w:tcW w:w="1136" w:type="dxa"/>
                  <w:noWrap w:val="0"/>
                  <w:vAlign w:val="center"/>
                </w:tcPr>
                <w:p w14:paraId="57BF50E7">
                  <w:pPr>
                    <w:widowControl/>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依托</w:t>
                  </w:r>
                </w:p>
              </w:tc>
            </w:tr>
            <w:tr w14:paraId="241A7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restart"/>
                  <w:tcBorders>
                    <w:top w:val="single" w:color="auto" w:sz="4" w:space="0"/>
                  </w:tcBorders>
                  <w:noWrap w:val="0"/>
                  <w:vAlign w:val="center"/>
                </w:tcPr>
                <w:p w14:paraId="09F7E35B">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辅助工程</w:t>
                  </w:r>
                </w:p>
              </w:tc>
              <w:tc>
                <w:tcPr>
                  <w:tcW w:w="1320" w:type="dxa"/>
                  <w:noWrap w:val="0"/>
                  <w:vAlign w:val="center"/>
                </w:tcPr>
                <w:p w14:paraId="7F250079">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原料车间</w:t>
                  </w:r>
                </w:p>
              </w:tc>
              <w:tc>
                <w:tcPr>
                  <w:tcW w:w="2660" w:type="dxa"/>
                  <w:noWrap w:val="0"/>
                  <w:vAlign w:val="center"/>
                </w:tcPr>
                <w:p w14:paraId="252BA616">
                  <w:pPr>
                    <w:jc w:val="center"/>
                    <w:rPr>
                      <w:rFonts w:hint="default" w:ascii="Times New Roman" w:hAnsi="Times New Roman" w:cs="Times New Roman"/>
                      <w:sz w:val="21"/>
                      <w:szCs w:val="21"/>
                    </w:rPr>
                  </w:pPr>
                  <w:r>
                    <w:rPr>
                      <w:rFonts w:hint="default" w:ascii="Times New Roman" w:hAnsi="Times New Roman" w:cs="Times New Roman"/>
                      <w:sz w:val="21"/>
                      <w:szCs w:val="21"/>
                    </w:rPr>
                    <w:t>1栋1F总建筑面积880m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，钢架结构，作为原料车间</w:t>
                  </w:r>
                </w:p>
              </w:tc>
              <w:tc>
                <w:tcPr>
                  <w:tcW w:w="2062" w:type="dxa"/>
                  <w:tcBorders>
                    <w:bottom w:val="single" w:color="auto" w:sz="4" w:space="0"/>
                  </w:tcBorders>
                  <w:noWrap w:val="0"/>
                  <w:vAlign w:val="center"/>
                </w:tcPr>
                <w:p w14:paraId="0C0D8F50">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cs="Times New Roman"/>
                      <w:color w:val="auto"/>
                      <w:szCs w:val="21"/>
                      <w:u w:val="none" w:color="auto"/>
                    </w:rPr>
                    <w:t>不变</w:t>
                  </w:r>
                </w:p>
              </w:tc>
              <w:tc>
                <w:tcPr>
                  <w:tcW w:w="1136" w:type="dxa"/>
                  <w:tcBorders>
                    <w:bottom w:val="single" w:color="auto" w:sz="4" w:space="0"/>
                  </w:tcBorders>
                  <w:noWrap w:val="0"/>
                  <w:vAlign w:val="center"/>
                </w:tcPr>
                <w:p w14:paraId="6AB1227E">
                  <w:pPr>
                    <w:widowControl/>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依托</w:t>
                  </w:r>
                </w:p>
              </w:tc>
            </w:tr>
            <w:tr w14:paraId="4417EE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20" w:type="dxa"/>
                  <w:vMerge w:val="continue"/>
                  <w:noWrap w:val="0"/>
                  <w:vAlign w:val="center"/>
                </w:tcPr>
                <w:p w14:paraId="3514BAEE">
                  <w:pPr>
                    <w:spacing w:line="360" w:lineRule="auto"/>
                    <w:jc w:val="center"/>
                    <w:rPr>
                      <w:rFonts w:hint="default" w:ascii="Times New Roman" w:hAnsi="Times New Roman" w:cs="Times New Roman"/>
                      <w:sz w:val="21"/>
                      <w:szCs w:val="21"/>
                    </w:rPr>
                  </w:pPr>
                </w:p>
              </w:tc>
              <w:tc>
                <w:tcPr>
                  <w:tcW w:w="1320" w:type="dxa"/>
                  <w:noWrap w:val="0"/>
                  <w:vAlign w:val="center"/>
                </w:tcPr>
                <w:p w14:paraId="54D6A12F">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成品车间</w:t>
                  </w:r>
                </w:p>
              </w:tc>
              <w:tc>
                <w:tcPr>
                  <w:tcW w:w="2660" w:type="dxa"/>
                  <w:noWrap w:val="0"/>
                  <w:vAlign w:val="center"/>
                </w:tcPr>
                <w:p w14:paraId="36526331">
                  <w:pPr>
                    <w:jc w:val="center"/>
                    <w:rPr>
                      <w:rFonts w:hint="default" w:ascii="Times New Roman" w:hAnsi="Times New Roman" w:cs="Times New Roman"/>
                      <w:sz w:val="21"/>
                      <w:szCs w:val="21"/>
                    </w:rPr>
                  </w:pPr>
                  <w:r>
                    <w:rPr>
                      <w:rFonts w:hint="default" w:ascii="Times New Roman" w:hAnsi="Times New Roman" w:cs="Times New Roman"/>
                      <w:sz w:val="21"/>
                      <w:szCs w:val="21"/>
                    </w:rPr>
                    <w:t>1栋1F总建筑面积820m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，钢架结构，作为成品油茶渣包装车间</w:t>
                  </w:r>
                </w:p>
              </w:tc>
              <w:tc>
                <w:tcPr>
                  <w:tcW w:w="2062" w:type="dxa"/>
                  <w:tcBorders>
                    <w:bottom w:val="single" w:color="auto" w:sz="4" w:space="0"/>
                  </w:tcBorders>
                  <w:noWrap w:val="0"/>
                  <w:vAlign w:val="center"/>
                </w:tcPr>
                <w:p w14:paraId="01FBB63F">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noWrap w:val="0"/>
                  <w:vAlign w:val="center"/>
                </w:tcPr>
                <w:p w14:paraId="4E58F908">
                  <w:pPr>
                    <w:widowControl/>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依托</w:t>
                  </w:r>
                </w:p>
              </w:tc>
            </w:tr>
            <w:tr w14:paraId="566A96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698C08B7">
                  <w:pPr>
                    <w:spacing w:line="360" w:lineRule="auto"/>
                    <w:jc w:val="center"/>
                    <w:rPr>
                      <w:rFonts w:hint="default" w:ascii="Times New Roman" w:hAnsi="Times New Roman" w:cs="Times New Roman"/>
                      <w:sz w:val="21"/>
                      <w:szCs w:val="21"/>
                    </w:rPr>
                  </w:pPr>
                </w:p>
              </w:tc>
              <w:tc>
                <w:tcPr>
                  <w:tcW w:w="1320" w:type="dxa"/>
                  <w:noWrap w:val="0"/>
                  <w:vAlign w:val="center"/>
                </w:tcPr>
                <w:p w14:paraId="65644A7C">
                  <w:pPr>
                    <w:jc w:val="center"/>
                    <w:rPr>
                      <w:rFonts w:hint="default" w:ascii="Times New Roman" w:hAnsi="Times New Roman" w:cs="Times New Roman"/>
                      <w:sz w:val="21"/>
                      <w:szCs w:val="21"/>
                    </w:rPr>
                  </w:pPr>
                  <w:r>
                    <w:rPr>
                      <w:rFonts w:hint="default" w:ascii="Times New Roman" w:hAnsi="Times New Roman" w:cs="Times New Roman"/>
                      <w:sz w:val="21"/>
                      <w:szCs w:val="21"/>
                    </w:rPr>
                    <w:t>办公楼﹑食堂</w:t>
                  </w:r>
                </w:p>
              </w:tc>
              <w:tc>
                <w:tcPr>
                  <w:tcW w:w="2660" w:type="dxa"/>
                  <w:noWrap w:val="0"/>
                  <w:vAlign w:val="center"/>
                </w:tcPr>
                <w:p w14:paraId="26605DC3">
                  <w:pPr>
                    <w:jc w:val="center"/>
                    <w:rPr>
                      <w:rFonts w:hint="default" w:ascii="Times New Roman" w:hAnsi="Times New Roman" w:cs="Times New Roman"/>
                      <w:sz w:val="21"/>
                      <w:szCs w:val="21"/>
                    </w:rPr>
                  </w:pPr>
                  <w:r>
                    <w:rPr>
                      <w:rFonts w:hint="default" w:ascii="Times New Roman" w:hAnsi="Times New Roman" w:cs="Times New Roman"/>
                      <w:sz w:val="21"/>
                      <w:szCs w:val="21"/>
                    </w:rPr>
                    <w:t>1栋1F总建筑面积为60m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，钢砼结构，1栋，用于办公、食堂</w:t>
                  </w:r>
                </w:p>
              </w:tc>
              <w:tc>
                <w:tcPr>
                  <w:tcW w:w="2062" w:type="dxa"/>
                  <w:tcBorders>
                    <w:bottom w:val="single" w:color="auto" w:sz="4" w:space="0"/>
                  </w:tcBorders>
                  <w:noWrap w:val="0"/>
                  <w:vAlign w:val="center"/>
                </w:tcPr>
                <w:p w14:paraId="3639699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noWrap w:val="0"/>
                  <w:vAlign w:val="center"/>
                </w:tcPr>
                <w:p w14:paraId="2BCCCCB3">
                  <w:pPr>
                    <w:jc w:val="center"/>
                    <w:rPr>
                      <w:rFonts w:hint="default" w:ascii="Times New Roman" w:hAnsi="Times New Roman" w:cs="Times New Roman"/>
                      <w:sz w:val="21"/>
                      <w:szCs w:val="21"/>
                    </w:rPr>
                  </w:pPr>
                  <w:r>
                    <w:rPr>
                      <w:rFonts w:hint="default" w:ascii="Times New Roman" w:hAnsi="Times New Roman" w:cs="Times New Roman"/>
                      <w:sz w:val="21"/>
                      <w:szCs w:val="21"/>
                      <w:lang w:val="en-US" w:eastAsia="zh-CN"/>
                    </w:rPr>
                    <w:t>依托</w:t>
                  </w:r>
                </w:p>
              </w:tc>
            </w:tr>
            <w:tr w14:paraId="63320B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25502F39">
                  <w:pPr>
                    <w:spacing w:line="360" w:lineRule="auto"/>
                    <w:jc w:val="center"/>
                    <w:rPr>
                      <w:rFonts w:hint="default" w:ascii="Times New Roman" w:hAnsi="Times New Roman" w:cs="Times New Roman"/>
                      <w:sz w:val="21"/>
                      <w:szCs w:val="21"/>
                    </w:rPr>
                  </w:pPr>
                </w:p>
              </w:tc>
              <w:tc>
                <w:tcPr>
                  <w:tcW w:w="1320" w:type="dxa"/>
                  <w:noWrap w:val="0"/>
                  <w:vAlign w:val="center"/>
                </w:tcPr>
                <w:p w14:paraId="1356C410">
                  <w:pPr>
                    <w:jc w:val="center"/>
                    <w:rPr>
                      <w:rFonts w:hint="default" w:ascii="Times New Roman" w:hAnsi="Times New Roman" w:cs="Times New Roman"/>
                      <w:sz w:val="21"/>
                      <w:szCs w:val="21"/>
                    </w:rPr>
                  </w:pPr>
                  <w:r>
                    <w:rPr>
                      <w:rFonts w:hint="default" w:ascii="Times New Roman" w:hAnsi="Times New Roman" w:cs="Times New Roman"/>
                      <w:sz w:val="21"/>
                      <w:szCs w:val="21"/>
                    </w:rPr>
                    <w:t>员工宿舍</w:t>
                  </w:r>
                </w:p>
              </w:tc>
              <w:tc>
                <w:tcPr>
                  <w:tcW w:w="2660" w:type="dxa"/>
                  <w:noWrap w:val="0"/>
                  <w:vAlign w:val="center"/>
                </w:tcPr>
                <w:p w14:paraId="0ACF0EED">
                  <w:pPr>
                    <w:jc w:val="both"/>
                    <w:rPr>
                      <w:rFonts w:hint="default" w:ascii="Times New Roman" w:hAnsi="Times New Roman" w:cs="Times New Roman"/>
                      <w:sz w:val="21"/>
                      <w:szCs w:val="21"/>
                    </w:rPr>
                  </w:pPr>
                  <w:r>
                    <w:rPr>
                      <w:rFonts w:hint="default" w:ascii="Times New Roman" w:hAnsi="Times New Roman" w:cs="Times New Roman"/>
                      <w:sz w:val="21"/>
                      <w:szCs w:val="21"/>
                    </w:rPr>
                    <w:t>1栋</w:t>
                  </w: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F总建筑面积为300m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，砖混结构，用于员工住宿</w:t>
                  </w:r>
                </w:p>
              </w:tc>
              <w:tc>
                <w:tcPr>
                  <w:tcW w:w="2062" w:type="dxa"/>
                  <w:tcBorders>
                    <w:bottom w:val="single" w:color="auto" w:sz="4" w:space="0"/>
                  </w:tcBorders>
                  <w:noWrap w:val="0"/>
                  <w:vAlign w:val="center"/>
                </w:tcPr>
                <w:p w14:paraId="338EE2D5">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shd w:val="clear" w:color="auto" w:fill="auto"/>
                  <w:noWrap w:val="0"/>
                  <w:vAlign w:val="center"/>
                </w:tcPr>
                <w:p w14:paraId="68836CD8">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43335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restart"/>
                  <w:noWrap w:val="0"/>
                  <w:vAlign w:val="center"/>
                </w:tcPr>
                <w:p w14:paraId="656DFB28">
                  <w:pPr>
                    <w:pStyle w:val="19"/>
                    <w:rPr>
                      <w:rFonts w:hint="default" w:ascii="Times New Roman" w:hAnsi="Times New Roman" w:cs="Times New Roman"/>
                    </w:rPr>
                  </w:pPr>
                  <w:r>
                    <w:rPr>
                      <w:rFonts w:hint="default" w:ascii="Times New Roman" w:hAnsi="Times New Roman" w:cs="Times New Roman"/>
                      <w:sz w:val="21"/>
                      <w:szCs w:val="21"/>
                    </w:rPr>
                    <w:t>公用工程</w:t>
                  </w:r>
                </w:p>
              </w:tc>
              <w:tc>
                <w:tcPr>
                  <w:tcW w:w="1320" w:type="dxa"/>
                  <w:noWrap w:val="0"/>
                  <w:vAlign w:val="center"/>
                </w:tcPr>
                <w:p w14:paraId="309819A8">
                  <w:pPr>
                    <w:jc w:val="center"/>
                    <w:rPr>
                      <w:rFonts w:hint="default" w:ascii="Times New Roman" w:hAnsi="Times New Roman" w:cs="Times New Roman"/>
                      <w:sz w:val="21"/>
                      <w:szCs w:val="21"/>
                    </w:rPr>
                  </w:pPr>
                  <w:r>
                    <w:rPr>
                      <w:rFonts w:hint="default" w:ascii="Times New Roman" w:hAnsi="Times New Roman" w:cs="Times New Roman"/>
                      <w:sz w:val="21"/>
                      <w:szCs w:val="21"/>
                    </w:rPr>
                    <w:t>供水</w:t>
                  </w:r>
                </w:p>
              </w:tc>
              <w:tc>
                <w:tcPr>
                  <w:tcW w:w="2660" w:type="dxa"/>
                  <w:noWrap w:val="0"/>
                  <w:vAlign w:val="center"/>
                </w:tcPr>
                <w:p w14:paraId="02423E6A">
                  <w:pPr>
                    <w:jc w:val="center"/>
                    <w:rPr>
                      <w:rFonts w:hint="default" w:ascii="Times New Roman" w:hAnsi="Times New Roman" w:cs="Times New Roman"/>
                      <w:sz w:val="21"/>
                      <w:szCs w:val="21"/>
                    </w:rPr>
                  </w:pPr>
                  <w:r>
                    <w:rPr>
                      <w:rFonts w:hint="default" w:ascii="Times New Roman" w:hAnsi="Times New Roman" w:cs="Times New Roman"/>
                      <w:sz w:val="21"/>
                      <w:szCs w:val="21"/>
                    </w:rPr>
                    <w:t>自凿地下水井</w:t>
                  </w:r>
                </w:p>
              </w:tc>
              <w:tc>
                <w:tcPr>
                  <w:tcW w:w="2062" w:type="dxa"/>
                  <w:tcBorders>
                    <w:bottom w:val="single" w:color="auto" w:sz="4" w:space="0"/>
                  </w:tcBorders>
                  <w:noWrap w:val="0"/>
                  <w:vAlign w:val="center"/>
                </w:tcPr>
                <w:p w14:paraId="4EE4324A">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shd w:val="clear" w:color="auto" w:fill="auto"/>
                  <w:noWrap w:val="0"/>
                  <w:vAlign w:val="center"/>
                </w:tcPr>
                <w:p w14:paraId="6DA4B597">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27082D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713A8318">
                  <w:pPr>
                    <w:spacing w:line="360" w:lineRule="auto"/>
                    <w:jc w:val="center"/>
                    <w:rPr>
                      <w:rFonts w:hint="default" w:ascii="Times New Roman" w:hAnsi="Times New Roman" w:cs="Times New Roman"/>
                      <w:sz w:val="21"/>
                      <w:szCs w:val="21"/>
                    </w:rPr>
                  </w:pPr>
                </w:p>
              </w:tc>
              <w:tc>
                <w:tcPr>
                  <w:tcW w:w="1320" w:type="dxa"/>
                  <w:noWrap w:val="0"/>
                  <w:vAlign w:val="center"/>
                </w:tcPr>
                <w:p w14:paraId="051FB993">
                  <w:pPr>
                    <w:jc w:val="center"/>
                    <w:rPr>
                      <w:rFonts w:hint="default" w:ascii="Times New Roman" w:hAnsi="Times New Roman" w:cs="Times New Roman"/>
                      <w:sz w:val="21"/>
                      <w:szCs w:val="21"/>
                    </w:rPr>
                  </w:pPr>
                  <w:r>
                    <w:rPr>
                      <w:rFonts w:hint="default" w:ascii="Times New Roman" w:hAnsi="Times New Roman" w:cs="Times New Roman"/>
                      <w:sz w:val="21"/>
                      <w:szCs w:val="21"/>
                    </w:rPr>
                    <w:t>供热</w:t>
                  </w:r>
                </w:p>
              </w:tc>
              <w:tc>
                <w:tcPr>
                  <w:tcW w:w="2660" w:type="dxa"/>
                  <w:noWrap w:val="0"/>
                  <w:vAlign w:val="center"/>
                </w:tcPr>
                <w:p w14:paraId="21E00735">
                  <w:pPr>
                    <w:jc w:val="center"/>
                    <w:rPr>
                      <w:rFonts w:hint="default" w:ascii="Times New Roman" w:hAnsi="Times New Roman" w:cs="Times New Roman"/>
                      <w:sz w:val="21"/>
                      <w:szCs w:val="21"/>
                    </w:rPr>
                  </w:pPr>
                  <w:r>
                    <w:rPr>
                      <w:rFonts w:hint="default" w:ascii="Times New Roman" w:hAnsi="Times New Roman" w:cs="Times New Roman"/>
                      <w:b/>
                      <w:bCs/>
                      <w:sz w:val="21"/>
                      <w:szCs w:val="21"/>
                    </w:rPr>
                    <w:t>生物质锅炉（2t/h）</w:t>
                  </w:r>
                </w:p>
              </w:tc>
              <w:tc>
                <w:tcPr>
                  <w:tcW w:w="2062" w:type="dxa"/>
                  <w:tcBorders>
                    <w:bottom w:val="single" w:color="auto" w:sz="4" w:space="0"/>
                  </w:tcBorders>
                  <w:noWrap w:val="0"/>
                  <w:vAlign w:val="center"/>
                </w:tcPr>
                <w:p w14:paraId="54CC2FAB">
                  <w:pPr>
                    <w:jc w:val="center"/>
                    <w:rPr>
                      <w:rFonts w:hint="default" w:ascii="Times New Roman" w:hAnsi="Times New Roman" w:cs="Times New Roman"/>
                      <w:sz w:val="21"/>
                      <w:szCs w:val="21"/>
                    </w:rPr>
                  </w:pPr>
                  <w:r>
                    <w:rPr>
                      <w:rFonts w:hint="default" w:ascii="Times New Roman" w:hAnsi="Times New Roman" w:cs="Times New Roman"/>
                      <w:b/>
                      <w:bCs/>
                      <w:sz w:val="21"/>
                      <w:szCs w:val="21"/>
                    </w:rPr>
                    <w:t>锅炉房不变，拆除2t/h锅炉，改建为2.1t/h生物质锅炉</w:t>
                  </w:r>
                </w:p>
              </w:tc>
              <w:tc>
                <w:tcPr>
                  <w:tcW w:w="1136" w:type="dxa"/>
                  <w:tcBorders>
                    <w:bottom w:val="single" w:color="auto" w:sz="4" w:space="0"/>
                  </w:tcBorders>
                  <w:noWrap w:val="0"/>
                  <w:vAlign w:val="center"/>
                </w:tcPr>
                <w:p w14:paraId="0C3960F5">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b/>
                      <w:bCs/>
                      <w:sz w:val="21"/>
                      <w:szCs w:val="21"/>
                      <w:lang w:val="en-US" w:eastAsia="zh-CN"/>
                    </w:rPr>
                    <w:t>技改</w:t>
                  </w:r>
                </w:p>
              </w:tc>
            </w:tr>
            <w:tr w14:paraId="275EB6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705AEA09">
                  <w:pPr>
                    <w:spacing w:line="360" w:lineRule="auto"/>
                    <w:jc w:val="center"/>
                    <w:rPr>
                      <w:rFonts w:hint="default" w:ascii="Times New Roman" w:hAnsi="Times New Roman" w:cs="Times New Roman"/>
                      <w:sz w:val="21"/>
                      <w:szCs w:val="21"/>
                    </w:rPr>
                  </w:pPr>
                </w:p>
              </w:tc>
              <w:tc>
                <w:tcPr>
                  <w:tcW w:w="1320" w:type="dxa"/>
                  <w:noWrap w:val="0"/>
                  <w:vAlign w:val="center"/>
                </w:tcPr>
                <w:p w14:paraId="78F768DA">
                  <w:pPr>
                    <w:jc w:val="center"/>
                    <w:rPr>
                      <w:rFonts w:hint="default" w:ascii="Times New Roman" w:hAnsi="Times New Roman" w:cs="Times New Roman"/>
                      <w:sz w:val="21"/>
                      <w:szCs w:val="21"/>
                    </w:rPr>
                  </w:pPr>
                  <w:r>
                    <w:rPr>
                      <w:rFonts w:hint="default" w:ascii="Times New Roman" w:hAnsi="Times New Roman" w:cs="Times New Roman"/>
                      <w:sz w:val="21"/>
                      <w:szCs w:val="21"/>
                    </w:rPr>
                    <w:t>供电</w:t>
                  </w:r>
                </w:p>
              </w:tc>
              <w:tc>
                <w:tcPr>
                  <w:tcW w:w="2660" w:type="dxa"/>
                  <w:noWrap w:val="0"/>
                  <w:vAlign w:val="center"/>
                </w:tcPr>
                <w:p w14:paraId="52ABB7CC">
                  <w:pPr>
                    <w:jc w:val="center"/>
                    <w:rPr>
                      <w:rFonts w:hint="default" w:ascii="Times New Roman" w:hAnsi="Times New Roman" w:cs="Times New Roman"/>
                      <w:sz w:val="21"/>
                      <w:szCs w:val="21"/>
                    </w:rPr>
                  </w:pPr>
                  <w:r>
                    <w:rPr>
                      <w:rFonts w:hint="default" w:ascii="Times New Roman" w:hAnsi="Times New Roman" w:cs="Times New Roman"/>
                      <w:sz w:val="21"/>
                      <w:szCs w:val="21"/>
                    </w:rPr>
                    <w:t>祁阳县进宝塘镇大富村电网提供，380/220V</w:t>
                  </w:r>
                </w:p>
              </w:tc>
              <w:tc>
                <w:tcPr>
                  <w:tcW w:w="2062" w:type="dxa"/>
                  <w:tcBorders>
                    <w:bottom w:val="single" w:color="auto" w:sz="4" w:space="0"/>
                  </w:tcBorders>
                  <w:shd w:val="clear" w:color="auto" w:fill="auto"/>
                  <w:noWrap w:val="0"/>
                  <w:vAlign w:val="center"/>
                </w:tcPr>
                <w:p w14:paraId="12BD0476">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cs="Times New Roman"/>
                      <w:color w:val="auto"/>
                      <w:szCs w:val="21"/>
                      <w:u w:val="none" w:color="auto"/>
                    </w:rPr>
                    <w:t>不变</w:t>
                  </w:r>
                </w:p>
              </w:tc>
              <w:tc>
                <w:tcPr>
                  <w:tcW w:w="1136" w:type="dxa"/>
                  <w:tcBorders>
                    <w:bottom w:val="single" w:color="auto" w:sz="4" w:space="0"/>
                  </w:tcBorders>
                  <w:shd w:val="clear" w:color="auto" w:fill="auto"/>
                  <w:noWrap w:val="0"/>
                  <w:vAlign w:val="center"/>
                </w:tcPr>
                <w:p w14:paraId="41F4CFFB">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5DD6DB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37F118D2">
                  <w:pPr>
                    <w:spacing w:line="360" w:lineRule="auto"/>
                    <w:jc w:val="center"/>
                    <w:rPr>
                      <w:rFonts w:hint="default" w:ascii="Times New Roman" w:hAnsi="Times New Roman" w:cs="Times New Roman"/>
                      <w:sz w:val="21"/>
                      <w:szCs w:val="21"/>
                    </w:rPr>
                  </w:pPr>
                </w:p>
              </w:tc>
              <w:tc>
                <w:tcPr>
                  <w:tcW w:w="1320" w:type="dxa"/>
                  <w:noWrap w:val="0"/>
                  <w:vAlign w:val="center"/>
                </w:tcPr>
                <w:p w14:paraId="3C29B8EA">
                  <w:pPr>
                    <w:jc w:val="center"/>
                    <w:rPr>
                      <w:rFonts w:hint="default" w:ascii="Times New Roman" w:hAnsi="Times New Roman" w:cs="Times New Roman"/>
                      <w:sz w:val="21"/>
                      <w:szCs w:val="21"/>
                    </w:rPr>
                  </w:pPr>
                  <w:r>
                    <w:rPr>
                      <w:rFonts w:hint="default" w:ascii="Times New Roman" w:hAnsi="Times New Roman" w:cs="Times New Roman"/>
                      <w:sz w:val="21"/>
                      <w:szCs w:val="21"/>
                    </w:rPr>
                    <w:t>道路</w:t>
                  </w:r>
                </w:p>
              </w:tc>
              <w:tc>
                <w:tcPr>
                  <w:tcW w:w="2660" w:type="dxa"/>
                  <w:noWrap w:val="0"/>
                  <w:vAlign w:val="center"/>
                </w:tcPr>
                <w:p w14:paraId="725E69FF">
                  <w:pPr>
                    <w:jc w:val="center"/>
                    <w:rPr>
                      <w:rFonts w:hint="default" w:ascii="Times New Roman" w:hAnsi="Times New Roman" w:cs="Times New Roman"/>
                      <w:sz w:val="21"/>
                      <w:szCs w:val="21"/>
                    </w:rPr>
                  </w:pPr>
                  <w:r>
                    <w:rPr>
                      <w:rFonts w:hint="default" w:ascii="Times New Roman" w:hAnsi="Times New Roman" w:cs="Times New Roman"/>
                      <w:sz w:val="21"/>
                      <w:szCs w:val="21"/>
                    </w:rPr>
                    <w:t>包括厂区道路、人行道及消防通道</w:t>
                  </w:r>
                </w:p>
              </w:tc>
              <w:tc>
                <w:tcPr>
                  <w:tcW w:w="2062" w:type="dxa"/>
                  <w:tcBorders>
                    <w:bottom w:val="single" w:color="auto" w:sz="4" w:space="0"/>
                  </w:tcBorders>
                  <w:shd w:val="clear" w:color="auto" w:fill="auto"/>
                  <w:noWrap w:val="0"/>
                  <w:vAlign w:val="center"/>
                </w:tcPr>
                <w:p w14:paraId="5FF7F3A2">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cs="Times New Roman"/>
                      <w:color w:val="auto"/>
                      <w:szCs w:val="21"/>
                      <w:u w:val="none" w:color="auto"/>
                    </w:rPr>
                    <w:t>不变</w:t>
                  </w:r>
                </w:p>
              </w:tc>
              <w:tc>
                <w:tcPr>
                  <w:tcW w:w="1136" w:type="dxa"/>
                  <w:tcBorders>
                    <w:bottom w:val="single" w:color="auto" w:sz="4" w:space="0"/>
                  </w:tcBorders>
                  <w:shd w:val="clear" w:color="auto" w:fill="auto"/>
                  <w:noWrap w:val="0"/>
                  <w:vAlign w:val="center"/>
                </w:tcPr>
                <w:p w14:paraId="5591DA9A">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1B1E0B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restart"/>
                  <w:noWrap w:val="0"/>
                  <w:vAlign w:val="center"/>
                </w:tcPr>
                <w:p w14:paraId="1350BEFF">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环保工程</w:t>
                  </w:r>
                </w:p>
              </w:tc>
              <w:tc>
                <w:tcPr>
                  <w:tcW w:w="1320" w:type="dxa"/>
                  <w:vMerge w:val="restart"/>
                  <w:noWrap w:val="0"/>
                  <w:vAlign w:val="center"/>
                </w:tcPr>
                <w:p w14:paraId="74C51686">
                  <w:pPr>
                    <w:jc w:val="center"/>
                    <w:rPr>
                      <w:rFonts w:hint="default" w:ascii="Times New Roman" w:hAnsi="Times New Roman" w:cs="Times New Roman"/>
                      <w:sz w:val="21"/>
                      <w:szCs w:val="21"/>
                    </w:rPr>
                  </w:pPr>
                  <w:r>
                    <w:rPr>
                      <w:rFonts w:hint="default" w:ascii="Times New Roman" w:hAnsi="Times New Roman" w:cs="Times New Roman"/>
                      <w:sz w:val="21"/>
                      <w:szCs w:val="21"/>
                    </w:rPr>
                    <w:t>废水处理设施</w:t>
                  </w:r>
                </w:p>
              </w:tc>
              <w:tc>
                <w:tcPr>
                  <w:tcW w:w="2660" w:type="dxa"/>
                  <w:noWrap w:val="0"/>
                  <w:vAlign w:val="center"/>
                </w:tcPr>
                <w:p w14:paraId="5BA64EAC">
                  <w:pPr>
                    <w:jc w:val="center"/>
                    <w:rPr>
                      <w:rFonts w:hint="default" w:ascii="Times New Roman" w:hAnsi="Times New Roman" w:cs="Times New Roman"/>
                      <w:sz w:val="21"/>
                      <w:szCs w:val="21"/>
                    </w:rPr>
                  </w:pPr>
                  <w:r>
                    <w:rPr>
                      <w:rFonts w:hint="default" w:ascii="Times New Roman" w:hAnsi="Times New Roman" w:cs="Times New Roman"/>
                      <w:sz w:val="21"/>
                      <w:szCs w:val="21"/>
                    </w:rPr>
                    <w:t>雨污分流系统，初期雨水池</w:t>
                  </w:r>
                </w:p>
              </w:tc>
              <w:tc>
                <w:tcPr>
                  <w:tcW w:w="2062" w:type="dxa"/>
                  <w:tcBorders>
                    <w:bottom w:val="single" w:color="auto" w:sz="4" w:space="0"/>
                  </w:tcBorders>
                  <w:shd w:val="clear" w:color="auto" w:fill="auto"/>
                  <w:noWrap w:val="0"/>
                  <w:vAlign w:val="center"/>
                </w:tcPr>
                <w:p w14:paraId="1FFF1C3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shd w:val="clear" w:color="auto" w:fill="auto"/>
                  <w:noWrap w:val="0"/>
                  <w:vAlign w:val="center"/>
                </w:tcPr>
                <w:p w14:paraId="2EDFDD49">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614DA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2361324B">
                  <w:pPr>
                    <w:spacing w:line="360" w:lineRule="auto"/>
                    <w:jc w:val="center"/>
                    <w:rPr>
                      <w:rFonts w:hint="default" w:ascii="Times New Roman" w:hAnsi="Times New Roman" w:cs="Times New Roman"/>
                      <w:sz w:val="21"/>
                      <w:szCs w:val="21"/>
                    </w:rPr>
                  </w:pPr>
                </w:p>
              </w:tc>
              <w:tc>
                <w:tcPr>
                  <w:tcW w:w="1320" w:type="dxa"/>
                  <w:vMerge w:val="continue"/>
                  <w:noWrap w:val="0"/>
                  <w:vAlign w:val="center"/>
                </w:tcPr>
                <w:p w14:paraId="43D29D6B">
                  <w:pPr>
                    <w:jc w:val="center"/>
                    <w:rPr>
                      <w:rFonts w:hint="default" w:ascii="Times New Roman" w:hAnsi="Times New Roman" w:cs="Times New Roman"/>
                      <w:sz w:val="21"/>
                      <w:szCs w:val="21"/>
                    </w:rPr>
                  </w:pPr>
                </w:p>
              </w:tc>
              <w:tc>
                <w:tcPr>
                  <w:tcW w:w="2660" w:type="dxa"/>
                  <w:noWrap w:val="0"/>
                  <w:vAlign w:val="center"/>
                </w:tcPr>
                <w:p w14:paraId="460A3C41">
                  <w:pPr>
                    <w:jc w:val="center"/>
                    <w:rPr>
                      <w:rFonts w:hint="default" w:ascii="Times New Roman" w:hAnsi="Times New Roman" w:cs="Times New Roman"/>
                      <w:sz w:val="21"/>
                      <w:szCs w:val="21"/>
                    </w:rPr>
                  </w:pPr>
                  <w:r>
                    <w:rPr>
                      <w:rFonts w:hint="default" w:ascii="Times New Roman" w:hAnsi="Times New Roman" w:cs="Times New Roman"/>
                      <w:sz w:val="21"/>
                      <w:szCs w:val="21"/>
                    </w:rPr>
                    <w:t>沉淀池、化粪池</w:t>
                  </w:r>
                </w:p>
              </w:tc>
              <w:tc>
                <w:tcPr>
                  <w:tcW w:w="2062" w:type="dxa"/>
                  <w:tcBorders>
                    <w:bottom w:val="single" w:color="auto" w:sz="4" w:space="0"/>
                  </w:tcBorders>
                  <w:shd w:val="clear" w:color="auto" w:fill="auto"/>
                  <w:noWrap w:val="0"/>
                  <w:vAlign w:val="center"/>
                </w:tcPr>
                <w:p w14:paraId="5CD3733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shd w:val="clear" w:color="auto" w:fill="auto"/>
                  <w:noWrap w:val="0"/>
                  <w:vAlign w:val="center"/>
                </w:tcPr>
                <w:p w14:paraId="4F1FB94F">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5FDC1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750C820A">
                  <w:pPr>
                    <w:spacing w:line="360" w:lineRule="auto"/>
                    <w:jc w:val="center"/>
                    <w:rPr>
                      <w:rFonts w:hint="default" w:ascii="Times New Roman" w:hAnsi="Times New Roman" w:cs="Times New Roman"/>
                      <w:sz w:val="21"/>
                      <w:szCs w:val="21"/>
                    </w:rPr>
                  </w:pPr>
                </w:p>
              </w:tc>
              <w:tc>
                <w:tcPr>
                  <w:tcW w:w="1320" w:type="dxa"/>
                  <w:vMerge w:val="restart"/>
                  <w:noWrap w:val="0"/>
                  <w:vAlign w:val="center"/>
                </w:tcPr>
                <w:p w14:paraId="36F9789F">
                  <w:pPr>
                    <w:jc w:val="center"/>
                    <w:rPr>
                      <w:rFonts w:hint="default" w:ascii="Times New Roman" w:hAnsi="Times New Roman" w:cs="Times New Roman"/>
                      <w:sz w:val="21"/>
                      <w:szCs w:val="21"/>
                    </w:rPr>
                  </w:pPr>
                  <w:r>
                    <w:rPr>
                      <w:rFonts w:hint="default" w:ascii="Times New Roman" w:hAnsi="Times New Roman" w:cs="Times New Roman"/>
                      <w:sz w:val="21"/>
                      <w:szCs w:val="21"/>
                    </w:rPr>
                    <w:t>废气处理设施</w:t>
                  </w:r>
                </w:p>
              </w:tc>
              <w:tc>
                <w:tcPr>
                  <w:tcW w:w="2660" w:type="dxa"/>
                  <w:noWrap w:val="0"/>
                  <w:vAlign w:val="center"/>
                </w:tcPr>
                <w:p w14:paraId="40999037">
                  <w:pPr>
                    <w:jc w:val="center"/>
                    <w:rPr>
                      <w:rFonts w:hint="default" w:ascii="Times New Roman" w:hAnsi="Times New Roman" w:cs="Times New Roman"/>
                      <w:b/>
                      <w:bCs/>
                      <w:sz w:val="21"/>
                      <w:szCs w:val="21"/>
                      <w:lang w:val="en-US"/>
                    </w:rPr>
                  </w:pPr>
                  <w:r>
                    <w:rPr>
                      <w:rFonts w:hint="default" w:ascii="Times New Roman" w:hAnsi="Times New Roman" w:cs="Times New Roman"/>
                      <w:b/>
                      <w:bCs/>
                      <w:sz w:val="21"/>
                      <w:szCs w:val="21"/>
                    </w:rPr>
                    <w:t>锅炉</w:t>
                  </w:r>
                  <w:r>
                    <w:rPr>
                      <w:rFonts w:hint="default" w:ascii="Times New Roman" w:hAnsi="Times New Roman" w:cs="Times New Roman"/>
                      <w:b/>
                      <w:bCs/>
                      <w:sz w:val="21"/>
                      <w:szCs w:val="21"/>
                      <w:lang w:val="en-US" w:eastAsia="zh-CN"/>
                    </w:rPr>
                    <w:t>烟气</w:t>
                  </w:r>
                  <w:r>
                    <w:rPr>
                      <w:rFonts w:hint="default" w:ascii="Times New Roman" w:hAnsi="Times New Roman" w:cs="Times New Roman"/>
                      <w:b/>
                      <w:bCs/>
                      <w:sz w:val="21"/>
                      <w:szCs w:val="21"/>
                    </w:rPr>
                    <w:t>采用两级水膜除尘器+</w:t>
                  </w:r>
                  <w:r>
                    <w:rPr>
                      <w:rFonts w:hint="default" w:ascii="Times New Roman" w:hAnsi="Times New Roman" w:cs="Times New Roman"/>
                      <w:b/>
                      <w:bCs/>
                      <w:sz w:val="21"/>
                      <w:szCs w:val="21"/>
                      <w:lang w:val="en-US" w:eastAsia="zh-CN"/>
                    </w:rPr>
                    <w:t>3</w:t>
                  </w:r>
                  <w:r>
                    <w:rPr>
                      <w:rFonts w:hint="default" w:ascii="Times New Roman" w:hAnsi="Times New Roman" w:cs="Times New Roman"/>
                      <w:b/>
                      <w:bCs/>
                      <w:sz w:val="21"/>
                      <w:szCs w:val="21"/>
                    </w:rPr>
                    <w:t>5m排气筒</w:t>
                  </w:r>
                  <w:r>
                    <w:rPr>
                      <w:rFonts w:hint="eastAsia" w:cs="Times New Roman"/>
                      <w:b/>
                      <w:bCs/>
                      <w:sz w:val="21"/>
                      <w:szCs w:val="21"/>
                      <w:lang w:val="en-US" w:eastAsia="zh-CN"/>
                    </w:rPr>
                    <w:t>DA001</w:t>
                  </w:r>
                </w:p>
              </w:tc>
              <w:tc>
                <w:tcPr>
                  <w:tcW w:w="2062" w:type="dxa"/>
                  <w:tcBorders>
                    <w:bottom w:val="single" w:color="auto" w:sz="4" w:space="0"/>
                  </w:tcBorders>
                  <w:noWrap w:val="0"/>
                  <w:vAlign w:val="center"/>
                </w:tcPr>
                <w:p w14:paraId="0CF3AC3E">
                  <w:pPr>
                    <w:jc w:val="center"/>
                    <w:rPr>
                      <w:rFonts w:hint="default" w:ascii="Times New Roman" w:hAnsi="Times New Roman" w:cs="Times New Roman"/>
                      <w:b/>
                      <w:bCs/>
                      <w:sz w:val="21"/>
                      <w:szCs w:val="21"/>
                      <w:lang w:val="en-US"/>
                    </w:rPr>
                  </w:pPr>
                  <w:r>
                    <w:rPr>
                      <w:rFonts w:hint="default" w:ascii="Times New Roman" w:hAnsi="Times New Roman" w:cs="Times New Roman"/>
                      <w:b/>
                      <w:bCs/>
                      <w:sz w:val="21"/>
                      <w:szCs w:val="21"/>
                    </w:rPr>
                    <w:t>锅炉</w:t>
                  </w:r>
                  <w:r>
                    <w:rPr>
                      <w:rFonts w:hint="default" w:ascii="Times New Roman" w:hAnsi="Times New Roman" w:cs="Times New Roman"/>
                      <w:b/>
                      <w:bCs/>
                      <w:sz w:val="21"/>
                      <w:szCs w:val="21"/>
                      <w:lang w:val="en-US" w:eastAsia="zh-CN"/>
                    </w:rPr>
                    <w:t>烟气</w:t>
                  </w:r>
                  <w:r>
                    <w:rPr>
                      <w:rFonts w:hint="default" w:ascii="Times New Roman" w:hAnsi="Times New Roman" w:cs="Times New Roman"/>
                      <w:b/>
                      <w:bCs/>
                      <w:sz w:val="21"/>
                      <w:szCs w:val="21"/>
                    </w:rPr>
                    <w:t>采用两级水膜除尘器+</w:t>
                  </w:r>
                  <w:r>
                    <w:rPr>
                      <w:rFonts w:hint="default" w:ascii="Times New Roman" w:hAnsi="Times New Roman" w:cs="Times New Roman"/>
                      <w:b/>
                      <w:bCs/>
                      <w:sz w:val="21"/>
                      <w:szCs w:val="21"/>
                      <w:lang w:val="en-US" w:eastAsia="zh-CN"/>
                    </w:rPr>
                    <w:t>3</w:t>
                  </w:r>
                  <w:r>
                    <w:rPr>
                      <w:rFonts w:hint="default" w:ascii="Times New Roman" w:hAnsi="Times New Roman" w:cs="Times New Roman"/>
                      <w:b/>
                      <w:bCs/>
                      <w:sz w:val="21"/>
                      <w:szCs w:val="21"/>
                    </w:rPr>
                    <w:t>5m排气筒</w:t>
                  </w:r>
                  <w:r>
                    <w:rPr>
                      <w:rFonts w:hint="eastAsia" w:cs="Times New Roman"/>
                      <w:b/>
                      <w:bCs/>
                      <w:sz w:val="21"/>
                      <w:szCs w:val="21"/>
                      <w:lang w:val="en-US" w:eastAsia="zh-CN"/>
                    </w:rPr>
                    <w:t>DA001</w:t>
                  </w:r>
                </w:p>
              </w:tc>
              <w:tc>
                <w:tcPr>
                  <w:tcW w:w="1136" w:type="dxa"/>
                  <w:tcBorders>
                    <w:bottom w:val="single" w:color="auto" w:sz="4" w:space="0"/>
                  </w:tcBorders>
                  <w:shd w:val="clear" w:color="auto" w:fill="auto"/>
                  <w:noWrap w:val="0"/>
                  <w:vAlign w:val="center"/>
                </w:tcPr>
                <w:p w14:paraId="5BC702D8">
                  <w:pPr>
                    <w:jc w:val="center"/>
                    <w:rPr>
                      <w:rFonts w:hint="default" w:ascii="Times New Roman" w:hAnsi="Times New Roman" w:eastAsia="宋体" w:cs="Times New Roman"/>
                      <w:b/>
                      <w:bCs/>
                      <w:kern w:val="2"/>
                      <w:sz w:val="21"/>
                      <w:szCs w:val="21"/>
                      <w:lang w:val="en-US" w:eastAsia="zh-CN" w:bidi="ar-SA"/>
                    </w:rPr>
                  </w:pPr>
                  <w:r>
                    <w:rPr>
                      <w:rFonts w:hint="default" w:ascii="Times New Roman" w:hAnsi="Times New Roman" w:cs="Times New Roman"/>
                      <w:b w:val="0"/>
                      <w:bCs w:val="0"/>
                      <w:sz w:val="21"/>
                      <w:szCs w:val="21"/>
                      <w:lang w:val="en-US" w:eastAsia="zh-CN"/>
                    </w:rPr>
                    <w:t>依托，企业自主验收后进行环保设施升级</w:t>
                  </w:r>
                </w:p>
              </w:tc>
            </w:tr>
            <w:tr w14:paraId="0ECC59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6284CBC6">
                  <w:pPr>
                    <w:spacing w:line="360" w:lineRule="auto"/>
                    <w:jc w:val="center"/>
                    <w:rPr>
                      <w:rFonts w:hint="default" w:ascii="Times New Roman" w:hAnsi="Times New Roman" w:cs="Times New Roman"/>
                      <w:sz w:val="21"/>
                      <w:szCs w:val="21"/>
                    </w:rPr>
                  </w:pPr>
                </w:p>
              </w:tc>
              <w:tc>
                <w:tcPr>
                  <w:tcW w:w="1320" w:type="dxa"/>
                  <w:vMerge w:val="continue"/>
                  <w:noWrap w:val="0"/>
                  <w:vAlign w:val="center"/>
                </w:tcPr>
                <w:p w14:paraId="33A2FE96">
                  <w:pPr>
                    <w:jc w:val="center"/>
                    <w:rPr>
                      <w:rFonts w:hint="default" w:ascii="Times New Roman" w:hAnsi="Times New Roman" w:cs="Times New Roman"/>
                      <w:sz w:val="21"/>
                      <w:szCs w:val="21"/>
                    </w:rPr>
                  </w:pPr>
                </w:p>
              </w:tc>
              <w:tc>
                <w:tcPr>
                  <w:tcW w:w="2660" w:type="dxa"/>
                  <w:noWrap w:val="0"/>
                  <w:vAlign w:val="center"/>
                </w:tcPr>
                <w:p w14:paraId="075668F1">
                  <w:pPr>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溶剂废气，收集后经15m排气筒</w:t>
                  </w:r>
                  <w:r>
                    <w:rPr>
                      <w:rFonts w:hint="eastAsia" w:cs="Times New Roman"/>
                      <w:b/>
                      <w:bCs/>
                      <w:sz w:val="21"/>
                      <w:szCs w:val="21"/>
                      <w:lang w:val="en-US" w:eastAsia="zh-CN"/>
                    </w:rPr>
                    <w:t>DA002排放</w:t>
                  </w:r>
                </w:p>
              </w:tc>
              <w:tc>
                <w:tcPr>
                  <w:tcW w:w="2062" w:type="dxa"/>
                  <w:tcBorders>
                    <w:bottom w:val="single" w:color="auto" w:sz="4" w:space="0"/>
                  </w:tcBorders>
                  <w:noWrap w:val="0"/>
                  <w:vAlign w:val="center"/>
                </w:tcPr>
                <w:p w14:paraId="05203009">
                  <w:pPr>
                    <w:jc w:val="center"/>
                    <w:rPr>
                      <w:rFonts w:hint="default" w:ascii="Times New Roman" w:hAnsi="Times New Roman" w:cs="Times New Roman"/>
                      <w:b/>
                      <w:bCs/>
                      <w:sz w:val="21"/>
                      <w:szCs w:val="21"/>
                      <w:lang w:val="en-US"/>
                    </w:rPr>
                  </w:pPr>
                  <w:r>
                    <w:rPr>
                      <w:rFonts w:hint="default" w:ascii="Times New Roman" w:hAnsi="Times New Roman" w:cs="Times New Roman"/>
                      <w:b/>
                      <w:bCs/>
                      <w:sz w:val="21"/>
                      <w:szCs w:val="21"/>
                      <w:lang w:val="en-US" w:eastAsia="zh-CN"/>
                    </w:rPr>
                    <w:t>溶剂废气，收集后经15m排气筒</w:t>
                  </w:r>
                  <w:r>
                    <w:rPr>
                      <w:rFonts w:hint="eastAsia" w:cs="Times New Roman"/>
                      <w:b/>
                      <w:bCs/>
                      <w:sz w:val="21"/>
                      <w:szCs w:val="21"/>
                      <w:lang w:val="en-US" w:eastAsia="zh-CN"/>
                    </w:rPr>
                    <w:t>DA002排放</w:t>
                  </w:r>
                </w:p>
              </w:tc>
              <w:tc>
                <w:tcPr>
                  <w:tcW w:w="1136" w:type="dxa"/>
                  <w:tcBorders>
                    <w:bottom w:val="single" w:color="auto" w:sz="4" w:space="0"/>
                  </w:tcBorders>
                  <w:shd w:val="clear" w:color="auto" w:fill="auto"/>
                  <w:noWrap w:val="0"/>
                  <w:vAlign w:val="center"/>
                </w:tcPr>
                <w:p w14:paraId="379C437C">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b/>
                      <w:bCs/>
                      <w:sz w:val="21"/>
                      <w:szCs w:val="21"/>
                      <w:lang w:val="en-US" w:eastAsia="zh-CN"/>
                    </w:rPr>
                  </w:pPr>
                  <w:r>
                    <w:rPr>
                      <w:rFonts w:hint="default" w:ascii="Times New Roman" w:hAnsi="Times New Roman" w:cs="Times New Roman"/>
                      <w:b w:val="0"/>
                      <w:bCs w:val="0"/>
                      <w:sz w:val="21"/>
                      <w:szCs w:val="21"/>
                      <w:lang w:val="en-US" w:eastAsia="zh-CN"/>
                    </w:rPr>
                    <w:t>依托，企业自主验收后进行环保设施升级，由无组织改为有组织排放</w:t>
                  </w:r>
                  <w:r>
                    <w:rPr>
                      <w:rFonts w:hint="default" w:ascii="Times New Roman" w:hAnsi="Times New Roman" w:cs="Times New Roman"/>
                      <w:b/>
                      <w:bCs/>
                      <w:sz w:val="21"/>
                      <w:szCs w:val="21"/>
                      <w:lang w:val="en-US" w:eastAsia="zh-CN"/>
                    </w:rPr>
                    <w:t xml:space="preserve"> </w:t>
                  </w:r>
                </w:p>
              </w:tc>
            </w:tr>
            <w:tr w14:paraId="117204E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35F37B8C">
                  <w:pPr>
                    <w:spacing w:line="360" w:lineRule="auto"/>
                    <w:jc w:val="center"/>
                    <w:rPr>
                      <w:rFonts w:hint="default" w:ascii="Times New Roman" w:hAnsi="Times New Roman" w:cs="Times New Roman"/>
                      <w:sz w:val="21"/>
                      <w:szCs w:val="21"/>
                    </w:rPr>
                  </w:pPr>
                </w:p>
              </w:tc>
              <w:tc>
                <w:tcPr>
                  <w:tcW w:w="1320" w:type="dxa"/>
                  <w:vMerge w:val="continue"/>
                  <w:noWrap w:val="0"/>
                  <w:vAlign w:val="center"/>
                </w:tcPr>
                <w:p w14:paraId="632FCA17">
                  <w:pPr>
                    <w:jc w:val="center"/>
                    <w:rPr>
                      <w:rFonts w:hint="default" w:ascii="Times New Roman" w:hAnsi="Times New Roman" w:cs="Times New Roman"/>
                      <w:sz w:val="21"/>
                      <w:szCs w:val="21"/>
                    </w:rPr>
                  </w:pPr>
                </w:p>
              </w:tc>
              <w:tc>
                <w:tcPr>
                  <w:tcW w:w="2660" w:type="dxa"/>
                  <w:noWrap w:val="0"/>
                  <w:vAlign w:val="center"/>
                </w:tcPr>
                <w:p w14:paraId="29041864">
                  <w:pPr>
                    <w:jc w:val="center"/>
                    <w:rPr>
                      <w:rFonts w:hint="default" w:ascii="Times New Roman" w:hAnsi="Times New Roman" w:cs="Times New Roman"/>
                      <w:sz w:val="21"/>
                      <w:szCs w:val="21"/>
                    </w:rPr>
                  </w:pPr>
                  <w:r>
                    <w:rPr>
                      <w:rFonts w:hint="default" w:ascii="Times New Roman" w:hAnsi="Times New Roman" w:cs="Times New Roman"/>
                      <w:sz w:val="21"/>
                      <w:szCs w:val="21"/>
                    </w:rPr>
                    <w:t>员工均为周边居民，不在厂区内就餐，不设食堂</w:t>
                  </w:r>
                </w:p>
              </w:tc>
              <w:tc>
                <w:tcPr>
                  <w:tcW w:w="2062" w:type="dxa"/>
                  <w:tcBorders>
                    <w:bottom w:val="single" w:color="auto" w:sz="4" w:space="0"/>
                  </w:tcBorders>
                  <w:noWrap w:val="0"/>
                  <w:vAlign w:val="center"/>
                </w:tcPr>
                <w:p w14:paraId="59A376AE">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eastAsia="宋体" w:cs="Times New Roman"/>
                      <w:color w:val="auto"/>
                      <w:spacing w:val="9"/>
                      <w:sz w:val="21"/>
                      <w:szCs w:val="21"/>
                      <w:u w:val="none" w:color="auto"/>
                    </w:rPr>
                    <w:t>不变</w:t>
                  </w:r>
                </w:p>
              </w:tc>
              <w:tc>
                <w:tcPr>
                  <w:tcW w:w="1136" w:type="dxa"/>
                  <w:tcBorders>
                    <w:bottom w:val="single" w:color="auto" w:sz="4" w:space="0"/>
                  </w:tcBorders>
                  <w:shd w:val="clear" w:color="auto" w:fill="auto"/>
                  <w:noWrap w:val="0"/>
                  <w:vAlign w:val="center"/>
                </w:tcPr>
                <w:p w14:paraId="3627C26B">
                  <w:pPr>
                    <w:widowControl/>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17C068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77768D53">
                  <w:pPr>
                    <w:spacing w:line="360" w:lineRule="auto"/>
                    <w:jc w:val="center"/>
                    <w:rPr>
                      <w:rFonts w:hint="default" w:ascii="Times New Roman" w:hAnsi="Times New Roman" w:cs="Times New Roman"/>
                      <w:sz w:val="21"/>
                      <w:szCs w:val="21"/>
                    </w:rPr>
                  </w:pPr>
                </w:p>
              </w:tc>
              <w:tc>
                <w:tcPr>
                  <w:tcW w:w="1320" w:type="dxa"/>
                  <w:noWrap w:val="0"/>
                  <w:vAlign w:val="center"/>
                </w:tcPr>
                <w:p w14:paraId="12A6218F">
                  <w:pPr>
                    <w:jc w:val="center"/>
                    <w:rPr>
                      <w:rFonts w:hint="default" w:ascii="Times New Roman" w:hAnsi="Times New Roman" w:cs="Times New Roman"/>
                      <w:sz w:val="21"/>
                      <w:szCs w:val="21"/>
                    </w:rPr>
                  </w:pPr>
                  <w:r>
                    <w:rPr>
                      <w:rFonts w:hint="default" w:ascii="Times New Roman" w:hAnsi="Times New Roman" w:cs="Times New Roman"/>
                      <w:sz w:val="21"/>
                      <w:szCs w:val="21"/>
                    </w:rPr>
                    <w:t>噪声处理设施</w:t>
                  </w:r>
                </w:p>
              </w:tc>
              <w:tc>
                <w:tcPr>
                  <w:tcW w:w="2660" w:type="dxa"/>
                  <w:noWrap w:val="0"/>
                  <w:vAlign w:val="center"/>
                </w:tcPr>
                <w:p w14:paraId="5550EF4A">
                  <w:pPr>
                    <w:jc w:val="center"/>
                    <w:rPr>
                      <w:rFonts w:hint="default" w:ascii="Times New Roman" w:hAnsi="Times New Roman" w:cs="Times New Roman"/>
                      <w:sz w:val="21"/>
                      <w:szCs w:val="21"/>
                    </w:rPr>
                  </w:pPr>
                  <w:r>
                    <w:rPr>
                      <w:rFonts w:hint="default" w:ascii="Times New Roman" w:hAnsi="Times New Roman" w:cs="Times New Roman"/>
                      <w:sz w:val="21"/>
                      <w:szCs w:val="21"/>
                    </w:rPr>
                    <w:t>隔声、减震垫</w:t>
                  </w:r>
                </w:p>
              </w:tc>
              <w:tc>
                <w:tcPr>
                  <w:tcW w:w="2062" w:type="dxa"/>
                  <w:tcBorders>
                    <w:bottom w:val="single" w:color="auto" w:sz="4" w:space="0"/>
                  </w:tcBorders>
                  <w:noWrap w:val="0"/>
                  <w:vAlign w:val="center"/>
                </w:tcPr>
                <w:p w14:paraId="67C0DFE7">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cs="Times New Roman"/>
                      <w:color w:val="auto"/>
                      <w:szCs w:val="21"/>
                      <w:u w:val="none" w:color="auto"/>
                    </w:rPr>
                    <w:t>不变</w:t>
                  </w:r>
                </w:p>
              </w:tc>
              <w:tc>
                <w:tcPr>
                  <w:tcW w:w="1136" w:type="dxa"/>
                  <w:tcBorders>
                    <w:bottom w:val="single" w:color="auto" w:sz="4" w:space="0"/>
                  </w:tcBorders>
                  <w:shd w:val="clear" w:color="auto" w:fill="auto"/>
                  <w:noWrap w:val="0"/>
                  <w:vAlign w:val="center"/>
                </w:tcPr>
                <w:p w14:paraId="5B538642">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r w14:paraId="58E891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20" w:type="dxa"/>
                  <w:vMerge w:val="continue"/>
                  <w:noWrap w:val="0"/>
                  <w:vAlign w:val="center"/>
                </w:tcPr>
                <w:p w14:paraId="5411751C">
                  <w:pPr>
                    <w:spacing w:line="360" w:lineRule="auto"/>
                    <w:jc w:val="center"/>
                    <w:rPr>
                      <w:rFonts w:hint="default" w:ascii="Times New Roman" w:hAnsi="Times New Roman" w:cs="Times New Roman"/>
                      <w:sz w:val="21"/>
                      <w:szCs w:val="21"/>
                    </w:rPr>
                  </w:pPr>
                </w:p>
              </w:tc>
              <w:tc>
                <w:tcPr>
                  <w:tcW w:w="1320" w:type="dxa"/>
                  <w:noWrap w:val="0"/>
                  <w:vAlign w:val="center"/>
                </w:tcPr>
                <w:p w14:paraId="607C90EA">
                  <w:pPr>
                    <w:jc w:val="center"/>
                    <w:rPr>
                      <w:rFonts w:hint="default" w:ascii="Times New Roman" w:hAnsi="Times New Roman" w:cs="Times New Roman"/>
                      <w:sz w:val="21"/>
                      <w:szCs w:val="21"/>
                    </w:rPr>
                  </w:pPr>
                  <w:r>
                    <w:rPr>
                      <w:rFonts w:hint="default" w:ascii="Times New Roman" w:hAnsi="Times New Roman" w:cs="Times New Roman"/>
                      <w:sz w:val="21"/>
                      <w:szCs w:val="21"/>
                    </w:rPr>
                    <w:t>固废处理设施</w:t>
                  </w:r>
                </w:p>
              </w:tc>
              <w:tc>
                <w:tcPr>
                  <w:tcW w:w="2660" w:type="dxa"/>
                  <w:noWrap w:val="0"/>
                  <w:vAlign w:val="center"/>
                </w:tcPr>
                <w:p w14:paraId="40AC2714">
                  <w:pPr>
                    <w:jc w:val="center"/>
                    <w:rPr>
                      <w:rFonts w:hint="default" w:ascii="Times New Roman" w:hAnsi="Times New Roman" w:cs="Times New Roman"/>
                      <w:sz w:val="21"/>
                      <w:szCs w:val="21"/>
                    </w:rPr>
                  </w:pPr>
                  <w:r>
                    <w:rPr>
                      <w:rFonts w:hint="default" w:ascii="Times New Roman" w:hAnsi="Times New Roman" w:cs="Times New Roman"/>
                      <w:sz w:val="21"/>
                      <w:szCs w:val="21"/>
                    </w:rPr>
                    <w:t>垃圾桶、一般固废暂存间</w:t>
                  </w:r>
                </w:p>
              </w:tc>
              <w:tc>
                <w:tcPr>
                  <w:tcW w:w="2062" w:type="dxa"/>
                  <w:noWrap w:val="0"/>
                  <w:vAlign w:val="center"/>
                </w:tcPr>
                <w:p w14:paraId="6078AD1D">
                  <w:pPr>
                    <w:keepNext w:val="0"/>
                    <w:keepLines w:val="0"/>
                    <w:pageBreakBefore w:val="0"/>
                    <w:widowControl/>
                    <w:kinsoku w:val="0"/>
                    <w:wordWrap/>
                    <w:overflowPunct/>
                    <w:topLinePunct w:val="0"/>
                    <w:autoSpaceDE w:val="0"/>
                    <w:autoSpaceDN w:val="0"/>
                    <w:bidi w:val="0"/>
                    <w:adjustRightInd w:val="0"/>
                    <w:snapToGrid w:val="0"/>
                    <w:jc w:val="center"/>
                    <w:textAlignment w:val="baseline"/>
                    <w:rPr>
                      <w:rFonts w:hint="default" w:ascii="Times New Roman" w:hAnsi="Times New Roman" w:cs="Times New Roman"/>
                      <w:sz w:val="21"/>
                      <w:szCs w:val="21"/>
                    </w:rPr>
                  </w:pPr>
                  <w:r>
                    <w:rPr>
                      <w:rFonts w:hint="default" w:ascii="Times New Roman" w:hAnsi="Times New Roman" w:cs="Times New Roman"/>
                      <w:color w:val="auto"/>
                      <w:spacing w:val="6"/>
                      <w:sz w:val="21"/>
                      <w:szCs w:val="21"/>
                      <w:u w:val="none" w:color="auto"/>
                      <w:lang w:val="en-US" w:eastAsia="zh-CN"/>
                    </w:rPr>
                    <w:t>保持</w:t>
                  </w:r>
                  <w:r>
                    <w:rPr>
                      <w:rFonts w:hint="default" w:ascii="Times New Roman" w:hAnsi="Times New Roman" w:cs="Times New Roman"/>
                      <w:color w:val="auto"/>
                      <w:spacing w:val="6"/>
                      <w:sz w:val="21"/>
                      <w:szCs w:val="21"/>
                      <w:u w:val="none" w:color="auto"/>
                    </w:rPr>
                    <w:t>现有工程</w:t>
                  </w:r>
                  <w:r>
                    <w:rPr>
                      <w:rFonts w:hint="default" w:ascii="Times New Roman" w:hAnsi="Times New Roman" w:cs="Times New Roman"/>
                      <w:color w:val="auto"/>
                      <w:szCs w:val="21"/>
                      <w:u w:val="none" w:color="auto"/>
                    </w:rPr>
                    <w:t>不变</w:t>
                  </w:r>
                </w:p>
              </w:tc>
              <w:tc>
                <w:tcPr>
                  <w:tcW w:w="1136" w:type="dxa"/>
                  <w:shd w:val="clear" w:color="auto" w:fill="auto"/>
                  <w:noWrap w:val="0"/>
                  <w:vAlign w:val="center"/>
                </w:tcPr>
                <w:p w14:paraId="3E617885">
                  <w:pPr>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cs="Times New Roman"/>
                      <w:sz w:val="21"/>
                      <w:szCs w:val="21"/>
                      <w:lang w:val="en-US" w:eastAsia="zh-CN"/>
                    </w:rPr>
                    <w:t>依托</w:t>
                  </w:r>
                </w:p>
              </w:tc>
            </w:tr>
          </w:tbl>
          <w:p w14:paraId="7FA76026">
            <w:pPr>
              <w:jc w:val="center"/>
              <w:rPr>
                <w:rFonts w:hint="default" w:ascii="Times New Roman" w:hAnsi="Times New Roman" w:cs="Times New Roman"/>
                <w:b/>
                <w:color w:val="auto"/>
                <w:szCs w:val="21"/>
                <w:highlight w:val="none"/>
                <w:u w:val="none" w:color="auto"/>
              </w:rPr>
            </w:pPr>
          </w:p>
          <w:bookmarkEnd w:id="5"/>
          <w:p w14:paraId="0B7F6230">
            <w:pPr>
              <w:spacing w:line="360" w:lineRule="auto"/>
              <w:ind w:firstLine="482" w:firstLineChars="200"/>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lang w:val="en-US" w:eastAsia="zh-CN"/>
              </w:rPr>
              <w:t>2、</w:t>
            </w:r>
            <w:r>
              <w:rPr>
                <w:rFonts w:hint="default" w:ascii="Times New Roman" w:hAnsi="Times New Roman" w:cs="Times New Roman"/>
                <w:b/>
                <w:color w:val="auto"/>
                <w:sz w:val="24"/>
                <w:highlight w:val="none"/>
                <w:u w:val="none" w:color="auto"/>
              </w:rPr>
              <w:t>项目主要产品方案</w:t>
            </w:r>
          </w:p>
          <w:p w14:paraId="4C27B01F">
            <w:pPr>
              <w:spacing w:line="360" w:lineRule="auto"/>
              <w:ind w:firstLine="480" w:firstLineChars="200"/>
              <w:rPr>
                <w:rFonts w:hint="default" w:ascii="Times New Roman" w:hAnsi="Times New Roman" w:cs="Times New Roman"/>
                <w:b/>
                <w:color w:val="auto"/>
                <w:szCs w:val="21"/>
                <w:highlight w:val="none"/>
                <w:u w:val="none" w:color="auto"/>
              </w:rPr>
            </w:pPr>
            <w:r>
              <w:rPr>
                <w:rFonts w:hint="default" w:ascii="Times New Roman" w:hAnsi="Times New Roman" w:cs="Times New Roman"/>
                <w:bCs/>
                <w:color w:val="auto"/>
                <w:sz w:val="24"/>
                <w:highlight w:val="none"/>
                <w:u w:val="none" w:color="auto"/>
                <w:lang w:val="en-US" w:eastAsia="zh-CN"/>
              </w:rPr>
              <w:t>本</w:t>
            </w:r>
            <w:r>
              <w:rPr>
                <w:rFonts w:hint="default" w:ascii="Times New Roman" w:hAnsi="Times New Roman" w:cs="Times New Roman"/>
                <w:bCs/>
                <w:color w:val="auto"/>
                <w:sz w:val="24"/>
                <w:highlight w:val="none"/>
                <w:u w:val="none" w:color="auto"/>
                <w:lang w:eastAsia="zh-CN"/>
              </w:rPr>
              <w:t>技改</w:t>
            </w:r>
            <w:r>
              <w:rPr>
                <w:rFonts w:hint="default" w:ascii="Times New Roman" w:hAnsi="Times New Roman" w:cs="Times New Roman"/>
                <w:bCs/>
                <w:color w:val="auto"/>
                <w:sz w:val="24"/>
                <w:highlight w:val="none"/>
                <w:u w:val="none" w:color="auto"/>
              </w:rPr>
              <w:t>项目</w:t>
            </w:r>
            <w:r>
              <w:rPr>
                <w:rFonts w:hint="default" w:ascii="Times New Roman" w:hAnsi="Times New Roman" w:cs="Times New Roman"/>
                <w:bCs/>
                <w:color w:val="auto"/>
                <w:sz w:val="24"/>
                <w:highlight w:val="none"/>
                <w:u w:val="none" w:color="auto"/>
                <w:lang w:val="en-US" w:eastAsia="zh-CN"/>
              </w:rPr>
              <w:t>只针对锅炉，不涉及主体生产工</w:t>
            </w:r>
            <w:r>
              <w:rPr>
                <w:rFonts w:hint="default" w:ascii="Times New Roman" w:hAnsi="Times New Roman" w:eastAsia="宋体" w:cs="Times New Roman"/>
                <w:bCs/>
                <w:color w:val="auto"/>
                <w:sz w:val="24"/>
                <w:highlight w:val="none"/>
                <w:u w:val="none" w:color="auto"/>
                <w:lang w:val="en-US" w:eastAsia="zh-CN"/>
              </w:rPr>
              <w:t>艺等其他内容，提</w:t>
            </w:r>
            <w:r>
              <w:rPr>
                <w:rFonts w:hint="default" w:ascii="Times New Roman" w:hAnsi="Times New Roman" w:cs="Times New Roman"/>
                <w:bCs/>
                <w:color w:val="auto"/>
                <w:sz w:val="24"/>
                <w:highlight w:val="none"/>
                <w:u w:val="none" w:color="auto"/>
                <w:lang w:val="en-US" w:eastAsia="zh-CN"/>
              </w:rPr>
              <w:t>供的蒸汽量详</w:t>
            </w:r>
            <w:r>
              <w:rPr>
                <w:rFonts w:hint="default" w:ascii="Times New Roman" w:hAnsi="Times New Roman" w:cs="Times New Roman"/>
                <w:bCs/>
                <w:color w:val="auto"/>
                <w:sz w:val="24"/>
                <w:highlight w:val="none"/>
                <w:u w:val="none" w:color="auto"/>
              </w:rPr>
              <w:t>见表2-2。</w:t>
            </w:r>
          </w:p>
          <w:p w14:paraId="2BC4D522">
            <w:pPr>
              <w:jc w:val="center"/>
              <w:rPr>
                <w:rFonts w:hint="default" w:ascii="Times New Roman" w:hAnsi="Times New Roman" w:cs="Times New Roman"/>
                <w:b/>
                <w:color w:val="auto"/>
                <w:szCs w:val="21"/>
                <w:highlight w:val="none"/>
                <w:u w:val="none" w:color="auto"/>
              </w:rPr>
            </w:pPr>
            <w:r>
              <w:rPr>
                <w:rFonts w:hint="default" w:ascii="Times New Roman" w:hAnsi="Times New Roman" w:cs="Times New Roman"/>
                <w:b/>
                <w:color w:val="auto"/>
                <w:szCs w:val="21"/>
                <w:highlight w:val="none"/>
                <w:u w:val="none" w:color="auto"/>
              </w:rPr>
              <w:t>表</w:t>
            </w:r>
            <w:r>
              <w:rPr>
                <w:rFonts w:hint="default" w:ascii="Times New Roman" w:hAnsi="Times New Roman" w:cs="Times New Roman"/>
                <w:b/>
                <w:color w:val="auto"/>
                <w:szCs w:val="21"/>
                <w:highlight w:val="none"/>
                <w:u w:val="none" w:color="auto"/>
                <w:lang w:val="en-US" w:eastAsia="zh-CN"/>
              </w:rPr>
              <w:t>2</w:t>
            </w:r>
            <w:r>
              <w:rPr>
                <w:rFonts w:hint="default" w:ascii="Times New Roman" w:hAnsi="Times New Roman" w:cs="Times New Roman"/>
                <w:b/>
                <w:color w:val="auto"/>
                <w:szCs w:val="21"/>
                <w:highlight w:val="none"/>
                <w:u w:val="none" w:color="auto"/>
              </w:rPr>
              <w:t>-2  项目主要产品方案一览表</w:t>
            </w:r>
          </w:p>
          <w:tbl>
            <w:tblPr>
              <w:tblStyle w:val="156"/>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824"/>
              <w:gridCol w:w="948"/>
              <w:gridCol w:w="1198"/>
              <w:gridCol w:w="1161"/>
              <w:gridCol w:w="987"/>
              <w:gridCol w:w="2245"/>
            </w:tblGrid>
            <w:tr w14:paraId="2C3AF9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1091" w:type="pct"/>
                  <w:vMerge w:val="restart"/>
                  <w:tcBorders>
                    <w:tl2br w:val="nil"/>
                    <w:tr2bl w:val="nil"/>
                  </w:tcBorders>
                  <w:vAlign w:val="center"/>
                </w:tcPr>
                <w:p w14:paraId="73DFC15D">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pacing w:val="7"/>
                      <w:sz w:val="21"/>
                      <w:szCs w:val="21"/>
                      <w:highlight w:val="none"/>
                      <w:u w:val="none" w:color="auto"/>
                    </w:rPr>
                    <w:t>产品名称</w:t>
                  </w:r>
                </w:p>
              </w:tc>
              <w:tc>
                <w:tcPr>
                  <w:tcW w:w="567" w:type="pct"/>
                  <w:vMerge w:val="restart"/>
                  <w:tcBorders>
                    <w:tl2br w:val="nil"/>
                    <w:tr2bl w:val="nil"/>
                  </w:tcBorders>
                  <w:vAlign w:val="center"/>
                </w:tcPr>
                <w:p w14:paraId="55F6FD72">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pacing w:val="3"/>
                      <w:sz w:val="21"/>
                      <w:szCs w:val="21"/>
                      <w:highlight w:val="none"/>
                      <w:u w:val="none" w:color="auto"/>
                    </w:rPr>
                    <w:t>单位</w:t>
                  </w:r>
                </w:p>
              </w:tc>
              <w:tc>
                <w:tcPr>
                  <w:tcW w:w="2000" w:type="pct"/>
                  <w:gridSpan w:val="3"/>
                  <w:tcBorders>
                    <w:tl2br w:val="nil"/>
                    <w:tr2bl w:val="nil"/>
                  </w:tcBorders>
                  <w:vAlign w:val="center"/>
                </w:tcPr>
                <w:p w14:paraId="1C58771D">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pacing w:val="3"/>
                      <w:sz w:val="21"/>
                      <w:szCs w:val="21"/>
                      <w:highlight w:val="none"/>
                      <w:u w:val="none" w:color="auto"/>
                    </w:rPr>
                    <w:t>数量</w:t>
                  </w:r>
                </w:p>
              </w:tc>
              <w:tc>
                <w:tcPr>
                  <w:tcW w:w="1340" w:type="pct"/>
                  <w:vMerge w:val="restart"/>
                  <w:tcBorders>
                    <w:tl2br w:val="nil"/>
                    <w:tr2bl w:val="nil"/>
                  </w:tcBorders>
                  <w:vAlign w:val="center"/>
                </w:tcPr>
                <w:p w14:paraId="4B275F18">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pacing w:val="4"/>
                      <w:sz w:val="21"/>
                      <w:szCs w:val="21"/>
                      <w:highlight w:val="none"/>
                      <w:u w:val="none" w:color="auto"/>
                    </w:rPr>
                    <w:t>规格</w:t>
                  </w:r>
                </w:p>
              </w:tc>
            </w:tr>
            <w:tr w14:paraId="26B185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091" w:type="pct"/>
                  <w:vMerge w:val="continue"/>
                  <w:tcBorders>
                    <w:tl2br w:val="nil"/>
                    <w:tr2bl w:val="nil"/>
                  </w:tcBorders>
                  <w:vAlign w:val="center"/>
                </w:tcPr>
                <w:p w14:paraId="765B4F48">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p>
              </w:tc>
              <w:tc>
                <w:tcPr>
                  <w:tcW w:w="567" w:type="pct"/>
                  <w:vMerge w:val="continue"/>
                  <w:tcBorders>
                    <w:tl2br w:val="nil"/>
                    <w:tr2bl w:val="nil"/>
                  </w:tcBorders>
                  <w:vAlign w:val="center"/>
                </w:tcPr>
                <w:p w14:paraId="158A88A3">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p>
              </w:tc>
              <w:tc>
                <w:tcPr>
                  <w:tcW w:w="716" w:type="pct"/>
                  <w:tcBorders>
                    <w:tl2br w:val="nil"/>
                    <w:tr2bl w:val="nil"/>
                  </w:tcBorders>
                  <w:vAlign w:val="center"/>
                </w:tcPr>
                <w:p w14:paraId="1B715C7D">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pacing w:val="4"/>
                      <w:sz w:val="21"/>
                      <w:szCs w:val="21"/>
                      <w:highlight w:val="none"/>
                      <w:u w:val="none" w:color="auto"/>
                      <w:lang w:eastAsia="zh-CN"/>
                    </w:rPr>
                    <w:t>技改</w:t>
                  </w:r>
                  <w:r>
                    <w:rPr>
                      <w:rFonts w:hint="default" w:ascii="Times New Roman" w:hAnsi="Times New Roman" w:cs="Times New Roman"/>
                      <w:color w:val="auto"/>
                      <w:spacing w:val="4"/>
                      <w:sz w:val="21"/>
                      <w:szCs w:val="21"/>
                      <w:highlight w:val="none"/>
                      <w:u w:val="none" w:color="auto"/>
                    </w:rPr>
                    <w:t>前</w:t>
                  </w:r>
                </w:p>
              </w:tc>
              <w:tc>
                <w:tcPr>
                  <w:tcW w:w="694" w:type="pct"/>
                  <w:tcBorders>
                    <w:right w:val="single" w:color="auto" w:sz="4" w:space="0"/>
                    <w:tl2br w:val="nil"/>
                    <w:tr2bl w:val="nil"/>
                  </w:tcBorders>
                  <w:vAlign w:val="center"/>
                </w:tcPr>
                <w:p w14:paraId="5B1985B9">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r>
                    <w:rPr>
                      <w:rFonts w:hint="default" w:ascii="Times New Roman" w:hAnsi="Times New Roman" w:cs="Times New Roman"/>
                      <w:color w:val="auto"/>
                      <w:spacing w:val="4"/>
                      <w:sz w:val="21"/>
                      <w:szCs w:val="21"/>
                      <w:highlight w:val="none"/>
                      <w:u w:val="none" w:color="auto"/>
                      <w:lang w:eastAsia="zh-CN"/>
                    </w:rPr>
                    <w:t>技改</w:t>
                  </w:r>
                  <w:r>
                    <w:rPr>
                      <w:rFonts w:hint="default" w:ascii="Times New Roman" w:hAnsi="Times New Roman" w:cs="Times New Roman"/>
                      <w:color w:val="auto"/>
                      <w:spacing w:val="4"/>
                      <w:sz w:val="21"/>
                      <w:szCs w:val="21"/>
                      <w:highlight w:val="none"/>
                      <w:u w:val="none" w:color="auto"/>
                    </w:rPr>
                    <w:t>后</w:t>
                  </w:r>
                </w:p>
              </w:tc>
              <w:tc>
                <w:tcPr>
                  <w:tcW w:w="590" w:type="pct"/>
                  <w:tcBorders>
                    <w:left w:val="single" w:color="auto" w:sz="4" w:space="0"/>
                    <w:tl2br w:val="nil"/>
                    <w:tr2bl w:val="nil"/>
                  </w:tcBorders>
                  <w:vAlign w:val="center"/>
                </w:tcPr>
                <w:p w14:paraId="7653B2EE">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eastAsia="zh-CN"/>
                    </w:rPr>
                  </w:pPr>
                  <w:r>
                    <w:rPr>
                      <w:rFonts w:hint="default" w:ascii="Times New Roman" w:hAnsi="Times New Roman" w:cs="Times New Roman"/>
                      <w:color w:val="auto"/>
                      <w:spacing w:val="4"/>
                      <w:sz w:val="21"/>
                      <w:szCs w:val="21"/>
                      <w:highlight w:val="none"/>
                      <w:u w:val="none" w:color="auto"/>
                      <w:lang w:eastAsia="zh-CN"/>
                    </w:rPr>
                    <w:t>增减量</w:t>
                  </w:r>
                </w:p>
              </w:tc>
              <w:tc>
                <w:tcPr>
                  <w:tcW w:w="1340" w:type="pct"/>
                  <w:vMerge w:val="continue"/>
                  <w:tcBorders>
                    <w:tl2br w:val="nil"/>
                    <w:tr2bl w:val="nil"/>
                  </w:tcBorders>
                  <w:vAlign w:val="center"/>
                </w:tcPr>
                <w:p w14:paraId="3A200089">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 w:val="21"/>
                      <w:szCs w:val="21"/>
                      <w:highlight w:val="none"/>
                      <w:u w:val="none" w:color="auto"/>
                    </w:rPr>
                  </w:pPr>
                </w:p>
              </w:tc>
            </w:tr>
            <w:tr w14:paraId="78E162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1091" w:type="pct"/>
                  <w:tcBorders>
                    <w:tl2br w:val="nil"/>
                    <w:tr2bl w:val="nil"/>
                  </w:tcBorders>
                  <w:vAlign w:val="center"/>
                </w:tcPr>
                <w:p w14:paraId="72207EC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Cs w:val="21"/>
                      <w:highlight w:val="none"/>
                      <w:u w:val="none" w:color="auto"/>
                      <w:lang w:eastAsia="zh-CN"/>
                    </w:rPr>
                  </w:pPr>
                  <w:r>
                    <w:rPr>
                      <w:rFonts w:hint="default" w:ascii="Times New Roman" w:hAnsi="Times New Roman" w:cs="Times New Roman"/>
                      <w:bCs/>
                      <w:color w:val="auto"/>
                      <w:sz w:val="24"/>
                      <w:highlight w:val="none"/>
                      <w:u w:val="none" w:color="auto"/>
                      <w:lang w:val="en-US" w:eastAsia="zh-CN"/>
                    </w:rPr>
                    <w:t>蒸汽量</w:t>
                  </w:r>
                </w:p>
              </w:tc>
              <w:tc>
                <w:tcPr>
                  <w:tcW w:w="567" w:type="pct"/>
                  <w:tcBorders>
                    <w:tl2br w:val="nil"/>
                    <w:tr2bl w:val="nil"/>
                  </w:tcBorders>
                  <w:vAlign w:val="center"/>
                </w:tcPr>
                <w:p w14:paraId="2E1F5354">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吨</w:t>
                  </w:r>
                  <w:r>
                    <w:rPr>
                      <w:rFonts w:hint="default" w:ascii="Times New Roman" w:hAnsi="Times New Roman" w:eastAsia="宋体" w:cs="Times New Roman"/>
                      <w:color w:val="auto"/>
                      <w:szCs w:val="21"/>
                      <w:highlight w:val="none"/>
                      <w:u w:val="none" w:color="auto"/>
                      <w:lang w:val="en-US" w:eastAsia="zh-CN"/>
                    </w:rPr>
                    <w:t>/年</w:t>
                  </w:r>
                </w:p>
              </w:tc>
              <w:tc>
                <w:tcPr>
                  <w:tcW w:w="716" w:type="pct"/>
                  <w:tcBorders>
                    <w:tl2br w:val="nil"/>
                    <w:tr2bl w:val="nil"/>
                  </w:tcBorders>
                  <w:vAlign w:val="center"/>
                </w:tcPr>
                <w:p w14:paraId="608031FD">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1800</w:t>
                  </w:r>
                </w:p>
              </w:tc>
              <w:tc>
                <w:tcPr>
                  <w:tcW w:w="694" w:type="pct"/>
                  <w:tcBorders>
                    <w:right w:val="single" w:color="auto" w:sz="4" w:space="0"/>
                    <w:tl2br w:val="nil"/>
                    <w:tr2bl w:val="nil"/>
                  </w:tcBorders>
                  <w:vAlign w:val="center"/>
                </w:tcPr>
                <w:p w14:paraId="418B12E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1800</w:t>
                  </w:r>
                </w:p>
              </w:tc>
              <w:tc>
                <w:tcPr>
                  <w:tcW w:w="590" w:type="pct"/>
                  <w:tcBorders>
                    <w:left w:val="single" w:color="auto" w:sz="4" w:space="0"/>
                    <w:tl2br w:val="nil"/>
                    <w:tr2bl w:val="nil"/>
                  </w:tcBorders>
                  <w:vAlign w:val="center"/>
                </w:tcPr>
                <w:p w14:paraId="1802AA4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0</w:t>
                  </w:r>
                </w:p>
              </w:tc>
              <w:tc>
                <w:tcPr>
                  <w:tcW w:w="1340" w:type="pct"/>
                  <w:tcBorders>
                    <w:tl2br w:val="nil"/>
                    <w:tr2bl w:val="nil"/>
                  </w:tcBorders>
                  <w:vAlign w:val="center"/>
                </w:tcPr>
                <w:p w14:paraId="0CABEF16">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w:t>
                  </w:r>
                </w:p>
              </w:tc>
            </w:tr>
            <w:tr w14:paraId="7DE822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58" w:hRule="atLeast"/>
              </w:trPr>
              <w:tc>
                <w:tcPr>
                  <w:tcW w:w="5000" w:type="pct"/>
                  <w:gridSpan w:val="6"/>
                  <w:tcBorders>
                    <w:tl2br w:val="nil"/>
                    <w:tr2bl w:val="nil"/>
                  </w:tcBorders>
                  <w:vAlign w:val="center"/>
                </w:tcPr>
                <w:p w14:paraId="56AA3435">
                  <w:pPr>
                    <w:pStyle w:val="155"/>
                    <w:spacing w:before="47" w:line="288" w:lineRule="auto"/>
                    <w:ind w:left="99" w:right="42" w:firstLine="421"/>
                    <w:jc w:val="both"/>
                    <w:rPr>
                      <w:rFonts w:hint="default" w:ascii="Times New Roman" w:hAnsi="Times New Roman" w:eastAsia="宋体" w:cs="Times New Roman"/>
                      <w:color w:val="auto"/>
                      <w:spacing w:val="5"/>
                      <w:sz w:val="21"/>
                      <w:szCs w:val="21"/>
                      <w:highlight w:val="none"/>
                      <w:u w:val="none" w:color="auto"/>
                      <w:lang w:eastAsia="zh-CN"/>
                    </w:rPr>
                  </w:pPr>
                  <w:r>
                    <w:rPr>
                      <w:rFonts w:hint="default" w:ascii="Times New Roman" w:hAnsi="Times New Roman" w:eastAsia="宋体" w:cs="Times New Roman"/>
                      <w:color w:val="auto"/>
                      <w:spacing w:val="5"/>
                      <w:sz w:val="21"/>
                      <w:szCs w:val="21"/>
                      <w:highlight w:val="none"/>
                      <w:u w:val="none" w:color="auto"/>
                      <w:lang w:val="en-US" w:eastAsia="zh-CN"/>
                    </w:rPr>
                    <w:t>注：</w:t>
                  </w:r>
                  <w:r>
                    <w:rPr>
                      <w:rFonts w:hint="default" w:ascii="Times New Roman" w:hAnsi="Times New Roman" w:eastAsia="宋体" w:cs="Times New Roman"/>
                      <w:color w:val="auto"/>
                      <w:spacing w:val="5"/>
                      <w:sz w:val="21"/>
                      <w:szCs w:val="21"/>
                      <w:highlight w:val="none"/>
                      <w:u w:val="none" w:color="auto"/>
                      <w:lang w:eastAsia="zh-CN"/>
                    </w:rPr>
                    <w:t>企业提供资料，现有</w:t>
                  </w:r>
                  <w:r>
                    <w:rPr>
                      <w:rFonts w:hint="default" w:ascii="Times New Roman" w:hAnsi="Times New Roman" w:eastAsia="宋体" w:cs="Times New Roman"/>
                      <w:color w:val="auto"/>
                      <w:spacing w:val="5"/>
                      <w:sz w:val="21"/>
                      <w:szCs w:val="21"/>
                      <w:highlight w:val="none"/>
                      <w:u w:val="none" w:color="auto"/>
                      <w:lang w:val="en-US" w:eastAsia="zh-CN"/>
                    </w:rPr>
                    <w:t>1</w:t>
                  </w:r>
                  <w:r>
                    <w:rPr>
                      <w:rFonts w:hint="default" w:ascii="Times New Roman" w:hAnsi="Times New Roman" w:eastAsia="宋体" w:cs="Times New Roman"/>
                      <w:color w:val="auto"/>
                      <w:spacing w:val="5"/>
                      <w:sz w:val="21"/>
                      <w:szCs w:val="21"/>
                      <w:highlight w:val="none"/>
                      <w:u w:val="none" w:color="auto"/>
                      <w:lang w:eastAsia="zh-CN"/>
                    </w:rPr>
                    <w:t>台2t/h的蒸汽锅炉，锅炉年使用时间为 900h，每年需要提供的蒸汽量</w:t>
                  </w:r>
                  <w:r>
                    <w:rPr>
                      <w:rFonts w:hint="default" w:ascii="Times New Roman" w:hAnsi="Times New Roman" w:cs="Times New Roman"/>
                      <w:color w:val="auto"/>
                      <w:spacing w:val="5"/>
                      <w:sz w:val="21"/>
                      <w:szCs w:val="21"/>
                      <w:highlight w:val="none"/>
                      <w:u w:val="none" w:color="auto"/>
                      <w:lang w:val="en-US" w:eastAsia="zh-CN"/>
                    </w:rPr>
                    <w:t>约为1800</w:t>
                  </w:r>
                  <w:r>
                    <w:rPr>
                      <w:rFonts w:hint="default" w:ascii="Times New Roman" w:hAnsi="Times New Roman" w:eastAsia="宋体" w:cs="Times New Roman"/>
                      <w:color w:val="auto"/>
                      <w:spacing w:val="5"/>
                      <w:sz w:val="21"/>
                      <w:szCs w:val="21"/>
                      <w:highlight w:val="none"/>
                      <w:u w:val="none" w:color="auto"/>
                      <w:lang w:eastAsia="zh-CN"/>
                    </w:rPr>
                    <w:t>吨。</w:t>
                  </w:r>
                </w:p>
                <w:p w14:paraId="5AC6E5D8">
                  <w:pPr>
                    <w:pStyle w:val="155"/>
                    <w:spacing w:before="47" w:line="288" w:lineRule="auto"/>
                    <w:ind w:left="99" w:right="42" w:firstLine="421"/>
                    <w:jc w:val="both"/>
                    <w:rPr>
                      <w:rFonts w:hint="default" w:ascii="Times New Roman" w:hAnsi="Times New Roman" w:eastAsia="Times New Roman" w:cs="Times New Roman"/>
                      <w:color w:val="auto"/>
                      <w:sz w:val="21"/>
                      <w:szCs w:val="21"/>
                      <w:highlight w:val="none"/>
                      <w:u w:val="none" w:color="auto"/>
                    </w:rPr>
                  </w:pPr>
                  <w:r>
                    <w:rPr>
                      <w:rFonts w:hint="default" w:ascii="Times New Roman" w:hAnsi="Times New Roman" w:cs="Times New Roman"/>
                      <w:color w:val="auto"/>
                      <w:spacing w:val="5"/>
                      <w:sz w:val="21"/>
                      <w:szCs w:val="21"/>
                      <w:highlight w:val="none"/>
                      <w:u w:val="none" w:color="auto"/>
                      <w:lang w:eastAsia="zh-CN"/>
                    </w:rPr>
                    <w:t>技改后</w:t>
                  </w:r>
                  <w:r>
                    <w:rPr>
                      <w:rFonts w:hint="default" w:ascii="Times New Roman" w:hAnsi="Times New Roman" w:eastAsia="宋体" w:cs="Times New Roman"/>
                      <w:color w:val="auto"/>
                      <w:spacing w:val="5"/>
                      <w:sz w:val="21"/>
                      <w:szCs w:val="21"/>
                      <w:highlight w:val="none"/>
                      <w:u w:val="none" w:color="auto"/>
                      <w:lang w:eastAsia="zh-CN"/>
                    </w:rPr>
                    <w:t>，项目使用锅炉为</w:t>
                  </w:r>
                  <w:r>
                    <w:rPr>
                      <w:rFonts w:hint="default" w:ascii="Times New Roman" w:hAnsi="Times New Roman" w:cs="Times New Roman"/>
                      <w:color w:val="auto"/>
                      <w:spacing w:val="5"/>
                      <w:sz w:val="21"/>
                      <w:szCs w:val="21"/>
                      <w:highlight w:val="none"/>
                      <w:u w:val="none" w:color="auto"/>
                      <w:lang w:eastAsia="zh-CN"/>
                    </w:rPr>
                    <w:t>2.1t/h</w:t>
                  </w:r>
                  <w:r>
                    <w:rPr>
                      <w:rFonts w:hint="default" w:ascii="Times New Roman" w:hAnsi="Times New Roman" w:eastAsia="宋体" w:cs="Times New Roman"/>
                      <w:color w:val="auto"/>
                      <w:spacing w:val="5"/>
                      <w:sz w:val="21"/>
                      <w:szCs w:val="21"/>
                      <w:highlight w:val="none"/>
                      <w:u w:val="none" w:color="auto"/>
                      <w:lang w:eastAsia="zh-CN"/>
                    </w:rPr>
                    <w:t>，根据生产线需要的蒸汽量为</w:t>
                  </w:r>
                  <w:r>
                    <w:rPr>
                      <w:rFonts w:hint="default" w:ascii="Times New Roman" w:hAnsi="Times New Roman" w:cs="Times New Roman"/>
                      <w:color w:val="auto"/>
                      <w:spacing w:val="5"/>
                      <w:sz w:val="21"/>
                      <w:szCs w:val="21"/>
                      <w:highlight w:val="none"/>
                      <w:u w:val="none" w:color="auto"/>
                      <w:lang w:val="en-US" w:eastAsia="zh-CN"/>
                    </w:rPr>
                    <w:t>1800</w:t>
                  </w:r>
                  <w:r>
                    <w:rPr>
                      <w:rFonts w:hint="default" w:ascii="Times New Roman" w:hAnsi="Times New Roman" w:eastAsia="宋体" w:cs="Times New Roman"/>
                      <w:color w:val="auto"/>
                      <w:spacing w:val="5"/>
                      <w:sz w:val="21"/>
                      <w:szCs w:val="21"/>
                      <w:highlight w:val="none"/>
                      <w:u w:val="none" w:color="auto"/>
                      <w:lang w:eastAsia="zh-CN"/>
                    </w:rPr>
                    <w:t>吨，</w:t>
                  </w:r>
                  <w:r>
                    <w:rPr>
                      <w:rFonts w:hint="default" w:ascii="Times New Roman" w:hAnsi="Times New Roman" w:eastAsia="宋体" w:cs="Times New Roman"/>
                      <w:color w:val="auto"/>
                      <w:spacing w:val="5"/>
                      <w:sz w:val="21"/>
                      <w:szCs w:val="21"/>
                      <w:highlight w:val="none"/>
                      <w:u w:val="none" w:color="auto"/>
                      <w:lang w:val="en-US" w:eastAsia="zh-CN"/>
                    </w:rPr>
                    <w:t>锅炉</w:t>
                  </w:r>
                  <w:r>
                    <w:rPr>
                      <w:rFonts w:hint="default" w:ascii="Times New Roman" w:hAnsi="Times New Roman" w:eastAsia="宋体" w:cs="Times New Roman"/>
                      <w:color w:val="auto"/>
                      <w:spacing w:val="5"/>
                      <w:sz w:val="21"/>
                      <w:szCs w:val="21"/>
                      <w:highlight w:val="none"/>
                      <w:u w:val="none" w:color="auto"/>
                      <w:lang w:eastAsia="zh-CN"/>
                    </w:rPr>
                    <w:t>年运行时间为</w:t>
                  </w:r>
                  <w:r>
                    <w:rPr>
                      <w:rFonts w:hint="default" w:ascii="Times New Roman" w:hAnsi="Times New Roman" w:cs="Times New Roman"/>
                      <w:color w:val="auto"/>
                      <w:spacing w:val="5"/>
                      <w:sz w:val="21"/>
                      <w:szCs w:val="21"/>
                      <w:highlight w:val="none"/>
                      <w:u w:val="none" w:color="auto"/>
                      <w:lang w:val="en-US" w:eastAsia="zh-CN"/>
                    </w:rPr>
                    <w:t>858h</w:t>
                  </w:r>
                  <w:r>
                    <w:rPr>
                      <w:rFonts w:hint="default" w:ascii="Times New Roman" w:hAnsi="Times New Roman" w:eastAsia="宋体" w:cs="Times New Roman"/>
                      <w:color w:val="auto"/>
                      <w:spacing w:val="5"/>
                      <w:sz w:val="21"/>
                      <w:szCs w:val="21"/>
                      <w:highlight w:val="none"/>
                      <w:u w:val="none" w:color="auto"/>
                      <w:lang w:eastAsia="zh-CN"/>
                    </w:rPr>
                    <w:t>。</w:t>
                  </w:r>
                </w:p>
              </w:tc>
            </w:tr>
          </w:tbl>
          <w:p w14:paraId="679A70FA">
            <w:pPr>
              <w:jc w:val="center"/>
              <w:rPr>
                <w:rFonts w:hint="default" w:ascii="Times New Roman" w:hAnsi="Times New Roman" w:cs="Times New Roman"/>
                <w:b/>
                <w:color w:val="auto"/>
                <w:szCs w:val="21"/>
                <w:highlight w:val="none"/>
                <w:u w:val="none" w:color="auto"/>
              </w:rPr>
            </w:pPr>
          </w:p>
          <w:p w14:paraId="654AD327">
            <w:pPr>
              <w:spacing w:line="360" w:lineRule="auto"/>
              <w:ind w:firstLine="482" w:firstLineChars="200"/>
              <w:rPr>
                <w:rFonts w:hint="default" w:ascii="Times New Roman" w:hAnsi="Times New Roman" w:cs="Times New Roman"/>
                <w:b/>
                <w:color w:val="auto"/>
                <w:sz w:val="24"/>
                <w:highlight w:val="none"/>
                <w:u w:val="none" w:color="auto"/>
                <w:lang w:val="en-US" w:eastAsia="zh-CN"/>
              </w:rPr>
            </w:pPr>
          </w:p>
          <w:p w14:paraId="1186AFF3">
            <w:pPr>
              <w:spacing w:line="360" w:lineRule="auto"/>
              <w:ind w:firstLine="482" w:firstLineChars="200"/>
              <w:rPr>
                <w:rFonts w:hint="default" w:ascii="Times New Roman" w:hAnsi="Times New Roman" w:cs="Times New Roman"/>
                <w:b/>
                <w:color w:val="auto"/>
                <w:sz w:val="24"/>
                <w:highlight w:val="none"/>
                <w:u w:val="none" w:color="auto"/>
                <w:lang w:val="en-US" w:eastAsia="zh-CN"/>
              </w:rPr>
            </w:pPr>
          </w:p>
          <w:p w14:paraId="3950C5D1">
            <w:pPr>
              <w:spacing w:line="360" w:lineRule="auto"/>
              <w:ind w:firstLine="482" w:firstLineChars="200"/>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lang w:val="en-US" w:eastAsia="zh-CN"/>
              </w:rPr>
              <w:t>3、</w:t>
            </w:r>
            <w:r>
              <w:rPr>
                <w:rFonts w:hint="default" w:ascii="Times New Roman" w:hAnsi="Times New Roman" w:cs="Times New Roman"/>
                <w:b/>
                <w:color w:val="auto"/>
                <w:sz w:val="24"/>
                <w:highlight w:val="none"/>
                <w:u w:val="none" w:color="auto"/>
              </w:rPr>
              <w:t>主要原辅材料消耗</w:t>
            </w:r>
          </w:p>
          <w:p w14:paraId="2163A62E">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本项目主要原辅材料消耗情况见表</w:t>
            </w:r>
            <w:r>
              <w:rPr>
                <w:rFonts w:hint="default" w:ascii="Times New Roman" w:hAnsi="Times New Roman" w:cs="Times New Roman"/>
                <w:color w:val="auto"/>
                <w:sz w:val="24"/>
                <w:highlight w:val="none"/>
                <w:u w:val="none" w:color="auto"/>
                <w:lang w:val="en-US" w:eastAsia="zh-CN"/>
              </w:rPr>
              <w:t>2</w:t>
            </w:r>
            <w:r>
              <w:rPr>
                <w:rFonts w:hint="default" w:ascii="Times New Roman" w:hAnsi="Times New Roman" w:cs="Times New Roman"/>
                <w:color w:val="auto"/>
                <w:sz w:val="24"/>
                <w:highlight w:val="none"/>
                <w:u w:val="none" w:color="auto"/>
              </w:rPr>
              <w:t>-3。</w:t>
            </w:r>
          </w:p>
          <w:p w14:paraId="4595407C">
            <w:pPr>
              <w:jc w:val="center"/>
              <w:rPr>
                <w:rFonts w:hint="default" w:ascii="Times New Roman" w:hAnsi="Times New Roman" w:eastAsia="宋体" w:cs="Times New Roman"/>
                <w:color w:val="auto"/>
                <w:kern w:val="0"/>
                <w:sz w:val="24"/>
                <w:highlight w:val="none"/>
                <w:u w:val="none" w:color="auto"/>
                <w:lang w:eastAsia="zh-CN"/>
              </w:rPr>
            </w:pPr>
            <w:r>
              <w:rPr>
                <w:rFonts w:hint="default" w:ascii="Times New Roman" w:hAnsi="Times New Roman" w:cs="Times New Roman"/>
                <w:b/>
                <w:color w:val="auto"/>
                <w:szCs w:val="21"/>
                <w:highlight w:val="none"/>
                <w:u w:val="none" w:color="auto"/>
              </w:rPr>
              <w:t>表</w:t>
            </w:r>
            <w:r>
              <w:rPr>
                <w:rFonts w:hint="default" w:ascii="Times New Roman" w:hAnsi="Times New Roman" w:cs="Times New Roman"/>
                <w:b/>
                <w:color w:val="auto"/>
                <w:szCs w:val="21"/>
                <w:highlight w:val="none"/>
                <w:u w:val="none" w:color="auto"/>
                <w:lang w:val="en-US" w:eastAsia="zh-CN"/>
              </w:rPr>
              <w:t>2</w:t>
            </w:r>
            <w:r>
              <w:rPr>
                <w:rFonts w:hint="default" w:ascii="Times New Roman" w:hAnsi="Times New Roman" w:cs="Times New Roman"/>
                <w:b/>
                <w:color w:val="auto"/>
                <w:szCs w:val="21"/>
                <w:highlight w:val="none"/>
                <w:u w:val="none" w:color="auto"/>
              </w:rPr>
              <w:t>-3  项目主要原辅材料消耗一览表</w:t>
            </w:r>
          </w:p>
          <w:tbl>
            <w:tblPr>
              <w:tblStyle w:val="42"/>
              <w:tblW w:w="498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31"/>
              <w:gridCol w:w="1124"/>
              <w:gridCol w:w="552"/>
              <w:gridCol w:w="707"/>
              <w:gridCol w:w="1556"/>
              <w:gridCol w:w="984"/>
              <w:gridCol w:w="2784"/>
            </w:tblGrid>
            <w:tr w14:paraId="5F710D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79" w:hRule="atLeast"/>
                <w:jc w:val="center"/>
              </w:trPr>
              <w:tc>
                <w:tcPr>
                  <w:tcW w:w="378" w:type="pct"/>
                  <w:vMerge w:val="restart"/>
                  <w:tcBorders>
                    <w:tl2br w:val="nil"/>
                    <w:tr2bl w:val="nil"/>
                  </w:tcBorders>
                  <w:noWrap w:val="0"/>
                  <w:vAlign w:val="center"/>
                </w:tcPr>
                <w:p w14:paraId="260F1C84">
                  <w:pPr>
                    <w:contextualSpacing/>
                    <w:jc w:val="center"/>
                    <w:rPr>
                      <w:rFonts w:hint="default" w:ascii="Times New Roman" w:hAnsi="Times New Roman" w:eastAsia="宋体" w:cs="Times New Roman"/>
                      <w:b/>
                      <w:bCs/>
                      <w:color w:val="auto"/>
                      <w:spacing w:val="0"/>
                      <w:kern w:val="2"/>
                      <w:sz w:val="21"/>
                      <w:szCs w:val="21"/>
                      <w:highlight w:val="none"/>
                      <w:u w:val="none" w:color="auto"/>
                    </w:rPr>
                  </w:pPr>
                  <w:r>
                    <w:rPr>
                      <w:rFonts w:hint="default" w:ascii="Times New Roman" w:hAnsi="Times New Roman" w:eastAsia="宋体" w:cs="Times New Roman"/>
                      <w:b/>
                      <w:bCs/>
                      <w:color w:val="auto"/>
                      <w:spacing w:val="0"/>
                      <w:kern w:val="2"/>
                      <w:sz w:val="21"/>
                      <w:szCs w:val="21"/>
                      <w:highlight w:val="none"/>
                      <w:u w:val="none" w:color="auto"/>
                    </w:rPr>
                    <w:t>序号</w:t>
                  </w:r>
                </w:p>
              </w:tc>
              <w:tc>
                <w:tcPr>
                  <w:tcW w:w="674" w:type="pct"/>
                  <w:vMerge w:val="restart"/>
                  <w:tcBorders>
                    <w:tl2br w:val="nil"/>
                    <w:tr2bl w:val="nil"/>
                  </w:tcBorders>
                  <w:noWrap w:val="0"/>
                  <w:vAlign w:val="center"/>
                </w:tcPr>
                <w:p w14:paraId="2DC16545">
                  <w:pPr>
                    <w:contextualSpacing/>
                    <w:jc w:val="center"/>
                    <w:rPr>
                      <w:rFonts w:hint="default" w:ascii="Times New Roman" w:hAnsi="Times New Roman" w:eastAsia="宋体" w:cs="Times New Roman"/>
                      <w:b/>
                      <w:bCs/>
                      <w:color w:val="auto"/>
                      <w:spacing w:val="0"/>
                      <w:kern w:val="2"/>
                      <w:sz w:val="21"/>
                      <w:szCs w:val="21"/>
                      <w:highlight w:val="none"/>
                      <w:u w:val="none" w:color="auto"/>
                      <w:lang w:val="en-US" w:eastAsia="zh-CN"/>
                    </w:rPr>
                  </w:pPr>
                  <w:r>
                    <w:rPr>
                      <w:rFonts w:hint="default" w:ascii="Times New Roman" w:hAnsi="Times New Roman" w:eastAsia="宋体" w:cs="Times New Roman"/>
                      <w:b/>
                      <w:bCs/>
                      <w:color w:val="auto"/>
                      <w:spacing w:val="0"/>
                      <w:kern w:val="2"/>
                      <w:sz w:val="21"/>
                      <w:szCs w:val="21"/>
                      <w:highlight w:val="none"/>
                      <w:u w:val="none" w:color="auto"/>
                      <w:lang w:val="en-US" w:eastAsia="zh-CN"/>
                    </w:rPr>
                    <w:t>生产原料</w:t>
                  </w:r>
                </w:p>
              </w:tc>
              <w:tc>
                <w:tcPr>
                  <w:tcW w:w="331" w:type="pct"/>
                  <w:vMerge w:val="restart"/>
                  <w:tcBorders>
                    <w:tl2br w:val="nil"/>
                    <w:tr2bl w:val="nil"/>
                  </w:tcBorders>
                  <w:noWrap w:val="0"/>
                  <w:vAlign w:val="center"/>
                </w:tcPr>
                <w:p w14:paraId="53E5135E">
                  <w:pPr>
                    <w:contextualSpacing/>
                    <w:jc w:val="center"/>
                    <w:rPr>
                      <w:rFonts w:hint="default" w:ascii="Times New Roman" w:hAnsi="Times New Roman" w:eastAsia="宋体" w:cs="Times New Roman"/>
                      <w:b/>
                      <w:bCs/>
                      <w:color w:val="auto"/>
                      <w:spacing w:val="0"/>
                      <w:kern w:val="2"/>
                      <w:sz w:val="21"/>
                      <w:szCs w:val="21"/>
                      <w:highlight w:val="none"/>
                      <w:u w:val="none" w:color="auto"/>
                      <w:lang w:val="en-US" w:eastAsia="zh-CN"/>
                    </w:rPr>
                  </w:pPr>
                  <w:r>
                    <w:rPr>
                      <w:rFonts w:hint="default" w:ascii="Times New Roman" w:hAnsi="Times New Roman" w:eastAsia="宋体" w:cs="Times New Roman"/>
                      <w:b/>
                      <w:bCs/>
                      <w:color w:val="auto"/>
                      <w:spacing w:val="0"/>
                      <w:kern w:val="2"/>
                      <w:sz w:val="21"/>
                      <w:szCs w:val="21"/>
                      <w:highlight w:val="none"/>
                      <w:u w:val="none" w:color="auto"/>
                      <w:lang w:val="en-US" w:eastAsia="zh-CN"/>
                    </w:rPr>
                    <w:t>单位</w:t>
                  </w:r>
                </w:p>
              </w:tc>
              <w:tc>
                <w:tcPr>
                  <w:tcW w:w="1947" w:type="pct"/>
                  <w:gridSpan w:val="3"/>
                  <w:tcBorders>
                    <w:tl2br w:val="nil"/>
                    <w:tr2bl w:val="nil"/>
                  </w:tcBorders>
                  <w:noWrap w:val="0"/>
                  <w:vAlign w:val="center"/>
                </w:tcPr>
                <w:p w14:paraId="39DC31AF">
                  <w:pPr>
                    <w:contextualSpacing/>
                    <w:jc w:val="center"/>
                    <w:rPr>
                      <w:rFonts w:hint="default" w:ascii="Times New Roman" w:hAnsi="Times New Roman" w:eastAsia="宋体" w:cs="Times New Roman"/>
                      <w:b/>
                      <w:bCs/>
                      <w:color w:val="auto"/>
                      <w:spacing w:val="0"/>
                      <w:kern w:val="2"/>
                      <w:sz w:val="21"/>
                      <w:szCs w:val="21"/>
                      <w:highlight w:val="none"/>
                      <w:u w:val="none" w:color="auto"/>
                    </w:rPr>
                  </w:pPr>
                  <w:r>
                    <w:rPr>
                      <w:rFonts w:hint="default" w:ascii="Times New Roman" w:hAnsi="Times New Roman" w:eastAsia="宋体" w:cs="Times New Roman"/>
                      <w:b/>
                      <w:bCs/>
                      <w:color w:val="auto"/>
                      <w:spacing w:val="0"/>
                      <w:kern w:val="2"/>
                      <w:sz w:val="21"/>
                      <w:szCs w:val="21"/>
                      <w:highlight w:val="none"/>
                      <w:u w:val="none" w:color="auto"/>
                      <w:lang w:val="en-US" w:eastAsia="zh-CN"/>
                    </w:rPr>
                    <w:t>年消耗量</w:t>
                  </w:r>
                  <w:r>
                    <w:rPr>
                      <w:rFonts w:hint="default" w:ascii="Times New Roman" w:hAnsi="Times New Roman" w:eastAsia="宋体" w:cs="Times New Roman"/>
                      <w:b/>
                      <w:bCs/>
                      <w:color w:val="auto"/>
                      <w:spacing w:val="0"/>
                      <w:kern w:val="2"/>
                      <w:sz w:val="21"/>
                      <w:szCs w:val="21"/>
                      <w:highlight w:val="none"/>
                      <w:u w:val="none" w:color="auto"/>
                    </w:rPr>
                    <w:t>（</w:t>
                  </w:r>
                  <w:r>
                    <w:rPr>
                      <w:rFonts w:hint="default" w:ascii="Times New Roman" w:hAnsi="Times New Roman" w:eastAsia="宋体" w:cs="Times New Roman"/>
                      <w:b/>
                      <w:bCs/>
                      <w:color w:val="auto"/>
                      <w:spacing w:val="0"/>
                      <w:kern w:val="2"/>
                      <w:sz w:val="21"/>
                      <w:szCs w:val="21"/>
                      <w:highlight w:val="none"/>
                      <w:u w:val="none" w:color="auto"/>
                      <w:lang w:val="en-US" w:eastAsia="zh-CN"/>
                    </w:rPr>
                    <w:t>t/a</w:t>
                  </w:r>
                  <w:r>
                    <w:rPr>
                      <w:rFonts w:hint="default" w:ascii="Times New Roman" w:hAnsi="Times New Roman" w:eastAsia="宋体" w:cs="Times New Roman"/>
                      <w:b/>
                      <w:bCs/>
                      <w:color w:val="auto"/>
                      <w:spacing w:val="0"/>
                      <w:kern w:val="2"/>
                      <w:sz w:val="21"/>
                      <w:szCs w:val="21"/>
                      <w:highlight w:val="none"/>
                      <w:u w:val="none" w:color="auto"/>
                    </w:rPr>
                    <w:t>）</w:t>
                  </w:r>
                </w:p>
              </w:tc>
              <w:tc>
                <w:tcPr>
                  <w:tcW w:w="1668" w:type="pct"/>
                  <w:vMerge w:val="restart"/>
                  <w:tcBorders>
                    <w:tl2br w:val="nil"/>
                    <w:tr2bl w:val="nil"/>
                  </w:tcBorders>
                  <w:noWrap w:val="0"/>
                  <w:vAlign w:val="center"/>
                </w:tcPr>
                <w:p w14:paraId="0B12E105">
                  <w:pPr>
                    <w:contextualSpacing/>
                    <w:jc w:val="center"/>
                    <w:rPr>
                      <w:rFonts w:hint="default" w:ascii="Times New Roman" w:hAnsi="Times New Roman" w:eastAsia="宋体" w:cs="Times New Roman"/>
                      <w:b/>
                      <w:bCs/>
                      <w:color w:val="auto"/>
                      <w:spacing w:val="0"/>
                      <w:kern w:val="2"/>
                      <w:sz w:val="21"/>
                      <w:szCs w:val="21"/>
                      <w:highlight w:val="none"/>
                      <w:u w:val="none" w:color="auto"/>
                    </w:rPr>
                  </w:pPr>
                  <w:r>
                    <w:rPr>
                      <w:rFonts w:hint="default" w:ascii="Times New Roman" w:hAnsi="Times New Roman" w:eastAsia="宋体" w:cs="Times New Roman"/>
                      <w:b/>
                      <w:bCs/>
                      <w:color w:val="auto"/>
                      <w:spacing w:val="0"/>
                      <w:kern w:val="2"/>
                      <w:sz w:val="21"/>
                      <w:szCs w:val="21"/>
                      <w:highlight w:val="none"/>
                      <w:u w:val="none" w:color="auto"/>
                    </w:rPr>
                    <w:t>备注</w:t>
                  </w:r>
                </w:p>
              </w:tc>
            </w:tr>
            <w:tr w14:paraId="2360AA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10" w:hRule="atLeast"/>
                <w:jc w:val="center"/>
              </w:trPr>
              <w:tc>
                <w:tcPr>
                  <w:tcW w:w="378" w:type="pct"/>
                  <w:vMerge w:val="continue"/>
                  <w:tcBorders>
                    <w:tl2br w:val="nil"/>
                    <w:tr2bl w:val="nil"/>
                  </w:tcBorders>
                  <w:noWrap w:val="0"/>
                  <w:vAlign w:val="center"/>
                </w:tcPr>
                <w:p w14:paraId="22C96E2A">
                  <w:pPr>
                    <w:contextualSpacing/>
                    <w:jc w:val="center"/>
                    <w:rPr>
                      <w:rFonts w:hint="default" w:ascii="Times New Roman" w:hAnsi="Times New Roman" w:eastAsia="宋体" w:cs="Times New Roman"/>
                      <w:bCs w:val="0"/>
                      <w:color w:val="auto"/>
                      <w:spacing w:val="0"/>
                      <w:kern w:val="2"/>
                      <w:sz w:val="21"/>
                      <w:szCs w:val="21"/>
                      <w:highlight w:val="none"/>
                      <w:u w:val="none" w:color="auto"/>
                    </w:rPr>
                  </w:pPr>
                </w:p>
              </w:tc>
              <w:tc>
                <w:tcPr>
                  <w:tcW w:w="674" w:type="pct"/>
                  <w:vMerge w:val="continue"/>
                  <w:tcBorders>
                    <w:tl2br w:val="nil"/>
                    <w:tr2bl w:val="nil"/>
                  </w:tcBorders>
                  <w:noWrap w:val="0"/>
                  <w:vAlign w:val="center"/>
                </w:tcPr>
                <w:p w14:paraId="73BF2BDC">
                  <w:pPr>
                    <w:contextualSpacing/>
                    <w:jc w:val="center"/>
                    <w:rPr>
                      <w:rFonts w:hint="default" w:ascii="Times New Roman" w:hAnsi="Times New Roman" w:eastAsia="宋体" w:cs="Times New Roman"/>
                      <w:bCs w:val="0"/>
                      <w:color w:val="auto"/>
                      <w:spacing w:val="0"/>
                      <w:kern w:val="2"/>
                      <w:sz w:val="21"/>
                      <w:szCs w:val="21"/>
                      <w:highlight w:val="none"/>
                      <w:u w:val="none" w:color="auto"/>
                    </w:rPr>
                  </w:pPr>
                </w:p>
              </w:tc>
              <w:tc>
                <w:tcPr>
                  <w:tcW w:w="331" w:type="pct"/>
                  <w:vMerge w:val="continue"/>
                  <w:tcBorders>
                    <w:tl2br w:val="nil"/>
                    <w:tr2bl w:val="nil"/>
                  </w:tcBorders>
                  <w:noWrap w:val="0"/>
                  <w:vAlign w:val="center"/>
                </w:tcPr>
                <w:p w14:paraId="04A08BE9">
                  <w:pPr>
                    <w:contextualSpacing/>
                    <w:jc w:val="center"/>
                    <w:rPr>
                      <w:rFonts w:hint="default" w:ascii="Times New Roman" w:hAnsi="Times New Roman" w:eastAsia="宋体" w:cs="Times New Roman"/>
                      <w:bCs w:val="0"/>
                      <w:color w:val="auto"/>
                      <w:spacing w:val="0"/>
                      <w:kern w:val="2"/>
                      <w:sz w:val="21"/>
                      <w:szCs w:val="21"/>
                      <w:highlight w:val="none"/>
                      <w:u w:val="none" w:color="auto"/>
                    </w:rPr>
                  </w:pPr>
                </w:p>
              </w:tc>
              <w:tc>
                <w:tcPr>
                  <w:tcW w:w="424" w:type="pct"/>
                  <w:tcBorders>
                    <w:tl2br w:val="nil"/>
                    <w:tr2bl w:val="nil"/>
                  </w:tcBorders>
                  <w:noWrap w:val="0"/>
                  <w:vAlign w:val="center"/>
                </w:tcPr>
                <w:p w14:paraId="67B7D63E">
                  <w:pPr>
                    <w:contextualSpacing/>
                    <w:jc w:val="center"/>
                    <w:rPr>
                      <w:rFonts w:hint="default" w:ascii="Times New Roman" w:hAnsi="Times New Roman" w:eastAsia="宋体" w:cs="Times New Roman"/>
                      <w:b/>
                      <w:bCs/>
                      <w:color w:val="auto"/>
                      <w:spacing w:val="0"/>
                      <w:kern w:val="2"/>
                      <w:sz w:val="21"/>
                      <w:szCs w:val="21"/>
                      <w:highlight w:val="none"/>
                      <w:u w:val="none" w:color="auto"/>
                      <w:lang w:val="en-US" w:eastAsia="zh-CN"/>
                    </w:rPr>
                  </w:pPr>
                  <w:r>
                    <w:rPr>
                      <w:rFonts w:hint="default" w:ascii="Times New Roman" w:hAnsi="Times New Roman" w:eastAsia="宋体" w:cs="Times New Roman"/>
                      <w:b/>
                      <w:bCs/>
                      <w:color w:val="auto"/>
                      <w:spacing w:val="0"/>
                      <w:kern w:val="2"/>
                      <w:sz w:val="21"/>
                      <w:szCs w:val="21"/>
                      <w:highlight w:val="none"/>
                      <w:u w:val="none" w:color="auto"/>
                      <w:lang w:val="en-US" w:eastAsia="zh-CN"/>
                    </w:rPr>
                    <w:t>现有</w:t>
                  </w:r>
                </w:p>
              </w:tc>
              <w:tc>
                <w:tcPr>
                  <w:tcW w:w="933" w:type="pct"/>
                  <w:tcBorders>
                    <w:right w:val="single" w:color="auto" w:sz="4" w:space="0"/>
                  </w:tcBorders>
                  <w:noWrap w:val="0"/>
                  <w:vAlign w:val="center"/>
                </w:tcPr>
                <w:p w14:paraId="2496AAD6">
                  <w:pPr>
                    <w:contextualSpacing/>
                    <w:jc w:val="center"/>
                    <w:rPr>
                      <w:rFonts w:hint="default" w:ascii="Times New Roman" w:hAnsi="Times New Roman" w:eastAsia="宋体" w:cs="Times New Roman"/>
                      <w:b/>
                      <w:bCs/>
                      <w:color w:val="auto"/>
                      <w:spacing w:val="0"/>
                      <w:kern w:val="2"/>
                      <w:sz w:val="21"/>
                      <w:szCs w:val="21"/>
                      <w:highlight w:val="none"/>
                      <w:u w:val="none" w:color="auto"/>
                      <w:lang w:val="en-US" w:eastAsia="zh-CN"/>
                    </w:rPr>
                  </w:pPr>
                  <w:r>
                    <w:rPr>
                      <w:rFonts w:hint="default" w:ascii="Times New Roman" w:hAnsi="Times New Roman" w:eastAsia="宋体" w:cs="Times New Roman"/>
                      <w:b/>
                      <w:bCs/>
                      <w:color w:val="auto"/>
                      <w:spacing w:val="0"/>
                      <w:kern w:val="2"/>
                      <w:sz w:val="21"/>
                      <w:szCs w:val="21"/>
                      <w:highlight w:val="none"/>
                      <w:u w:val="none" w:color="auto"/>
                      <w:lang w:val="en-US" w:eastAsia="zh-CN"/>
                    </w:rPr>
                    <w:t>本项目</w:t>
                  </w:r>
                  <w:r>
                    <w:rPr>
                      <w:rFonts w:hint="default" w:ascii="Times New Roman" w:hAnsi="Times New Roman" w:cs="Times New Roman"/>
                      <w:b/>
                      <w:bCs/>
                      <w:color w:val="auto"/>
                      <w:spacing w:val="0"/>
                      <w:kern w:val="2"/>
                      <w:sz w:val="21"/>
                      <w:szCs w:val="21"/>
                      <w:highlight w:val="none"/>
                      <w:u w:val="none" w:color="auto"/>
                      <w:lang w:val="en-US" w:eastAsia="zh-CN"/>
                    </w:rPr>
                    <w:t>技改后</w:t>
                  </w:r>
                </w:p>
              </w:tc>
              <w:tc>
                <w:tcPr>
                  <w:tcW w:w="590" w:type="pct"/>
                  <w:tcBorders>
                    <w:left w:val="single" w:color="auto" w:sz="4" w:space="0"/>
                  </w:tcBorders>
                  <w:noWrap w:val="0"/>
                  <w:vAlign w:val="center"/>
                </w:tcPr>
                <w:p w14:paraId="19B9A8F5">
                  <w:pPr>
                    <w:contextualSpacing/>
                    <w:jc w:val="center"/>
                    <w:rPr>
                      <w:rFonts w:hint="default" w:ascii="Times New Roman" w:hAnsi="Times New Roman" w:eastAsia="宋体" w:cs="Times New Roman"/>
                      <w:b/>
                      <w:bCs/>
                      <w:color w:val="auto"/>
                      <w:spacing w:val="0"/>
                      <w:kern w:val="2"/>
                      <w:sz w:val="21"/>
                      <w:szCs w:val="21"/>
                      <w:highlight w:val="none"/>
                      <w:u w:val="none" w:color="auto"/>
                      <w:lang w:val="en-US" w:eastAsia="zh-CN"/>
                    </w:rPr>
                  </w:pPr>
                  <w:r>
                    <w:rPr>
                      <w:rFonts w:hint="default" w:ascii="Times New Roman" w:hAnsi="Times New Roman" w:eastAsia="宋体" w:cs="Times New Roman"/>
                      <w:b/>
                      <w:bCs/>
                      <w:color w:val="auto"/>
                      <w:spacing w:val="0"/>
                      <w:kern w:val="2"/>
                      <w:sz w:val="21"/>
                      <w:szCs w:val="21"/>
                      <w:highlight w:val="none"/>
                      <w:u w:val="none" w:color="auto"/>
                      <w:lang w:val="en-US" w:eastAsia="zh-CN"/>
                    </w:rPr>
                    <w:t>增减量</w:t>
                  </w:r>
                </w:p>
              </w:tc>
              <w:tc>
                <w:tcPr>
                  <w:tcW w:w="1668" w:type="pct"/>
                  <w:vMerge w:val="continue"/>
                  <w:tcBorders>
                    <w:tl2br w:val="nil"/>
                    <w:tr2bl w:val="nil"/>
                  </w:tcBorders>
                  <w:noWrap w:val="0"/>
                  <w:vAlign w:val="center"/>
                </w:tcPr>
                <w:p w14:paraId="5266E085">
                  <w:pPr>
                    <w:contextualSpacing/>
                    <w:jc w:val="center"/>
                    <w:rPr>
                      <w:rFonts w:hint="default" w:ascii="Times New Roman" w:hAnsi="Times New Roman" w:eastAsia="宋体" w:cs="Times New Roman"/>
                      <w:bCs w:val="0"/>
                      <w:color w:val="auto"/>
                      <w:spacing w:val="0"/>
                      <w:kern w:val="2"/>
                      <w:sz w:val="21"/>
                      <w:szCs w:val="21"/>
                      <w:highlight w:val="none"/>
                      <w:u w:val="none" w:color="auto"/>
                    </w:rPr>
                  </w:pPr>
                </w:p>
              </w:tc>
            </w:tr>
            <w:tr w14:paraId="2B622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5" w:hRule="atLeast"/>
                <w:jc w:val="center"/>
              </w:trPr>
              <w:tc>
                <w:tcPr>
                  <w:tcW w:w="378" w:type="pct"/>
                  <w:tcBorders>
                    <w:tl2br w:val="nil"/>
                    <w:tr2bl w:val="nil"/>
                  </w:tcBorders>
                  <w:vAlign w:val="center"/>
                </w:tcPr>
                <w:p w14:paraId="40A343FC">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zh-CN"/>
                    </w:rPr>
                  </w:pPr>
                  <w:r>
                    <w:rPr>
                      <w:rFonts w:hint="default" w:ascii="Times New Roman" w:hAnsi="Times New Roman" w:cs="Times New Roman"/>
                      <w:bCs w:val="0"/>
                      <w:color w:val="auto"/>
                      <w:spacing w:val="0"/>
                      <w:kern w:val="2"/>
                      <w:sz w:val="21"/>
                      <w:szCs w:val="21"/>
                      <w:highlight w:val="none"/>
                      <w:u w:val="none" w:color="auto"/>
                      <w:lang w:val="en-US" w:eastAsia="zh-CN"/>
                    </w:rPr>
                    <w:t>1</w:t>
                  </w:r>
                </w:p>
              </w:tc>
              <w:tc>
                <w:tcPr>
                  <w:tcW w:w="674" w:type="pct"/>
                  <w:tcBorders>
                    <w:tl2br w:val="nil"/>
                    <w:tr2bl w:val="nil"/>
                  </w:tcBorders>
                  <w:shd w:val="clear" w:color="auto" w:fill="auto"/>
                  <w:vAlign w:val="center"/>
                </w:tcPr>
                <w:p w14:paraId="0F4E7E97">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en-US"/>
                    </w:rPr>
                  </w:pPr>
                  <w:r>
                    <w:rPr>
                      <w:rFonts w:hint="default" w:ascii="Times New Roman" w:hAnsi="Times New Roman" w:cs="Times New Roman"/>
                      <w:bCs w:val="0"/>
                      <w:color w:val="auto"/>
                      <w:spacing w:val="0"/>
                      <w:kern w:val="2"/>
                      <w:sz w:val="21"/>
                      <w:szCs w:val="21"/>
                      <w:highlight w:val="none"/>
                      <w:u w:val="none" w:color="auto"/>
                      <w:lang w:val="en-US" w:eastAsia="zh-CN"/>
                    </w:rPr>
                    <w:t>成型生物质燃料</w:t>
                  </w:r>
                </w:p>
              </w:tc>
              <w:tc>
                <w:tcPr>
                  <w:tcW w:w="331" w:type="pct"/>
                  <w:tcBorders>
                    <w:tl2br w:val="nil"/>
                    <w:tr2bl w:val="nil"/>
                  </w:tcBorders>
                  <w:shd w:val="clear" w:color="auto" w:fill="auto"/>
                  <w:vAlign w:val="center"/>
                </w:tcPr>
                <w:p w14:paraId="50EE5B78">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zh-CN"/>
                    </w:rPr>
                  </w:pPr>
                  <w:r>
                    <w:rPr>
                      <w:rFonts w:hint="default" w:ascii="Times New Roman" w:hAnsi="Times New Roman" w:eastAsia="宋体" w:cs="Times New Roman"/>
                      <w:bCs w:val="0"/>
                      <w:color w:val="auto"/>
                      <w:spacing w:val="0"/>
                      <w:kern w:val="2"/>
                      <w:sz w:val="21"/>
                      <w:szCs w:val="21"/>
                      <w:highlight w:val="none"/>
                      <w:u w:val="none" w:color="auto"/>
                      <w:lang w:val="en-US" w:eastAsia="en-US"/>
                    </w:rPr>
                    <w:t>吨</w:t>
                  </w:r>
                </w:p>
              </w:tc>
              <w:tc>
                <w:tcPr>
                  <w:tcW w:w="424" w:type="pct"/>
                  <w:tcBorders>
                    <w:tl2br w:val="nil"/>
                    <w:tr2bl w:val="nil"/>
                  </w:tcBorders>
                  <w:shd w:val="clear" w:color="auto" w:fill="auto"/>
                  <w:vAlign w:val="center"/>
                </w:tcPr>
                <w:p w14:paraId="250A2851">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zh-CN"/>
                    </w:rPr>
                  </w:pPr>
                  <w:r>
                    <w:rPr>
                      <w:rFonts w:hint="default" w:ascii="Times New Roman" w:hAnsi="Times New Roman" w:eastAsia="宋体" w:cs="Times New Roman"/>
                      <w:bCs w:val="0"/>
                      <w:color w:val="auto"/>
                      <w:spacing w:val="0"/>
                      <w:kern w:val="2"/>
                      <w:sz w:val="21"/>
                      <w:szCs w:val="21"/>
                      <w:highlight w:val="none"/>
                      <w:u w:val="none" w:color="auto"/>
                      <w:lang w:val="en-US" w:eastAsia="zh-CN"/>
                    </w:rPr>
                    <w:t>260</w:t>
                  </w:r>
                </w:p>
              </w:tc>
              <w:tc>
                <w:tcPr>
                  <w:tcW w:w="933" w:type="pct"/>
                  <w:tcBorders>
                    <w:right w:val="single" w:color="auto" w:sz="4" w:space="0"/>
                  </w:tcBorders>
                  <w:shd w:val="clear" w:color="auto" w:fill="auto"/>
                  <w:vAlign w:val="center"/>
                </w:tcPr>
                <w:p w14:paraId="46463F29">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zh-CN"/>
                    </w:rPr>
                  </w:pPr>
                  <w:r>
                    <w:rPr>
                      <w:rFonts w:hint="default" w:ascii="Times New Roman" w:hAnsi="Times New Roman" w:eastAsia="宋体" w:cs="Times New Roman"/>
                      <w:bCs w:val="0"/>
                      <w:color w:val="auto"/>
                      <w:spacing w:val="0"/>
                      <w:kern w:val="2"/>
                      <w:sz w:val="21"/>
                      <w:szCs w:val="21"/>
                      <w:highlight w:val="none"/>
                      <w:u w:val="none" w:color="auto"/>
                      <w:lang w:val="en-US" w:eastAsia="zh-CN"/>
                    </w:rPr>
                    <w:t>260</w:t>
                  </w:r>
                </w:p>
              </w:tc>
              <w:tc>
                <w:tcPr>
                  <w:tcW w:w="590" w:type="pct"/>
                  <w:tcBorders>
                    <w:left w:val="single" w:color="auto" w:sz="4" w:space="0"/>
                  </w:tcBorders>
                  <w:shd w:val="clear" w:color="auto" w:fill="auto"/>
                  <w:vAlign w:val="center"/>
                </w:tcPr>
                <w:p w14:paraId="7D1D4595">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zh-CN"/>
                    </w:rPr>
                  </w:pPr>
                  <w:r>
                    <w:rPr>
                      <w:rFonts w:hint="default" w:ascii="Times New Roman" w:hAnsi="Times New Roman" w:cs="Times New Roman"/>
                      <w:bCs w:val="0"/>
                      <w:color w:val="auto"/>
                      <w:spacing w:val="0"/>
                      <w:kern w:val="2"/>
                      <w:sz w:val="21"/>
                      <w:szCs w:val="21"/>
                      <w:highlight w:val="none"/>
                      <w:u w:val="none" w:color="auto"/>
                      <w:lang w:val="en-US" w:eastAsia="zh-CN"/>
                    </w:rPr>
                    <w:t>0</w:t>
                  </w:r>
                </w:p>
              </w:tc>
              <w:tc>
                <w:tcPr>
                  <w:tcW w:w="1668" w:type="pct"/>
                  <w:tcBorders>
                    <w:tl2br w:val="nil"/>
                    <w:tr2bl w:val="nil"/>
                  </w:tcBorders>
                  <w:vAlign w:val="center"/>
                </w:tcPr>
                <w:p w14:paraId="04E0A457">
                  <w:pPr>
                    <w:contextualSpacing/>
                    <w:jc w:val="center"/>
                    <w:rPr>
                      <w:rFonts w:hint="default" w:ascii="Times New Roman" w:hAnsi="Times New Roman" w:eastAsia="宋体" w:cs="Times New Roman"/>
                      <w:bCs w:val="0"/>
                      <w:color w:val="auto"/>
                      <w:spacing w:val="0"/>
                      <w:kern w:val="2"/>
                      <w:sz w:val="21"/>
                      <w:szCs w:val="21"/>
                      <w:highlight w:val="none"/>
                      <w:u w:val="none" w:color="auto"/>
                      <w:lang w:val="en-US" w:eastAsia="zh-CN"/>
                    </w:rPr>
                  </w:pPr>
                  <w:r>
                    <w:rPr>
                      <w:rFonts w:hint="default" w:ascii="Times New Roman" w:hAnsi="Times New Roman" w:cs="Times New Roman"/>
                      <w:bCs w:val="0"/>
                      <w:color w:val="auto"/>
                      <w:spacing w:val="0"/>
                      <w:kern w:val="2"/>
                      <w:sz w:val="21"/>
                      <w:szCs w:val="21"/>
                      <w:highlight w:val="none"/>
                      <w:u w:val="none" w:color="auto"/>
                      <w:lang w:val="en-US" w:eastAsia="zh-CN"/>
                    </w:rPr>
                    <w:t>建设单位提供成型生物质燃料用量，现有工程主体工程不变，所需蒸汽量不变，使用生物质燃料不变</w:t>
                  </w:r>
                </w:p>
              </w:tc>
            </w:tr>
          </w:tbl>
          <w:p w14:paraId="6B865985">
            <w:pPr>
              <w:tabs>
                <w:tab w:val="left" w:pos="6990"/>
              </w:tabs>
              <w:adjustRightInd w:val="0"/>
              <w:snapToGrid w:val="0"/>
              <w:spacing w:line="360" w:lineRule="auto"/>
              <w:ind w:firstLine="482" w:firstLineChars="200"/>
              <w:rPr>
                <w:rFonts w:hint="default" w:ascii="Times New Roman" w:hAnsi="Times New Roman" w:cs="Times New Roman"/>
                <w:b/>
                <w:bCs/>
                <w:color w:val="auto"/>
                <w:sz w:val="24"/>
                <w:highlight w:val="none"/>
                <w:u w:val="none" w:color="auto"/>
              </w:rPr>
            </w:pPr>
            <w:r>
              <w:rPr>
                <w:rFonts w:hint="default" w:ascii="Times New Roman" w:hAnsi="Times New Roman" w:cs="Times New Roman"/>
                <w:b/>
                <w:bCs/>
                <w:color w:val="auto"/>
                <w:sz w:val="24"/>
                <w:highlight w:val="none"/>
                <w:u w:val="none" w:color="auto"/>
                <w:lang w:val="en-US" w:eastAsia="zh-CN"/>
              </w:rPr>
              <w:t>4、</w:t>
            </w:r>
            <w:r>
              <w:rPr>
                <w:rFonts w:hint="default" w:ascii="Times New Roman" w:hAnsi="Times New Roman" w:cs="Times New Roman"/>
                <w:b/>
                <w:bCs/>
                <w:color w:val="auto"/>
                <w:sz w:val="24"/>
                <w:highlight w:val="none"/>
                <w:u w:val="none" w:color="auto"/>
              </w:rPr>
              <w:t>主要生产设备</w:t>
            </w:r>
          </w:p>
          <w:p w14:paraId="4C20CBBB">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本项目主要生产设备清单见表</w:t>
            </w:r>
            <w:r>
              <w:rPr>
                <w:rFonts w:hint="default" w:ascii="Times New Roman" w:hAnsi="Times New Roman" w:cs="Times New Roman"/>
                <w:color w:val="auto"/>
                <w:sz w:val="24"/>
                <w:highlight w:val="none"/>
                <w:u w:val="none" w:color="auto"/>
                <w:lang w:val="en-US" w:eastAsia="zh-CN"/>
              </w:rPr>
              <w:t>2-4</w:t>
            </w:r>
            <w:r>
              <w:rPr>
                <w:rFonts w:hint="default" w:ascii="Times New Roman" w:hAnsi="Times New Roman" w:cs="Times New Roman"/>
                <w:color w:val="auto"/>
                <w:sz w:val="24"/>
                <w:highlight w:val="none"/>
                <w:u w:val="none" w:color="auto"/>
              </w:rPr>
              <w:t>。</w:t>
            </w:r>
          </w:p>
          <w:p w14:paraId="3F0DF415">
            <w:pPr>
              <w:jc w:val="center"/>
              <w:rPr>
                <w:rFonts w:hint="default" w:ascii="Times New Roman" w:hAnsi="Times New Roman" w:cs="Times New Roman"/>
                <w:b/>
                <w:color w:val="auto"/>
                <w:szCs w:val="21"/>
                <w:highlight w:val="none"/>
                <w:u w:val="none" w:color="auto"/>
              </w:rPr>
            </w:pPr>
            <w:r>
              <w:rPr>
                <w:rFonts w:hint="default" w:ascii="Times New Roman" w:hAnsi="Times New Roman" w:cs="Times New Roman"/>
                <w:b/>
                <w:color w:val="auto"/>
                <w:szCs w:val="21"/>
                <w:highlight w:val="none"/>
                <w:u w:val="none" w:color="auto"/>
              </w:rPr>
              <w:t>表</w:t>
            </w:r>
            <w:r>
              <w:rPr>
                <w:rFonts w:hint="default" w:ascii="Times New Roman" w:hAnsi="Times New Roman" w:cs="Times New Roman"/>
                <w:b/>
                <w:color w:val="auto"/>
                <w:szCs w:val="21"/>
                <w:highlight w:val="none"/>
                <w:u w:val="none" w:color="auto"/>
                <w:lang w:val="en-US" w:eastAsia="zh-CN"/>
              </w:rPr>
              <w:t xml:space="preserve">2-4  </w:t>
            </w:r>
            <w:r>
              <w:rPr>
                <w:rFonts w:hint="default" w:ascii="Times New Roman" w:hAnsi="Times New Roman" w:cs="Times New Roman"/>
                <w:b/>
                <w:color w:val="auto"/>
                <w:szCs w:val="21"/>
                <w:highlight w:val="none"/>
                <w:u w:val="none" w:color="auto"/>
              </w:rPr>
              <w:t>项目主要生产设备一览表</w:t>
            </w:r>
          </w:p>
          <w:tbl>
            <w:tblPr>
              <w:tblStyle w:val="4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581"/>
              <w:gridCol w:w="1999"/>
              <w:gridCol w:w="1544"/>
              <w:gridCol w:w="1684"/>
              <w:gridCol w:w="838"/>
            </w:tblGrid>
            <w:tr w14:paraId="0A355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9" w:type="pct"/>
                  <w:vMerge w:val="restart"/>
                  <w:tcBorders>
                    <w:tl2br w:val="nil"/>
                    <w:tr2bl w:val="nil"/>
                  </w:tcBorders>
                  <w:noWrap w:val="0"/>
                  <w:vAlign w:val="center"/>
                </w:tcPr>
                <w:p w14:paraId="10793C5E">
                  <w:pPr>
                    <w:adjustRightInd w:val="0"/>
                    <w:snapToGrid w:val="0"/>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序号</w:t>
                  </w:r>
                </w:p>
              </w:tc>
              <w:tc>
                <w:tcPr>
                  <w:tcW w:w="945" w:type="pct"/>
                  <w:vMerge w:val="restart"/>
                  <w:tcBorders>
                    <w:tl2br w:val="nil"/>
                    <w:tr2bl w:val="nil"/>
                  </w:tcBorders>
                  <w:noWrap w:val="0"/>
                  <w:vAlign w:val="center"/>
                </w:tcPr>
                <w:p w14:paraId="32BF047F">
                  <w:pPr>
                    <w:adjustRightInd w:val="0"/>
                    <w:snapToGrid w:val="0"/>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主要设备名称</w:t>
                  </w:r>
                </w:p>
              </w:tc>
              <w:tc>
                <w:tcPr>
                  <w:tcW w:w="1195" w:type="pct"/>
                  <w:vMerge w:val="restart"/>
                  <w:tcBorders>
                    <w:tl2br w:val="nil"/>
                    <w:tr2bl w:val="nil"/>
                  </w:tcBorders>
                  <w:noWrap w:val="0"/>
                  <w:vAlign w:val="center"/>
                </w:tcPr>
                <w:p w14:paraId="5202055F">
                  <w:pPr>
                    <w:adjustRightInd w:val="0"/>
                    <w:snapToGrid w:val="0"/>
                    <w:jc w:val="center"/>
                    <w:rPr>
                      <w:rFonts w:hint="default" w:ascii="Times New Roman" w:hAnsi="Times New Roman" w:eastAsia="宋体" w:cs="Times New Roman"/>
                      <w:b/>
                      <w:bCs/>
                      <w:color w:val="auto"/>
                      <w:szCs w:val="21"/>
                      <w:highlight w:val="none"/>
                      <w:u w:val="none" w:color="auto"/>
                      <w:lang w:val="en-US" w:eastAsia="zh-CN"/>
                    </w:rPr>
                  </w:pPr>
                  <w:r>
                    <w:rPr>
                      <w:rFonts w:hint="default" w:ascii="Times New Roman" w:hAnsi="Times New Roman" w:cs="Times New Roman"/>
                      <w:b/>
                      <w:bCs/>
                      <w:color w:val="auto"/>
                      <w:szCs w:val="21"/>
                      <w:highlight w:val="none"/>
                      <w:u w:val="none" w:color="auto"/>
                    </w:rPr>
                    <w:t>设备</w:t>
                  </w:r>
                  <w:r>
                    <w:rPr>
                      <w:rFonts w:hint="default" w:ascii="Times New Roman" w:hAnsi="Times New Roman" w:eastAsia="宋体" w:cs="Times New Roman"/>
                      <w:b/>
                      <w:bCs/>
                      <w:color w:val="auto"/>
                      <w:szCs w:val="21"/>
                      <w:highlight w:val="none"/>
                      <w:u w:val="none" w:color="auto"/>
                      <w:lang w:val="en-US" w:eastAsia="zh-CN"/>
                    </w:rPr>
                    <w:t>型号</w:t>
                  </w:r>
                </w:p>
              </w:tc>
              <w:tc>
                <w:tcPr>
                  <w:tcW w:w="1930" w:type="pct"/>
                  <w:gridSpan w:val="2"/>
                  <w:tcBorders>
                    <w:tl2br w:val="nil"/>
                    <w:tr2bl w:val="nil"/>
                  </w:tcBorders>
                  <w:noWrap w:val="0"/>
                  <w:vAlign w:val="center"/>
                </w:tcPr>
                <w:p w14:paraId="3BA6C5B2">
                  <w:pPr>
                    <w:adjustRightInd w:val="0"/>
                    <w:snapToGrid w:val="0"/>
                    <w:jc w:val="center"/>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数量（台/套）</w:t>
                  </w:r>
                </w:p>
              </w:tc>
              <w:tc>
                <w:tcPr>
                  <w:tcW w:w="498" w:type="pct"/>
                  <w:vMerge w:val="restart"/>
                  <w:tcBorders>
                    <w:tl2br w:val="nil"/>
                    <w:tr2bl w:val="nil"/>
                  </w:tcBorders>
                  <w:noWrap w:val="0"/>
                  <w:vAlign w:val="center"/>
                </w:tcPr>
                <w:p w14:paraId="4EFA37D2">
                  <w:pPr>
                    <w:adjustRightInd w:val="0"/>
                    <w:snapToGrid w:val="0"/>
                    <w:jc w:val="center"/>
                    <w:rPr>
                      <w:rFonts w:hint="default" w:ascii="Times New Roman" w:hAnsi="Times New Roman" w:cs="Times New Roman"/>
                      <w:b/>
                      <w:bCs/>
                      <w:color w:val="auto"/>
                      <w:szCs w:val="21"/>
                      <w:highlight w:val="none"/>
                      <w:u w:val="none" w:color="auto"/>
                    </w:rPr>
                  </w:pPr>
                  <w:r>
                    <w:rPr>
                      <w:rFonts w:hint="default" w:ascii="Times New Roman" w:hAnsi="Times New Roman" w:cs="Times New Roman"/>
                      <w:b/>
                      <w:bCs/>
                      <w:color w:val="auto"/>
                      <w:szCs w:val="21"/>
                      <w:highlight w:val="none"/>
                      <w:u w:val="none" w:color="auto"/>
                    </w:rPr>
                    <w:t>备注</w:t>
                  </w:r>
                </w:p>
              </w:tc>
            </w:tr>
            <w:tr w14:paraId="3D4E35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9" w:type="pct"/>
                  <w:vMerge w:val="continue"/>
                  <w:tcBorders>
                    <w:tl2br w:val="nil"/>
                    <w:tr2bl w:val="nil"/>
                  </w:tcBorders>
                  <w:noWrap w:val="0"/>
                  <w:vAlign w:val="center"/>
                </w:tcPr>
                <w:p w14:paraId="1D132FDE">
                  <w:pPr>
                    <w:adjustRightInd w:val="0"/>
                    <w:snapToGrid w:val="0"/>
                    <w:jc w:val="center"/>
                    <w:rPr>
                      <w:rFonts w:hint="default" w:ascii="Times New Roman" w:hAnsi="Times New Roman" w:cs="Times New Roman"/>
                      <w:b/>
                      <w:bCs/>
                      <w:color w:val="auto"/>
                      <w:szCs w:val="21"/>
                      <w:highlight w:val="none"/>
                      <w:u w:val="none" w:color="auto"/>
                    </w:rPr>
                  </w:pPr>
                </w:p>
              </w:tc>
              <w:tc>
                <w:tcPr>
                  <w:tcW w:w="945" w:type="pct"/>
                  <w:vMerge w:val="continue"/>
                  <w:tcBorders>
                    <w:tl2br w:val="nil"/>
                    <w:tr2bl w:val="nil"/>
                  </w:tcBorders>
                  <w:noWrap w:val="0"/>
                  <w:vAlign w:val="center"/>
                </w:tcPr>
                <w:p w14:paraId="76300B57">
                  <w:pPr>
                    <w:adjustRightInd w:val="0"/>
                    <w:snapToGrid w:val="0"/>
                    <w:jc w:val="center"/>
                    <w:rPr>
                      <w:rFonts w:hint="default" w:ascii="Times New Roman" w:hAnsi="Times New Roman" w:cs="Times New Roman"/>
                      <w:b/>
                      <w:bCs/>
                      <w:color w:val="auto"/>
                      <w:szCs w:val="21"/>
                      <w:highlight w:val="none"/>
                      <w:u w:val="none" w:color="auto"/>
                    </w:rPr>
                  </w:pPr>
                </w:p>
              </w:tc>
              <w:tc>
                <w:tcPr>
                  <w:tcW w:w="1195" w:type="pct"/>
                  <w:vMerge w:val="continue"/>
                  <w:tcBorders>
                    <w:tl2br w:val="nil"/>
                    <w:tr2bl w:val="nil"/>
                  </w:tcBorders>
                  <w:noWrap w:val="0"/>
                  <w:vAlign w:val="center"/>
                </w:tcPr>
                <w:p w14:paraId="0CCBCED7">
                  <w:pPr>
                    <w:adjustRightInd w:val="0"/>
                    <w:snapToGrid w:val="0"/>
                    <w:jc w:val="center"/>
                    <w:rPr>
                      <w:rFonts w:hint="default" w:ascii="Times New Roman" w:hAnsi="Times New Roman" w:cs="Times New Roman"/>
                      <w:b/>
                      <w:bCs/>
                      <w:color w:val="auto"/>
                      <w:szCs w:val="21"/>
                      <w:highlight w:val="none"/>
                      <w:u w:val="none" w:color="auto"/>
                    </w:rPr>
                  </w:pPr>
                </w:p>
              </w:tc>
              <w:tc>
                <w:tcPr>
                  <w:tcW w:w="923" w:type="pct"/>
                  <w:tcBorders>
                    <w:tl2br w:val="nil"/>
                    <w:tr2bl w:val="nil"/>
                  </w:tcBorders>
                  <w:noWrap w:val="0"/>
                  <w:vAlign w:val="center"/>
                </w:tcPr>
                <w:p w14:paraId="38978232">
                  <w:pPr>
                    <w:adjustRightInd w:val="0"/>
                    <w:snapToGrid w:val="0"/>
                    <w:jc w:val="center"/>
                    <w:rPr>
                      <w:rFonts w:hint="default" w:ascii="Times New Roman" w:hAnsi="Times New Roman" w:eastAsia="宋体" w:cs="Times New Roman"/>
                      <w:b/>
                      <w:bCs/>
                      <w:color w:val="auto"/>
                      <w:szCs w:val="21"/>
                      <w:highlight w:val="none"/>
                      <w:u w:val="none" w:color="auto"/>
                      <w:lang w:val="en-US" w:eastAsia="zh-CN"/>
                    </w:rPr>
                  </w:pPr>
                  <w:r>
                    <w:rPr>
                      <w:rFonts w:hint="default" w:ascii="Times New Roman" w:hAnsi="Times New Roman" w:eastAsia="宋体" w:cs="Times New Roman"/>
                      <w:b/>
                      <w:bCs/>
                      <w:color w:val="auto"/>
                      <w:szCs w:val="21"/>
                      <w:highlight w:val="none"/>
                      <w:u w:val="none" w:color="auto"/>
                      <w:lang w:val="en-US" w:eastAsia="zh-CN"/>
                    </w:rPr>
                    <w:t>现有</w:t>
                  </w:r>
                  <w:r>
                    <w:rPr>
                      <w:rFonts w:hint="default" w:ascii="Times New Roman" w:hAnsi="Times New Roman" w:cs="Times New Roman"/>
                      <w:b/>
                      <w:bCs/>
                      <w:color w:val="auto"/>
                      <w:szCs w:val="21"/>
                      <w:highlight w:val="none"/>
                      <w:u w:val="none" w:color="auto"/>
                      <w:lang w:val="en-US" w:eastAsia="zh-CN"/>
                    </w:rPr>
                    <w:t>工程</w:t>
                  </w:r>
                </w:p>
              </w:tc>
              <w:tc>
                <w:tcPr>
                  <w:tcW w:w="1006" w:type="pct"/>
                  <w:tcBorders>
                    <w:tl2br w:val="nil"/>
                    <w:tr2bl w:val="nil"/>
                  </w:tcBorders>
                  <w:noWrap w:val="0"/>
                  <w:vAlign w:val="center"/>
                </w:tcPr>
                <w:p w14:paraId="48C5B479">
                  <w:pPr>
                    <w:adjustRightInd w:val="0"/>
                    <w:snapToGrid w:val="0"/>
                    <w:jc w:val="center"/>
                    <w:rPr>
                      <w:rFonts w:hint="default" w:ascii="Times New Roman" w:hAnsi="Times New Roman" w:eastAsia="宋体" w:cs="Times New Roman"/>
                      <w:b/>
                      <w:bCs/>
                      <w:color w:val="auto"/>
                      <w:szCs w:val="21"/>
                      <w:highlight w:val="none"/>
                      <w:u w:val="none" w:color="auto"/>
                      <w:lang w:val="en-US" w:eastAsia="zh-CN"/>
                    </w:rPr>
                  </w:pPr>
                  <w:r>
                    <w:rPr>
                      <w:rFonts w:hint="default" w:ascii="Times New Roman" w:hAnsi="Times New Roman" w:eastAsia="宋体" w:cs="Times New Roman"/>
                      <w:b/>
                      <w:bCs/>
                      <w:color w:val="auto"/>
                      <w:szCs w:val="21"/>
                      <w:highlight w:val="none"/>
                      <w:u w:val="none" w:color="auto"/>
                      <w:lang w:val="en-US" w:eastAsia="zh-CN"/>
                    </w:rPr>
                    <w:t>本项目</w:t>
                  </w:r>
                  <w:r>
                    <w:rPr>
                      <w:rFonts w:hint="default" w:ascii="Times New Roman" w:hAnsi="Times New Roman" w:cs="Times New Roman"/>
                      <w:b/>
                      <w:bCs/>
                      <w:color w:val="auto"/>
                      <w:szCs w:val="21"/>
                      <w:highlight w:val="none"/>
                      <w:u w:val="none" w:color="auto"/>
                      <w:lang w:val="en-US" w:eastAsia="zh-CN"/>
                    </w:rPr>
                    <w:t>技改后</w:t>
                  </w:r>
                </w:p>
              </w:tc>
              <w:tc>
                <w:tcPr>
                  <w:tcW w:w="498" w:type="pct"/>
                  <w:vMerge w:val="continue"/>
                  <w:tcBorders>
                    <w:tl2br w:val="nil"/>
                    <w:tr2bl w:val="nil"/>
                  </w:tcBorders>
                  <w:noWrap w:val="0"/>
                  <w:vAlign w:val="center"/>
                </w:tcPr>
                <w:p w14:paraId="69DBF6C6">
                  <w:pPr>
                    <w:adjustRightInd w:val="0"/>
                    <w:snapToGrid w:val="0"/>
                    <w:jc w:val="center"/>
                    <w:rPr>
                      <w:rFonts w:hint="default" w:ascii="Times New Roman" w:hAnsi="Times New Roman" w:cs="Times New Roman"/>
                      <w:color w:val="auto"/>
                      <w:szCs w:val="21"/>
                      <w:highlight w:val="none"/>
                      <w:u w:val="none" w:color="auto"/>
                    </w:rPr>
                  </w:pPr>
                </w:p>
              </w:tc>
            </w:tr>
            <w:tr w14:paraId="42EEBD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9" w:type="pct"/>
                  <w:tcBorders>
                    <w:tl2br w:val="nil"/>
                    <w:tr2bl w:val="nil"/>
                  </w:tcBorders>
                  <w:vAlign w:val="center"/>
                </w:tcPr>
                <w:p w14:paraId="789AF856">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1</w:t>
                  </w:r>
                </w:p>
              </w:tc>
              <w:tc>
                <w:tcPr>
                  <w:tcW w:w="945" w:type="pct"/>
                  <w:tcBorders>
                    <w:tl2br w:val="nil"/>
                    <w:tr2bl w:val="nil"/>
                  </w:tcBorders>
                  <w:shd w:val="clear" w:color="auto" w:fill="auto"/>
                  <w:vAlign w:val="center"/>
                </w:tcPr>
                <w:p w14:paraId="672960FD">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Arial" w:cs="Times New Roman"/>
                      <w:snapToGrid w:val="0"/>
                      <w:color w:val="auto"/>
                      <w:kern w:val="0"/>
                      <w:sz w:val="21"/>
                      <w:szCs w:val="21"/>
                      <w:highlight w:val="none"/>
                      <w:u w:val="none" w:color="auto"/>
                      <w:lang w:val="en-US" w:eastAsia="en-US" w:bidi="ar-SA"/>
                    </w:rPr>
                  </w:pPr>
                  <w:r>
                    <w:rPr>
                      <w:rFonts w:hint="default" w:ascii="Times New Roman" w:hAnsi="Times New Roman" w:cs="Times New Roman"/>
                      <w:color w:val="auto"/>
                      <w:szCs w:val="21"/>
                      <w:highlight w:val="none"/>
                      <w:u w:val="none" w:color="auto"/>
                    </w:rPr>
                    <w:t>锅炉</w:t>
                  </w:r>
                </w:p>
              </w:tc>
              <w:tc>
                <w:tcPr>
                  <w:tcW w:w="1195" w:type="pct"/>
                  <w:tcBorders>
                    <w:tl2br w:val="nil"/>
                    <w:tr2bl w:val="nil"/>
                  </w:tcBorders>
                  <w:shd w:val="clear" w:color="auto" w:fill="auto"/>
                  <w:vAlign w:val="center"/>
                </w:tcPr>
                <w:p w14:paraId="714ED4B3">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Arial" w:cs="Times New Roman"/>
                      <w:snapToGrid w:val="0"/>
                      <w:color w:val="auto"/>
                      <w:kern w:val="0"/>
                      <w:sz w:val="21"/>
                      <w:szCs w:val="21"/>
                      <w:highlight w:val="none"/>
                      <w:u w:val="none" w:color="auto"/>
                      <w:lang w:val="en-US" w:eastAsia="en-US" w:bidi="ar-SA"/>
                    </w:rPr>
                  </w:pPr>
                  <w:r>
                    <w:rPr>
                      <w:rFonts w:hint="default" w:ascii="Times New Roman" w:hAnsi="Times New Roman" w:cs="Times New Roman"/>
                      <w:color w:val="auto"/>
                      <w:szCs w:val="21"/>
                      <w:highlight w:val="none"/>
                      <w:u w:val="none" w:color="auto"/>
                    </w:rPr>
                    <w:t>生物质锅炉，2t/h</w:t>
                  </w:r>
                </w:p>
              </w:tc>
              <w:tc>
                <w:tcPr>
                  <w:tcW w:w="923" w:type="pct"/>
                  <w:tcBorders>
                    <w:tl2br w:val="nil"/>
                    <w:tr2bl w:val="nil"/>
                  </w:tcBorders>
                  <w:shd w:val="clear" w:color="auto" w:fill="auto"/>
                  <w:vAlign w:val="center"/>
                </w:tcPr>
                <w:p w14:paraId="6B119BA2">
                  <w:pPr>
                    <w:keepNext w:val="0"/>
                    <w:keepLines w:val="0"/>
                    <w:pageBreakBefore w:val="0"/>
                    <w:widowControl/>
                    <w:kinsoku w:val="0"/>
                    <w:wordWrap/>
                    <w:overflowPunct/>
                    <w:topLinePunct w:val="0"/>
                    <w:autoSpaceDE w:val="0"/>
                    <w:autoSpaceDN w:val="0"/>
                    <w:bidi w:val="0"/>
                    <w:adjustRightInd w:val="0"/>
                    <w:snapToGrid w:val="0"/>
                    <w:spacing w:line="195" w:lineRule="auto"/>
                    <w:ind w:left="0" w:leftChars="0"/>
                    <w:jc w:val="center"/>
                    <w:textAlignment w:val="baseline"/>
                    <w:rPr>
                      <w:rFonts w:hint="default" w:ascii="Times New Roman" w:hAnsi="Times New Roman" w:eastAsia="宋体" w:cs="Times New Roman"/>
                      <w:snapToGrid w:val="0"/>
                      <w:color w:val="auto"/>
                      <w:kern w:val="0"/>
                      <w:sz w:val="20"/>
                      <w:szCs w:val="20"/>
                      <w:highlight w:val="none"/>
                      <w:u w:val="none" w:color="auto"/>
                      <w:lang w:val="en-US" w:eastAsia="zh-CN" w:bidi="ar-SA"/>
                    </w:rPr>
                  </w:pPr>
                  <w:r>
                    <w:rPr>
                      <w:rFonts w:hint="default" w:ascii="Times New Roman" w:hAnsi="Times New Roman" w:eastAsia="宋体" w:cs="Times New Roman"/>
                      <w:color w:val="auto"/>
                      <w:sz w:val="20"/>
                      <w:szCs w:val="20"/>
                      <w:highlight w:val="none"/>
                      <w:u w:val="none" w:color="auto"/>
                      <w:lang w:val="en-US" w:eastAsia="zh-CN"/>
                    </w:rPr>
                    <w:t>1</w:t>
                  </w:r>
                </w:p>
              </w:tc>
              <w:tc>
                <w:tcPr>
                  <w:tcW w:w="1006" w:type="pct"/>
                  <w:tcBorders>
                    <w:tl2br w:val="nil"/>
                    <w:tr2bl w:val="nil"/>
                  </w:tcBorders>
                  <w:shd w:val="clear" w:color="auto" w:fill="auto"/>
                  <w:vAlign w:val="center"/>
                </w:tcPr>
                <w:p w14:paraId="0BD6DB15">
                  <w:pPr>
                    <w:keepNext w:val="0"/>
                    <w:keepLines w:val="0"/>
                    <w:pageBreakBefore w:val="0"/>
                    <w:widowControl/>
                    <w:kinsoku w:val="0"/>
                    <w:wordWrap/>
                    <w:overflowPunct/>
                    <w:topLinePunct w:val="0"/>
                    <w:autoSpaceDE w:val="0"/>
                    <w:autoSpaceDN w:val="0"/>
                    <w:bidi w:val="0"/>
                    <w:adjustRightInd w:val="0"/>
                    <w:snapToGrid w:val="0"/>
                    <w:spacing w:line="195" w:lineRule="auto"/>
                    <w:ind w:left="0" w:leftChars="0"/>
                    <w:jc w:val="center"/>
                    <w:textAlignment w:val="baseline"/>
                    <w:rPr>
                      <w:rFonts w:hint="default" w:ascii="Times New Roman" w:hAnsi="Times New Roman" w:eastAsia="宋体" w:cs="Times New Roman"/>
                      <w:snapToGrid w:val="0"/>
                      <w:color w:val="auto"/>
                      <w:kern w:val="0"/>
                      <w:sz w:val="20"/>
                      <w:szCs w:val="20"/>
                      <w:highlight w:val="none"/>
                      <w:u w:val="none" w:color="auto"/>
                      <w:lang w:val="en-US" w:eastAsia="zh-CN" w:bidi="ar-SA"/>
                    </w:rPr>
                  </w:pPr>
                  <w:r>
                    <w:rPr>
                      <w:rFonts w:hint="default" w:ascii="Times New Roman" w:hAnsi="Times New Roman" w:eastAsia="宋体" w:cs="Times New Roman"/>
                      <w:color w:val="auto"/>
                      <w:sz w:val="20"/>
                      <w:szCs w:val="20"/>
                      <w:highlight w:val="none"/>
                      <w:u w:val="none" w:color="auto"/>
                      <w:lang w:val="en-US" w:eastAsia="zh-CN"/>
                    </w:rPr>
                    <w:t>0</w:t>
                  </w:r>
                </w:p>
              </w:tc>
              <w:tc>
                <w:tcPr>
                  <w:tcW w:w="498" w:type="pct"/>
                  <w:tcBorders>
                    <w:tl2br w:val="nil"/>
                    <w:tr2bl w:val="nil"/>
                  </w:tcBorders>
                  <w:vAlign w:val="center"/>
                </w:tcPr>
                <w:p w14:paraId="1BD30FAE">
                  <w:pPr>
                    <w:adjustRightInd w:val="0"/>
                    <w:snapToGrid w:val="0"/>
                    <w:jc w:val="center"/>
                    <w:rPr>
                      <w:rFonts w:hint="default" w:ascii="Times New Roman" w:hAnsi="Times New Roman" w:eastAsia="宋体" w:cs="Times New Roman"/>
                      <w:bCs/>
                      <w:color w:val="auto"/>
                      <w:szCs w:val="21"/>
                      <w:highlight w:val="none"/>
                      <w:u w:val="none" w:color="auto"/>
                      <w:lang w:val="en-US" w:eastAsia="zh-CN"/>
                    </w:rPr>
                  </w:pPr>
                  <w:r>
                    <w:rPr>
                      <w:rFonts w:hint="default" w:ascii="Times New Roman" w:hAnsi="Times New Roman" w:cs="Times New Roman"/>
                      <w:bCs/>
                      <w:color w:val="auto"/>
                      <w:szCs w:val="21"/>
                      <w:highlight w:val="none"/>
                      <w:u w:val="none" w:color="auto"/>
                      <w:lang w:val="en-US" w:eastAsia="zh-CN"/>
                    </w:rPr>
                    <w:t>拆除</w:t>
                  </w:r>
                </w:p>
              </w:tc>
            </w:tr>
            <w:tr w14:paraId="57BF9F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9" w:type="pct"/>
                  <w:tcBorders>
                    <w:tl2br w:val="nil"/>
                    <w:tr2bl w:val="nil"/>
                  </w:tcBorders>
                  <w:vAlign w:val="center"/>
                </w:tcPr>
                <w:p w14:paraId="482E31B1">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2</w:t>
                  </w:r>
                </w:p>
              </w:tc>
              <w:tc>
                <w:tcPr>
                  <w:tcW w:w="945" w:type="pct"/>
                  <w:tcBorders>
                    <w:tl2br w:val="nil"/>
                    <w:tr2bl w:val="nil"/>
                  </w:tcBorders>
                  <w:shd w:val="clear" w:color="auto" w:fill="auto"/>
                  <w:vAlign w:val="center"/>
                </w:tcPr>
                <w:p w14:paraId="47B8C899">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cs="Times New Roman"/>
                      <w:color w:val="auto"/>
                      <w:szCs w:val="21"/>
                      <w:highlight w:val="none"/>
                      <w:u w:val="none" w:color="auto"/>
                      <w:lang w:val="en-US" w:eastAsia="en-US"/>
                    </w:rPr>
                  </w:pPr>
                  <w:r>
                    <w:rPr>
                      <w:rFonts w:hint="default" w:ascii="Times New Roman" w:hAnsi="Times New Roman" w:cs="Times New Roman"/>
                      <w:color w:val="auto"/>
                      <w:szCs w:val="21"/>
                      <w:highlight w:val="none"/>
                      <w:u w:val="none" w:color="auto"/>
                    </w:rPr>
                    <w:t>锅炉</w:t>
                  </w:r>
                </w:p>
              </w:tc>
              <w:tc>
                <w:tcPr>
                  <w:tcW w:w="1195" w:type="pct"/>
                  <w:tcBorders>
                    <w:tl2br w:val="nil"/>
                    <w:tr2bl w:val="nil"/>
                  </w:tcBorders>
                  <w:shd w:val="clear" w:color="auto" w:fill="auto"/>
                  <w:vAlign w:val="center"/>
                </w:tcPr>
                <w:p w14:paraId="7FC138B4">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rPr>
                    <w:t>生物质锅炉</w:t>
                  </w:r>
                  <w:r>
                    <w:rPr>
                      <w:rFonts w:hint="default" w:ascii="Times New Roman" w:hAnsi="Times New Roman" w:cs="Times New Roman"/>
                      <w:color w:val="auto"/>
                      <w:szCs w:val="21"/>
                      <w:highlight w:val="none"/>
                      <w:u w:val="none" w:color="auto"/>
                      <w:lang w:eastAsia="zh-CN"/>
                    </w:rPr>
                    <w:t>，</w:t>
                  </w:r>
                  <w:r>
                    <w:rPr>
                      <w:rFonts w:hint="default" w:ascii="Times New Roman" w:hAnsi="Times New Roman" w:cs="Times New Roman"/>
                      <w:color w:val="auto"/>
                      <w:szCs w:val="21"/>
                      <w:highlight w:val="none"/>
                      <w:u w:val="none" w:color="auto"/>
                      <w:lang w:val="en-US" w:eastAsia="zh-CN"/>
                    </w:rPr>
                    <w:t>2.1t/h</w:t>
                  </w:r>
                </w:p>
              </w:tc>
              <w:tc>
                <w:tcPr>
                  <w:tcW w:w="923" w:type="pct"/>
                  <w:tcBorders>
                    <w:tl2br w:val="nil"/>
                    <w:tr2bl w:val="nil"/>
                  </w:tcBorders>
                  <w:shd w:val="clear" w:color="auto" w:fill="auto"/>
                  <w:vAlign w:val="center"/>
                </w:tcPr>
                <w:p w14:paraId="00C8EEB5">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0</w:t>
                  </w:r>
                </w:p>
              </w:tc>
              <w:tc>
                <w:tcPr>
                  <w:tcW w:w="1006" w:type="pct"/>
                  <w:tcBorders>
                    <w:tl2br w:val="nil"/>
                    <w:tr2bl w:val="nil"/>
                  </w:tcBorders>
                  <w:shd w:val="clear" w:color="auto" w:fill="auto"/>
                  <w:vAlign w:val="center"/>
                </w:tcPr>
                <w:p w14:paraId="4D04F1E8">
                  <w:pPr>
                    <w:keepNext w:val="0"/>
                    <w:keepLines w:val="0"/>
                    <w:pageBreakBefore w:val="0"/>
                    <w:widowControl/>
                    <w:kinsoku w:val="0"/>
                    <w:wordWrap/>
                    <w:overflowPunct/>
                    <w:topLinePunct w:val="0"/>
                    <w:autoSpaceDE w:val="0"/>
                    <w:autoSpaceDN w:val="0"/>
                    <w:bidi w:val="0"/>
                    <w:adjustRightInd w:val="0"/>
                    <w:snapToGrid w:val="0"/>
                    <w:ind w:left="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1</w:t>
                  </w:r>
                </w:p>
              </w:tc>
              <w:tc>
                <w:tcPr>
                  <w:tcW w:w="498" w:type="pct"/>
                  <w:tcBorders>
                    <w:tl2br w:val="nil"/>
                    <w:tr2bl w:val="nil"/>
                  </w:tcBorders>
                  <w:vAlign w:val="center"/>
                </w:tcPr>
                <w:p w14:paraId="47263390">
                  <w:pPr>
                    <w:adjustRightInd w:val="0"/>
                    <w:snapToGrid w:val="0"/>
                    <w:jc w:val="center"/>
                    <w:rPr>
                      <w:rFonts w:hint="default" w:ascii="Times New Roman" w:hAnsi="Times New Roman" w:eastAsia="宋体" w:cs="Times New Roman"/>
                      <w:bCs/>
                      <w:color w:val="auto"/>
                      <w:szCs w:val="21"/>
                      <w:highlight w:val="none"/>
                      <w:u w:val="none" w:color="auto"/>
                      <w:lang w:val="en-US" w:eastAsia="zh-CN"/>
                    </w:rPr>
                  </w:pPr>
                  <w:r>
                    <w:rPr>
                      <w:rFonts w:hint="default" w:ascii="Times New Roman" w:hAnsi="Times New Roman" w:cs="Times New Roman"/>
                      <w:bCs/>
                      <w:color w:val="auto"/>
                      <w:szCs w:val="21"/>
                      <w:highlight w:val="none"/>
                      <w:u w:val="none" w:color="auto"/>
                      <w:lang w:val="en-US" w:eastAsia="zh-CN"/>
                    </w:rPr>
                    <w:t>新建</w:t>
                  </w:r>
                </w:p>
              </w:tc>
            </w:tr>
            <w:tr w14:paraId="02BFEB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29" w:type="pct"/>
                  <w:tcBorders>
                    <w:tl2br w:val="nil"/>
                    <w:tr2bl w:val="nil"/>
                  </w:tcBorders>
                  <w:vAlign w:val="center"/>
                </w:tcPr>
                <w:p w14:paraId="331402C6">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3</w:t>
                  </w:r>
                </w:p>
              </w:tc>
              <w:tc>
                <w:tcPr>
                  <w:tcW w:w="945" w:type="pct"/>
                  <w:tcBorders>
                    <w:tl2br w:val="nil"/>
                    <w:tr2bl w:val="nil"/>
                  </w:tcBorders>
                  <w:shd w:val="clear" w:color="auto" w:fill="auto"/>
                  <w:vAlign w:val="center"/>
                </w:tcPr>
                <w:p w14:paraId="0B3BED1B">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kern w:val="2"/>
                      <w:sz w:val="21"/>
                      <w:szCs w:val="21"/>
                      <w:highlight w:val="none"/>
                      <w:u w:val="none" w:color="auto"/>
                      <w:lang w:val="en-US" w:eastAsia="en-US" w:bidi="ar-SA"/>
                    </w:rPr>
                  </w:pPr>
                  <w:r>
                    <w:rPr>
                      <w:rFonts w:hint="default" w:ascii="Times New Roman" w:hAnsi="Times New Roman" w:cs="Times New Roman"/>
                      <w:color w:val="auto"/>
                      <w:kern w:val="0"/>
                      <w:szCs w:val="21"/>
                      <w:highlight w:val="none"/>
                      <w:u w:val="none" w:color="auto"/>
                      <w:lang w:val="en-US" w:eastAsia="zh-CN"/>
                    </w:rPr>
                    <w:t>两级</w:t>
                  </w:r>
                  <w:r>
                    <w:rPr>
                      <w:rFonts w:hint="default" w:ascii="Times New Roman" w:hAnsi="Times New Roman" w:cs="Times New Roman"/>
                      <w:color w:val="auto"/>
                      <w:kern w:val="0"/>
                      <w:szCs w:val="21"/>
                      <w:highlight w:val="none"/>
                      <w:u w:val="none" w:color="auto"/>
                    </w:rPr>
                    <w:t>水膜除尘</w:t>
                  </w:r>
                </w:p>
              </w:tc>
              <w:tc>
                <w:tcPr>
                  <w:tcW w:w="1195" w:type="pct"/>
                  <w:tcBorders>
                    <w:tl2br w:val="nil"/>
                    <w:tr2bl w:val="nil"/>
                  </w:tcBorders>
                  <w:shd w:val="clear" w:color="auto" w:fill="auto"/>
                  <w:vAlign w:val="center"/>
                </w:tcPr>
                <w:p w14:paraId="2400B022">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kern w:val="2"/>
                      <w:sz w:val="21"/>
                      <w:szCs w:val="21"/>
                      <w:highlight w:val="none"/>
                      <w:u w:val="none" w:color="auto"/>
                      <w:lang w:val="en-US" w:eastAsia="en-US" w:bidi="ar-SA"/>
                    </w:rPr>
                  </w:pPr>
                  <w:r>
                    <w:rPr>
                      <w:rFonts w:hint="default" w:ascii="Times New Roman" w:hAnsi="Times New Roman" w:cs="Times New Roman"/>
                      <w:color w:val="auto"/>
                      <w:szCs w:val="21"/>
                      <w:highlight w:val="none"/>
                      <w:u w:val="none" w:color="auto"/>
                    </w:rPr>
                    <w:t>/</w:t>
                  </w:r>
                </w:p>
              </w:tc>
              <w:tc>
                <w:tcPr>
                  <w:tcW w:w="923" w:type="pct"/>
                  <w:tcBorders>
                    <w:tl2br w:val="nil"/>
                    <w:tr2bl w:val="nil"/>
                  </w:tcBorders>
                  <w:shd w:val="clear" w:color="auto" w:fill="auto"/>
                  <w:vAlign w:val="center"/>
                </w:tcPr>
                <w:p w14:paraId="5AA41F91">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rPr>
                    <w:t>1</w:t>
                  </w:r>
                </w:p>
              </w:tc>
              <w:tc>
                <w:tcPr>
                  <w:tcW w:w="1006" w:type="pct"/>
                  <w:tcBorders>
                    <w:tl2br w:val="nil"/>
                    <w:tr2bl w:val="nil"/>
                  </w:tcBorders>
                  <w:shd w:val="clear" w:color="auto" w:fill="auto"/>
                  <w:vAlign w:val="center"/>
                </w:tcPr>
                <w:p w14:paraId="74C260C7">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cs="Times New Roman"/>
                      <w:color w:val="auto"/>
                      <w:szCs w:val="21"/>
                      <w:highlight w:val="none"/>
                      <w:u w:val="none" w:color="auto"/>
                      <w:lang w:val="en-US" w:eastAsia="zh-CN"/>
                    </w:rPr>
                    <w:t>1</w:t>
                  </w:r>
                </w:p>
              </w:tc>
              <w:tc>
                <w:tcPr>
                  <w:tcW w:w="498" w:type="pct"/>
                  <w:tcBorders>
                    <w:tl2br w:val="nil"/>
                    <w:tr2bl w:val="nil"/>
                  </w:tcBorders>
                  <w:vAlign w:val="center"/>
                </w:tcPr>
                <w:p w14:paraId="20A4DC08">
                  <w:pPr>
                    <w:adjustRightInd w:val="0"/>
                    <w:snapToGrid w:val="0"/>
                    <w:jc w:val="center"/>
                    <w:rPr>
                      <w:rFonts w:hint="default" w:ascii="Times New Roman" w:hAnsi="Times New Roman" w:eastAsia="宋体" w:cs="Times New Roman"/>
                      <w:bCs/>
                      <w:color w:val="auto"/>
                      <w:szCs w:val="21"/>
                      <w:highlight w:val="none"/>
                      <w:u w:val="none" w:color="auto"/>
                      <w:lang w:val="en-US" w:eastAsia="zh-CN"/>
                    </w:rPr>
                  </w:pPr>
                  <w:r>
                    <w:rPr>
                      <w:rFonts w:hint="default" w:ascii="Times New Roman" w:hAnsi="Times New Roman" w:cs="Times New Roman"/>
                      <w:bCs/>
                      <w:color w:val="auto"/>
                      <w:szCs w:val="21"/>
                      <w:highlight w:val="none"/>
                      <w:u w:val="none" w:color="auto"/>
                      <w:lang w:val="en-US" w:eastAsia="zh-CN"/>
                    </w:rPr>
                    <w:t>不变</w:t>
                  </w:r>
                </w:p>
              </w:tc>
            </w:tr>
            <w:tr w14:paraId="51C23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5000" w:type="pct"/>
                  <w:gridSpan w:val="6"/>
                  <w:tcBorders>
                    <w:tl2br w:val="nil"/>
                    <w:tr2bl w:val="nil"/>
                  </w:tcBorders>
                  <w:vAlign w:val="center"/>
                </w:tcPr>
                <w:p w14:paraId="36E4B7A8">
                  <w:pPr>
                    <w:adjustRightInd w:val="0"/>
                    <w:snapToGrid w:val="0"/>
                    <w:jc w:val="center"/>
                    <w:rPr>
                      <w:rFonts w:hint="default" w:ascii="Times New Roman" w:hAnsi="Times New Roman" w:eastAsia="宋体" w:cs="Times New Roman"/>
                      <w:bCs/>
                      <w:color w:val="auto"/>
                      <w:szCs w:val="21"/>
                      <w:highlight w:val="none"/>
                      <w:u w:val="none" w:color="auto"/>
                      <w:lang w:val="en-US" w:eastAsia="zh-CN"/>
                    </w:rPr>
                  </w:pPr>
                  <w:r>
                    <w:rPr>
                      <w:rFonts w:hint="default" w:ascii="Times New Roman" w:hAnsi="Times New Roman" w:eastAsia="宋体" w:cs="Times New Roman"/>
                      <w:bCs/>
                      <w:color w:val="auto"/>
                      <w:szCs w:val="21"/>
                      <w:highlight w:val="none"/>
                      <w:u w:val="none" w:color="auto"/>
                      <w:lang w:val="en-US" w:eastAsia="zh-CN"/>
                    </w:rPr>
                    <w:t>注：所用设备不属于《产业结构调整指导目录（2024 年本）》、《部分工业行业淘汰落后生产工艺装备和产品指导目录 (2010年本)  》中的淘汰设备</w:t>
                  </w:r>
                  <w:r>
                    <w:rPr>
                      <w:rFonts w:hint="default" w:ascii="Times New Roman" w:hAnsi="Times New Roman" w:cs="Times New Roman"/>
                      <w:bCs/>
                      <w:color w:val="auto"/>
                      <w:szCs w:val="21"/>
                      <w:highlight w:val="none"/>
                      <w:u w:val="none" w:color="auto"/>
                      <w:lang w:val="en-US" w:eastAsia="zh-CN"/>
                    </w:rPr>
                    <w:t>。</w:t>
                  </w:r>
                </w:p>
              </w:tc>
            </w:tr>
          </w:tbl>
          <w:p w14:paraId="4F74D2CE">
            <w:pPr>
              <w:spacing w:line="360" w:lineRule="auto"/>
              <w:rPr>
                <w:rFonts w:hint="default" w:ascii="Times New Roman" w:hAnsi="Times New Roman" w:cs="Times New Roman"/>
                <w:b/>
                <w:color w:val="auto"/>
                <w:sz w:val="24"/>
                <w:highlight w:val="none"/>
                <w:u w:val="none" w:color="auto"/>
              </w:rPr>
            </w:pPr>
            <w:r>
              <w:rPr>
                <w:rFonts w:hint="default" w:ascii="Times New Roman" w:hAnsi="Times New Roman" w:cs="Times New Roman"/>
                <w:b/>
                <w:bCs/>
                <w:color w:val="auto"/>
                <w:sz w:val="24"/>
                <w:highlight w:val="none"/>
                <w:u w:val="none" w:color="auto"/>
                <w:lang w:val="en-US" w:eastAsia="zh-CN"/>
              </w:rPr>
              <w:t>5</w:t>
            </w:r>
            <w:r>
              <w:rPr>
                <w:rFonts w:hint="default" w:ascii="Times New Roman" w:hAnsi="Times New Roman" w:cs="Times New Roman"/>
                <w:b/>
                <w:color w:val="auto"/>
                <w:sz w:val="24"/>
                <w:highlight w:val="none"/>
                <w:u w:val="none" w:color="auto"/>
              </w:rPr>
              <w:t>、职工定员、工作制度</w:t>
            </w:r>
          </w:p>
          <w:p w14:paraId="7B40CE27">
            <w:pPr>
              <w:spacing w:line="360" w:lineRule="auto"/>
              <w:ind w:firstLine="480" w:firstLineChars="200"/>
              <w:rPr>
                <w:rFonts w:hint="default" w:ascii="Times New Roman" w:hAnsi="Times New Roman" w:cs="Times New Roman"/>
                <w:color w:val="auto"/>
                <w:spacing w:val="-2"/>
                <w:kern w:val="0"/>
                <w:sz w:val="24"/>
                <w:highlight w:val="none"/>
                <w:u w:val="none" w:color="auto"/>
              </w:rPr>
            </w:pPr>
            <w:r>
              <w:rPr>
                <w:rFonts w:hint="default" w:ascii="Times New Roman" w:hAnsi="Times New Roman" w:cs="Times New Roman"/>
                <w:color w:val="auto"/>
                <w:sz w:val="24"/>
                <w:highlight w:val="none"/>
                <w:u w:val="none" w:color="auto"/>
              </w:rPr>
              <w:t>本项目不新增员工人数，员工数</w:t>
            </w:r>
            <w:r>
              <w:rPr>
                <w:rFonts w:hint="default" w:ascii="Times New Roman" w:hAnsi="Times New Roman" w:cs="Times New Roman"/>
                <w:color w:val="auto"/>
                <w:sz w:val="24"/>
                <w:highlight w:val="none"/>
                <w:u w:val="none" w:color="auto"/>
                <w:lang w:val="en-US" w:eastAsia="zh-CN"/>
              </w:rPr>
              <w:t>1</w:t>
            </w:r>
            <w:r>
              <w:rPr>
                <w:rFonts w:hint="default" w:ascii="Times New Roman" w:hAnsi="Times New Roman" w:cs="Times New Roman"/>
                <w:color w:val="auto"/>
                <w:sz w:val="24"/>
                <w:highlight w:val="none"/>
                <w:u w:val="none" w:color="auto"/>
              </w:rPr>
              <w:t>5人不变。员工从现有工程中分配管理运行锅炉房。</w:t>
            </w:r>
            <w:r>
              <w:rPr>
                <w:rFonts w:hint="eastAsia" w:cs="Times New Roman"/>
                <w:color w:val="auto"/>
                <w:sz w:val="24"/>
                <w:highlight w:val="none"/>
                <w:u w:val="none" w:color="auto"/>
                <w:lang w:val="en-US" w:eastAsia="zh-CN"/>
              </w:rPr>
              <w:t>技改后</w:t>
            </w:r>
            <w:r>
              <w:rPr>
                <w:rFonts w:hint="default" w:ascii="Times New Roman" w:hAnsi="Times New Roman" w:cs="Times New Roman"/>
                <w:color w:val="auto"/>
                <w:sz w:val="24"/>
                <w:highlight w:val="none"/>
                <w:u w:val="none" w:color="auto"/>
              </w:rPr>
              <w:t>蒸汽锅炉年运行时间为</w:t>
            </w:r>
            <w:r>
              <w:rPr>
                <w:rFonts w:hint="eastAsia" w:cs="Times New Roman"/>
                <w:color w:val="auto"/>
                <w:sz w:val="24"/>
                <w:highlight w:val="none"/>
                <w:u w:val="none" w:color="auto"/>
                <w:lang w:val="en-US" w:eastAsia="zh-CN"/>
              </w:rPr>
              <w:t>858</w:t>
            </w:r>
            <w:r>
              <w:rPr>
                <w:rFonts w:hint="default" w:ascii="Times New Roman" w:hAnsi="Times New Roman" w:cs="Times New Roman"/>
                <w:color w:val="auto"/>
                <w:sz w:val="24"/>
                <w:highlight w:val="none"/>
                <w:u w:val="none" w:color="auto"/>
              </w:rPr>
              <w:t>h。</w:t>
            </w:r>
          </w:p>
          <w:p w14:paraId="401D9D6C">
            <w:pPr>
              <w:spacing w:line="360" w:lineRule="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lang w:val="en-US" w:eastAsia="zh-CN"/>
              </w:rPr>
              <w:t>6</w:t>
            </w:r>
            <w:r>
              <w:rPr>
                <w:rFonts w:hint="default" w:ascii="Times New Roman" w:hAnsi="Times New Roman" w:cs="Times New Roman"/>
                <w:b/>
                <w:color w:val="auto"/>
                <w:sz w:val="24"/>
                <w:highlight w:val="none"/>
                <w:u w:val="none" w:color="auto"/>
              </w:rPr>
              <w:t>、公用工程</w:t>
            </w:r>
          </w:p>
          <w:p w14:paraId="5898C404">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（1）给水</w:t>
            </w:r>
          </w:p>
          <w:p w14:paraId="34DDDA88">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rPr>
              <w:t>项目以自凿地下水井作为水源。</w:t>
            </w:r>
          </w:p>
          <w:p w14:paraId="7ED0CA4B">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本次</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rPr>
              <w:t>项目用水主要为锅炉用水，根据《第二次全国污染源普查工业污染源产排污系数手册》4430 工业锅炉（热力生产和供应行业）产排污系数表-工业废水量和化学需氧量可知，工业废水量（锅炉排污水+软化处理废水）的产污系数为0.356吨/吨-原料，工业废水量为</w:t>
            </w:r>
            <w:r>
              <w:rPr>
                <w:rFonts w:hint="default" w:ascii="Times New Roman" w:hAnsi="Times New Roman" w:cs="Times New Roman"/>
                <w:color w:val="auto"/>
                <w:sz w:val="24"/>
                <w:highlight w:val="none"/>
                <w:u w:val="none" w:color="auto"/>
                <w:lang w:val="en-US" w:eastAsia="zh-CN"/>
              </w:rPr>
              <w:t>92.56m</w:t>
            </w:r>
            <w:r>
              <w:rPr>
                <w:rFonts w:hint="default" w:ascii="Times New Roman" w:hAnsi="Times New Roman" w:cs="Times New Roman"/>
                <w:color w:val="auto"/>
                <w:sz w:val="24"/>
                <w:highlight w:val="none"/>
                <w:u w:val="none" w:color="auto"/>
                <w:vertAlign w:val="superscript"/>
                <w:lang w:val="en-US" w:eastAsia="zh-CN"/>
              </w:rPr>
              <w:t>3</w:t>
            </w:r>
            <w:r>
              <w:rPr>
                <w:rFonts w:hint="default" w:ascii="Times New Roman" w:hAnsi="Times New Roman" w:cs="Times New Roman"/>
                <w:color w:val="auto"/>
                <w:sz w:val="24"/>
                <w:highlight w:val="none"/>
                <w:u w:val="none" w:color="auto"/>
              </w:rPr>
              <w:t>/a，排放的工业废水量由自来水补充，即锅炉需补充新鲜水</w:t>
            </w:r>
            <w:r>
              <w:rPr>
                <w:rFonts w:hint="default" w:ascii="Times New Roman" w:hAnsi="Times New Roman" w:cs="Times New Roman"/>
                <w:color w:val="auto"/>
                <w:sz w:val="24"/>
                <w:highlight w:val="none"/>
                <w:u w:val="none" w:color="auto"/>
                <w:lang w:val="en-US" w:eastAsia="zh-CN"/>
              </w:rPr>
              <w:t>92.56m</w:t>
            </w:r>
            <w:r>
              <w:rPr>
                <w:rFonts w:hint="default" w:ascii="Times New Roman" w:hAnsi="Times New Roman" w:cs="Times New Roman"/>
                <w:color w:val="auto"/>
                <w:sz w:val="24"/>
                <w:highlight w:val="none"/>
                <w:u w:val="none" w:color="auto"/>
                <w:vertAlign w:val="superscript"/>
                <w:lang w:val="en-US" w:eastAsia="zh-CN"/>
              </w:rPr>
              <w:t>3</w:t>
            </w:r>
            <w:r>
              <w:rPr>
                <w:rFonts w:hint="default" w:ascii="Times New Roman" w:hAnsi="Times New Roman" w:cs="Times New Roman"/>
                <w:color w:val="auto"/>
                <w:sz w:val="24"/>
                <w:highlight w:val="none"/>
                <w:u w:val="none" w:color="auto"/>
              </w:rPr>
              <w:t>/a。</w:t>
            </w:r>
          </w:p>
          <w:p w14:paraId="1D1ED7CA">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eastAsia="宋体" w:cs="Times New Roman"/>
                <w:color w:val="auto"/>
                <w:sz w:val="24"/>
                <w:highlight w:val="none"/>
                <w:u w:val="none" w:color="auto"/>
              </w:rPr>
              <w:t>本次</w:t>
            </w:r>
            <w:r>
              <w:rPr>
                <w:rFonts w:hint="default" w:ascii="Times New Roman" w:hAnsi="Times New Roman" w:eastAsia="宋体" w:cs="Times New Roman"/>
                <w:color w:val="auto"/>
                <w:sz w:val="24"/>
                <w:highlight w:val="none"/>
                <w:u w:val="none" w:color="auto"/>
                <w:lang w:eastAsia="zh-CN"/>
              </w:rPr>
              <w:t>技改前后</w:t>
            </w:r>
            <w:r>
              <w:rPr>
                <w:rFonts w:hint="default" w:ascii="Times New Roman" w:hAnsi="Times New Roman" w:cs="Times New Roman"/>
                <w:color w:val="auto"/>
                <w:sz w:val="24"/>
                <w:highlight w:val="none"/>
                <w:u w:val="none" w:color="auto"/>
                <w:lang w:val="en-US" w:eastAsia="zh-CN"/>
              </w:rPr>
              <w:t>地面清洗废水和设备清洗废水</w:t>
            </w:r>
            <w:r>
              <w:rPr>
                <w:rFonts w:hint="default" w:ascii="Times New Roman" w:hAnsi="Times New Roman" w:eastAsia="宋体" w:cs="Times New Roman"/>
                <w:color w:val="auto"/>
                <w:sz w:val="24"/>
                <w:highlight w:val="none"/>
                <w:u w:val="none" w:color="auto"/>
                <w:lang w:eastAsia="zh-CN"/>
              </w:rPr>
              <w:t>产生量</w:t>
            </w:r>
            <w:r>
              <w:rPr>
                <w:rFonts w:hint="default" w:ascii="Times New Roman" w:hAnsi="Times New Roman" w:cs="Times New Roman"/>
                <w:color w:val="auto"/>
                <w:sz w:val="24"/>
                <w:highlight w:val="none"/>
                <w:u w:val="none" w:color="auto"/>
                <w:lang w:val="en-US" w:eastAsia="zh-CN"/>
              </w:rPr>
              <w:t>不变，为21.6m</w:t>
            </w:r>
            <w:r>
              <w:rPr>
                <w:rFonts w:hint="default" w:ascii="Times New Roman" w:hAnsi="Times New Roman" w:cs="Times New Roman"/>
                <w:color w:val="auto"/>
                <w:sz w:val="24"/>
                <w:highlight w:val="none"/>
                <w:u w:val="none" w:color="auto"/>
                <w:vertAlign w:val="superscript"/>
                <w:lang w:val="en-US" w:eastAsia="zh-CN"/>
              </w:rPr>
              <w:t>3</w:t>
            </w:r>
            <w:r>
              <w:rPr>
                <w:rFonts w:hint="default" w:ascii="Times New Roman" w:hAnsi="Times New Roman" w:cs="Times New Roman"/>
                <w:color w:val="auto"/>
                <w:sz w:val="24"/>
                <w:highlight w:val="none"/>
                <w:u w:val="none" w:color="auto"/>
                <w:lang w:val="en-US" w:eastAsia="zh-CN"/>
              </w:rPr>
              <w:t>/d。</w:t>
            </w:r>
          </w:p>
          <w:p w14:paraId="58F7EB63">
            <w:pPr>
              <w:spacing w:line="360" w:lineRule="auto"/>
              <w:ind w:firstLine="480" w:firstLineChars="200"/>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cs="Times New Roman"/>
                <w:color w:val="auto"/>
                <w:sz w:val="24"/>
                <w:highlight w:val="none"/>
                <w:u w:val="none" w:color="auto"/>
              </w:rPr>
              <w:t>本次</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rPr>
              <w:t>项目不新增员工人数，员工从现有工程中分配管理运行锅炉房。生活污水产排情况同</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rPr>
              <w:t>前一致，</w:t>
            </w:r>
            <w:r>
              <w:rPr>
                <w:rFonts w:hint="default" w:ascii="Times New Roman" w:hAnsi="Times New Roman" w:eastAsia="宋体" w:cs="Times New Roman"/>
                <w:color w:val="auto"/>
                <w:sz w:val="24"/>
                <w:highlight w:val="none"/>
                <w:u w:val="none" w:color="auto"/>
              </w:rPr>
              <w:t>生活用水量为</w:t>
            </w:r>
            <w:r>
              <w:rPr>
                <w:rFonts w:hint="default" w:ascii="Times New Roman" w:hAnsi="Times New Roman" w:cs="Times New Roman"/>
                <w:color w:val="auto"/>
                <w:sz w:val="24"/>
                <w:highlight w:val="none"/>
                <w:u w:val="none" w:color="auto"/>
                <w:lang w:val="en-US" w:eastAsia="zh-CN"/>
              </w:rPr>
              <w:t>108m</w:t>
            </w:r>
            <w:r>
              <w:rPr>
                <w:rFonts w:hint="default" w:ascii="Times New Roman" w:hAnsi="Times New Roman" w:eastAsia="宋体" w:cs="Times New Roman"/>
                <w:color w:val="auto"/>
                <w:sz w:val="24"/>
                <w:highlight w:val="none"/>
                <w:u w:val="none" w:color="auto"/>
                <w:vertAlign w:val="superscript"/>
              </w:rPr>
              <w:t>3</w:t>
            </w:r>
            <w:r>
              <w:rPr>
                <w:rFonts w:hint="default" w:ascii="Times New Roman" w:hAnsi="Times New Roman" w:eastAsia="宋体" w:cs="Times New Roman"/>
                <w:color w:val="auto"/>
                <w:sz w:val="24"/>
                <w:highlight w:val="none"/>
                <w:u w:val="none" w:color="auto"/>
              </w:rPr>
              <w:t>/a</w:t>
            </w:r>
            <w:r>
              <w:rPr>
                <w:rFonts w:hint="default" w:ascii="Times New Roman" w:hAnsi="Times New Roman" w:cs="Times New Roman"/>
                <w:color w:val="auto"/>
                <w:sz w:val="24"/>
                <w:highlight w:val="none"/>
                <w:u w:val="none" w:color="auto"/>
                <w:lang w:eastAsia="zh-CN"/>
              </w:rPr>
              <w:t>。</w:t>
            </w:r>
          </w:p>
          <w:p w14:paraId="00671436">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（2）排水</w:t>
            </w:r>
          </w:p>
          <w:p w14:paraId="355D2117">
            <w:pPr>
              <w:spacing w:line="360" w:lineRule="auto"/>
              <w:ind w:firstLine="480" w:firstLineChars="200"/>
              <w:rPr>
                <w:rFonts w:hint="default" w:ascii="Times New Roman" w:hAnsi="Times New Roman" w:eastAsia="仿宋" w:cs="Times New Roman"/>
                <w:sz w:val="24"/>
                <w:szCs w:val="24"/>
              </w:rPr>
            </w:pPr>
            <w:r>
              <w:rPr>
                <w:rFonts w:hint="default" w:ascii="Times New Roman" w:hAnsi="Times New Roman" w:cs="Times New Roman"/>
                <w:color w:val="auto"/>
                <w:sz w:val="24"/>
                <w:highlight w:val="none"/>
                <w:u w:val="none" w:color="auto"/>
              </w:rPr>
              <w:t>①本</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rPr>
              <w:t>项目采用雨污分流</w:t>
            </w:r>
            <w:r>
              <w:rPr>
                <w:rFonts w:hint="default" w:ascii="Times New Roman" w:hAnsi="Times New Roman" w:cs="Times New Roman"/>
                <w:color w:val="auto"/>
                <w:sz w:val="24"/>
                <w:highlight w:val="none"/>
                <w:u w:val="none" w:color="auto"/>
                <w:lang w:val="en-US" w:eastAsia="zh-CN"/>
              </w:rPr>
              <w:t>系统</w:t>
            </w:r>
            <w:r>
              <w:rPr>
                <w:rFonts w:hint="default" w:ascii="Times New Roman" w:hAnsi="Times New Roman" w:cs="Times New Roman"/>
                <w:color w:val="auto"/>
                <w:sz w:val="24"/>
                <w:highlight w:val="none"/>
                <w:u w:val="none" w:color="auto"/>
              </w:rPr>
              <w:t>，雨水经</w:t>
            </w:r>
            <w:r>
              <w:rPr>
                <w:rFonts w:hint="default" w:ascii="Times New Roman" w:hAnsi="Times New Roman" w:cs="Times New Roman"/>
                <w:color w:val="auto"/>
                <w:sz w:val="24"/>
                <w:highlight w:val="none"/>
                <w:u w:val="none" w:color="auto"/>
                <w:lang w:val="en-US" w:eastAsia="zh-CN"/>
              </w:rPr>
              <w:t>初期雨水池收集处理</w:t>
            </w:r>
            <w:r>
              <w:rPr>
                <w:rFonts w:hint="default" w:ascii="Times New Roman" w:hAnsi="Times New Roman" w:cs="Times New Roman"/>
                <w:color w:val="auto"/>
                <w:sz w:val="24"/>
                <w:highlight w:val="none"/>
                <w:u w:val="none" w:color="auto"/>
              </w:rPr>
              <w:t>。</w:t>
            </w:r>
            <w:r>
              <w:rPr>
                <w:rFonts w:hint="default" w:ascii="Times New Roman" w:hAnsi="Times New Roman" w:cs="Times New Roman"/>
                <w:color w:val="auto"/>
                <w:sz w:val="24"/>
                <w:highlight w:val="none"/>
                <w:u w:val="none" w:color="auto"/>
                <w:lang w:val="en-US" w:eastAsia="zh-CN"/>
              </w:rPr>
              <w:t>本技改项目锅炉循环水循环使用，不外排；设备清洗产生的清洗废水经沉淀池、化粪池处理后运至</w:t>
            </w:r>
            <w:r>
              <w:rPr>
                <w:rFonts w:hint="eastAsia" w:ascii="Times New Roman" w:hAnsi="Times New Roman" w:cs="Times New Roman"/>
                <w:color w:val="auto"/>
                <w:sz w:val="24"/>
                <w:highlight w:val="none"/>
                <w:u w:val="none" w:color="auto"/>
                <w:lang w:val="en-US" w:eastAsia="zh-CN"/>
              </w:rPr>
              <w:t>祁阳鹏鹞水务有限公司白竹污水处理厂</w:t>
            </w:r>
            <w:r>
              <w:rPr>
                <w:rFonts w:hint="default" w:ascii="Times New Roman" w:hAnsi="Times New Roman" w:cs="Times New Roman"/>
                <w:color w:val="auto"/>
                <w:sz w:val="24"/>
                <w:highlight w:val="none"/>
                <w:u w:val="none" w:color="auto"/>
                <w:lang w:val="en-US" w:eastAsia="zh-CN"/>
              </w:rPr>
              <w:t>处理；地面清洗产生的清洗废水经沉淀池、化粪池处理后运至</w:t>
            </w:r>
            <w:r>
              <w:rPr>
                <w:rFonts w:hint="eastAsia" w:ascii="Times New Roman" w:hAnsi="Times New Roman" w:cs="Times New Roman"/>
                <w:color w:val="auto"/>
                <w:sz w:val="24"/>
                <w:highlight w:val="none"/>
                <w:u w:val="none" w:color="auto"/>
                <w:lang w:val="en-US" w:eastAsia="zh-CN"/>
              </w:rPr>
              <w:t>祁阳鹏鹞水务有限公司白竹污水处理厂</w:t>
            </w:r>
            <w:r>
              <w:rPr>
                <w:rFonts w:hint="default" w:ascii="Times New Roman" w:hAnsi="Times New Roman" w:cs="Times New Roman"/>
                <w:color w:val="auto"/>
                <w:sz w:val="24"/>
                <w:highlight w:val="none"/>
                <w:u w:val="none" w:color="auto"/>
                <w:lang w:val="en-US" w:eastAsia="zh-CN"/>
              </w:rPr>
              <w:t>处理；生活污水经沉淀池、化粪池处理后运至</w:t>
            </w:r>
            <w:r>
              <w:rPr>
                <w:rFonts w:hint="eastAsia" w:ascii="Times New Roman" w:hAnsi="Times New Roman" w:cs="Times New Roman"/>
                <w:color w:val="auto"/>
                <w:sz w:val="24"/>
                <w:highlight w:val="none"/>
                <w:u w:val="none" w:color="auto"/>
                <w:lang w:val="en-US" w:eastAsia="zh-CN"/>
              </w:rPr>
              <w:t>祁阳鹏鹞水务有限公司白竹污水处理厂</w:t>
            </w:r>
            <w:r>
              <w:rPr>
                <w:rFonts w:hint="default" w:ascii="Times New Roman" w:hAnsi="Times New Roman" w:cs="Times New Roman"/>
                <w:color w:val="auto"/>
                <w:sz w:val="24"/>
                <w:highlight w:val="none"/>
                <w:u w:val="none" w:color="auto"/>
                <w:lang w:val="en-US" w:eastAsia="zh-CN"/>
              </w:rPr>
              <w:t>处理；</w:t>
            </w:r>
            <w:r>
              <w:rPr>
                <w:rFonts w:hint="eastAsia" w:cs="Times New Roman"/>
                <w:color w:val="auto"/>
                <w:sz w:val="24"/>
                <w:highlight w:val="none"/>
                <w:u w:val="none" w:color="auto"/>
                <w:lang w:val="en-US" w:eastAsia="zh-CN"/>
              </w:rPr>
              <w:t>两级水膜除尘</w:t>
            </w:r>
            <w:r>
              <w:rPr>
                <w:rFonts w:hint="default" w:ascii="Times New Roman" w:hAnsi="Times New Roman" w:cs="Times New Roman"/>
                <w:color w:val="auto"/>
                <w:sz w:val="24"/>
                <w:highlight w:val="none"/>
                <w:u w:val="none" w:color="auto"/>
                <w:lang w:val="en-US" w:eastAsia="zh-CN"/>
              </w:rPr>
              <w:t>废水经沉淀池处理后，循环使用，不外排。</w:t>
            </w:r>
          </w:p>
          <w:p w14:paraId="27C8E08E">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w:t>
            </w:r>
            <w:r>
              <w:rPr>
                <w:rFonts w:hint="default" w:ascii="Times New Roman" w:hAnsi="Times New Roman" w:cs="Times New Roman"/>
                <w:color w:val="auto"/>
                <w:sz w:val="24"/>
                <w:highlight w:val="none"/>
                <w:u w:val="none" w:color="auto"/>
                <w:lang w:val="en-US" w:eastAsia="zh-CN"/>
              </w:rPr>
              <w:t>3</w:t>
            </w:r>
            <w:r>
              <w:rPr>
                <w:rFonts w:hint="default" w:ascii="Times New Roman" w:hAnsi="Times New Roman" w:cs="Times New Roman"/>
                <w:color w:val="auto"/>
                <w:sz w:val="24"/>
                <w:highlight w:val="none"/>
                <w:u w:val="none" w:color="auto"/>
              </w:rPr>
              <w:t>）供配电</w:t>
            </w:r>
          </w:p>
          <w:p w14:paraId="413CE359">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lang w:val="en-US" w:eastAsia="zh-CN"/>
              </w:rPr>
              <w:t>项目供电电源由进宝塘镇大富村电网提供，依托现有工程不变</w:t>
            </w:r>
            <w:r>
              <w:rPr>
                <w:rFonts w:hint="default" w:ascii="Times New Roman" w:hAnsi="Times New Roman" w:cs="Times New Roman"/>
                <w:color w:val="auto"/>
                <w:sz w:val="24"/>
                <w:highlight w:val="none"/>
                <w:u w:val="none" w:color="auto"/>
              </w:rPr>
              <w:t>。</w:t>
            </w:r>
          </w:p>
          <w:p w14:paraId="3588B682">
            <w:pPr>
              <w:spacing w:line="360" w:lineRule="auto"/>
              <w:ind w:firstLine="480" w:firstLineChars="200"/>
              <w:rPr>
                <w:rFonts w:hint="default" w:ascii="Times New Roman" w:hAnsi="Times New Roman" w:cs="Times New Roman"/>
                <w:color w:val="auto"/>
                <w:sz w:val="24"/>
                <w:highlight w:val="none"/>
                <w:u w:val="none" w:color="auto"/>
                <w:lang w:eastAsia="zh-CN"/>
              </w:rPr>
            </w:pPr>
            <w:r>
              <w:rPr>
                <w:rFonts w:hint="default" w:ascii="Times New Roman" w:hAnsi="Times New Roman"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lang w:val="en-US" w:eastAsia="zh-CN"/>
              </w:rPr>
              <w:t>4</w:t>
            </w:r>
            <w:r>
              <w:rPr>
                <w:rFonts w:hint="default" w:ascii="Times New Roman" w:hAnsi="Times New Roman" w:cs="Times New Roman"/>
                <w:color w:val="auto"/>
                <w:sz w:val="24"/>
                <w:highlight w:val="none"/>
                <w:u w:val="none" w:color="auto"/>
                <w:lang w:eastAsia="zh-CN"/>
              </w:rPr>
              <w:t>）供热</w:t>
            </w:r>
          </w:p>
          <w:p w14:paraId="7B38FA59">
            <w:pPr>
              <w:spacing w:line="360" w:lineRule="auto"/>
              <w:ind w:firstLine="480" w:firstLineChars="200"/>
              <w:rPr>
                <w:rFonts w:hint="default" w:ascii="Times New Roman" w:hAnsi="Times New Roman" w:cs="Times New Roman"/>
                <w:color w:val="auto"/>
                <w:sz w:val="24"/>
                <w:highlight w:val="none"/>
                <w:u w:val="none" w:color="auto"/>
                <w:lang w:val="en-US" w:eastAsia="zh-CN"/>
              </w:rPr>
            </w:pPr>
            <w:r>
              <w:rPr>
                <w:rFonts w:hint="default" w:ascii="Times New Roman" w:hAnsi="Times New Roman" w:cs="Times New Roman"/>
                <w:color w:val="auto"/>
                <w:sz w:val="24"/>
                <w:highlight w:val="none"/>
                <w:u w:val="none" w:color="auto"/>
                <w:lang w:eastAsia="zh-CN"/>
              </w:rPr>
              <w:t>本技改项目</w:t>
            </w:r>
            <w:r>
              <w:rPr>
                <w:rFonts w:hint="default" w:ascii="Times New Roman" w:hAnsi="Times New Roman" w:cs="Times New Roman"/>
                <w:color w:val="auto"/>
                <w:sz w:val="24"/>
                <w:highlight w:val="none"/>
                <w:u w:val="none" w:color="auto"/>
                <w:lang w:val="en-US" w:eastAsia="zh-CN"/>
              </w:rPr>
              <w:t>供热能源为</w:t>
            </w:r>
            <w:r>
              <w:rPr>
                <w:rFonts w:hint="default" w:ascii="Times New Roman" w:hAnsi="Times New Roman" w:cs="Times New Roman"/>
                <w:color w:val="auto"/>
                <w:sz w:val="24"/>
                <w:highlight w:val="none"/>
                <w:u w:val="none" w:color="auto"/>
                <w:lang w:eastAsia="zh-CN"/>
              </w:rPr>
              <w:t>成型生物质燃料，技改后由</w:t>
            </w:r>
            <w:r>
              <w:rPr>
                <w:rFonts w:hint="default" w:ascii="Times New Roman" w:hAnsi="Times New Roman" w:cs="Times New Roman"/>
                <w:color w:val="auto"/>
                <w:sz w:val="24"/>
                <w:highlight w:val="none"/>
                <w:u w:val="none" w:color="auto"/>
                <w:lang w:val="en-US" w:eastAsia="zh-CN"/>
              </w:rPr>
              <w:t>2t/h蒸汽锅炉改为2.1t/h蒸汽锅炉。</w:t>
            </w:r>
          </w:p>
        </w:tc>
      </w:tr>
      <w:tr w14:paraId="7C934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vAlign w:val="center"/>
          </w:tcPr>
          <w:p w14:paraId="179BA491">
            <w:pPr>
              <w:pStyle w:val="39"/>
              <w:adjustRightInd w:val="0"/>
              <w:snapToGrid w:val="0"/>
              <w:spacing w:before="0" w:beforeAutospacing="0" w:after="0" w:afterAutospacing="0"/>
              <w:jc w:val="center"/>
              <w:rPr>
                <w:rFonts w:hint="default" w:ascii="Times New Roman" w:hAnsi="Times New Roman" w:cs="Times New Roman"/>
                <w:color w:val="auto"/>
                <w:szCs w:val="24"/>
                <w:highlight w:val="none"/>
                <w:u w:val="none" w:color="auto"/>
              </w:rPr>
            </w:pPr>
            <w:r>
              <w:rPr>
                <w:rFonts w:hint="default" w:ascii="Times New Roman" w:hAnsi="Times New Roman" w:cs="Times New Roman"/>
                <w:color w:val="auto"/>
                <w:szCs w:val="24"/>
                <w:highlight w:val="none"/>
                <w:u w:val="none" w:color="auto"/>
              </w:rPr>
              <w:t>工艺流程和产排污环节</w:t>
            </w:r>
          </w:p>
        </w:tc>
        <w:tc>
          <w:tcPr>
            <w:tcW w:w="8244" w:type="dxa"/>
            <w:shd w:val="clear" w:color="auto" w:fill="auto"/>
          </w:tcPr>
          <w:p w14:paraId="37D931CB">
            <w:pPr>
              <w:spacing w:line="360" w:lineRule="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rPr>
              <w:t>1、施工期施工工艺流程简述</w:t>
            </w:r>
          </w:p>
          <w:p w14:paraId="09D35E7C">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本次</w:t>
            </w:r>
            <w:r>
              <w:rPr>
                <w:rFonts w:hint="default" w:ascii="Times New Roman" w:hAnsi="Times New Roman" w:cs="Times New Roman"/>
                <w:color w:val="auto"/>
                <w:sz w:val="24"/>
                <w:highlight w:val="none"/>
                <w:u w:val="none" w:color="auto"/>
                <w:lang w:eastAsia="zh-CN"/>
              </w:rPr>
              <w:t>技改</w:t>
            </w:r>
            <w:r>
              <w:rPr>
                <w:rFonts w:hint="default" w:ascii="Times New Roman" w:hAnsi="Times New Roman" w:cs="Times New Roman"/>
                <w:color w:val="auto"/>
                <w:sz w:val="24"/>
                <w:highlight w:val="none"/>
                <w:u w:val="none" w:color="auto"/>
              </w:rPr>
              <w:t>项目内容</w:t>
            </w:r>
            <w:r>
              <w:rPr>
                <w:rFonts w:hint="default" w:ascii="Times New Roman" w:hAnsi="Times New Roman" w:cs="Times New Roman"/>
                <w:color w:val="auto"/>
                <w:sz w:val="24"/>
                <w:highlight w:val="none"/>
                <w:u w:val="none" w:color="auto"/>
                <w:lang w:val="en-US" w:eastAsia="zh-CN"/>
              </w:rPr>
              <w:t>为</w:t>
            </w:r>
            <w:r>
              <w:rPr>
                <w:rFonts w:hint="default" w:ascii="Times New Roman" w:hAnsi="Times New Roman" w:cs="Times New Roman"/>
                <w:color w:val="auto"/>
                <w:sz w:val="24"/>
                <w:highlight w:val="none"/>
                <w:u w:val="none" w:color="auto"/>
                <w:lang w:eastAsia="zh-CN"/>
              </w:rPr>
              <w:t>2t/h生物质锅炉技改为2.1t/h生物质锅炉，锅炉位置不变，不改变其他现用生产设备及生产工艺，不新增建筑面积</w:t>
            </w:r>
            <w:r>
              <w:rPr>
                <w:rFonts w:hint="default" w:ascii="Times New Roman" w:hAnsi="Times New Roman" w:cs="Times New Roman"/>
                <w:color w:val="auto"/>
                <w:sz w:val="24"/>
                <w:highlight w:val="none"/>
                <w:u w:val="none" w:color="auto"/>
              </w:rPr>
              <w:t>。因此，本项目不需新建建筑物，施工期为简单的设备拆卸与安装，会产生噪声影响，但会随着施工期的结束影响也会随着消失。</w:t>
            </w:r>
          </w:p>
          <w:p w14:paraId="25F2D6CB">
            <w:pPr>
              <w:spacing w:line="360" w:lineRule="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rPr>
              <w:t>2、营运期工艺流程简述</w:t>
            </w:r>
          </w:p>
          <w:p w14:paraId="6B7A5284">
            <w:pPr>
              <w:spacing w:line="360" w:lineRule="auto"/>
              <w:rPr>
                <w:rFonts w:hint="default" w:ascii="Times New Roman" w:hAnsi="Times New Roman" w:cs="Times New Roman"/>
                <w:b/>
                <w:color w:val="auto"/>
                <w:sz w:val="24"/>
                <w:highlight w:val="none"/>
                <w:u w:val="none" w:color="auto"/>
                <w:lang w:val="en-US" w:eastAsia="zh-CN"/>
              </w:rPr>
            </w:pPr>
            <w:r>
              <w:rPr>
                <w:rFonts w:hint="default" w:ascii="Times New Roman" w:hAnsi="Times New Roman" w:cs="Times New Roman"/>
                <w:b/>
                <w:color w:val="auto"/>
                <w:sz w:val="24"/>
                <w:highlight w:val="none"/>
                <w:u w:val="none" w:color="auto"/>
                <w:lang w:val="en-US" w:eastAsia="zh-CN"/>
              </w:rPr>
              <w:t>（1）锅炉</w:t>
            </w:r>
          </w:p>
          <w:p w14:paraId="2EFE1F3F">
            <w:pPr>
              <w:spacing w:line="360" w:lineRule="auto"/>
              <w:ind w:firstLine="480" w:firstLineChars="200"/>
              <w:rPr>
                <w:ins w:id="0" w:author="love&amp;peace" w:date="2026-05-12T10:21:56Z"/>
                <w:rFonts w:hint="eastAsia" w:cs="Times New Roman"/>
                <w:color w:val="auto"/>
                <w:sz w:val="24"/>
                <w:highlight w:val="none"/>
                <w:u w:val="none" w:color="auto"/>
                <w:lang w:val="en-US" w:eastAsia="zh-CN"/>
              </w:rPr>
            </w:pPr>
            <w:r>
              <w:rPr>
                <w:rFonts w:hint="default" w:ascii="Times New Roman" w:hAnsi="Times New Roman" w:cs="Times New Roman"/>
                <w:color w:val="auto"/>
                <w:sz w:val="24"/>
                <w:highlight w:val="none"/>
                <w:u w:val="none" w:color="auto"/>
                <w:lang w:eastAsia="zh-CN"/>
              </w:rPr>
              <w:t>本次技改项目内容</w:t>
            </w:r>
            <w:r>
              <w:rPr>
                <w:rFonts w:hint="default" w:ascii="Times New Roman" w:hAnsi="Times New Roman" w:cs="Times New Roman"/>
                <w:color w:val="auto"/>
                <w:sz w:val="24"/>
                <w:highlight w:val="none"/>
                <w:u w:val="none" w:color="auto"/>
                <w:lang w:val="en-US" w:eastAsia="zh-CN"/>
              </w:rPr>
              <w:t>为</w:t>
            </w:r>
            <w:r>
              <w:rPr>
                <w:rFonts w:hint="default" w:ascii="Times New Roman" w:hAnsi="Times New Roman" w:cs="Times New Roman"/>
                <w:color w:val="auto"/>
                <w:sz w:val="24"/>
                <w:highlight w:val="none"/>
                <w:u w:val="none" w:color="auto"/>
                <w:lang w:eastAsia="zh-CN"/>
              </w:rPr>
              <w:t>2t/h生物质锅炉技改为2.1t/h生物质锅炉，</w:t>
            </w:r>
            <w:r>
              <w:rPr>
                <w:rFonts w:hint="eastAsia" w:cs="Times New Roman"/>
                <w:color w:val="auto"/>
                <w:sz w:val="24"/>
                <w:highlight w:val="none"/>
                <w:u w:val="none" w:color="auto"/>
                <w:lang w:val="en-US" w:eastAsia="zh-CN"/>
              </w:rPr>
              <w:t>工艺流程如下：</w:t>
            </w:r>
          </w:p>
          <w:p w14:paraId="2F7A627C">
            <w:pPr>
              <w:pStyle w:val="22"/>
              <w:rPr>
                <w:ins w:id="1" w:author="love&amp;peace" w:date="2026-05-12T10:21:57Z"/>
                <w:rFonts w:hint="eastAsia" w:cs="Times New Roman"/>
                <w:color w:val="auto"/>
                <w:sz w:val="24"/>
                <w:highlight w:val="none"/>
                <w:u w:val="none" w:color="auto"/>
                <w:lang w:val="en-US" w:eastAsia="zh-CN"/>
              </w:rPr>
            </w:pPr>
          </w:p>
          <w:p w14:paraId="679FFD98">
            <w:pPr>
              <w:pStyle w:val="23"/>
              <w:rPr>
                <w:ins w:id="2" w:author="love&amp;peace" w:date="2026-05-12T10:21:57Z"/>
                <w:rFonts w:hint="eastAsia" w:cs="Times New Roman"/>
                <w:color w:val="auto"/>
                <w:sz w:val="24"/>
                <w:highlight w:val="none"/>
                <w:u w:val="none" w:color="auto"/>
                <w:lang w:val="en-US" w:eastAsia="zh-CN"/>
              </w:rPr>
            </w:pPr>
          </w:p>
          <w:p w14:paraId="6318C1CF">
            <w:pPr>
              <w:rPr>
                <w:ins w:id="3" w:author="love&amp;peace" w:date="2026-05-12T10:21:57Z"/>
                <w:rFonts w:hint="eastAsia" w:cs="Times New Roman"/>
                <w:color w:val="auto"/>
                <w:sz w:val="24"/>
                <w:highlight w:val="none"/>
                <w:u w:val="none" w:color="auto"/>
                <w:lang w:val="en-US" w:eastAsia="zh-CN"/>
              </w:rPr>
            </w:pPr>
          </w:p>
          <w:p w14:paraId="0D73B8BB">
            <w:pPr>
              <w:pStyle w:val="22"/>
              <w:rPr>
                <w:ins w:id="4" w:author="love&amp;peace" w:date="2026-05-12T10:21:57Z"/>
                <w:rFonts w:hint="eastAsia" w:cs="Times New Roman"/>
                <w:color w:val="auto"/>
                <w:sz w:val="24"/>
                <w:highlight w:val="none"/>
                <w:u w:val="none" w:color="auto"/>
                <w:lang w:val="en-US" w:eastAsia="zh-CN"/>
              </w:rPr>
            </w:pPr>
          </w:p>
          <w:p w14:paraId="1E03ECF1">
            <w:pPr>
              <w:pStyle w:val="23"/>
              <w:rPr>
                <w:ins w:id="5" w:author="love&amp;peace" w:date="2026-05-12T10:21:58Z"/>
                <w:rFonts w:hint="eastAsia" w:cs="Times New Roman"/>
                <w:color w:val="auto"/>
                <w:sz w:val="24"/>
                <w:highlight w:val="none"/>
                <w:u w:val="none" w:color="auto"/>
                <w:lang w:val="en-US" w:eastAsia="zh-CN"/>
              </w:rPr>
            </w:pPr>
          </w:p>
          <w:p w14:paraId="6E241B71">
            <w:pPr>
              <w:rPr>
                <w:ins w:id="6" w:author="love&amp;peace" w:date="2026-05-12T10:21:58Z"/>
                <w:rFonts w:hint="eastAsia" w:cs="Times New Roman"/>
                <w:color w:val="auto"/>
                <w:sz w:val="24"/>
                <w:highlight w:val="none"/>
                <w:u w:val="none" w:color="auto"/>
                <w:lang w:val="en-US" w:eastAsia="zh-CN"/>
              </w:rPr>
            </w:pPr>
          </w:p>
          <w:p w14:paraId="3369BBDC">
            <w:pPr>
              <w:pStyle w:val="22"/>
              <w:rPr>
                <w:rFonts w:hint="default"/>
                <w:lang w:val="en-US" w:eastAsia="zh-CN"/>
              </w:rPr>
            </w:pPr>
          </w:p>
          <w:p w14:paraId="520EA29B">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auto"/>
                <w:highlight w:val="none"/>
                <w:u w:val="none" w:color="auto"/>
                <w:lang w:eastAsia="zh-CN"/>
              </w:rPr>
            </w:pPr>
            <w:r>
              <w:rPr>
                <w:rFonts w:hint="default" w:ascii="Times New Roman" w:hAnsi="Times New Roman" w:eastAsia="宋体" w:cs="Times New Roman"/>
                <w:color w:val="auto"/>
                <w:highlight w:val="none"/>
                <w:u w:val="none" w:color="auto"/>
                <w:lang w:eastAsia="zh-CN"/>
              </w:rPr>
              <w:drawing>
                <wp:inline distT="0" distB="0" distL="114300" distR="114300">
                  <wp:extent cx="4714875" cy="3228975"/>
                  <wp:effectExtent l="0" t="0" r="9525" b="9525"/>
                  <wp:docPr id="4" name="图片 4" descr="1745831917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45831917442"/>
                          <pic:cNvPicPr>
                            <a:picLocks noChangeAspect="1"/>
                          </pic:cNvPicPr>
                        </pic:nvPicPr>
                        <pic:blipFill>
                          <a:blip r:embed="rId8"/>
                          <a:stretch>
                            <a:fillRect/>
                          </a:stretch>
                        </pic:blipFill>
                        <pic:spPr>
                          <a:xfrm>
                            <a:off x="0" y="0"/>
                            <a:ext cx="4714875" cy="3228975"/>
                          </a:xfrm>
                          <a:prstGeom prst="rect">
                            <a:avLst/>
                          </a:prstGeom>
                        </pic:spPr>
                      </pic:pic>
                    </a:graphicData>
                  </a:graphic>
                </wp:inline>
              </w:drawing>
            </w:r>
          </w:p>
          <w:p w14:paraId="052F94A1">
            <w:pPr>
              <w:pStyle w:val="19"/>
              <w:widowControl w:val="0"/>
              <w:snapToGrid/>
              <w:spacing w:before="0" w:after="0" w:line="360" w:lineRule="auto"/>
              <w:ind w:right="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b/>
                <w:bCs/>
                <w:color w:val="auto"/>
                <w:sz w:val="21"/>
                <w:szCs w:val="21"/>
                <w:highlight w:val="none"/>
                <w:u w:val="none" w:color="auto"/>
              </w:rPr>
              <w:t>图2-</w:t>
            </w:r>
            <w:r>
              <w:rPr>
                <w:rFonts w:hint="default" w:ascii="Times New Roman" w:hAnsi="Times New Roman" w:cs="Times New Roman"/>
                <w:b/>
                <w:bCs/>
                <w:color w:val="auto"/>
                <w:sz w:val="21"/>
                <w:szCs w:val="21"/>
                <w:highlight w:val="none"/>
                <w:u w:val="none" w:color="auto"/>
                <w:lang w:val="en-US" w:eastAsia="zh-CN"/>
              </w:rPr>
              <w:t xml:space="preserve">1 </w:t>
            </w:r>
            <w:r>
              <w:rPr>
                <w:rFonts w:hint="default" w:ascii="Times New Roman" w:hAnsi="Times New Roman" w:cs="Times New Roman"/>
                <w:b/>
                <w:bCs/>
                <w:color w:val="auto"/>
                <w:sz w:val="21"/>
                <w:szCs w:val="21"/>
                <w:highlight w:val="none"/>
                <w:u w:val="none" w:color="auto"/>
              </w:rPr>
              <w:t xml:space="preserve"> </w:t>
            </w:r>
            <w:r>
              <w:rPr>
                <w:rFonts w:hint="default" w:ascii="Times New Roman" w:hAnsi="Times New Roman" w:cs="Times New Roman"/>
                <w:b/>
                <w:bCs/>
                <w:color w:val="auto"/>
                <w:sz w:val="21"/>
                <w:szCs w:val="21"/>
                <w:highlight w:val="none"/>
                <w:u w:val="none" w:color="auto"/>
                <w:lang w:val="en-US" w:eastAsia="zh-CN"/>
              </w:rPr>
              <w:t>技改</w:t>
            </w:r>
            <w:r>
              <w:rPr>
                <w:rFonts w:hint="default" w:ascii="Times New Roman" w:hAnsi="Times New Roman" w:cs="Times New Roman"/>
                <w:b/>
                <w:bCs/>
                <w:color w:val="auto"/>
                <w:sz w:val="21"/>
                <w:szCs w:val="21"/>
                <w:highlight w:val="none"/>
                <w:u w:val="none" w:color="auto"/>
              </w:rPr>
              <w:t>项目</w:t>
            </w:r>
            <w:r>
              <w:rPr>
                <w:rFonts w:hint="default" w:ascii="Times New Roman" w:hAnsi="Times New Roman" w:cs="Times New Roman"/>
                <w:b/>
                <w:bCs/>
                <w:color w:val="auto"/>
                <w:sz w:val="21"/>
                <w:szCs w:val="21"/>
                <w:highlight w:val="none"/>
                <w:u w:val="none" w:color="auto"/>
                <w:lang w:eastAsia="zh-CN"/>
              </w:rPr>
              <w:t>生产</w:t>
            </w:r>
            <w:r>
              <w:rPr>
                <w:rFonts w:hint="default" w:ascii="Times New Roman" w:hAnsi="Times New Roman" w:cs="Times New Roman"/>
                <w:b/>
                <w:bCs/>
                <w:color w:val="auto"/>
                <w:sz w:val="21"/>
                <w:szCs w:val="21"/>
                <w:highlight w:val="none"/>
                <w:u w:val="none" w:color="auto"/>
              </w:rPr>
              <w:t>工艺流程及产污节点图</w:t>
            </w:r>
          </w:p>
          <w:p w14:paraId="130C3D54">
            <w:pPr>
              <w:keepNext w:val="0"/>
              <w:keepLines w:val="0"/>
              <w:pageBreakBefore w:val="0"/>
              <w:widowControl w:val="0"/>
              <w:kinsoku/>
              <w:wordWrap/>
              <w:overflowPunct/>
              <w:topLinePunct w:val="0"/>
              <w:bidi w:val="0"/>
              <w:adjustRightInd/>
              <w:snapToGrid/>
              <w:spacing w:line="360" w:lineRule="auto"/>
              <w:ind w:left="0" w:leftChars="0" w:firstLine="482" w:firstLineChars="200"/>
              <w:textAlignment w:val="auto"/>
              <w:rPr>
                <w:rFonts w:hint="default" w:ascii="Times New Roman" w:hAnsi="Times New Roman" w:cs="Times New Roman"/>
                <w:b/>
                <w:color w:val="auto"/>
                <w:sz w:val="24"/>
                <w:highlight w:val="none"/>
                <w:u w:val="none" w:color="auto"/>
              </w:rPr>
            </w:pPr>
            <w:r>
              <w:rPr>
                <w:rFonts w:hint="default" w:ascii="Times New Roman" w:hAnsi="Times New Roman" w:cs="Times New Roman"/>
                <w:b/>
                <w:color w:val="auto"/>
                <w:sz w:val="24"/>
                <w:highlight w:val="none"/>
                <w:u w:val="none" w:color="auto"/>
              </w:rPr>
              <w:t>工艺流程简述：</w:t>
            </w:r>
          </w:p>
          <w:p w14:paraId="2584CAD7">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1）锅炉软水制备</w:t>
            </w:r>
          </w:p>
          <w:p w14:paraId="3F953E70">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自来水通过清水泵进入离子交换树脂装置，经过钠离子交换后， 自来水中的钙镁盐类变成钠盐，去除了水中的硬度，得到软化水。此过程中产生软化处理废水。</w:t>
            </w:r>
          </w:p>
          <w:p w14:paraId="568AFF8F">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2）给水除氧器</w:t>
            </w:r>
          </w:p>
          <w:p w14:paraId="529999BE">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给水除氧器工作原理：根据亨利定律可知，在封闭容器中，任何气体同时存在于水面上，则气体的溶解度与其自己的分压力成正比，而且气体的溶解度仅与其本身的分压力有关。在一定压力下，随着水温升高，水蒸气的分压力增大，而空气和氧气的分压力越来越小。在 100℃时，氧气的分压力降低到零，水中的溶解氧也降低到零。当水面上压力小于大气压力时，氧气的溶解度在较低水温时也可达到零。这样水面上空间氧气分子被排出，或转变成其他气体，从而氧的分压力为零，水中氧气就不断地溢出，达到除氧的效果。除氧后的水不会增加含盐量，也不会增加其他气体溶解量，操作控制相对容易，而且运行稳定、可靠，是目前应用最多的一种除氧方法。</w:t>
            </w:r>
          </w:p>
          <w:p w14:paraId="6C9B7296">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3）发生蒸汽</w:t>
            </w:r>
          </w:p>
          <w:p w14:paraId="05B8C75B">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除氧后的软化水依次进入应急锅炉省煤器、锅筒、过热器，生物质成型颗粒为锅炉提供燃料，蒸汽发生所需热量通过生物质燃烧提供，锅炉产生的蒸汽对外供热。生物质燃烧过程产生废气</w:t>
            </w:r>
            <w:r>
              <w:rPr>
                <w:rFonts w:hint="default" w:ascii="Times New Roman" w:hAnsi="Times New Roman" w:cs="Times New Roman"/>
                <w:bCs/>
                <w:color w:val="auto"/>
                <w:sz w:val="24"/>
                <w:highlight w:val="none"/>
                <w:u w:val="none" w:color="auto"/>
                <w:lang w:eastAsia="zh-CN"/>
              </w:rPr>
              <w:t>，成型生物质燃料</w:t>
            </w:r>
            <w:r>
              <w:rPr>
                <w:rFonts w:hint="default" w:ascii="Times New Roman" w:hAnsi="Times New Roman" w:cs="Times New Roman"/>
                <w:bCs/>
                <w:color w:val="auto"/>
                <w:sz w:val="24"/>
                <w:highlight w:val="none"/>
                <w:u w:val="none" w:color="auto"/>
              </w:rPr>
              <w:t>燃烧产生的炉渣。</w:t>
            </w:r>
          </w:p>
          <w:p w14:paraId="5B5B3326">
            <w:pPr>
              <w:spacing w:line="360" w:lineRule="auto"/>
              <w:ind w:firstLine="480" w:firstLineChars="200"/>
              <w:rPr>
                <w:rFonts w:hint="default" w:ascii="Times New Roman" w:hAnsi="Times New Roman" w:cs="Times New Roman"/>
                <w:bCs/>
                <w:color w:val="auto"/>
                <w:sz w:val="24"/>
                <w:highlight w:val="none"/>
                <w:u w:val="none" w:color="auto"/>
                <w:lang w:val="en-US" w:eastAsia="zh-CN"/>
              </w:rPr>
            </w:pPr>
            <w:r>
              <w:rPr>
                <w:rFonts w:hint="default" w:ascii="Times New Roman" w:hAnsi="Times New Roman" w:cs="Times New Roman"/>
                <w:bCs/>
                <w:color w:val="auto"/>
                <w:sz w:val="24"/>
                <w:highlight w:val="none"/>
                <w:u w:val="none" w:color="auto"/>
                <w:lang w:val="en-US" w:eastAsia="zh-CN"/>
              </w:rPr>
              <w:t>（2）溶剂废气</w:t>
            </w:r>
          </w:p>
          <w:p w14:paraId="2DBACFD6">
            <w:pPr>
              <w:spacing w:line="360" w:lineRule="auto"/>
              <w:ind w:firstLine="480" w:firstLineChars="200"/>
              <w:rPr>
                <w:rFonts w:hint="default" w:ascii="Times New Roman" w:hAnsi="Times New Roman" w:cs="Times New Roman"/>
                <w:bCs/>
                <w:color w:val="auto"/>
                <w:sz w:val="24"/>
                <w:highlight w:val="none"/>
                <w:u w:val="none" w:color="auto"/>
                <w:lang w:val="en-US" w:eastAsia="zh-CN"/>
              </w:rPr>
            </w:pPr>
            <w:r>
              <w:rPr>
                <w:rFonts w:hint="default" w:ascii="Times New Roman" w:hAnsi="Times New Roman" w:cs="Times New Roman"/>
                <w:bCs/>
                <w:color w:val="auto"/>
                <w:sz w:val="24"/>
                <w:highlight w:val="none"/>
                <w:u w:val="none" w:color="auto"/>
                <w:lang w:val="en-US" w:eastAsia="zh-CN"/>
              </w:rPr>
              <w:t>本项目浸出工段、湿粕脱溶过程及混合油在蒸发、汽提过程中产生的溶剂废气由“无组织排放”技改成“经收集后通过15m排气筒排放”。</w:t>
            </w:r>
          </w:p>
          <w:p w14:paraId="68DEEE44">
            <w:pPr>
              <w:spacing w:line="360" w:lineRule="auto"/>
              <w:rPr>
                <w:rFonts w:hint="default" w:ascii="Times New Roman" w:hAnsi="Times New Roman" w:cs="Times New Roman"/>
                <w:b/>
                <w:bCs/>
                <w:color w:val="auto"/>
                <w:sz w:val="24"/>
                <w:highlight w:val="none"/>
                <w:u w:val="none" w:color="auto"/>
              </w:rPr>
            </w:pPr>
            <w:r>
              <w:rPr>
                <w:rFonts w:hint="default" w:ascii="Times New Roman" w:hAnsi="Times New Roman" w:cs="Times New Roman"/>
                <w:b/>
                <w:bCs/>
                <w:color w:val="auto"/>
                <w:sz w:val="24"/>
                <w:highlight w:val="none"/>
                <w:u w:val="none" w:color="auto"/>
              </w:rPr>
              <w:t>3、运营期产污环节</w:t>
            </w:r>
          </w:p>
          <w:p w14:paraId="31C0B908">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1 、废气</w:t>
            </w:r>
          </w:p>
          <w:p w14:paraId="5A188CF3">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本次</w:t>
            </w:r>
            <w:r>
              <w:rPr>
                <w:rFonts w:hint="default" w:ascii="Times New Roman" w:hAnsi="Times New Roman" w:cs="Times New Roman"/>
                <w:bCs/>
                <w:color w:val="auto"/>
                <w:sz w:val="24"/>
                <w:highlight w:val="none"/>
                <w:u w:val="none" w:color="auto"/>
                <w:lang w:eastAsia="zh-CN"/>
              </w:rPr>
              <w:t>技改</w:t>
            </w:r>
            <w:r>
              <w:rPr>
                <w:rFonts w:hint="default" w:ascii="Times New Roman" w:hAnsi="Times New Roman" w:cs="Times New Roman"/>
                <w:bCs/>
                <w:color w:val="auto"/>
                <w:sz w:val="24"/>
                <w:highlight w:val="none"/>
                <w:u w:val="none" w:color="auto"/>
              </w:rPr>
              <w:t>项目废气主要为锅炉废气（SO</w:t>
            </w:r>
            <w:r>
              <w:rPr>
                <w:rFonts w:hint="default" w:ascii="Times New Roman" w:hAnsi="Times New Roman" w:cs="Times New Roman"/>
                <w:bCs/>
                <w:color w:val="auto"/>
                <w:sz w:val="24"/>
                <w:highlight w:val="none"/>
                <w:u w:val="none" w:color="auto"/>
                <w:vertAlign w:val="subscript"/>
              </w:rPr>
              <w:t>2</w:t>
            </w:r>
            <w:r>
              <w:rPr>
                <w:rFonts w:hint="default" w:ascii="Times New Roman" w:hAnsi="Times New Roman" w:cs="Times New Roman"/>
                <w:bCs/>
                <w:color w:val="auto"/>
                <w:sz w:val="24"/>
                <w:highlight w:val="none"/>
                <w:u w:val="none" w:color="auto"/>
              </w:rPr>
              <w:t>、NOx、颗粒物）</w:t>
            </w:r>
            <w:r>
              <w:rPr>
                <w:rFonts w:hint="default" w:ascii="Times New Roman" w:hAnsi="Times New Roman" w:cs="Times New Roman"/>
                <w:bCs/>
                <w:color w:val="auto"/>
                <w:sz w:val="24"/>
                <w:highlight w:val="none"/>
                <w:u w:val="none" w:color="auto"/>
                <w:lang w:val="en-US" w:eastAsia="zh-CN"/>
              </w:rPr>
              <w:t>和溶剂废气</w:t>
            </w:r>
            <w:r>
              <w:rPr>
                <w:rFonts w:hint="default" w:ascii="Times New Roman" w:hAnsi="Times New Roman" w:cs="Times New Roman"/>
                <w:bCs/>
                <w:color w:val="auto"/>
                <w:sz w:val="24"/>
                <w:highlight w:val="none"/>
                <w:u w:val="none" w:color="auto"/>
              </w:rPr>
              <w:t>。</w:t>
            </w:r>
          </w:p>
          <w:p w14:paraId="7E3707F7">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2 、废水</w:t>
            </w:r>
          </w:p>
          <w:p w14:paraId="7F33D657">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本次</w:t>
            </w:r>
            <w:r>
              <w:rPr>
                <w:rFonts w:hint="default" w:ascii="Times New Roman" w:hAnsi="Times New Roman" w:cs="Times New Roman"/>
                <w:bCs/>
                <w:color w:val="auto"/>
                <w:sz w:val="24"/>
                <w:highlight w:val="none"/>
                <w:u w:val="none" w:color="auto"/>
                <w:lang w:eastAsia="zh-CN"/>
              </w:rPr>
              <w:t>技改</w:t>
            </w:r>
            <w:r>
              <w:rPr>
                <w:rFonts w:hint="default" w:ascii="Times New Roman" w:hAnsi="Times New Roman" w:cs="Times New Roman"/>
                <w:bCs/>
                <w:color w:val="auto"/>
                <w:sz w:val="24"/>
                <w:highlight w:val="none"/>
                <w:u w:val="none" w:color="auto"/>
              </w:rPr>
              <w:t>项目主要为锅炉排污水及软化处理废水。</w:t>
            </w:r>
          </w:p>
          <w:p w14:paraId="3F77614B">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3 、噪声</w:t>
            </w:r>
          </w:p>
          <w:p w14:paraId="7E8CF3EB">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本次</w:t>
            </w:r>
            <w:r>
              <w:rPr>
                <w:rFonts w:hint="default" w:ascii="Times New Roman" w:hAnsi="Times New Roman" w:cs="Times New Roman"/>
                <w:bCs/>
                <w:color w:val="auto"/>
                <w:sz w:val="24"/>
                <w:highlight w:val="none"/>
                <w:u w:val="none" w:color="auto"/>
                <w:lang w:eastAsia="zh-CN"/>
              </w:rPr>
              <w:t>技改</w:t>
            </w:r>
            <w:r>
              <w:rPr>
                <w:rFonts w:hint="default" w:ascii="Times New Roman" w:hAnsi="Times New Roman" w:cs="Times New Roman"/>
                <w:bCs/>
                <w:color w:val="auto"/>
                <w:sz w:val="24"/>
                <w:highlight w:val="none"/>
                <w:u w:val="none" w:color="auto"/>
              </w:rPr>
              <w:t xml:space="preserve">项目主要为设备噪声等，噪声源强约为65~85dB(A) 。 </w:t>
            </w:r>
          </w:p>
          <w:p w14:paraId="6ADB3237">
            <w:pPr>
              <w:spacing w:line="360" w:lineRule="auto"/>
              <w:ind w:firstLine="480" w:firstLineChars="200"/>
              <w:rPr>
                <w:rFonts w:hint="default" w:ascii="Times New Roman" w:hAnsi="Times New Roman" w:cs="Times New Roman"/>
                <w:bCs/>
                <w:color w:val="auto"/>
                <w:sz w:val="24"/>
                <w:highlight w:val="none"/>
                <w:u w:val="none" w:color="auto"/>
              </w:rPr>
            </w:pPr>
            <w:r>
              <w:rPr>
                <w:rFonts w:hint="default" w:ascii="Times New Roman" w:hAnsi="Times New Roman" w:cs="Times New Roman"/>
                <w:bCs/>
                <w:color w:val="auto"/>
                <w:sz w:val="24"/>
                <w:highlight w:val="none"/>
                <w:u w:val="none" w:color="auto"/>
              </w:rPr>
              <w:t>4 、固体废弃物</w:t>
            </w:r>
          </w:p>
          <w:p w14:paraId="369A4071">
            <w:pPr>
              <w:spacing w:line="360" w:lineRule="auto"/>
              <w:ind w:firstLine="480" w:firstLineChars="200"/>
              <w:rPr>
                <w:rFonts w:hint="default" w:ascii="Times New Roman" w:hAnsi="Times New Roman" w:cs="Times New Roman"/>
                <w:bCs/>
                <w:color w:val="auto"/>
                <w:sz w:val="24"/>
                <w:highlight w:val="none"/>
                <w:u w:val="none" w:color="auto"/>
                <w:lang w:eastAsia="zh-CN"/>
              </w:rPr>
            </w:pPr>
            <w:r>
              <w:rPr>
                <w:rFonts w:hint="default" w:ascii="Times New Roman" w:hAnsi="Times New Roman" w:cs="Times New Roman"/>
                <w:bCs/>
                <w:color w:val="auto"/>
                <w:sz w:val="24"/>
                <w:highlight w:val="none"/>
                <w:u w:val="none" w:color="auto"/>
              </w:rPr>
              <w:t>本次</w:t>
            </w:r>
            <w:r>
              <w:rPr>
                <w:rFonts w:hint="default" w:ascii="Times New Roman" w:hAnsi="Times New Roman" w:cs="Times New Roman"/>
                <w:bCs/>
                <w:color w:val="auto"/>
                <w:sz w:val="24"/>
                <w:highlight w:val="none"/>
                <w:u w:val="none" w:color="auto"/>
                <w:lang w:eastAsia="zh-CN"/>
              </w:rPr>
              <w:t>技改</w:t>
            </w:r>
            <w:r>
              <w:rPr>
                <w:rFonts w:hint="default" w:ascii="Times New Roman" w:hAnsi="Times New Roman" w:cs="Times New Roman"/>
                <w:bCs/>
                <w:color w:val="auto"/>
                <w:sz w:val="24"/>
                <w:highlight w:val="none"/>
                <w:u w:val="none" w:color="auto"/>
              </w:rPr>
              <w:t>项目营运过程产生的固体废物主要为锅炉灰渣、除尘灰、</w:t>
            </w:r>
            <w:r>
              <w:rPr>
                <w:rFonts w:hint="default" w:ascii="Times New Roman" w:hAnsi="Times New Roman" w:cs="Times New Roman"/>
                <w:bCs/>
                <w:color w:val="auto"/>
                <w:sz w:val="24"/>
                <w:highlight w:val="none"/>
                <w:u w:val="none" w:color="auto"/>
                <w:lang w:eastAsia="zh-CN"/>
              </w:rPr>
              <w:t>废离子交换树脂。</w:t>
            </w:r>
          </w:p>
          <w:p w14:paraId="588080AA">
            <w:pPr>
              <w:rPr>
                <w:rFonts w:hint="default" w:ascii="Times New Roman" w:hAnsi="Times New Roman" w:cs="Times New Roman"/>
                <w:color w:val="auto"/>
                <w:u w:val="none" w:color="auto"/>
                <w:lang w:eastAsia="zh-CN"/>
              </w:rPr>
            </w:pPr>
          </w:p>
          <w:p w14:paraId="06EBB828">
            <w:pPr>
              <w:rPr>
                <w:rFonts w:hint="default" w:ascii="Times New Roman" w:hAnsi="Times New Roman" w:cs="Times New Roman"/>
                <w:color w:val="auto"/>
                <w:u w:val="none" w:color="auto"/>
                <w:lang w:eastAsia="zh-CN"/>
              </w:rPr>
            </w:pPr>
          </w:p>
          <w:p w14:paraId="7297FEDA">
            <w:pPr>
              <w:rPr>
                <w:rFonts w:hint="default" w:ascii="Times New Roman" w:hAnsi="Times New Roman" w:cs="Times New Roman"/>
                <w:color w:val="auto"/>
                <w:u w:val="none" w:color="auto"/>
                <w:lang w:eastAsia="zh-CN"/>
              </w:rPr>
            </w:pPr>
          </w:p>
          <w:p w14:paraId="2920FA85">
            <w:pPr>
              <w:rPr>
                <w:rFonts w:hint="default" w:ascii="Times New Roman" w:hAnsi="Times New Roman" w:cs="Times New Roman"/>
                <w:color w:val="auto"/>
                <w:u w:val="none" w:color="auto"/>
                <w:lang w:eastAsia="zh-CN"/>
              </w:rPr>
            </w:pPr>
          </w:p>
          <w:p w14:paraId="33AA297D">
            <w:pPr>
              <w:rPr>
                <w:rFonts w:hint="default" w:ascii="Times New Roman" w:hAnsi="Times New Roman" w:cs="Times New Roman"/>
                <w:color w:val="auto"/>
                <w:u w:val="none" w:color="auto"/>
                <w:lang w:eastAsia="zh-CN"/>
              </w:rPr>
            </w:pPr>
          </w:p>
          <w:p w14:paraId="1D02C737">
            <w:pPr>
              <w:rPr>
                <w:rFonts w:hint="default" w:ascii="Times New Roman" w:hAnsi="Times New Roman" w:cs="Times New Roman"/>
                <w:color w:val="auto"/>
                <w:u w:val="none" w:color="auto"/>
                <w:lang w:eastAsia="zh-CN"/>
              </w:rPr>
            </w:pPr>
          </w:p>
          <w:p w14:paraId="4A4ABC0F">
            <w:pPr>
              <w:rPr>
                <w:rFonts w:hint="default" w:ascii="Times New Roman" w:hAnsi="Times New Roman" w:cs="Times New Roman"/>
                <w:color w:val="auto"/>
                <w:u w:val="none" w:color="auto"/>
                <w:lang w:eastAsia="zh-CN"/>
              </w:rPr>
            </w:pPr>
          </w:p>
          <w:p w14:paraId="580127F4">
            <w:pPr>
              <w:rPr>
                <w:rFonts w:hint="default" w:ascii="Times New Roman" w:hAnsi="Times New Roman" w:cs="Times New Roman"/>
                <w:color w:val="auto"/>
                <w:u w:val="none" w:color="auto"/>
                <w:lang w:eastAsia="zh-CN"/>
              </w:rPr>
            </w:pPr>
          </w:p>
          <w:p w14:paraId="608116B6">
            <w:pPr>
              <w:rPr>
                <w:rFonts w:hint="default" w:ascii="Times New Roman" w:hAnsi="Times New Roman" w:cs="Times New Roman"/>
                <w:color w:val="auto"/>
                <w:u w:val="none" w:color="auto"/>
                <w:lang w:eastAsia="zh-CN"/>
              </w:rPr>
            </w:pPr>
          </w:p>
          <w:p w14:paraId="379E2850">
            <w:pPr>
              <w:rPr>
                <w:rFonts w:hint="default" w:ascii="Times New Roman" w:hAnsi="Times New Roman" w:cs="Times New Roman"/>
                <w:color w:val="auto"/>
                <w:u w:val="none" w:color="auto"/>
                <w:lang w:eastAsia="zh-CN"/>
              </w:rPr>
            </w:pPr>
          </w:p>
          <w:p w14:paraId="09CB2354">
            <w:pPr>
              <w:rPr>
                <w:rFonts w:hint="default" w:ascii="Times New Roman" w:hAnsi="Times New Roman" w:cs="Times New Roman"/>
                <w:color w:val="auto"/>
                <w:u w:val="none" w:color="auto"/>
                <w:lang w:eastAsia="zh-CN"/>
              </w:rPr>
            </w:pPr>
          </w:p>
          <w:p w14:paraId="5C71946C">
            <w:pPr>
              <w:rPr>
                <w:rFonts w:hint="default" w:ascii="Times New Roman" w:hAnsi="Times New Roman" w:cs="Times New Roman"/>
                <w:color w:val="auto"/>
                <w:u w:val="none" w:color="auto"/>
                <w:lang w:eastAsia="zh-CN"/>
              </w:rPr>
            </w:pPr>
          </w:p>
          <w:p w14:paraId="5247FB6D">
            <w:pPr>
              <w:rPr>
                <w:rFonts w:hint="default" w:ascii="Times New Roman" w:hAnsi="Times New Roman" w:cs="Times New Roman"/>
                <w:color w:val="auto"/>
                <w:u w:val="none" w:color="auto"/>
                <w:lang w:eastAsia="zh-CN"/>
              </w:rPr>
            </w:pPr>
          </w:p>
          <w:p w14:paraId="2B244495">
            <w:pPr>
              <w:rPr>
                <w:rFonts w:hint="default" w:ascii="Times New Roman" w:hAnsi="Times New Roman" w:cs="Times New Roman"/>
                <w:color w:val="auto"/>
                <w:u w:val="none" w:color="auto"/>
                <w:lang w:eastAsia="zh-CN"/>
              </w:rPr>
            </w:pPr>
          </w:p>
          <w:p w14:paraId="7B174B8F">
            <w:pPr>
              <w:rPr>
                <w:rFonts w:hint="default" w:ascii="Times New Roman" w:hAnsi="Times New Roman" w:cs="Times New Roman"/>
                <w:color w:val="auto"/>
                <w:u w:val="none" w:color="auto"/>
                <w:lang w:eastAsia="zh-CN"/>
              </w:rPr>
            </w:pPr>
          </w:p>
          <w:p w14:paraId="5BB77D12">
            <w:pPr>
              <w:rPr>
                <w:rFonts w:hint="default" w:ascii="Times New Roman" w:hAnsi="Times New Roman" w:cs="Times New Roman"/>
                <w:color w:val="auto"/>
                <w:u w:val="none" w:color="auto"/>
                <w:lang w:eastAsia="zh-CN"/>
              </w:rPr>
            </w:pPr>
          </w:p>
          <w:p w14:paraId="44A09C83">
            <w:pPr>
              <w:rPr>
                <w:rFonts w:hint="default" w:ascii="Times New Roman" w:hAnsi="Times New Roman" w:cs="Times New Roman"/>
                <w:color w:val="auto"/>
                <w:u w:val="none" w:color="auto"/>
                <w:lang w:eastAsia="zh-CN"/>
              </w:rPr>
            </w:pPr>
          </w:p>
          <w:p w14:paraId="5DBBB5C5">
            <w:pPr>
              <w:rPr>
                <w:rFonts w:hint="default" w:ascii="Times New Roman" w:hAnsi="Times New Roman" w:cs="Times New Roman"/>
                <w:color w:val="auto"/>
                <w:u w:val="none" w:color="auto"/>
                <w:lang w:eastAsia="zh-CN"/>
              </w:rPr>
            </w:pPr>
          </w:p>
          <w:p w14:paraId="76D4E137">
            <w:pPr>
              <w:rPr>
                <w:rFonts w:hint="default" w:ascii="Times New Roman" w:hAnsi="Times New Roman" w:cs="Times New Roman"/>
                <w:color w:val="auto"/>
                <w:u w:val="none" w:color="auto"/>
                <w:lang w:eastAsia="zh-CN"/>
              </w:rPr>
            </w:pPr>
          </w:p>
          <w:p w14:paraId="04D77E14">
            <w:pPr>
              <w:rPr>
                <w:rFonts w:hint="default" w:ascii="Times New Roman" w:hAnsi="Times New Roman" w:cs="Times New Roman"/>
                <w:color w:val="auto"/>
                <w:u w:val="none" w:color="auto"/>
                <w:lang w:eastAsia="zh-CN"/>
              </w:rPr>
            </w:pPr>
          </w:p>
          <w:p w14:paraId="3295256F">
            <w:pPr>
              <w:rPr>
                <w:rFonts w:hint="default" w:ascii="Times New Roman" w:hAnsi="Times New Roman" w:cs="Times New Roman"/>
                <w:color w:val="auto"/>
                <w:u w:val="none" w:color="auto"/>
                <w:lang w:eastAsia="zh-CN"/>
              </w:rPr>
            </w:pPr>
          </w:p>
          <w:p w14:paraId="2CA50108">
            <w:pPr>
              <w:rPr>
                <w:rFonts w:hint="default" w:ascii="Times New Roman" w:hAnsi="Times New Roman" w:cs="Times New Roman"/>
                <w:color w:val="auto"/>
                <w:u w:val="none" w:color="auto"/>
                <w:lang w:eastAsia="zh-CN"/>
              </w:rPr>
            </w:pPr>
          </w:p>
        </w:tc>
      </w:tr>
      <w:tr w14:paraId="056952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30" w:hRule="atLeast"/>
          <w:jc w:val="center"/>
        </w:trPr>
        <w:tc>
          <w:tcPr>
            <w:tcW w:w="456" w:type="dxa"/>
            <w:vAlign w:val="center"/>
          </w:tcPr>
          <w:p w14:paraId="150E7698">
            <w:pPr>
              <w:pStyle w:val="39"/>
              <w:adjustRightInd w:val="0"/>
              <w:snapToGrid w:val="0"/>
              <w:spacing w:before="0" w:beforeAutospacing="0" w:after="0" w:afterAutospacing="0"/>
              <w:jc w:val="center"/>
              <w:rPr>
                <w:rFonts w:hint="default" w:ascii="Times New Roman" w:hAnsi="Times New Roman" w:cs="Times New Roman"/>
                <w:color w:val="auto"/>
                <w:szCs w:val="24"/>
                <w:highlight w:val="none"/>
                <w:u w:val="none" w:color="auto"/>
              </w:rPr>
            </w:pPr>
            <w:r>
              <w:rPr>
                <w:rFonts w:hint="default" w:ascii="Times New Roman" w:hAnsi="Times New Roman" w:cs="Times New Roman"/>
                <w:bCs/>
                <w:color w:val="auto"/>
                <w:kern w:val="2"/>
                <w:szCs w:val="24"/>
                <w:highlight w:val="none"/>
                <w:u w:val="none" w:color="auto"/>
              </w:rPr>
              <w:t>与项目有关的原有环境污染问题</w:t>
            </w:r>
          </w:p>
        </w:tc>
        <w:tc>
          <w:tcPr>
            <w:tcW w:w="8244" w:type="dxa"/>
            <w:shd w:val="clear" w:color="auto" w:fill="auto"/>
            <w:vAlign w:val="top"/>
          </w:tcPr>
          <w:p w14:paraId="0B4B4F84">
            <w:pPr>
              <w:pStyle w:val="155"/>
              <w:spacing w:before="116" w:line="220" w:lineRule="auto"/>
              <w:ind w:left="585"/>
              <w:rPr>
                <w:rFonts w:hint="default" w:ascii="Times New Roman" w:hAnsi="Times New Roman" w:cs="Times New Roman"/>
                <w:color w:val="auto"/>
                <w:highlight w:val="none"/>
                <w:u w:val="none" w:color="auto"/>
              </w:rPr>
            </w:pPr>
            <w:r>
              <w:rPr>
                <w:rFonts w:hint="default" w:ascii="Times New Roman" w:hAnsi="Times New Roman" w:cs="Times New Roman"/>
                <w:b/>
                <w:bCs/>
                <w:color w:val="auto"/>
                <w:spacing w:val="-3"/>
                <w:highlight w:val="none"/>
                <w:u w:val="none" w:color="auto"/>
              </w:rPr>
              <w:t>与项目有关的原有环境污染问题：</w:t>
            </w:r>
          </w:p>
          <w:p w14:paraId="43130544">
            <w:pPr>
              <w:pStyle w:val="155"/>
              <w:spacing w:before="181" w:line="220" w:lineRule="auto"/>
              <w:ind w:left="584"/>
              <w:rPr>
                <w:rFonts w:hint="default" w:ascii="Times New Roman" w:hAnsi="Times New Roman" w:cs="Times New Roman"/>
                <w:color w:val="auto"/>
                <w:highlight w:val="none"/>
                <w:u w:val="none" w:color="auto"/>
              </w:rPr>
            </w:pPr>
            <w:r>
              <w:rPr>
                <w:rFonts w:hint="default" w:ascii="Times New Roman" w:hAnsi="Times New Roman" w:cs="Times New Roman"/>
                <w:b/>
                <w:bCs/>
                <w:color w:val="auto"/>
                <w:spacing w:val="-3"/>
                <w:highlight w:val="none"/>
                <w:u w:val="none" w:color="auto"/>
              </w:rPr>
              <w:t>一、企业环评制度履行情况</w:t>
            </w:r>
          </w:p>
          <w:p w14:paraId="1A80844B">
            <w:pPr>
              <w:keepNext w:val="0"/>
              <w:keepLines w:val="0"/>
              <w:pageBreakBefore w:val="0"/>
              <w:widowControl w:val="0"/>
              <w:kinsoku/>
              <w:wordWrap/>
              <w:overflowPunct/>
              <w:topLinePunct w:val="0"/>
              <w:autoSpaceDE/>
              <w:autoSpaceDN/>
              <w:bidi w:val="0"/>
              <w:adjustRightInd/>
              <w:snapToGrid/>
              <w:spacing w:line="240" w:lineRule="auto"/>
              <w:ind w:firstLine="422" w:firstLineChars="200"/>
              <w:jc w:val="center"/>
              <w:textAlignment w:val="auto"/>
              <w:rPr>
                <w:rFonts w:hint="default" w:ascii="Times New Roman" w:hAnsi="Times New Roman" w:cs="Times New Roman"/>
                <w:b/>
                <w:color w:val="auto"/>
                <w:szCs w:val="21"/>
                <w:highlight w:val="none"/>
                <w:u w:val="none" w:color="auto"/>
              </w:rPr>
            </w:pPr>
            <w:r>
              <w:rPr>
                <w:rFonts w:hint="default" w:ascii="Times New Roman" w:hAnsi="Times New Roman" w:cs="Times New Roman"/>
                <w:b/>
                <w:color w:val="auto"/>
                <w:szCs w:val="21"/>
                <w:highlight w:val="none"/>
                <w:u w:val="none" w:color="auto"/>
              </w:rPr>
              <w:t>表 2-</w:t>
            </w:r>
            <w:r>
              <w:rPr>
                <w:rFonts w:hint="default" w:ascii="Times New Roman" w:hAnsi="Times New Roman" w:cs="Times New Roman"/>
                <w:b/>
                <w:color w:val="auto"/>
                <w:szCs w:val="21"/>
                <w:highlight w:val="none"/>
                <w:u w:val="none" w:color="auto"/>
                <w:lang w:val="en-US" w:eastAsia="zh-CN"/>
              </w:rPr>
              <w:t>5</w:t>
            </w:r>
            <w:r>
              <w:rPr>
                <w:rFonts w:hint="default" w:ascii="Times New Roman" w:hAnsi="Times New Roman" w:cs="Times New Roman"/>
                <w:b/>
                <w:color w:val="auto"/>
                <w:szCs w:val="21"/>
                <w:highlight w:val="none"/>
                <w:u w:val="none" w:color="auto"/>
              </w:rPr>
              <w:t xml:space="preserve">  企业环评制度落实情况</w:t>
            </w:r>
          </w:p>
          <w:tbl>
            <w:tblPr>
              <w:tblStyle w:val="43"/>
              <w:tblW w:w="4998"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09"/>
              <w:gridCol w:w="1412"/>
              <w:gridCol w:w="1155"/>
              <w:gridCol w:w="1670"/>
              <w:gridCol w:w="2717"/>
            </w:tblGrid>
            <w:tr w14:paraId="0753DD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9" w:type="pct"/>
                  <w:tcBorders>
                    <w:tl2br w:val="nil"/>
                    <w:tr2bl w:val="nil"/>
                  </w:tcBorders>
                </w:tcPr>
                <w:p w14:paraId="68DAD4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sz w:val="21"/>
                      <w:szCs w:val="21"/>
                      <w:highlight w:val="none"/>
                      <w:u w:val="none" w:color="auto"/>
                      <w:vertAlign w:val="baseline"/>
                      <w:lang w:val="en-US" w:eastAsia="zh-CN"/>
                    </w:rPr>
                  </w:pPr>
                  <w:r>
                    <w:rPr>
                      <w:rFonts w:hint="default" w:ascii="Times New Roman" w:hAnsi="Times New Roman" w:cs="Times New Roman"/>
                      <w:b w:val="0"/>
                      <w:bCs/>
                      <w:color w:val="auto"/>
                      <w:sz w:val="21"/>
                      <w:szCs w:val="21"/>
                      <w:highlight w:val="none"/>
                      <w:u w:val="none" w:color="auto"/>
                      <w:vertAlign w:val="baseline"/>
                      <w:lang w:val="en-US" w:eastAsia="zh-CN"/>
                    </w:rPr>
                    <w:t>项目</w:t>
                  </w:r>
                </w:p>
              </w:tc>
              <w:tc>
                <w:tcPr>
                  <w:tcW w:w="981" w:type="pct"/>
                  <w:tcBorders>
                    <w:tl2br w:val="nil"/>
                    <w:tr2bl w:val="nil"/>
                  </w:tcBorders>
                </w:tcPr>
                <w:p w14:paraId="57285A3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u w:val="none" w:color="auto"/>
                      <w:vertAlign w:val="baseline"/>
                      <w:lang w:val="en-US" w:eastAsia="en-US"/>
                    </w:rPr>
                  </w:pPr>
                  <w:r>
                    <w:rPr>
                      <w:rFonts w:hint="default" w:ascii="Times New Roman" w:hAnsi="Times New Roman" w:cs="Times New Roman"/>
                      <w:b w:val="0"/>
                      <w:bCs/>
                      <w:color w:val="auto"/>
                      <w:spacing w:val="6"/>
                      <w:sz w:val="21"/>
                      <w:szCs w:val="21"/>
                      <w:highlight w:val="none"/>
                      <w:u w:val="none" w:color="auto"/>
                    </w:rPr>
                    <w:t>主要历程</w:t>
                  </w:r>
                </w:p>
              </w:tc>
              <w:tc>
                <w:tcPr>
                  <w:tcW w:w="827" w:type="pct"/>
                  <w:tcBorders>
                    <w:tl2br w:val="nil"/>
                    <w:tr2bl w:val="nil"/>
                  </w:tcBorders>
                </w:tcPr>
                <w:p w14:paraId="32FFBF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u w:val="none" w:color="auto"/>
                      <w:vertAlign w:val="baseline"/>
                      <w:lang w:val="en-US" w:eastAsia="en-US"/>
                    </w:rPr>
                  </w:pPr>
                  <w:r>
                    <w:rPr>
                      <w:rFonts w:hint="default" w:ascii="Times New Roman" w:hAnsi="Times New Roman" w:cs="Times New Roman"/>
                      <w:b w:val="0"/>
                      <w:bCs/>
                      <w:color w:val="auto"/>
                      <w:spacing w:val="4"/>
                      <w:sz w:val="21"/>
                      <w:szCs w:val="21"/>
                      <w:highlight w:val="none"/>
                      <w:u w:val="none" w:color="auto"/>
                    </w:rPr>
                    <w:t>时间节点</w:t>
                  </w:r>
                </w:p>
              </w:tc>
              <w:tc>
                <w:tcPr>
                  <w:tcW w:w="1135" w:type="pct"/>
                  <w:tcBorders>
                    <w:tl2br w:val="nil"/>
                    <w:tr2bl w:val="nil"/>
                  </w:tcBorders>
                </w:tcPr>
                <w:p w14:paraId="41843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u w:val="none" w:color="auto"/>
                      <w:vertAlign w:val="baseline"/>
                      <w:lang w:val="en-US" w:eastAsia="en-US"/>
                    </w:rPr>
                  </w:pPr>
                  <w:r>
                    <w:rPr>
                      <w:rFonts w:hint="default" w:ascii="Times New Roman" w:hAnsi="Times New Roman" w:cs="Times New Roman"/>
                      <w:b w:val="0"/>
                      <w:bCs/>
                      <w:color w:val="auto"/>
                      <w:spacing w:val="3"/>
                      <w:sz w:val="21"/>
                      <w:szCs w:val="21"/>
                      <w:highlight w:val="none"/>
                      <w:u w:val="none" w:color="auto"/>
                    </w:rPr>
                    <w:t>单位</w:t>
                  </w:r>
                </w:p>
              </w:tc>
              <w:tc>
                <w:tcPr>
                  <w:tcW w:w="1077" w:type="pct"/>
                  <w:tcBorders>
                    <w:tl2br w:val="nil"/>
                    <w:tr2bl w:val="nil"/>
                  </w:tcBorders>
                </w:tcPr>
                <w:p w14:paraId="7203ADE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auto"/>
                      <w:sz w:val="21"/>
                      <w:szCs w:val="21"/>
                      <w:highlight w:val="none"/>
                      <w:u w:val="none" w:color="auto"/>
                      <w:vertAlign w:val="baseline"/>
                      <w:lang w:val="en-US" w:eastAsia="en-US"/>
                    </w:rPr>
                  </w:pPr>
                  <w:r>
                    <w:rPr>
                      <w:rFonts w:hint="default" w:ascii="Times New Roman" w:hAnsi="Times New Roman" w:cs="Times New Roman"/>
                      <w:b w:val="0"/>
                      <w:bCs/>
                      <w:color w:val="auto"/>
                      <w:spacing w:val="7"/>
                      <w:sz w:val="21"/>
                      <w:szCs w:val="21"/>
                      <w:highlight w:val="none"/>
                      <w:u w:val="none" w:color="auto"/>
                    </w:rPr>
                    <w:t>文件</w:t>
                  </w:r>
                  <w:r>
                    <w:rPr>
                      <w:rFonts w:hint="default" w:ascii="Times New Roman" w:hAnsi="Times New Roman" w:eastAsia="Times New Roman" w:cs="Times New Roman"/>
                      <w:b w:val="0"/>
                      <w:bCs/>
                      <w:color w:val="auto"/>
                      <w:spacing w:val="7"/>
                      <w:sz w:val="21"/>
                      <w:szCs w:val="21"/>
                      <w:highlight w:val="none"/>
                      <w:u w:val="none" w:color="auto"/>
                    </w:rPr>
                    <w:t>/</w:t>
                  </w:r>
                  <w:r>
                    <w:rPr>
                      <w:rFonts w:hint="default" w:ascii="Times New Roman" w:hAnsi="Times New Roman" w:cs="Times New Roman"/>
                      <w:b w:val="0"/>
                      <w:bCs/>
                      <w:color w:val="auto"/>
                      <w:spacing w:val="7"/>
                      <w:sz w:val="21"/>
                      <w:szCs w:val="21"/>
                      <w:highlight w:val="none"/>
                      <w:u w:val="none" w:color="auto"/>
                    </w:rPr>
                    <w:t>批复文号</w:t>
                  </w:r>
                </w:p>
              </w:tc>
            </w:tr>
            <w:tr w14:paraId="6F94B2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9" w:type="pct"/>
                  <w:vMerge w:val="restart"/>
                  <w:tcBorders>
                    <w:tl2br w:val="nil"/>
                    <w:tr2bl w:val="nil"/>
                  </w:tcBorders>
                  <w:vAlign w:val="center"/>
                </w:tcPr>
                <w:p w14:paraId="59C967E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cs="Times New Roman"/>
                      <w:color w:val="auto"/>
                      <w:spacing w:val="7"/>
                      <w:sz w:val="21"/>
                      <w:szCs w:val="21"/>
                      <w:highlight w:val="none"/>
                      <w:u w:val="none" w:color="auto"/>
                      <w:lang w:val="en-US" w:eastAsia="zh-CN"/>
                    </w:rPr>
                    <w:t>永州市耀福油脂有限公司年产2000吨茶油渣加工项目</w:t>
                  </w:r>
                </w:p>
              </w:tc>
              <w:tc>
                <w:tcPr>
                  <w:tcW w:w="981" w:type="pct"/>
                  <w:tcBorders>
                    <w:tl2br w:val="nil"/>
                    <w:tr2bl w:val="nil"/>
                  </w:tcBorders>
                  <w:vAlign w:val="center"/>
                </w:tcPr>
                <w:p w14:paraId="7B8E1F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spacing w:val="7"/>
                      <w:sz w:val="21"/>
                      <w:szCs w:val="21"/>
                      <w:highlight w:val="none"/>
                      <w:u w:val="none" w:color="auto"/>
                      <w:lang w:val="en-US" w:eastAsia="zh-CN"/>
                    </w:rPr>
                    <w:t>环评报告</w:t>
                  </w:r>
                </w:p>
                <w:p w14:paraId="47418FA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r>
                    <w:rPr>
                      <w:rFonts w:hint="default" w:ascii="Times New Roman" w:hAnsi="Times New Roman" w:cs="Times New Roman"/>
                      <w:color w:val="auto"/>
                      <w:spacing w:val="7"/>
                      <w:sz w:val="21"/>
                      <w:szCs w:val="21"/>
                      <w:highlight w:val="none"/>
                      <w:u w:val="none" w:color="auto"/>
                      <w:lang w:val="en-US" w:eastAsia="zh-CN"/>
                    </w:rPr>
                    <w:t>编制</w:t>
                  </w:r>
                </w:p>
              </w:tc>
              <w:tc>
                <w:tcPr>
                  <w:tcW w:w="827" w:type="pct"/>
                  <w:tcBorders>
                    <w:tl2br w:val="nil"/>
                    <w:tr2bl w:val="nil"/>
                  </w:tcBorders>
                  <w:vAlign w:val="center"/>
                </w:tcPr>
                <w:p w14:paraId="40DB49E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2021年1月 27日</w:t>
                  </w:r>
                </w:p>
              </w:tc>
              <w:tc>
                <w:tcPr>
                  <w:tcW w:w="1135" w:type="pct"/>
                  <w:tcBorders>
                    <w:tl2br w:val="nil"/>
                    <w:tr2bl w:val="nil"/>
                  </w:tcBorders>
                  <w:vAlign w:val="center"/>
                </w:tcPr>
                <w:p w14:paraId="40400D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深圳市环翊环保科技有限公司深圳市环翊环保科技有限公司</w:t>
                  </w:r>
                </w:p>
              </w:tc>
              <w:tc>
                <w:tcPr>
                  <w:tcW w:w="1077" w:type="pct"/>
                  <w:tcBorders>
                    <w:tl2br w:val="nil"/>
                    <w:tr2bl w:val="nil"/>
                  </w:tcBorders>
                  <w:vAlign w:val="center"/>
                </w:tcPr>
                <w:p w14:paraId="00B49F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spacing w:val="7"/>
                      <w:sz w:val="21"/>
                      <w:szCs w:val="21"/>
                      <w:highlight w:val="none"/>
                      <w:u w:val="none" w:color="auto"/>
                      <w:lang w:val="en-US" w:eastAsia="zh-CN"/>
                    </w:rPr>
                    <w:t>环境影响评价报告表</w:t>
                  </w:r>
                </w:p>
              </w:tc>
            </w:tr>
            <w:tr w14:paraId="564C44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9" w:type="pct"/>
                  <w:vMerge w:val="continue"/>
                  <w:tcBorders>
                    <w:tl2br w:val="nil"/>
                    <w:tr2bl w:val="nil"/>
                  </w:tcBorders>
                </w:tcPr>
                <w:p w14:paraId="6CC57D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p>
              </w:tc>
              <w:tc>
                <w:tcPr>
                  <w:tcW w:w="981" w:type="pct"/>
                  <w:tcBorders>
                    <w:tl2br w:val="nil"/>
                    <w:tr2bl w:val="nil"/>
                  </w:tcBorders>
                  <w:vAlign w:val="center"/>
                </w:tcPr>
                <w:p w14:paraId="2888904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r>
                    <w:rPr>
                      <w:rFonts w:hint="default" w:ascii="Times New Roman" w:hAnsi="Times New Roman" w:cs="Times New Roman"/>
                      <w:color w:val="auto"/>
                      <w:spacing w:val="7"/>
                      <w:sz w:val="21"/>
                      <w:szCs w:val="21"/>
                      <w:highlight w:val="none"/>
                      <w:u w:val="none" w:color="auto"/>
                      <w:lang w:val="en-US" w:eastAsia="zh-CN"/>
                    </w:rPr>
                    <w:t>环评批复</w:t>
                  </w:r>
                </w:p>
              </w:tc>
              <w:tc>
                <w:tcPr>
                  <w:tcW w:w="827" w:type="pct"/>
                  <w:tcBorders>
                    <w:tl2br w:val="nil"/>
                    <w:tr2bl w:val="nil"/>
                  </w:tcBorders>
                  <w:shd w:val="clear" w:color="auto" w:fill="auto"/>
                  <w:vAlign w:val="center"/>
                </w:tcPr>
                <w:p w14:paraId="47CCEF3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r>
                    <w:rPr>
                      <w:rFonts w:hint="default" w:ascii="Times New Roman" w:hAnsi="Times New Roman" w:cs="Times New Roman"/>
                      <w:color w:val="auto"/>
                      <w:highlight w:val="none"/>
                      <w:u w:val="none" w:color="auto"/>
                      <w:lang w:val="en-US" w:eastAsia="zh-CN"/>
                    </w:rPr>
                    <w:t>2021年4月15日</w:t>
                  </w:r>
                </w:p>
              </w:tc>
              <w:tc>
                <w:tcPr>
                  <w:tcW w:w="1135" w:type="pct"/>
                  <w:tcBorders>
                    <w:tl2br w:val="nil"/>
                    <w:tr2bl w:val="nil"/>
                  </w:tcBorders>
                  <w:shd w:val="clear" w:color="auto" w:fill="auto"/>
                  <w:vAlign w:val="center"/>
                </w:tcPr>
                <w:p w14:paraId="24C77EA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r>
                    <w:rPr>
                      <w:rFonts w:hint="default" w:ascii="Times New Roman" w:hAnsi="Times New Roman" w:cs="Times New Roman"/>
                      <w:color w:val="auto"/>
                      <w:spacing w:val="7"/>
                      <w:sz w:val="21"/>
                      <w:szCs w:val="21"/>
                      <w:highlight w:val="none"/>
                      <w:u w:val="none" w:color="auto"/>
                      <w:lang w:val="en-US" w:eastAsia="zh-CN"/>
                    </w:rPr>
                    <w:t>永州市生态环境局祁阳分局</w:t>
                  </w:r>
                </w:p>
              </w:tc>
              <w:tc>
                <w:tcPr>
                  <w:tcW w:w="1077" w:type="pct"/>
                  <w:tcBorders>
                    <w:tl2br w:val="nil"/>
                    <w:tr2bl w:val="nil"/>
                  </w:tcBorders>
                  <w:vAlign w:val="center"/>
                </w:tcPr>
                <w:p w14:paraId="5ACAE0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祁环评[2021]3号</w:t>
                  </w:r>
                </w:p>
              </w:tc>
            </w:tr>
            <w:tr w14:paraId="6DBEA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9" w:type="pct"/>
                  <w:vMerge w:val="continue"/>
                  <w:tcBorders>
                    <w:tl2br w:val="nil"/>
                    <w:tr2bl w:val="nil"/>
                  </w:tcBorders>
                </w:tcPr>
                <w:p w14:paraId="4669A1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 w:val="21"/>
                      <w:szCs w:val="21"/>
                      <w:highlight w:val="none"/>
                      <w:u w:val="none" w:color="auto"/>
                      <w:vertAlign w:val="baseline"/>
                      <w:lang w:val="en-US" w:eastAsia="en-US"/>
                    </w:rPr>
                  </w:pPr>
                </w:p>
              </w:tc>
              <w:tc>
                <w:tcPr>
                  <w:tcW w:w="981" w:type="pct"/>
                  <w:tcBorders>
                    <w:tl2br w:val="nil"/>
                    <w:tr2bl w:val="nil"/>
                  </w:tcBorders>
                  <w:vAlign w:val="center"/>
                </w:tcPr>
                <w:p w14:paraId="43ECFA0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自主验收</w:t>
                  </w:r>
                </w:p>
              </w:tc>
              <w:tc>
                <w:tcPr>
                  <w:tcW w:w="827" w:type="pct"/>
                  <w:tcBorders>
                    <w:tl2br w:val="nil"/>
                    <w:tr2bl w:val="nil"/>
                  </w:tcBorders>
                  <w:vAlign w:val="center"/>
                </w:tcPr>
                <w:p w14:paraId="517FA7D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2021年9月</w:t>
                  </w:r>
                </w:p>
              </w:tc>
              <w:tc>
                <w:tcPr>
                  <w:tcW w:w="1135" w:type="pct"/>
                  <w:tcBorders>
                    <w:tl2br w:val="nil"/>
                    <w:tr2bl w:val="nil"/>
                  </w:tcBorders>
                  <w:vAlign w:val="center"/>
                </w:tcPr>
                <w:p w14:paraId="1C5AB7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r>
                    <w:rPr>
                      <w:rFonts w:hint="default" w:ascii="Times New Roman" w:hAnsi="Times New Roman" w:cs="Times New Roman"/>
                      <w:color w:val="auto"/>
                      <w:spacing w:val="7"/>
                      <w:sz w:val="21"/>
                      <w:szCs w:val="21"/>
                      <w:highlight w:val="none"/>
                      <w:u w:val="none" w:color="auto"/>
                      <w:lang w:val="en-US" w:eastAsia="zh-CN"/>
                    </w:rPr>
                    <w:t>永州市生态环境局祁阳分局</w:t>
                  </w:r>
                </w:p>
              </w:tc>
              <w:tc>
                <w:tcPr>
                  <w:tcW w:w="1077" w:type="pct"/>
                  <w:tcBorders>
                    <w:tl2br w:val="nil"/>
                    <w:tr2bl w:val="nil"/>
                  </w:tcBorders>
                  <w:vAlign w:val="center"/>
                </w:tcPr>
                <w:p w14:paraId="13246CF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spacing w:val="7"/>
                      <w:sz w:val="21"/>
                      <w:szCs w:val="21"/>
                      <w:highlight w:val="none"/>
                      <w:u w:val="none" w:color="auto"/>
                      <w:lang w:val="en-US" w:eastAsia="zh-CN"/>
                    </w:rPr>
                    <w:t>环保竣工验收报告表</w:t>
                  </w:r>
                </w:p>
              </w:tc>
            </w:tr>
            <w:tr w14:paraId="2E2C7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79" w:type="pct"/>
                  <w:vMerge w:val="continue"/>
                  <w:tcBorders>
                    <w:tl2br w:val="nil"/>
                    <w:tr2bl w:val="nil"/>
                  </w:tcBorders>
                </w:tcPr>
                <w:p w14:paraId="424D3B6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 w:val="21"/>
                      <w:szCs w:val="21"/>
                      <w:highlight w:val="none"/>
                      <w:u w:val="none" w:color="auto"/>
                      <w:vertAlign w:val="baseline"/>
                      <w:lang w:val="en-US" w:eastAsia="en-US"/>
                    </w:rPr>
                  </w:pPr>
                </w:p>
              </w:tc>
              <w:tc>
                <w:tcPr>
                  <w:tcW w:w="981" w:type="pct"/>
                  <w:tcBorders>
                    <w:tl2br w:val="nil"/>
                    <w:tr2bl w:val="nil"/>
                  </w:tcBorders>
                  <w:vAlign w:val="center"/>
                </w:tcPr>
                <w:p w14:paraId="297129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排污许可证</w:t>
                  </w:r>
                </w:p>
              </w:tc>
              <w:tc>
                <w:tcPr>
                  <w:tcW w:w="827" w:type="pct"/>
                  <w:tcBorders>
                    <w:tl2br w:val="nil"/>
                    <w:tr2bl w:val="nil"/>
                  </w:tcBorders>
                  <w:vAlign w:val="center"/>
                </w:tcPr>
                <w:p w14:paraId="13BE30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zh-CN"/>
                    </w:rPr>
                  </w:pPr>
                  <w:r>
                    <w:rPr>
                      <w:rFonts w:hint="default" w:ascii="Times New Roman" w:hAnsi="Times New Roman" w:cs="Times New Roman"/>
                      <w:color w:val="auto"/>
                      <w:highlight w:val="none"/>
                      <w:u w:val="none" w:color="auto"/>
                      <w:lang w:val="en-US" w:eastAsia="zh-CN"/>
                    </w:rPr>
                    <w:t>2021年12月</w:t>
                  </w:r>
                </w:p>
              </w:tc>
              <w:tc>
                <w:tcPr>
                  <w:tcW w:w="1135" w:type="pct"/>
                  <w:tcBorders>
                    <w:tl2br w:val="nil"/>
                    <w:tr2bl w:val="nil"/>
                  </w:tcBorders>
                  <w:vAlign w:val="center"/>
                </w:tcPr>
                <w:p w14:paraId="049EF0A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cs="Times New Roman"/>
                      <w:color w:val="auto"/>
                      <w:spacing w:val="7"/>
                      <w:sz w:val="21"/>
                      <w:szCs w:val="21"/>
                      <w:highlight w:val="none"/>
                      <w:u w:val="none" w:color="auto"/>
                      <w:lang w:val="en-US" w:eastAsia="zh-CN"/>
                    </w:rPr>
                    <w:t>永州市耀福油脂有限公司</w:t>
                  </w:r>
                </w:p>
              </w:tc>
              <w:tc>
                <w:tcPr>
                  <w:tcW w:w="1077" w:type="pct"/>
                  <w:tcBorders>
                    <w:tl2br w:val="nil"/>
                    <w:tr2bl w:val="nil"/>
                  </w:tcBorders>
                  <w:vAlign w:val="center"/>
                </w:tcPr>
                <w:p w14:paraId="58EAD94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pacing w:val="7"/>
                      <w:sz w:val="21"/>
                      <w:szCs w:val="21"/>
                      <w:highlight w:val="none"/>
                      <w:u w:val="none" w:color="auto"/>
                      <w:lang w:val="en-US" w:eastAsia="en-US"/>
                    </w:rPr>
                  </w:pPr>
                  <w:r>
                    <w:rPr>
                      <w:rFonts w:hint="default" w:ascii="Times New Roman" w:hAnsi="Times New Roman" w:cs="Times New Roman"/>
                      <w:color w:val="auto"/>
                      <w:highlight w:val="none"/>
                      <w:u w:val="none" w:color="auto"/>
                      <w:lang w:val="en-US" w:eastAsia="zh-CN"/>
                    </w:rPr>
                    <w:t>91431121MA4T99J21T001Q</w:t>
                  </w:r>
                </w:p>
              </w:tc>
            </w:tr>
          </w:tbl>
          <w:p w14:paraId="67E4E1C5">
            <w:pPr>
              <w:pStyle w:val="155"/>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default" w:ascii="Times New Roman" w:hAnsi="Times New Roman" w:cs="Times New Roman"/>
                <w:color w:val="auto"/>
                <w:highlight w:val="none"/>
                <w:u w:val="none" w:color="auto"/>
                <w:lang w:eastAsia="zh-CN"/>
              </w:rPr>
            </w:pPr>
            <w:r>
              <w:rPr>
                <w:rFonts w:hint="default" w:ascii="Times New Roman" w:hAnsi="Times New Roman" w:cs="Times New Roman"/>
                <w:color w:val="auto"/>
                <w:highlight w:val="none"/>
                <w:u w:val="none" w:color="auto"/>
                <w:lang w:eastAsia="zh-CN"/>
              </w:rPr>
              <w:t>现有厂区环保手续齐全，项目自投产运营以来未发生环保投诉或纠纷问题。</w:t>
            </w:r>
          </w:p>
          <w:p w14:paraId="4FDB555F">
            <w:pPr>
              <w:pStyle w:val="155"/>
              <w:keepNext w:val="0"/>
              <w:keepLines w:val="0"/>
              <w:pageBreakBefore w:val="0"/>
              <w:widowControl w:val="0"/>
              <w:kinsoku/>
              <w:wordWrap/>
              <w:overflowPunct/>
              <w:topLinePunct w:val="0"/>
              <w:autoSpaceDE/>
              <w:autoSpaceDN/>
              <w:bidi w:val="0"/>
              <w:adjustRightInd/>
              <w:snapToGrid/>
              <w:spacing w:before="120" w:line="360" w:lineRule="auto"/>
              <w:textAlignment w:val="auto"/>
              <w:rPr>
                <w:rFonts w:hint="default" w:ascii="Times New Roman" w:hAnsi="Times New Roman" w:cs="Times New Roman"/>
                <w:color w:val="auto"/>
                <w:highlight w:val="none"/>
                <w:u w:val="none" w:color="auto"/>
              </w:rPr>
            </w:pPr>
            <w:r>
              <w:rPr>
                <w:rFonts w:hint="default" w:ascii="Times New Roman" w:hAnsi="Times New Roman" w:cs="Times New Roman"/>
                <w:b/>
                <w:bCs/>
                <w:color w:val="auto"/>
                <w:spacing w:val="-4"/>
                <w:highlight w:val="none"/>
                <w:u w:val="none" w:color="auto"/>
              </w:rPr>
              <w:t>二、现有项目概况</w:t>
            </w:r>
          </w:p>
          <w:p w14:paraId="1EB44E95">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textAlignment w:val="auto"/>
              <w:rPr>
                <w:rFonts w:hint="default" w:ascii="Times New Roman" w:hAnsi="Times New Roman" w:cs="Times New Roman"/>
                <w:color w:val="auto"/>
                <w:highlight w:val="none"/>
                <w:u w:val="none" w:color="auto"/>
              </w:rPr>
            </w:pPr>
            <w:r>
              <w:rPr>
                <w:rFonts w:hint="default" w:ascii="Times New Roman" w:hAnsi="Times New Roman" w:cs="Times New Roman"/>
                <w:color w:val="auto"/>
                <w:spacing w:val="-3"/>
                <w:highlight w:val="none"/>
                <w:u w:val="none" w:color="auto"/>
              </w:rPr>
              <w:t>项目名称：</w:t>
            </w:r>
            <w:r>
              <w:rPr>
                <w:rFonts w:hint="default" w:ascii="Times New Roman" w:hAnsi="Times New Roman" w:cs="Times New Roman"/>
                <w:color w:val="auto"/>
                <w:spacing w:val="-3"/>
                <w:highlight w:val="none"/>
                <w:u w:val="none" w:color="auto"/>
                <w:lang w:eastAsia="zh-CN"/>
              </w:rPr>
              <w:t>永州市耀福油脂有限公司年产2000吨茶油渣加工项目</w:t>
            </w:r>
          </w:p>
          <w:p w14:paraId="50B76EDA">
            <w:pPr>
              <w:pStyle w:val="155"/>
              <w:keepNext w:val="0"/>
              <w:keepLines w:val="0"/>
              <w:pageBreakBefore w:val="0"/>
              <w:widowControl w:val="0"/>
              <w:kinsoku/>
              <w:wordWrap/>
              <w:overflowPunct/>
              <w:topLinePunct w:val="0"/>
              <w:autoSpaceDE/>
              <w:autoSpaceDN/>
              <w:bidi w:val="0"/>
              <w:adjustRightInd/>
              <w:snapToGrid/>
              <w:spacing w:line="360" w:lineRule="auto"/>
              <w:ind w:right="0" w:firstLine="476" w:firstLineChars="200"/>
              <w:textAlignment w:val="auto"/>
              <w:rPr>
                <w:rFonts w:hint="default" w:ascii="Times New Roman" w:hAnsi="Times New Roman" w:cs="Times New Roman"/>
                <w:color w:val="auto"/>
                <w:highlight w:val="none"/>
                <w:u w:val="none" w:color="auto"/>
              </w:rPr>
            </w:pPr>
            <w:r>
              <w:rPr>
                <w:rFonts w:hint="default" w:ascii="Times New Roman" w:hAnsi="Times New Roman" w:cs="Times New Roman"/>
                <w:color w:val="auto"/>
                <w:spacing w:val="-1"/>
                <w:highlight w:val="none"/>
                <w:u w:val="none" w:color="auto"/>
              </w:rPr>
              <w:t>建设单位：</w:t>
            </w:r>
            <w:r>
              <w:rPr>
                <w:rFonts w:hint="default" w:ascii="Times New Roman" w:hAnsi="Times New Roman" w:cs="Times New Roman"/>
                <w:color w:val="auto"/>
                <w:highlight w:val="none"/>
                <w:u w:val="none" w:color="auto"/>
                <w:lang w:eastAsia="zh-CN"/>
              </w:rPr>
              <w:t>永州市耀福油脂有限公司</w:t>
            </w:r>
          </w:p>
          <w:p w14:paraId="6D00846C">
            <w:pPr>
              <w:pStyle w:val="155"/>
              <w:keepNext w:val="0"/>
              <w:keepLines w:val="0"/>
              <w:pageBreakBefore w:val="0"/>
              <w:widowControl w:val="0"/>
              <w:kinsoku/>
              <w:wordWrap/>
              <w:overflowPunct/>
              <w:topLinePunct w:val="0"/>
              <w:autoSpaceDE/>
              <w:autoSpaceDN/>
              <w:bidi w:val="0"/>
              <w:adjustRightInd/>
              <w:snapToGrid/>
              <w:spacing w:line="360" w:lineRule="auto"/>
              <w:ind w:right="0" w:firstLine="476" w:firstLineChars="200"/>
              <w:textAlignment w:val="auto"/>
              <w:rPr>
                <w:rFonts w:hint="default" w:ascii="Times New Roman" w:hAnsi="Times New Roman" w:cs="Times New Roman"/>
                <w:color w:val="auto"/>
                <w:highlight w:val="none"/>
                <w:u w:val="none" w:color="auto"/>
              </w:rPr>
            </w:pPr>
            <w:r>
              <w:rPr>
                <w:rFonts w:hint="default" w:ascii="Times New Roman" w:hAnsi="Times New Roman" w:cs="Times New Roman"/>
                <w:color w:val="auto"/>
                <w:spacing w:val="-1"/>
                <w:highlight w:val="none"/>
                <w:u w:val="none" w:color="auto"/>
              </w:rPr>
              <w:t>建设地点：</w:t>
            </w:r>
            <w:r>
              <w:rPr>
                <w:rFonts w:hint="default" w:ascii="Times New Roman" w:hAnsi="Times New Roman" w:cs="Times New Roman"/>
                <w:color w:val="auto"/>
                <w:highlight w:val="none"/>
                <w:u w:val="none" w:color="auto"/>
                <w:lang w:eastAsia="zh-CN"/>
              </w:rPr>
              <w:t>永州市祁阳市进宝塘镇大富村12组</w:t>
            </w:r>
          </w:p>
          <w:p w14:paraId="55438EE9">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textAlignment w:val="auto"/>
              <w:rPr>
                <w:rFonts w:hint="default" w:ascii="Times New Roman" w:hAnsi="Times New Roman" w:cs="Times New Roman"/>
                <w:color w:val="auto"/>
                <w:spacing w:val="-3"/>
                <w:highlight w:val="none"/>
                <w:u w:val="none" w:color="auto"/>
                <w:lang w:eastAsia="zh-CN"/>
              </w:rPr>
            </w:pPr>
            <w:r>
              <w:rPr>
                <w:rFonts w:hint="default" w:ascii="Times New Roman" w:hAnsi="Times New Roman" w:cs="Times New Roman"/>
                <w:color w:val="auto"/>
                <w:spacing w:val="-3"/>
                <w:highlight w:val="none"/>
                <w:u w:val="none" w:color="auto"/>
                <w:lang w:eastAsia="zh-CN"/>
              </w:rPr>
              <w:t>（1）现有项目建设内容</w:t>
            </w:r>
          </w:p>
          <w:p w14:paraId="65A6289C">
            <w:pPr>
              <w:pStyle w:val="155"/>
              <w:keepNext w:val="0"/>
              <w:keepLines w:val="0"/>
              <w:pageBreakBefore w:val="0"/>
              <w:widowControl w:val="0"/>
              <w:kinsoku/>
              <w:wordWrap/>
              <w:overflowPunct/>
              <w:topLinePunct w:val="0"/>
              <w:autoSpaceDE/>
              <w:autoSpaceDN/>
              <w:bidi w:val="0"/>
              <w:adjustRightInd/>
              <w:snapToGrid/>
              <w:spacing w:line="360" w:lineRule="auto"/>
              <w:ind w:right="0" w:firstLine="480" w:firstLineChars="200"/>
              <w:jc w:val="both"/>
              <w:textAlignment w:val="auto"/>
              <w:rPr>
                <w:rFonts w:hint="default" w:ascii="Times New Roman" w:hAnsi="Times New Roman" w:cs="Times New Roman"/>
                <w:color w:val="auto"/>
                <w:spacing w:val="-3"/>
                <w:highlight w:val="none"/>
                <w:u w:val="none" w:color="auto"/>
              </w:rPr>
            </w:pPr>
            <w:r>
              <w:rPr>
                <w:rFonts w:hint="default" w:ascii="Times New Roman" w:hAnsi="Times New Roman" w:cs="Times New Roman"/>
                <w:color w:val="auto"/>
                <w:highlight w:val="none"/>
                <w:u w:val="none" w:color="auto"/>
                <w:lang w:val="en-US" w:eastAsia="zh-CN"/>
              </w:rPr>
              <w:t>项目总占地面积4000m</w:t>
            </w:r>
            <w:r>
              <w:rPr>
                <w:rFonts w:hint="default" w:ascii="Times New Roman" w:hAnsi="Times New Roman" w:cs="Times New Roman"/>
                <w:color w:val="auto"/>
                <w:highlight w:val="none"/>
                <w:u w:val="none" w:color="auto"/>
                <w:vertAlign w:val="superscript"/>
                <w:lang w:val="en-US" w:eastAsia="zh-CN"/>
              </w:rPr>
              <w:t>2</w:t>
            </w:r>
            <w:r>
              <w:rPr>
                <w:rFonts w:hint="default" w:ascii="Times New Roman" w:hAnsi="Times New Roman" w:cs="Times New Roman"/>
                <w:color w:val="auto"/>
                <w:highlight w:val="none"/>
                <w:u w:val="none" w:color="auto"/>
                <w:lang w:val="en-US" w:eastAsia="zh-CN"/>
              </w:rPr>
              <w:t>，主要建设内容包括：1栋1F原料车间、1栋2F生产加工车间、成品仓库、1栋2F办公楼、宿舍，同时建设电力、给排水、绿化等配套工程</w:t>
            </w:r>
            <w:r>
              <w:rPr>
                <w:rFonts w:hint="default" w:ascii="Times New Roman" w:hAnsi="Times New Roman" w:cs="Times New Roman"/>
                <w:color w:val="auto"/>
                <w:spacing w:val="-3"/>
                <w:highlight w:val="none"/>
                <w:u w:val="none" w:color="auto"/>
                <w:lang w:eastAsia="zh-CN"/>
              </w:rPr>
              <w:t>，</w:t>
            </w:r>
            <w:r>
              <w:rPr>
                <w:rFonts w:hint="default" w:ascii="Times New Roman" w:hAnsi="Times New Roman" w:cs="Times New Roman"/>
                <w:color w:val="auto"/>
                <w:spacing w:val="-3"/>
                <w:highlight w:val="none"/>
                <w:u w:val="none" w:color="auto"/>
                <w:lang w:val="en-US" w:eastAsia="zh-CN"/>
              </w:rPr>
              <w:t>生产规模为年产2000吨油茶渣</w:t>
            </w:r>
            <w:r>
              <w:rPr>
                <w:rFonts w:hint="default" w:ascii="Times New Roman" w:hAnsi="Times New Roman" w:cs="Times New Roman"/>
                <w:color w:val="auto"/>
                <w:spacing w:val="-3"/>
                <w:highlight w:val="none"/>
                <w:u w:val="none" w:color="auto"/>
                <w:lang w:eastAsia="zh-CN"/>
              </w:rPr>
              <w:t>。主要建设内容见表2-</w:t>
            </w:r>
            <w:r>
              <w:rPr>
                <w:rFonts w:hint="default" w:ascii="Times New Roman" w:hAnsi="Times New Roman" w:cs="Times New Roman"/>
                <w:color w:val="auto"/>
                <w:spacing w:val="-3"/>
                <w:highlight w:val="none"/>
                <w:u w:val="none" w:color="auto"/>
                <w:lang w:val="en-US" w:eastAsia="zh-CN"/>
              </w:rPr>
              <w:t>6</w:t>
            </w:r>
            <w:r>
              <w:rPr>
                <w:rFonts w:hint="default" w:ascii="Times New Roman" w:hAnsi="Times New Roman" w:cs="Times New Roman"/>
                <w:color w:val="auto"/>
                <w:spacing w:val="-3"/>
                <w:highlight w:val="none"/>
                <w:u w:val="none" w:color="auto"/>
                <w:lang w:eastAsia="zh-CN"/>
              </w:rPr>
              <w:t xml:space="preserve"> 。</w:t>
            </w:r>
          </w:p>
          <w:p w14:paraId="1223A860">
            <w:pPr>
              <w:jc w:val="center"/>
              <w:rPr>
                <w:rFonts w:hint="default" w:ascii="Times New Roman" w:hAnsi="Times New Roman" w:cs="Times New Roman"/>
                <w:b/>
                <w:color w:val="auto"/>
                <w:szCs w:val="21"/>
                <w:highlight w:val="none"/>
                <w:u w:val="none" w:color="auto"/>
              </w:rPr>
            </w:pPr>
            <w:r>
              <w:rPr>
                <w:rFonts w:hint="default" w:ascii="Times New Roman" w:hAnsi="Times New Roman" w:cs="Times New Roman"/>
                <w:b/>
                <w:color w:val="auto"/>
                <w:szCs w:val="21"/>
                <w:highlight w:val="none"/>
                <w:u w:val="none" w:color="auto"/>
              </w:rPr>
              <w:t>表 2-</w:t>
            </w:r>
            <w:r>
              <w:rPr>
                <w:rFonts w:hint="default" w:ascii="Times New Roman" w:hAnsi="Times New Roman" w:cs="Times New Roman"/>
                <w:b/>
                <w:color w:val="auto"/>
                <w:szCs w:val="21"/>
                <w:highlight w:val="none"/>
                <w:u w:val="none" w:color="auto"/>
                <w:lang w:val="en-US" w:eastAsia="zh-CN"/>
              </w:rPr>
              <w:t>6</w:t>
            </w:r>
            <w:r>
              <w:rPr>
                <w:rFonts w:hint="default" w:ascii="Times New Roman" w:hAnsi="Times New Roman" w:cs="Times New Roman"/>
                <w:b/>
                <w:color w:val="auto"/>
                <w:szCs w:val="21"/>
                <w:highlight w:val="none"/>
                <w:u w:val="none" w:color="auto"/>
              </w:rPr>
              <w:t xml:space="preserve">  </w:t>
            </w:r>
            <w:r>
              <w:rPr>
                <w:rFonts w:hint="default" w:ascii="Times New Roman" w:hAnsi="Times New Roman" w:cs="Times New Roman"/>
                <w:b/>
                <w:bCs/>
                <w:color w:val="auto"/>
                <w:spacing w:val="-2"/>
                <w:highlight w:val="none"/>
                <w:u w:val="none" w:color="auto"/>
              </w:rPr>
              <w:t>现有项目建设内容一览表</w:t>
            </w:r>
          </w:p>
          <w:tbl>
            <w:tblPr>
              <w:tblStyle w:val="4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26"/>
              <w:gridCol w:w="2294"/>
              <w:gridCol w:w="4643"/>
            </w:tblGrid>
            <w:tr w14:paraId="5176E5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tcBorders>
                    <w:bottom w:val="single" w:color="auto" w:sz="4" w:space="0"/>
                  </w:tcBorders>
                  <w:noWrap w:val="0"/>
                  <w:vAlign w:val="center"/>
                </w:tcPr>
                <w:p w14:paraId="21C95450">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工程</w:t>
                  </w:r>
                </w:p>
                <w:p w14:paraId="0ACBD141">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名称</w:t>
                  </w:r>
                </w:p>
              </w:tc>
              <w:tc>
                <w:tcPr>
                  <w:tcW w:w="1371" w:type="pct"/>
                  <w:noWrap w:val="0"/>
                  <w:vAlign w:val="center"/>
                </w:tcPr>
                <w:p w14:paraId="5258D602">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建筑物</w:t>
                  </w:r>
                </w:p>
                <w:p w14:paraId="0985B55C">
                  <w:pPr>
                    <w:jc w:val="center"/>
                    <w:rPr>
                      <w:rFonts w:hint="default" w:ascii="Times New Roman" w:hAnsi="Times New Roman" w:cs="Times New Roman"/>
                      <w:b/>
                      <w:bCs/>
                      <w:sz w:val="21"/>
                      <w:szCs w:val="21"/>
                    </w:rPr>
                  </w:pPr>
                  <w:r>
                    <w:rPr>
                      <w:rFonts w:hint="default" w:ascii="Times New Roman" w:hAnsi="Times New Roman" w:cs="Times New Roman"/>
                      <w:b/>
                      <w:bCs/>
                      <w:sz w:val="21"/>
                      <w:szCs w:val="21"/>
                    </w:rPr>
                    <w:t>名称</w:t>
                  </w:r>
                </w:p>
              </w:tc>
              <w:tc>
                <w:tcPr>
                  <w:tcW w:w="2775" w:type="pct"/>
                  <w:noWrap w:val="0"/>
                  <w:vAlign w:val="center"/>
                </w:tcPr>
                <w:p w14:paraId="0CB3A802">
                  <w:pPr>
                    <w:jc w:val="center"/>
                    <w:rPr>
                      <w:rFonts w:hint="default" w:ascii="Times New Roman" w:hAnsi="Times New Roman" w:cs="Times New Roman"/>
                      <w:sz w:val="21"/>
                      <w:szCs w:val="21"/>
                    </w:rPr>
                  </w:pPr>
                  <w:r>
                    <w:rPr>
                      <w:rFonts w:hint="default" w:ascii="Times New Roman" w:hAnsi="Times New Roman" w:cs="Times New Roman"/>
                      <w:b/>
                      <w:color w:val="auto"/>
                      <w:sz w:val="21"/>
                      <w:szCs w:val="21"/>
                      <w:u w:val="none" w:color="auto"/>
                    </w:rPr>
                    <w:t>现有工程内容</w:t>
                  </w:r>
                </w:p>
              </w:tc>
            </w:tr>
            <w:tr w14:paraId="771DDD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noWrap w:val="0"/>
                  <w:vAlign w:val="center"/>
                </w:tcPr>
                <w:p w14:paraId="4299D805">
                  <w:pPr>
                    <w:jc w:val="center"/>
                    <w:rPr>
                      <w:rFonts w:hint="default" w:ascii="Times New Roman" w:hAnsi="Times New Roman" w:cs="Times New Roman"/>
                      <w:sz w:val="21"/>
                      <w:szCs w:val="21"/>
                    </w:rPr>
                  </w:pPr>
                  <w:r>
                    <w:rPr>
                      <w:rFonts w:hint="default" w:ascii="Times New Roman" w:hAnsi="Times New Roman" w:cs="Times New Roman"/>
                      <w:sz w:val="21"/>
                      <w:szCs w:val="21"/>
                    </w:rPr>
                    <w:t>主体工程</w:t>
                  </w:r>
                </w:p>
              </w:tc>
              <w:tc>
                <w:tcPr>
                  <w:tcW w:w="1371" w:type="pct"/>
                  <w:noWrap w:val="0"/>
                  <w:vAlign w:val="center"/>
                </w:tcPr>
                <w:p w14:paraId="3D496A76">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生产加工车间</w:t>
                  </w:r>
                </w:p>
              </w:tc>
              <w:tc>
                <w:tcPr>
                  <w:tcW w:w="2775" w:type="pct"/>
                  <w:noWrap w:val="0"/>
                  <w:vAlign w:val="center"/>
                </w:tcPr>
                <w:p w14:paraId="207DDA50">
                  <w:pPr>
                    <w:jc w:val="center"/>
                    <w:rPr>
                      <w:rFonts w:hint="default" w:ascii="Times New Roman" w:hAnsi="Times New Roman" w:cs="Times New Roman"/>
                      <w:sz w:val="21"/>
                      <w:szCs w:val="21"/>
                    </w:rPr>
                  </w:pPr>
                  <w:r>
                    <w:rPr>
                      <w:rFonts w:hint="default" w:ascii="Times New Roman" w:hAnsi="Times New Roman" w:cs="Times New Roman"/>
                      <w:sz w:val="21"/>
                      <w:szCs w:val="21"/>
                    </w:rPr>
                    <w:t>1栋2F总建筑面积720m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，钢架结构，作为油脂浸出，溶剂回收车间</w:t>
                  </w:r>
                </w:p>
              </w:tc>
            </w:tr>
            <w:tr w14:paraId="391E40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restart"/>
                  <w:tcBorders>
                    <w:top w:val="single" w:color="auto" w:sz="4" w:space="0"/>
                  </w:tcBorders>
                  <w:noWrap w:val="0"/>
                  <w:vAlign w:val="center"/>
                </w:tcPr>
                <w:p w14:paraId="7297EE6E">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辅助工程</w:t>
                  </w:r>
                </w:p>
              </w:tc>
              <w:tc>
                <w:tcPr>
                  <w:tcW w:w="1371" w:type="pct"/>
                  <w:noWrap w:val="0"/>
                  <w:vAlign w:val="center"/>
                </w:tcPr>
                <w:p w14:paraId="7D7C5041">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原料车间</w:t>
                  </w:r>
                </w:p>
              </w:tc>
              <w:tc>
                <w:tcPr>
                  <w:tcW w:w="2775" w:type="pct"/>
                  <w:noWrap w:val="0"/>
                  <w:vAlign w:val="center"/>
                </w:tcPr>
                <w:p w14:paraId="4C09FE70">
                  <w:pPr>
                    <w:jc w:val="center"/>
                    <w:rPr>
                      <w:rFonts w:hint="default" w:ascii="Times New Roman" w:hAnsi="Times New Roman" w:cs="Times New Roman"/>
                      <w:sz w:val="21"/>
                      <w:szCs w:val="21"/>
                    </w:rPr>
                  </w:pPr>
                  <w:r>
                    <w:rPr>
                      <w:rFonts w:hint="default" w:ascii="Times New Roman" w:hAnsi="Times New Roman" w:cs="Times New Roman"/>
                      <w:sz w:val="21"/>
                      <w:szCs w:val="21"/>
                    </w:rPr>
                    <w:t>1栋1F总建筑面积880m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，钢架结构，作为原料车间</w:t>
                  </w:r>
                </w:p>
              </w:tc>
            </w:tr>
            <w:tr w14:paraId="6BE8A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52" w:type="pct"/>
                  <w:vMerge w:val="continue"/>
                  <w:noWrap w:val="0"/>
                  <w:vAlign w:val="center"/>
                </w:tcPr>
                <w:p w14:paraId="08F10C09">
                  <w:pPr>
                    <w:spacing w:line="360" w:lineRule="auto"/>
                    <w:jc w:val="center"/>
                    <w:rPr>
                      <w:rFonts w:hint="default" w:ascii="Times New Roman" w:hAnsi="Times New Roman" w:cs="Times New Roman"/>
                      <w:sz w:val="21"/>
                      <w:szCs w:val="21"/>
                    </w:rPr>
                  </w:pPr>
                </w:p>
              </w:tc>
              <w:tc>
                <w:tcPr>
                  <w:tcW w:w="1371" w:type="pct"/>
                  <w:noWrap w:val="0"/>
                  <w:vAlign w:val="center"/>
                </w:tcPr>
                <w:p w14:paraId="087FE7B5">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成品车间</w:t>
                  </w:r>
                </w:p>
              </w:tc>
              <w:tc>
                <w:tcPr>
                  <w:tcW w:w="2775" w:type="pct"/>
                  <w:noWrap w:val="0"/>
                  <w:vAlign w:val="center"/>
                </w:tcPr>
                <w:p w14:paraId="0E49BEAD">
                  <w:pPr>
                    <w:jc w:val="center"/>
                    <w:rPr>
                      <w:rFonts w:hint="default" w:ascii="Times New Roman" w:hAnsi="Times New Roman" w:cs="Times New Roman"/>
                      <w:sz w:val="21"/>
                      <w:szCs w:val="21"/>
                    </w:rPr>
                  </w:pPr>
                  <w:r>
                    <w:rPr>
                      <w:rFonts w:hint="default" w:ascii="Times New Roman" w:hAnsi="Times New Roman" w:cs="Times New Roman"/>
                      <w:sz w:val="21"/>
                      <w:szCs w:val="21"/>
                    </w:rPr>
                    <w:t>1栋1F总建筑面积820m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，钢架结构，作为成品油茶渣包装车间</w:t>
                  </w:r>
                </w:p>
              </w:tc>
            </w:tr>
            <w:tr w14:paraId="023DBB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0F1A9CB4">
                  <w:pPr>
                    <w:spacing w:line="360" w:lineRule="auto"/>
                    <w:jc w:val="center"/>
                    <w:rPr>
                      <w:rFonts w:hint="default" w:ascii="Times New Roman" w:hAnsi="Times New Roman" w:cs="Times New Roman"/>
                      <w:sz w:val="21"/>
                      <w:szCs w:val="21"/>
                    </w:rPr>
                  </w:pPr>
                </w:p>
              </w:tc>
              <w:tc>
                <w:tcPr>
                  <w:tcW w:w="1371" w:type="pct"/>
                  <w:noWrap w:val="0"/>
                  <w:vAlign w:val="center"/>
                </w:tcPr>
                <w:p w14:paraId="578AFBBA">
                  <w:pPr>
                    <w:jc w:val="center"/>
                    <w:rPr>
                      <w:rFonts w:hint="default" w:ascii="Times New Roman" w:hAnsi="Times New Roman" w:cs="Times New Roman"/>
                      <w:sz w:val="21"/>
                      <w:szCs w:val="21"/>
                    </w:rPr>
                  </w:pPr>
                  <w:r>
                    <w:rPr>
                      <w:rFonts w:hint="default" w:ascii="Times New Roman" w:hAnsi="Times New Roman" w:cs="Times New Roman"/>
                      <w:sz w:val="21"/>
                      <w:szCs w:val="21"/>
                    </w:rPr>
                    <w:t>办公楼﹑食堂</w:t>
                  </w:r>
                </w:p>
              </w:tc>
              <w:tc>
                <w:tcPr>
                  <w:tcW w:w="2775" w:type="pct"/>
                  <w:noWrap w:val="0"/>
                  <w:vAlign w:val="center"/>
                </w:tcPr>
                <w:p w14:paraId="1595932A">
                  <w:pPr>
                    <w:jc w:val="center"/>
                    <w:rPr>
                      <w:rFonts w:hint="default" w:ascii="Times New Roman" w:hAnsi="Times New Roman" w:cs="Times New Roman"/>
                      <w:sz w:val="21"/>
                      <w:szCs w:val="21"/>
                    </w:rPr>
                  </w:pPr>
                  <w:r>
                    <w:rPr>
                      <w:rFonts w:hint="default" w:ascii="Times New Roman" w:hAnsi="Times New Roman" w:cs="Times New Roman"/>
                      <w:sz w:val="21"/>
                      <w:szCs w:val="21"/>
                    </w:rPr>
                    <w:t>1栋1F总建筑面积为60m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，钢砼结构，1栋，用于办公、食堂</w:t>
                  </w:r>
                </w:p>
              </w:tc>
            </w:tr>
            <w:tr w14:paraId="0B47F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1B8683C4">
                  <w:pPr>
                    <w:spacing w:line="360" w:lineRule="auto"/>
                    <w:jc w:val="center"/>
                    <w:rPr>
                      <w:rFonts w:hint="default" w:ascii="Times New Roman" w:hAnsi="Times New Roman" w:cs="Times New Roman"/>
                      <w:sz w:val="21"/>
                      <w:szCs w:val="21"/>
                    </w:rPr>
                  </w:pPr>
                </w:p>
              </w:tc>
              <w:tc>
                <w:tcPr>
                  <w:tcW w:w="1371" w:type="pct"/>
                  <w:noWrap w:val="0"/>
                  <w:vAlign w:val="center"/>
                </w:tcPr>
                <w:p w14:paraId="40E71DBB">
                  <w:pPr>
                    <w:jc w:val="center"/>
                    <w:rPr>
                      <w:rFonts w:hint="default" w:ascii="Times New Roman" w:hAnsi="Times New Roman" w:cs="Times New Roman"/>
                      <w:sz w:val="21"/>
                      <w:szCs w:val="21"/>
                    </w:rPr>
                  </w:pPr>
                  <w:r>
                    <w:rPr>
                      <w:rFonts w:hint="default" w:ascii="Times New Roman" w:hAnsi="Times New Roman" w:cs="Times New Roman"/>
                      <w:sz w:val="21"/>
                      <w:szCs w:val="21"/>
                    </w:rPr>
                    <w:t>员工宿舍</w:t>
                  </w:r>
                </w:p>
              </w:tc>
              <w:tc>
                <w:tcPr>
                  <w:tcW w:w="2775" w:type="pct"/>
                  <w:noWrap w:val="0"/>
                  <w:vAlign w:val="center"/>
                </w:tcPr>
                <w:p w14:paraId="5D4F6EA6">
                  <w:pPr>
                    <w:jc w:val="both"/>
                    <w:rPr>
                      <w:rFonts w:hint="default" w:ascii="Times New Roman" w:hAnsi="Times New Roman" w:cs="Times New Roman"/>
                      <w:sz w:val="21"/>
                      <w:szCs w:val="21"/>
                    </w:rPr>
                  </w:pPr>
                  <w:r>
                    <w:rPr>
                      <w:rFonts w:hint="default" w:ascii="Times New Roman" w:hAnsi="Times New Roman" w:cs="Times New Roman"/>
                      <w:sz w:val="21"/>
                      <w:szCs w:val="21"/>
                    </w:rPr>
                    <w:t>1栋</w:t>
                  </w:r>
                  <w:r>
                    <w:rPr>
                      <w:rFonts w:hint="default" w:ascii="Times New Roman" w:hAnsi="Times New Roman" w:cs="Times New Roman"/>
                      <w:sz w:val="21"/>
                      <w:szCs w:val="21"/>
                      <w:lang w:val="en-US" w:eastAsia="zh-CN"/>
                    </w:rPr>
                    <w:t>2</w:t>
                  </w:r>
                  <w:r>
                    <w:rPr>
                      <w:rFonts w:hint="default" w:ascii="Times New Roman" w:hAnsi="Times New Roman" w:cs="Times New Roman"/>
                      <w:sz w:val="21"/>
                      <w:szCs w:val="21"/>
                    </w:rPr>
                    <w:t>F总建筑面积为300m</w:t>
                  </w:r>
                  <w:r>
                    <w:rPr>
                      <w:rFonts w:hint="default" w:ascii="Times New Roman" w:hAnsi="Times New Roman" w:cs="Times New Roman"/>
                      <w:sz w:val="21"/>
                      <w:szCs w:val="21"/>
                      <w:vertAlign w:val="superscript"/>
                    </w:rPr>
                    <w:t>2</w:t>
                  </w:r>
                  <w:r>
                    <w:rPr>
                      <w:rFonts w:hint="default" w:ascii="Times New Roman" w:hAnsi="Times New Roman" w:cs="Times New Roman"/>
                      <w:sz w:val="21"/>
                      <w:szCs w:val="21"/>
                    </w:rPr>
                    <w:t>，砖混结构，用于员工住宿</w:t>
                  </w:r>
                </w:p>
              </w:tc>
            </w:tr>
            <w:tr w14:paraId="679EB2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restart"/>
                  <w:noWrap w:val="0"/>
                  <w:vAlign w:val="center"/>
                </w:tcPr>
                <w:p w14:paraId="7BF8B53A">
                  <w:pPr>
                    <w:pStyle w:val="19"/>
                    <w:rPr>
                      <w:rFonts w:hint="default" w:ascii="Times New Roman" w:hAnsi="Times New Roman" w:cs="Times New Roman"/>
                    </w:rPr>
                  </w:pPr>
                  <w:r>
                    <w:rPr>
                      <w:rFonts w:hint="default" w:ascii="Times New Roman" w:hAnsi="Times New Roman" w:cs="Times New Roman"/>
                      <w:sz w:val="21"/>
                      <w:szCs w:val="21"/>
                    </w:rPr>
                    <w:t>公用工程</w:t>
                  </w:r>
                </w:p>
              </w:tc>
              <w:tc>
                <w:tcPr>
                  <w:tcW w:w="1371" w:type="pct"/>
                  <w:noWrap w:val="0"/>
                  <w:vAlign w:val="center"/>
                </w:tcPr>
                <w:p w14:paraId="7D742DA9">
                  <w:pPr>
                    <w:jc w:val="center"/>
                    <w:rPr>
                      <w:rFonts w:hint="default" w:ascii="Times New Roman" w:hAnsi="Times New Roman" w:cs="Times New Roman"/>
                      <w:sz w:val="21"/>
                      <w:szCs w:val="21"/>
                    </w:rPr>
                  </w:pPr>
                  <w:r>
                    <w:rPr>
                      <w:rFonts w:hint="default" w:ascii="Times New Roman" w:hAnsi="Times New Roman" w:cs="Times New Roman"/>
                      <w:sz w:val="21"/>
                      <w:szCs w:val="21"/>
                    </w:rPr>
                    <w:t>供水</w:t>
                  </w:r>
                </w:p>
              </w:tc>
              <w:tc>
                <w:tcPr>
                  <w:tcW w:w="2775" w:type="pct"/>
                  <w:noWrap w:val="0"/>
                  <w:vAlign w:val="center"/>
                </w:tcPr>
                <w:p w14:paraId="6A807D15">
                  <w:pPr>
                    <w:jc w:val="center"/>
                    <w:rPr>
                      <w:rFonts w:hint="default" w:ascii="Times New Roman" w:hAnsi="Times New Roman" w:cs="Times New Roman"/>
                      <w:sz w:val="21"/>
                      <w:szCs w:val="21"/>
                    </w:rPr>
                  </w:pPr>
                  <w:r>
                    <w:rPr>
                      <w:rFonts w:hint="default" w:ascii="Times New Roman" w:hAnsi="Times New Roman" w:cs="Times New Roman"/>
                      <w:sz w:val="21"/>
                      <w:szCs w:val="21"/>
                    </w:rPr>
                    <w:t>自凿地下水井</w:t>
                  </w:r>
                </w:p>
              </w:tc>
            </w:tr>
            <w:tr w14:paraId="640847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76A986C7">
                  <w:pPr>
                    <w:spacing w:line="360" w:lineRule="auto"/>
                    <w:jc w:val="center"/>
                    <w:rPr>
                      <w:rFonts w:hint="default" w:ascii="Times New Roman" w:hAnsi="Times New Roman" w:cs="Times New Roman"/>
                      <w:sz w:val="21"/>
                      <w:szCs w:val="21"/>
                    </w:rPr>
                  </w:pPr>
                </w:p>
              </w:tc>
              <w:tc>
                <w:tcPr>
                  <w:tcW w:w="1371" w:type="pct"/>
                  <w:noWrap w:val="0"/>
                  <w:vAlign w:val="center"/>
                </w:tcPr>
                <w:p w14:paraId="24CA8410">
                  <w:pPr>
                    <w:jc w:val="center"/>
                    <w:rPr>
                      <w:rFonts w:hint="default" w:ascii="Times New Roman" w:hAnsi="Times New Roman" w:cs="Times New Roman"/>
                      <w:sz w:val="21"/>
                      <w:szCs w:val="21"/>
                    </w:rPr>
                  </w:pPr>
                  <w:r>
                    <w:rPr>
                      <w:rFonts w:hint="default" w:ascii="Times New Roman" w:hAnsi="Times New Roman" w:cs="Times New Roman"/>
                      <w:sz w:val="21"/>
                      <w:szCs w:val="21"/>
                    </w:rPr>
                    <w:t>供热</w:t>
                  </w:r>
                </w:p>
              </w:tc>
              <w:tc>
                <w:tcPr>
                  <w:tcW w:w="2775" w:type="pct"/>
                  <w:noWrap w:val="0"/>
                  <w:vAlign w:val="center"/>
                </w:tcPr>
                <w:p w14:paraId="28565F03">
                  <w:pPr>
                    <w:jc w:val="center"/>
                    <w:rPr>
                      <w:rFonts w:hint="default" w:ascii="Times New Roman" w:hAnsi="Times New Roman" w:cs="Times New Roman"/>
                      <w:sz w:val="21"/>
                      <w:szCs w:val="21"/>
                    </w:rPr>
                  </w:pPr>
                  <w:r>
                    <w:rPr>
                      <w:rFonts w:hint="default" w:ascii="Times New Roman" w:hAnsi="Times New Roman" w:cs="Times New Roman"/>
                      <w:sz w:val="21"/>
                      <w:szCs w:val="21"/>
                    </w:rPr>
                    <w:t>生物质锅炉（2t/h）</w:t>
                  </w:r>
                </w:p>
              </w:tc>
            </w:tr>
            <w:tr w14:paraId="1E6D32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28372ADF">
                  <w:pPr>
                    <w:spacing w:line="360" w:lineRule="auto"/>
                    <w:jc w:val="center"/>
                    <w:rPr>
                      <w:rFonts w:hint="default" w:ascii="Times New Roman" w:hAnsi="Times New Roman" w:cs="Times New Roman"/>
                      <w:sz w:val="21"/>
                      <w:szCs w:val="21"/>
                    </w:rPr>
                  </w:pPr>
                </w:p>
              </w:tc>
              <w:tc>
                <w:tcPr>
                  <w:tcW w:w="1371" w:type="pct"/>
                  <w:noWrap w:val="0"/>
                  <w:vAlign w:val="center"/>
                </w:tcPr>
                <w:p w14:paraId="322659B9">
                  <w:pPr>
                    <w:jc w:val="center"/>
                    <w:rPr>
                      <w:rFonts w:hint="default" w:ascii="Times New Roman" w:hAnsi="Times New Roman" w:cs="Times New Roman"/>
                      <w:sz w:val="21"/>
                      <w:szCs w:val="21"/>
                    </w:rPr>
                  </w:pPr>
                  <w:r>
                    <w:rPr>
                      <w:rFonts w:hint="default" w:ascii="Times New Roman" w:hAnsi="Times New Roman" w:cs="Times New Roman"/>
                      <w:sz w:val="21"/>
                      <w:szCs w:val="21"/>
                    </w:rPr>
                    <w:t>供电</w:t>
                  </w:r>
                </w:p>
              </w:tc>
              <w:tc>
                <w:tcPr>
                  <w:tcW w:w="2775" w:type="pct"/>
                  <w:noWrap w:val="0"/>
                  <w:vAlign w:val="center"/>
                </w:tcPr>
                <w:p w14:paraId="770C6998">
                  <w:pPr>
                    <w:jc w:val="center"/>
                    <w:rPr>
                      <w:rFonts w:hint="default" w:ascii="Times New Roman" w:hAnsi="Times New Roman" w:cs="Times New Roman"/>
                      <w:sz w:val="21"/>
                      <w:szCs w:val="21"/>
                    </w:rPr>
                  </w:pPr>
                  <w:r>
                    <w:rPr>
                      <w:rFonts w:hint="default" w:ascii="Times New Roman" w:hAnsi="Times New Roman" w:cs="Times New Roman"/>
                      <w:sz w:val="21"/>
                      <w:szCs w:val="21"/>
                    </w:rPr>
                    <w:t>祁阳县进宝塘镇大富村电网提供，380/220V</w:t>
                  </w:r>
                </w:p>
              </w:tc>
            </w:tr>
            <w:tr w14:paraId="5BC2BD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510A25A0">
                  <w:pPr>
                    <w:spacing w:line="360" w:lineRule="auto"/>
                    <w:jc w:val="center"/>
                    <w:rPr>
                      <w:rFonts w:hint="default" w:ascii="Times New Roman" w:hAnsi="Times New Roman" w:cs="Times New Roman"/>
                      <w:sz w:val="21"/>
                      <w:szCs w:val="21"/>
                    </w:rPr>
                  </w:pPr>
                </w:p>
              </w:tc>
              <w:tc>
                <w:tcPr>
                  <w:tcW w:w="1371" w:type="pct"/>
                  <w:noWrap w:val="0"/>
                  <w:vAlign w:val="center"/>
                </w:tcPr>
                <w:p w14:paraId="18ED0488">
                  <w:pPr>
                    <w:jc w:val="center"/>
                    <w:rPr>
                      <w:rFonts w:hint="default" w:ascii="Times New Roman" w:hAnsi="Times New Roman" w:cs="Times New Roman"/>
                      <w:sz w:val="21"/>
                      <w:szCs w:val="21"/>
                    </w:rPr>
                  </w:pPr>
                  <w:r>
                    <w:rPr>
                      <w:rFonts w:hint="default" w:ascii="Times New Roman" w:hAnsi="Times New Roman" w:cs="Times New Roman"/>
                      <w:sz w:val="21"/>
                      <w:szCs w:val="21"/>
                    </w:rPr>
                    <w:t>道路</w:t>
                  </w:r>
                </w:p>
              </w:tc>
              <w:tc>
                <w:tcPr>
                  <w:tcW w:w="2775" w:type="pct"/>
                  <w:noWrap w:val="0"/>
                  <w:vAlign w:val="center"/>
                </w:tcPr>
                <w:p w14:paraId="556795F6">
                  <w:pPr>
                    <w:jc w:val="center"/>
                    <w:rPr>
                      <w:rFonts w:hint="default" w:ascii="Times New Roman" w:hAnsi="Times New Roman" w:cs="Times New Roman"/>
                      <w:sz w:val="21"/>
                      <w:szCs w:val="21"/>
                    </w:rPr>
                  </w:pPr>
                  <w:r>
                    <w:rPr>
                      <w:rFonts w:hint="default" w:ascii="Times New Roman" w:hAnsi="Times New Roman" w:cs="Times New Roman"/>
                      <w:sz w:val="21"/>
                      <w:szCs w:val="21"/>
                    </w:rPr>
                    <w:t>包括厂区道路、人行道及消防通道</w:t>
                  </w:r>
                </w:p>
              </w:tc>
            </w:tr>
            <w:tr w14:paraId="61F418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restart"/>
                  <w:noWrap w:val="0"/>
                  <w:vAlign w:val="center"/>
                </w:tcPr>
                <w:p w14:paraId="2D8BFA73">
                  <w:pPr>
                    <w:spacing w:line="360" w:lineRule="auto"/>
                    <w:jc w:val="center"/>
                    <w:rPr>
                      <w:rFonts w:hint="default" w:ascii="Times New Roman" w:hAnsi="Times New Roman" w:cs="Times New Roman"/>
                      <w:sz w:val="21"/>
                      <w:szCs w:val="21"/>
                    </w:rPr>
                  </w:pPr>
                  <w:r>
                    <w:rPr>
                      <w:rFonts w:hint="default" w:ascii="Times New Roman" w:hAnsi="Times New Roman" w:cs="Times New Roman"/>
                      <w:sz w:val="21"/>
                      <w:szCs w:val="21"/>
                    </w:rPr>
                    <w:t>环保工程</w:t>
                  </w:r>
                </w:p>
              </w:tc>
              <w:tc>
                <w:tcPr>
                  <w:tcW w:w="1371" w:type="pct"/>
                  <w:vMerge w:val="restart"/>
                  <w:noWrap w:val="0"/>
                  <w:vAlign w:val="center"/>
                </w:tcPr>
                <w:p w14:paraId="52E9AD72">
                  <w:pPr>
                    <w:jc w:val="center"/>
                    <w:rPr>
                      <w:rFonts w:hint="default" w:ascii="Times New Roman" w:hAnsi="Times New Roman" w:cs="Times New Roman"/>
                      <w:sz w:val="21"/>
                      <w:szCs w:val="21"/>
                    </w:rPr>
                  </w:pPr>
                  <w:r>
                    <w:rPr>
                      <w:rFonts w:hint="default" w:ascii="Times New Roman" w:hAnsi="Times New Roman" w:cs="Times New Roman"/>
                      <w:sz w:val="21"/>
                      <w:szCs w:val="21"/>
                    </w:rPr>
                    <w:t>废水处理设施</w:t>
                  </w:r>
                </w:p>
              </w:tc>
              <w:tc>
                <w:tcPr>
                  <w:tcW w:w="2775" w:type="pct"/>
                  <w:noWrap w:val="0"/>
                  <w:vAlign w:val="center"/>
                </w:tcPr>
                <w:p w14:paraId="707C8FC3">
                  <w:pPr>
                    <w:jc w:val="center"/>
                    <w:rPr>
                      <w:rFonts w:hint="default" w:ascii="Times New Roman" w:hAnsi="Times New Roman" w:cs="Times New Roman"/>
                      <w:sz w:val="21"/>
                      <w:szCs w:val="21"/>
                    </w:rPr>
                  </w:pPr>
                  <w:r>
                    <w:rPr>
                      <w:rFonts w:hint="default" w:ascii="Times New Roman" w:hAnsi="Times New Roman" w:cs="Times New Roman"/>
                      <w:sz w:val="21"/>
                      <w:szCs w:val="21"/>
                    </w:rPr>
                    <w:t>雨污分流系统，初期雨水池</w:t>
                  </w:r>
                </w:p>
              </w:tc>
            </w:tr>
            <w:tr w14:paraId="7A16CC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38D8066C">
                  <w:pPr>
                    <w:spacing w:line="360" w:lineRule="auto"/>
                    <w:jc w:val="center"/>
                    <w:rPr>
                      <w:rFonts w:hint="default" w:ascii="Times New Roman" w:hAnsi="Times New Roman" w:cs="Times New Roman"/>
                      <w:sz w:val="21"/>
                      <w:szCs w:val="21"/>
                    </w:rPr>
                  </w:pPr>
                </w:p>
              </w:tc>
              <w:tc>
                <w:tcPr>
                  <w:tcW w:w="1371" w:type="pct"/>
                  <w:vMerge w:val="continue"/>
                  <w:noWrap w:val="0"/>
                  <w:vAlign w:val="center"/>
                </w:tcPr>
                <w:p w14:paraId="1717B6C8">
                  <w:pPr>
                    <w:jc w:val="center"/>
                    <w:rPr>
                      <w:rFonts w:hint="default" w:ascii="Times New Roman" w:hAnsi="Times New Roman" w:cs="Times New Roman"/>
                      <w:sz w:val="21"/>
                      <w:szCs w:val="21"/>
                    </w:rPr>
                  </w:pPr>
                </w:p>
              </w:tc>
              <w:tc>
                <w:tcPr>
                  <w:tcW w:w="2775" w:type="pct"/>
                  <w:noWrap w:val="0"/>
                  <w:vAlign w:val="center"/>
                </w:tcPr>
                <w:p w14:paraId="191019B7">
                  <w:pPr>
                    <w:jc w:val="center"/>
                    <w:rPr>
                      <w:rFonts w:hint="default" w:ascii="Times New Roman" w:hAnsi="Times New Roman" w:cs="Times New Roman"/>
                      <w:sz w:val="21"/>
                      <w:szCs w:val="21"/>
                    </w:rPr>
                  </w:pPr>
                  <w:r>
                    <w:rPr>
                      <w:rFonts w:hint="default" w:ascii="Times New Roman" w:hAnsi="Times New Roman" w:cs="Times New Roman"/>
                      <w:sz w:val="21"/>
                      <w:szCs w:val="21"/>
                    </w:rPr>
                    <w:t>沉淀池、化粪池</w:t>
                  </w:r>
                </w:p>
              </w:tc>
            </w:tr>
            <w:tr w14:paraId="39B545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189E8534">
                  <w:pPr>
                    <w:spacing w:line="360" w:lineRule="auto"/>
                    <w:jc w:val="center"/>
                    <w:rPr>
                      <w:rFonts w:hint="default" w:ascii="Times New Roman" w:hAnsi="Times New Roman" w:cs="Times New Roman"/>
                      <w:sz w:val="21"/>
                      <w:szCs w:val="21"/>
                    </w:rPr>
                  </w:pPr>
                </w:p>
              </w:tc>
              <w:tc>
                <w:tcPr>
                  <w:tcW w:w="1371" w:type="pct"/>
                  <w:vMerge w:val="restart"/>
                  <w:noWrap w:val="0"/>
                  <w:vAlign w:val="center"/>
                </w:tcPr>
                <w:p w14:paraId="7D362F1B">
                  <w:pPr>
                    <w:jc w:val="center"/>
                    <w:rPr>
                      <w:rFonts w:hint="default" w:ascii="Times New Roman" w:hAnsi="Times New Roman" w:cs="Times New Roman"/>
                      <w:sz w:val="21"/>
                      <w:szCs w:val="21"/>
                    </w:rPr>
                  </w:pPr>
                  <w:r>
                    <w:rPr>
                      <w:rFonts w:hint="default" w:ascii="Times New Roman" w:hAnsi="Times New Roman" w:cs="Times New Roman"/>
                      <w:sz w:val="21"/>
                      <w:szCs w:val="21"/>
                    </w:rPr>
                    <w:t>废气处理设施</w:t>
                  </w:r>
                </w:p>
              </w:tc>
              <w:tc>
                <w:tcPr>
                  <w:tcW w:w="2775" w:type="pct"/>
                  <w:noWrap w:val="0"/>
                  <w:vAlign w:val="center"/>
                </w:tcPr>
                <w:p w14:paraId="0A431BFE">
                  <w:pPr>
                    <w:jc w:val="center"/>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锅炉</w:t>
                  </w:r>
                  <w:r>
                    <w:rPr>
                      <w:rFonts w:hint="default" w:ascii="Times New Roman" w:hAnsi="Times New Roman" w:cs="Times New Roman"/>
                      <w:sz w:val="21"/>
                      <w:szCs w:val="21"/>
                      <w:lang w:val="en-US" w:eastAsia="zh-CN"/>
                    </w:rPr>
                    <w:t>烟气</w:t>
                  </w:r>
                  <w:r>
                    <w:rPr>
                      <w:rFonts w:hint="default" w:ascii="Times New Roman" w:hAnsi="Times New Roman" w:cs="Times New Roman"/>
                      <w:sz w:val="21"/>
                      <w:szCs w:val="21"/>
                    </w:rPr>
                    <w:t>采用两级水膜除尘器+</w:t>
                  </w:r>
                  <w:r>
                    <w:rPr>
                      <w:rFonts w:hint="default" w:ascii="Times New Roman" w:hAnsi="Times New Roman" w:cs="Times New Roman"/>
                      <w:sz w:val="21"/>
                      <w:szCs w:val="21"/>
                      <w:lang w:val="en-US" w:eastAsia="zh-CN"/>
                    </w:rPr>
                    <w:t>3</w:t>
                  </w:r>
                  <w:r>
                    <w:rPr>
                      <w:rFonts w:hint="default" w:ascii="Times New Roman" w:hAnsi="Times New Roman" w:cs="Times New Roman"/>
                      <w:sz w:val="21"/>
                      <w:szCs w:val="21"/>
                    </w:rPr>
                    <w:t>5m排气筒；加强车间通风</w:t>
                  </w:r>
                  <w:r>
                    <w:rPr>
                      <w:rFonts w:hint="default" w:ascii="Times New Roman" w:hAnsi="Times New Roman" w:cs="Times New Roman"/>
                      <w:sz w:val="21"/>
                      <w:szCs w:val="21"/>
                      <w:lang w:eastAsia="zh-CN"/>
                    </w:rPr>
                    <w:t>；</w:t>
                  </w:r>
                  <w:r>
                    <w:rPr>
                      <w:rFonts w:hint="eastAsia" w:cs="Times New Roman"/>
                      <w:color w:val="auto"/>
                      <w:sz w:val="21"/>
                      <w:szCs w:val="21"/>
                      <w:highlight w:val="none"/>
                      <w:u w:val="none"/>
                      <w:lang w:val="en-US" w:eastAsia="zh-CN"/>
                    </w:rPr>
                    <w:t>溶剂废气收集后经</w:t>
                  </w:r>
                  <w:r>
                    <w:rPr>
                      <w:rFonts w:hint="default" w:ascii="Times New Roman" w:hAnsi="Times New Roman" w:cs="Times New Roman"/>
                      <w:color w:val="auto"/>
                      <w:sz w:val="21"/>
                      <w:szCs w:val="21"/>
                      <w:highlight w:val="none"/>
                      <w:u w:val="none"/>
                      <w:lang w:val="en-US" w:eastAsia="zh-CN"/>
                    </w:rPr>
                    <w:t>15</w:t>
                  </w:r>
                  <w:r>
                    <w:rPr>
                      <w:rFonts w:hint="default" w:ascii="Times New Roman" w:hAnsi="Times New Roman" w:cs="Times New Roman"/>
                      <w:sz w:val="21"/>
                      <w:szCs w:val="21"/>
                    </w:rPr>
                    <w:t>m排气筒</w:t>
                  </w:r>
                  <w:r>
                    <w:rPr>
                      <w:rFonts w:hint="eastAsia" w:cs="Times New Roman"/>
                      <w:sz w:val="21"/>
                      <w:szCs w:val="21"/>
                      <w:lang w:val="en-US" w:eastAsia="zh-CN"/>
                    </w:rPr>
                    <w:t>排放</w:t>
                  </w:r>
                </w:p>
              </w:tc>
            </w:tr>
            <w:tr w14:paraId="6DE52B2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6518B07B">
                  <w:pPr>
                    <w:spacing w:line="360" w:lineRule="auto"/>
                    <w:jc w:val="center"/>
                    <w:rPr>
                      <w:rFonts w:hint="default" w:ascii="Times New Roman" w:hAnsi="Times New Roman" w:cs="Times New Roman"/>
                      <w:sz w:val="21"/>
                      <w:szCs w:val="21"/>
                    </w:rPr>
                  </w:pPr>
                </w:p>
              </w:tc>
              <w:tc>
                <w:tcPr>
                  <w:tcW w:w="1371" w:type="pct"/>
                  <w:vMerge w:val="continue"/>
                  <w:noWrap w:val="0"/>
                  <w:vAlign w:val="center"/>
                </w:tcPr>
                <w:p w14:paraId="0590632A">
                  <w:pPr>
                    <w:jc w:val="center"/>
                    <w:rPr>
                      <w:rFonts w:hint="default" w:ascii="Times New Roman" w:hAnsi="Times New Roman" w:cs="Times New Roman"/>
                      <w:sz w:val="21"/>
                      <w:szCs w:val="21"/>
                    </w:rPr>
                  </w:pPr>
                </w:p>
              </w:tc>
              <w:tc>
                <w:tcPr>
                  <w:tcW w:w="2775" w:type="pct"/>
                  <w:noWrap w:val="0"/>
                  <w:vAlign w:val="center"/>
                </w:tcPr>
                <w:p w14:paraId="1FD597B2">
                  <w:pPr>
                    <w:jc w:val="center"/>
                    <w:rPr>
                      <w:rFonts w:hint="default" w:ascii="Times New Roman" w:hAnsi="Times New Roman" w:cs="Times New Roman"/>
                      <w:sz w:val="21"/>
                      <w:szCs w:val="21"/>
                    </w:rPr>
                  </w:pPr>
                  <w:r>
                    <w:rPr>
                      <w:rFonts w:hint="default" w:ascii="Times New Roman" w:hAnsi="Times New Roman" w:cs="Times New Roman"/>
                      <w:sz w:val="21"/>
                      <w:szCs w:val="21"/>
                    </w:rPr>
                    <w:t>员工均为周边居民，不在厂区内就餐，不设食堂</w:t>
                  </w:r>
                </w:p>
              </w:tc>
            </w:tr>
            <w:tr w14:paraId="5DE49D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6DBA0E76">
                  <w:pPr>
                    <w:spacing w:line="360" w:lineRule="auto"/>
                    <w:jc w:val="center"/>
                    <w:rPr>
                      <w:rFonts w:hint="default" w:ascii="Times New Roman" w:hAnsi="Times New Roman" w:cs="Times New Roman"/>
                      <w:sz w:val="21"/>
                      <w:szCs w:val="21"/>
                    </w:rPr>
                  </w:pPr>
                </w:p>
              </w:tc>
              <w:tc>
                <w:tcPr>
                  <w:tcW w:w="1371" w:type="pct"/>
                  <w:noWrap w:val="0"/>
                  <w:vAlign w:val="center"/>
                </w:tcPr>
                <w:p w14:paraId="7CE5B5F6">
                  <w:pPr>
                    <w:jc w:val="center"/>
                    <w:rPr>
                      <w:rFonts w:hint="default" w:ascii="Times New Roman" w:hAnsi="Times New Roman" w:cs="Times New Roman"/>
                      <w:sz w:val="21"/>
                      <w:szCs w:val="21"/>
                    </w:rPr>
                  </w:pPr>
                  <w:r>
                    <w:rPr>
                      <w:rFonts w:hint="default" w:ascii="Times New Roman" w:hAnsi="Times New Roman" w:cs="Times New Roman"/>
                      <w:sz w:val="21"/>
                      <w:szCs w:val="21"/>
                    </w:rPr>
                    <w:t>噪声处理设施</w:t>
                  </w:r>
                </w:p>
              </w:tc>
              <w:tc>
                <w:tcPr>
                  <w:tcW w:w="2775" w:type="pct"/>
                  <w:noWrap w:val="0"/>
                  <w:vAlign w:val="center"/>
                </w:tcPr>
                <w:p w14:paraId="17FADEC9">
                  <w:pPr>
                    <w:jc w:val="center"/>
                    <w:rPr>
                      <w:rFonts w:hint="default" w:ascii="Times New Roman" w:hAnsi="Times New Roman" w:cs="Times New Roman"/>
                      <w:sz w:val="21"/>
                      <w:szCs w:val="21"/>
                    </w:rPr>
                  </w:pPr>
                  <w:r>
                    <w:rPr>
                      <w:rFonts w:hint="default" w:ascii="Times New Roman" w:hAnsi="Times New Roman" w:cs="Times New Roman"/>
                      <w:sz w:val="21"/>
                      <w:szCs w:val="21"/>
                    </w:rPr>
                    <w:t>隔声、减震垫</w:t>
                  </w:r>
                </w:p>
              </w:tc>
            </w:tr>
            <w:tr w14:paraId="29D163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2" w:type="pct"/>
                  <w:vMerge w:val="continue"/>
                  <w:noWrap w:val="0"/>
                  <w:vAlign w:val="center"/>
                </w:tcPr>
                <w:p w14:paraId="4AF5529B">
                  <w:pPr>
                    <w:spacing w:line="360" w:lineRule="auto"/>
                    <w:jc w:val="center"/>
                    <w:rPr>
                      <w:rFonts w:hint="default" w:ascii="Times New Roman" w:hAnsi="Times New Roman" w:cs="Times New Roman"/>
                      <w:sz w:val="21"/>
                      <w:szCs w:val="21"/>
                    </w:rPr>
                  </w:pPr>
                </w:p>
              </w:tc>
              <w:tc>
                <w:tcPr>
                  <w:tcW w:w="1371" w:type="pct"/>
                  <w:noWrap w:val="0"/>
                  <w:vAlign w:val="center"/>
                </w:tcPr>
                <w:p w14:paraId="576F5856">
                  <w:pPr>
                    <w:jc w:val="center"/>
                    <w:rPr>
                      <w:rFonts w:hint="default" w:ascii="Times New Roman" w:hAnsi="Times New Roman" w:cs="Times New Roman"/>
                      <w:sz w:val="21"/>
                      <w:szCs w:val="21"/>
                    </w:rPr>
                  </w:pPr>
                  <w:r>
                    <w:rPr>
                      <w:rFonts w:hint="default" w:ascii="Times New Roman" w:hAnsi="Times New Roman" w:cs="Times New Roman"/>
                      <w:sz w:val="21"/>
                      <w:szCs w:val="21"/>
                    </w:rPr>
                    <w:t>固废处理设施</w:t>
                  </w:r>
                </w:p>
              </w:tc>
              <w:tc>
                <w:tcPr>
                  <w:tcW w:w="2775" w:type="pct"/>
                  <w:noWrap w:val="0"/>
                  <w:vAlign w:val="center"/>
                </w:tcPr>
                <w:p w14:paraId="7A1DED72">
                  <w:pPr>
                    <w:jc w:val="center"/>
                    <w:rPr>
                      <w:rFonts w:hint="default" w:ascii="Times New Roman" w:hAnsi="Times New Roman" w:cs="Times New Roman"/>
                      <w:sz w:val="21"/>
                      <w:szCs w:val="21"/>
                    </w:rPr>
                  </w:pPr>
                  <w:r>
                    <w:rPr>
                      <w:rFonts w:hint="default" w:ascii="Times New Roman" w:hAnsi="Times New Roman" w:cs="Times New Roman"/>
                      <w:sz w:val="21"/>
                      <w:szCs w:val="21"/>
                    </w:rPr>
                    <w:t>垃圾桶、一般固废暂存间</w:t>
                  </w:r>
                </w:p>
              </w:tc>
            </w:tr>
          </w:tbl>
          <w:p w14:paraId="38BB2373">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textAlignment w:val="auto"/>
              <w:rPr>
                <w:rFonts w:hint="default" w:ascii="Times New Roman" w:hAnsi="Times New Roman" w:cs="Times New Roman"/>
                <w:color w:val="auto"/>
                <w:spacing w:val="-3"/>
                <w:highlight w:val="none"/>
                <w:u w:val="none" w:color="auto"/>
                <w:lang w:eastAsia="zh-CN"/>
              </w:rPr>
            </w:pPr>
            <w:r>
              <w:rPr>
                <w:rFonts w:hint="default" w:ascii="Times New Roman" w:hAnsi="Times New Roman" w:cs="Times New Roman"/>
                <w:color w:val="auto"/>
                <w:spacing w:val="-3"/>
                <w:highlight w:val="none"/>
                <w:u w:val="none" w:color="auto"/>
                <w:lang w:eastAsia="zh-CN"/>
              </w:rPr>
              <w:t>（</w:t>
            </w:r>
            <w:r>
              <w:rPr>
                <w:rFonts w:hint="default" w:ascii="Times New Roman" w:hAnsi="Times New Roman" w:cs="Times New Roman"/>
                <w:color w:val="auto"/>
                <w:spacing w:val="-3"/>
                <w:highlight w:val="none"/>
                <w:u w:val="none" w:color="auto"/>
                <w:lang w:val="en-US" w:eastAsia="zh-CN"/>
              </w:rPr>
              <w:t>2</w:t>
            </w:r>
            <w:r>
              <w:rPr>
                <w:rFonts w:hint="default" w:ascii="Times New Roman" w:hAnsi="Times New Roman" w:cs="Times New Roman"/>
                <w:color w:val="auto"/>
                <w:spacing w:val="-3"/>
                <w:highlight w:val="none"/>
                <w:u w:val="none" w:color="auto"/>
                <w:lang w:eastAsia="zh-CN"/>
              </w:rPr>
              <w:t>）</w:t>
            </w:r>
            <w:r>
              <w:rPr>
                <w:rFonts w:hint="default" w:ascii="Times New Roman" w:hAnsi="Times New Roman" w:cs="Times New Roman"/>
                <w:color w:val="auto"/>
                <w:spacing w:val="-3"/>
                <w:highlight w:val="none"/>
                <w:u w:val="none" w:color="auto"/>
                <w:lang w:val="en-US" w:eastAsia="zh-CN"/>
              </w:rPr>
              <w:t>现有项目主要生产设备</w:t>
            </w:r>
          </w:p>
          <w:p w14:paraId="60760620">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textAlignment w:val="auto"/>
              <w:rPr>
                <w:rFonts w:hint="default" w:ascii="Times New Roman" w:hAnsi="Times New Roman" w:cs="Times New Roman"/>
                <w:color w:val="auto"/>
                <w:spacing w:val="-3"/>
                <w:highlight w:val="none"/>
                <w:u w:val="none" w:color="auto"/>
                <w:lang w:val="en-US" w:eastAsia="zh-CN"/>
              </w:rPr>
            </w:pPr>
            <w:r>
              <w:rPr>
                <w:rFonts w:hint="default" w:ascii="Times New Roman" w:hAnsi="Times New Roman" w:cs="Times New Roman"/>
                <w:color w:val="auto"/>
                <w:spacing w:val="-3"/>
                <w:highlight w:val="none"/>
                <w:u w:val="none" w:color="auto"/>
                <w:lang w:val="en-US" w:eastAsia="zh-CN"/>
              </w:rPr>
              <w:t>现有项目主要设备详见下表：</w:t>
            </w:r>
          </w:p>
          <w:p w14:paraId="282006FD">
            <w:pPr>
              <w:jc w:val="center"/>
              <w:rPr>
                <w:rFonts w:hint="default" w:ascii="Times New Roman" w:hAnsi="Times New Roman" w:cs="Times New Roman"/>
                <w:b/>
                <w:bCs/>
                <w:color w:val="auto"/>
                <w:spacing w:val="-2"/>
                <w:highlight w:val="none"/>
                <w:u w:val="none" w:color="auto"/>
              </w:rPr>
            </w:pPr>
            <w:r>
              <w:rPr>
                <w:rFonts w:hint="default" w:ascii="Times New Roman" w:hAnsi="Times New Roman" w:cs="Times New Roman"/>
                <w:b/>
                <w:color w:val="auto"/>
                <w:szCs w:val="21"/>
                <w:highlight w:val="none"/>
                <w:u w:val="none" w:color="auto"/>
              </w:rPr>
              <w:t>表 2-</w:t>
            </w:r>
            <w:r>
              <w:rPr>
                <w:rFonts w:hint="default" w:ascii="Times New Roman" w:hAnsi="Times New Roman" w:cs="Times New Roman"/>
                <w:b/>
                <w:color w:val="auto"/>
                <w:szCs w:val="21"/>
                <w:highlight w:val="none"/>
                <w:u w:val="none" w:color="auto"/>
                <w:lang w:val="en-US" w:eastAsia="zh-CN"/>
              </w:rPr>
              <w:t>7</w:t>
            </w:r>
            <w:r>
              <w:rPr>
                <w:rFonts w:hint="default" w:ascii="Times New Roman" w:hAnsi="Times New Roman" w:cs="Times New Roman"/>
                <w:b/>
                <w:color w:val="auto"/>
                <w:szCs w:val="21"/>
                <w:highlight w:val="none"/>
                <w:u w:val="none" w:color="auto"/>
              </w:rPr>
              <w:t xml:space="preserve">  </w:t>
            </w:r>
            <w:r>
              <w:rPr>
                <w:rFonts w:hint="default" w:ascii="Times New Roman" w:hAnsi="Times New Roman" w:cs="Times New Roman"/>
                <w:b/>
                <w:bCs/>
                <w:color w:val="auto"/>
                <w:spacing w:val="-2"/>
                <w:highlight w:val="none"/>
                <w:u w:val="none" w:color="auto"/>
              </w:rPr>
              <w:t>现有项目</w:t>
            </w:r>
            <w:r>
              <w:rPr>
                <w:rFonts w:hint="default" w:ascii="Times New Roman" w:hAnsi="Times New Roman" w:cs="Times New Roman"/>
                <w:b/>
                <w:bCs/>
                <w:color w:val="auto"/>
                <w:spacing w:val="-2"/>
                <w:highlight w:val="none"/>
                <w:u w:val="none" w:color="auto"/>
                <w:lang w:val="en-US" w:eastAsia="zh-CN"/>
              </w:rPr>
              <w:t>主要设备</w:t>
            </w:r>
            <w:r>
              <w:rPr>
                <w:rFonts w:hint="default" w:ascii="Times New Roman" w:hAnsi="Times New Roman" w:cs="Times New Roman"/>
                <w:b/>
                <w:bCs/>
                <w:color w:val="auto"/>
                <w:spacing w:val="-2"/>
                <w:highlight w:val="none"/>
                <w:u w:val="none" w:color="auto"/>
              </w:rPr>
              <w:t>一览表</w:t>
            </w:r>
          </w:p>
          <w:tbl>
            <w:tblPr>
              <w:tblStyle w:val="42"/>
              <w:tblW w:w="499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2032"/>
              <w:gridCol w:w="3016"/>
              <w:gridCol w:w="1643"/>
              <w:gridCol w:w="922"/>
            </w:tblGrid>
            <w:tr w14:paraId="78EA04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noWrap w:val="0"/>
                  <w:vAlign w:val="center"/>
                </w:tcPr>
                <w:p w14:paraId="7FB10F03">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序号</w:t>
                  </w:r>
                </w:p>
              </w:tc>
              <w:tc>
                <w:tcPr>
                  <w:tcW w:w="1215" w:type="pct"/>
                  <w:tcBorders>
                    <w:tl2br w:val="nil"/>
                    <w:tr2bl w:val="nil"/>
                  </w:tcBorders>
                  <w:noWrap w:val="0"/>
                  <w:vAlign w:val="center"/>
                </w:tcPr>
                <w:p w14:paraId="6F70378B">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主要设备名称</w:t>
                  </w:r>
                </w:p>
              </w:tc>
              <w:tc>
                <w:tcPr>
                  <w:tcW w:w="1803" w:type="pct"/>
                  <w:tcBorders>
                    <w:tl2br w:val="nil"/>
                    <w:tr2bl w:val="nil"/>
                  </w:tcBorders>
                  <w:noWrap w:val="0"/>
                  <w:vAlign w:val="center"/>
                </w:tcPr>
                <w:p w14:paraId="01E02F09">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rPr>
                    <w:t>设备</w:t>
                  </w:r>
                  <w:r>
                    <w:rPr>
                      <w:rFonts w:hint="default" w:ascii="Times New Roman" w:hAnsi="Times New Roman" w:eastAsia="宋体" w:cs="Times New Roman"/>
                      <w:color w:val="auto"/>
                      <w:szCs w:val="21"/>
                      <w:highlight w:val="none"/>
                      <w:u w:val="none" w:color="auto"/>
                      <w:lang w:val="en-US" w:eastAsia="zh-CN"/>
                    </w:rPr>
                    <w:t>型号</w:t>
                  </w:r>
                </w:p>
              </w:tc>
              <w:tc>
                <w:tcPr>
                  <w:tcW w:w="982" w:type="pct"/>
                  <w:tcBorders>
                    <w:tl2br w:val="nil"/>
                    <w:tr2bl w:val="nil"/>
                  </w:tcBorders>
                  <w:noWrap w:val="0"/>
                  <w:vAlign w:val="center"/>
                </w:tcPr>
                <w:p w14:paraId="0AE9C83B">
                  <w:pPr>
                    <w:adjustRightInd w:val="0"/>
                    <w:snapToGrid w:val="0"/>
                    <w:jc w:val="center"/>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数量</w:t>
                  </w:r>
                </w:p>
              </w:tc>
              <w:tc>
                <w:tcPr>
                  <w:tcW w:w="551" w:type="pct"/>
                  <w:tcBorders>
                    <w:tl2br w:val="nil"/>
                    <w:tr2bl w:val="nil"/>
                  </w:tcBorders>
                  <w:noWrap w:val="0"/>
                  <w:vAlign w:val="center"/>
                </w:tcPr>
                <w:p w14:paraId="35A6D5F0">
                  <w:pPr>
                    <w:adjustRightInd w:val="0"/>
                    <w:snapToGrid w:val="0"/>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备注</w:t>
                  </w:r>
                </w:p>
              </w:tc>
            </w:tr>
            <w:tr w14:paraId="3B5C24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noWrap w:val="0"/>
                  <w:vAlign w:val="center"/>
                </w:tcPr>
                <w:p w14:paraId="496CA31B">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1</w:t>
                  </w:r>
                </w:p>
              </w:tc>
              <w:tc>
                <w:tcPr>
                  <w:tcW w:w="1215" w:type="pct"/>
                  <w:tcBorders>
                    <w:tl2br w:val="nil"/>
                    <w:tr2bl w:val="nil"/>
                  </w:tcBorders>
                  <w:shd w:val="clear" w:color="auto" w:fill="auto"/>
                  <w:noWrap w:val="0"/>
                  <w:vAlign w:val="center"/>
                </w:tcPr>
                <w:p w14:paraId="0988D633">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粉碎机</w:t>
                  </w:r>
                </w:p>
              </w:tc>
              <w:tc>
                <w:tcPr>
                  <w:tcW w:w="1803" w:type="pct"/>
                  <w:tcBorders>
                    <w:tl2br w:val="nil"/>
                    <w:tr2bl w:val="nil"/>
                  </w:tcBorders>
                  <w:shd w:val="clear" w:color="auto" w:fill="auto"/>
                  <w:noWrap w:val="0"/>
                  <w:vAlign w:val="center"/>
                </w:tcPr>
                <w:p w14:paraId="6925BC6C">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3 吨/小时</w:t>
                  </w:r>
                </w:p>
              </w:tc>
              <w:tc>
                <w:tcPr>
                  <w:tcW w:w="982" w:type="pct"/>
                  <w:tcBorders>
                    <w:tl2br w:val="nil"/>
                    <w:tr2bl w:val="nil"/>
                  </w:tcBorders>
                  <w:shd w:val="clear" w:color="auto" w:fill="auto"/>
                  <w:noWrap w:val="0"/>
                  <w:vAlign w:val="center"/>
                </w:tcPr>
                <w:p w14:paraId="1F4C86BD">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1 台</w:t>
                  </w:r>
                </w:p>
              </w:tc>
              <w:tc>
                <w:tcPr>
                  <w:tcW w:w="551" w:type="pct"/>
                  <w:tcBorders>
                    <w:tl2br w:val="nil"/>
                    <w:tr2bl w:val="nil"/>
                  </w:tcBorders>
                  <w:noWrap w:val="0"/>
                  <w:vAlign w:val="center"/>
                </w:tcPr>
                <w:p w14:paraId="1415394C">
                  <w:pPr>
                    <w:adjustRightInd w:val="0"/>
                    <w:snapToGrid w:val="0"/>
                    <w:jc w:val="center"/>
                    <w:rPr>
                      <w:rFonts w:hint="default" w:ascii="Times New Roman" w:hAnsi="Times New Roman" w:cs="Times New Roman"/>
                      <w:color w:val="auto"/>
                      <w:szCs w:val="21"/>
                      <w:highlight w:val="none"/>
                      <w:u w:val="none" w:color="auto"/>
                    </w:rPr>
                  </w:pPr>
                </w:p>
              </w:tc>
            </w:tr>
            <w:tr w14:paraId="046EC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noWrap w:val="0"/>
                  <w:vAlign w:val="center"/>
                </w:tcPr>
                <w:p w14:paraId="588A6F1F">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2</w:t>
                  </w:r>
                </w:p>
              </w:tc>
              <w:tc>
                <w:tcPr>
                  <w:tcW w:w="1215" w:type="pct"/>
                  <w:tcBorders>
                    <w:tl2br w:val="nil"/>
                    <w:tr2bl w:val="nil"/>
                  </w:tcBorders>
                  <w:shd w:val="clear" w:color="auto" w:fill="auto"/>
                  <w:noWrap w:val="0"/>
                  <w:vAlign w:val="center"/>
                </w:tcPr>
                <w:p w14:paraId="549841B7">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浸出器</w:t>
                  </w:r>
                </w:p>
              </w:tc>
              <w:tc>
                <w:tcPr>
                  <w:tcW w:w="1803" w:type="pct"/>
                  <w:tcBorders>
                    <w:tl2br w:val="nil"/>
                    <w:tr2bl w:val="nil"/>
                  </w:tcBorders>
                  <w:shd w:val="clear" w:color="auto" w:fill="auto"/>
                  <w:noWrap w:val="0"/>
                  <w:vAlign w:val="center"/>
                </w:tcPr>
                <w:p w14:paraId="40050AE0">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3 吨/小时</w:t>
                  </w:r>
                </w:p>
              </w:tc>
              <w:tc>
                <w:tcPr>
                  <w:tcW w:w="982" w:type="pct"/>
                  <w:tcBorders>
                    <w:tl2br w:val="nil"/>
                    <w:tr2bl w:val="nil"/>
                  </w:tcBorders>
                  <w:shd w:val="clear" w:color="auto" w:fill="auto"/>
                  <w:noWrap w:val="0"/>
                  <w:vAlign w:val="center"/>
                </w:tcPr>
                <w:p w14:paraId="08DA5F57">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1 台</w:t>
                  </w:r>
                </w:p>
              </w:tc>
              <w:tc>
                <w:tcPr>
                  <w:tcW w:w="551" w:type="pct"/>
                  <w:tcBorders>
                    <w:tl2br w:val="nil"/>
                    <w:tr2bl w:val="nil"/>
                  </w:tcBorders>
                  <w:noWrap w:val="0"/>
                  <w:vAlign w:val="center"/>
                </w:tcPr>
                <w:p w14:paraId="18E5FF3B">
                  <w:pPr>
                    <w:adjustRightInd w:val="0"/>
                    <w:snapToGrid w:val="0"/>
                    <w:jc w:val="center"/>
                    <w:rPr>
                      <w:rFonts w:hint="default" w:ascii="Times New Roman" w:hAnsi="Times New Roman" w:cs="Times New Roman"/>
                      <w:bCs/>
                      <w:color w:val="auto"/>
                      <w:szCs w:val="21"/>
                      <w:highlight w:val="none"/>
                      <w:u w:val="none" w:color="auto"/>
                    </w:rPr>
                  </w:pPr>
                </w:p>
              </w:tc>
            </w:tr>
            <w:tr w14:paraId="45DCD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noWrap w:val="0"/>
                  <w:vAlign w:val="center"/>
                </w:tcPr>
                <w:p w14:paraId="02EC8CCA">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3</w:t>
                  </w:r>
                </w:p>
              </w:tc>
              <w:tc>
                <w:tcPr>
                  <w:tcW w:w="1215" w:type="pct"/>
                  <w:tcBorders>
                    <w:tl2br w:val="nil"/>
                    <w:tr2bl w:val="nil"/>
                  </w:tcBorders>
                  <w:shd w:val="clear" w:color="auto" w:fill="auto"/>
                  <w:noWrap w:val="0"/>
                  <w:vAlign w:val="center"/>
                </w:tcPr>
                <w:p w14:paraId="455E11CB">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烘干机</w:t>
                  </w:r>
                </w:p>
              </w:tc>
              <w:tc>
                <w:tcPr>
                  <w:tcW w:w="1803" w:type="pct"/>
                  <w:tcBorders>
                    <w:tl2br w:val="nil"/>
                    <w:tr2bl w:val="nil"/>
                  </w:tcBorders>
                  <w:shd w:val="clear" w:color="auto" w:fill="auto"/>
                  <w:noWrap w:val="0"/>
                  <w:vAlign w:val="center"/>
                </w:tcPr>
                <w:p w14:paraId="2BAE78FE">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3 吨/小时</w:t>
                  </w:r>
                </w:p>
              </w:tc>
              <w:tc>
                <w:tcPr>
                  <w:tcW w:w="982" w:type="pct"/>
                  <w:tcBorders>
                    <w:tl2br w:val="nil"/>
                    <w:tr2bl w:val="nil"/>
                  </w:tcBorders>
                  <w:shd w:val="clear" w:color="auto" w:fill="auto"/>
                  <w:noWrap w:val="0"/>
                  <w:vAlign w:val="center"/>
                </w:tcPr>
                <w:p w14:paraId="693134E3">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1 台</w:t>
                  </w:r>
                </w:p>
              </w:tc>
              <w:tc>
                <w:tcPr>
                  <w:tcW w:w="551" w:type="pct"/>
                  <w:tcBorders>
                    <w:tl2br w:val="nil"/>
                    <w:tr2bl w:val="nil"/>
                  </w:tcBorders>
                  <w:noWrap w:val="0"/>
                  <w:vAlign w:val="center"/>
                </w:tcPr>
                <w:p w14:paraId="00A72DB5">
                  <w:pPr>
                    <w:adjustRightInd w:val="0"/>
                    <w:snapToGrid w:val="0"/>
                    <w:jc w:val="center"/>
                    <w:rPr>
                      <w:rFonts w:hint="default" w:ascii="Times New Roman" w:hAnsi="Times New Roman" w:cs="Times New Roman"/>
                      <w:bCs/>
                      <w:color w:val="auto"/>
                      <w:szCs w:val="21"/>
                      <w:highlight w:val="none"/>
                      <w:u w:val="none" w:color="auto"/>
                    </w:rPr>
                  </w:pPr>
                </w:p>
              </w:tc>
            </w:tr>
            <w:tr w14:paraId="1253B0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vAlign w:val="center"/>
                </w:tcPr>
                <w:p w14:paraId="4D10B8AC">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4</w:t>
                  </w:r>
                </w:p>
              </w:tc>
              <w:tc>
                <w:tcPr>
                  <w:tcW w:w="1215" w:type="pct"/>
                  <w:tcBorders>
                    <w:tl2br w:val="nil"/>
                    <w:tr2bl w:val="nil"/>
                  </w:tcBorders>
                  <w:shd w:val="clear" w:color="auto" w:fill="auto"/>
                  <w:vAlign w:val="center"/>
                </w:tcPr>
                <w:p w14:paraId="467F1F78">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锅炉</w:t>
                  </w:r>
                </w:p>
              </w:tc>
              <w:tc>
                <w:tcPr>
                  <w:tcW w:w="1803" w:type="pct"/>
                  <w:tcBorders>
                    <w:tl2br w:val="nil"/>
                    <w:tr2bl w:val="nil"/>
                  </w:tcBorders>
                  <w:shd w:val="clear" w:color="auto" w:fill="auto"/>
                  <w:vAlign w:val="center"/>
                </w:tcPr>
                <w:p w14:paraId="0240608F">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lang w:val="en-US" w:eastAsia="zh-CN"/>
                    </w:rPr>
                    <w:t>2t/h</w:t>
                  </w:r>
                </w:p>
              </w:tc>
              <w:tc>
                <w:tcPr>
                  <w:tcW w:w="982" w:type="pct"/>
                  <w:tcBorders>
                    <w:tl2br w:val="nil"/>
                    <w:tr2bl w:val="nil"/>
                  </w:tcBorders>
                  <w:shd w:val="clear" w:color="auto" w:fill="auto"/>
                  <w:vAlign w:val="center"/>
                </w:tcPr>
                <w:p w14:paraId="72175933">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1 台</w:t>
                  </w:r>
                </w:p>
              </w:tc>
              <w:tc>
                <w:tcPr>
                  <w:tcW w:w="551" w:type="pct"/>
                  <w:tcBorders>
                    <w:tl2br w:val="nil"/>
                    <w:tr2bl w:val="nil"/>
                  </w:tcBorders>
                </w:tcPr>
                <w:p w14:paraId="1DB0F301">
                  <w:pPr>
                    <w:adjustRightInd w:val="0"/>
                    <w:snapToGrid w:val="0"/>
                    <w:jc w:val="center"/>
                    <w:rPr>
                      <w:rFonts w:hint="default" w:ascii="Times New Roman" w:hAnsi="Times New Roman" w:cs="Times New Roman"/>
                      <w:bCs/>
                      <w:color w:val="auto"/>
                      <w:szCs w:val="21"/>
                      <w:highlight w:val="none"/>
                      <w:u w:val="none" w:color="auto"/>
                    </w:rPr>
                  </w:pPr>
                </w:p>
              </w:tc>
            </w:tr>
            <w:tr w14:paraId="155F9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vAlign w:val="center"/>
                </w:tcPr>
                <w:p w14:paraId="7C69DE29">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5</w:t>
                  </w:r>
                </w:p>
              </w:tc>
              <w:tc>
                <w:tcPr>
                  <w:tcW w:w="1215" w:type="pct"/>
                  <w:tcBorders>
                    <w:tl2br w:val="nil"/>
                    <w:tr2bl w:val="nil"/>
                  </w:tcBorders>
                  <w:shd w:val="clear" w:color="auto" w:fill="auto"/>
                  <w:vAlign w:val="center"/>
                </w:tcPr>
                <w:p w14:paraId="170922FC">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蒸脱机</w:t>
                  </w:r>
                </w:p>
              </w:tc>
              <w:tc>
                <w:tcPr>
                  <w:tcW w:w="1803" w:type="pct"/>
                  <w:tcBorders>
                    <w:tl2br w:val="nil"/>
                    <w:tr2bl w:val="nil"/>
                  </w:tcBorders>
                  <w:shd w:val="clear" w:color="auto" w:fill="auto"/>
                  <w:vAlign w:val="center"/>
                </w:tcPr>
                <w:p w14:paraId="6D99516A">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2CG7.5</w:t>
                  </w:r>
                </w:p>
              </w:tc>
              <w:tc>
                <w:tcPr>
                  <w:tcW w:w="982" w:type="pct"/>
                  <w:tcBorders>
                    <w:tl2br w:val="nil"/>
                    <w:tr2bl w:val="nil"/>
                  </w:tcBorders>
                  <w:shd w:val="clear" w:color="auto" w:fill="auto"/>
                  <w:vAlign w:val="center"/>
                </w:tcPr>
                <w:p w14:paraId="091A3072">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1 台</w:t>
                  </w:r>
                </w:p>
              </w:tc>
              <w:tc>
                <w:tcPr>
                  <w:tcW w:w="551" w:type="pct"/>
                  <w:tcBorders>
                    <w:tl2br w:val="nil"/>
                    <w:tr2bl w:val="nil"/>
                  </w:tcBorders>
                </w:tcPr>
                <w:p w14:paraId="7817A930">
                  <w:pPr>
                    <w:adjustRightInd w:val="0"/>
                    <w:snapToGrid w:val="0"/>
                    <w:jc w:val="center"/>
                    <w:rPr>
                      <w:rFonts w:hint="default" w:ascii="Times New Roman" w:hAnsi="Times New Roman" w:cs="Times New Roman"/>
                      <w:bCs/>
                      <w:color w:val="auto"/>
                      <w:szCs w:val="21"/>
                      <w:highlight w:val="none"/>
                      <w:u w:val="none" w:color="auto"/>
                    </w:rPr>
                  </w:pPr>
                </w:p>
              </w:tc>
            </w:tr>
            <w:tr w14:paraId="216CFB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447" w:type="pct"/>
                  <w:tcBorders>
                    <w:tl2br w:val="nil"/>
                    <w:tr2bl w:val="nil"/>
                  </w:tcBorders>
                  <w:vAlign w:val="center"/>
                </w:tcPr>
                <w:p w14:paraId="2FBA57F6">
                  <w:pPr>
                    <w:adjustRightInd w:val="0"/>
                    <w:snapToGrid w:val="0"/>
                    <w:jc w:val="center"/>
                    <w:rPr>
                      <w:rFonts w:hint="default" w:ascii="Times New Roman" w:hAnsi="Times New Roman" w:cs="Times New Roman"/>
                      <w:color w:val="auto"/>
                      <w:szCs w:val="21"/>
                      <w:highlight w:val="none"/>
                      <w:u w:val="none" w:color="auto"/>
                    </w:rPr>
                  </w:pPr>
                  <w:r>
                    <w:rPr>
                      <w:rFonts w:hint="default" w:ascii="Times New Roman" w:hAnsi="Times New Roman" w:cs="Times New Roman"/>
                      <w:color w:val="auto"/>
                      <w:szCs w:val="21"/>
                      <w:highlight w:val="none"/>
                      <w:u w:val="none" w:color="auto"/>
                    </w:rPr>
                    <w:t>6</w:t>
                  </w:r>
                </w:p>
              </w:tc>
              <w:tc>
                <w:tcPr>
                  <w:tcW w:w="1215" w:type="pct"/>
                  <w:tcBorders>
                    <w:tl2br w:val="nil"/>
                    <w:tr2bl w:val="nil"/>
                  </w:tcBorders>
                  <w:shd w:val="clear" w:color="auto" w:fill="auto"/>
                  <w:vAlign w:val="center"/>
                </w:tcPr>
                <w:p w14:paraId="01122E81">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eastAsia" w:ascii="Times New Roman" w:hAnsi="Times New Roman" w:eastAsia="宋体" w:cs="Times New Roman"/>
                      <w:color w:val="auto"/>
                      <w:szCs w:val="21"/>
                      <w:highlight w:val="none"/>
                      <w:u w:val="none" w:color="auto"/>
                      <w:lang w:val="en-US" w:eastAsia="zh-CN"/>
                    </w:rPr>
                  </w:pPr>
                  <w:r>
                    <w:rPr>
                      <w:rFonts w:hint="eastAsia" w:cs="Times New Roman"/>
                      <w:color w:val="auto"/>
                      <w:szCs w:val="21"/>
                      <w:highlight w:val="none"/>
                      <w:u w:val="none" w:color="auto"/>
                      <w:lang w:eastAsia="zh-CN"/>
                    </w:rPr>
                    <w:t>两级水膜除尘</w:t>
                  </w:r>
                </w:p>
              </w:tc>
              <w:tc>
                <w:tcPr>
                  <w:tcW w:w="1803" w:type="pct"/>
                  <w:tcBorders>
                    <w:tl2br w:val="nil"/>
                    <w:tr2bl w:val="nil"/>
                  </w:tcBorders>
                  <w:shd w:val="clear" w:color="auto" w:fill="auto"/>
                  <w:vAlign w:val="center"/>
                </w:tcPr>
                <w:p w14:paraId="749924BD">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en-US"/>
                    </w:rPr>
                  </w:pPr>
                  <w:r>
                    <w:rPr>
                      <w:rFonts w:hint="default" w:ascii="Times New Roman" w:hAnsi="Times New Roman" w:eastAsia="宋体" w:cs="Times New Roman"/>
                      <w:color w:val="auto"/>
                      <w:szCs w:val="21"/>
                      <w:highlight w:val="none"/>
                      <w:u w:val="none" w:color="auto"/>
                    </w:rPr>
                    <w:t>/</w:t>
                  </w:r>
                </w:p>
              </w:tc>
              <w:tc>
                <w:tcPr>
                  <w:tcW w:w="982" w:type="pct"/>
                  <w:tcBorders>
                    <w:tl2br w:val="nil"/>
                    <w:tr2bl w:val="nil"/>
                  </w:tcBorders>
                  <w:shd w:val="clear" w:color="auto" w:fill="auto"/>
                  <w:vAlign w:val="center"/>
                </w:tcPr>
                <w:p w14:paraId="698C68D2">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color w:val="auto"/>
                      <w:szCs w:val="21"/>
                      <w:highlight w:val="none"/>
                      <w:u w:val="none" w:color="auto"/>
                      <w:lang w:val="en-US" w:eastAsia="zh-CN"/>
                    </w:rPr>
                  </w:pPr>
                  <w:r>
                    <w:rPr>
                      <w:rFonts w:hint="default" w:ascii="Times New Roman" w:hAnsi="Times New Roman" w:eastAsia="宋体" w:cs="Times New Roman"/>
                      <w:color w:val="auto"/>
                      <w:szCs w:val="21"/>
                      <w:highlight w:val="none"/>
                      <w:u w:val="none" w:color="auto"/>
                    </w:rPr>
                    <w:t>1</w:t>
                  </w:r>
                  <w:r>
                    <w:rPr>
                      <w:rFonts w:hint="default" w:ascii="Times New Roman" w:hAnsi="Times New Roman" w:eastAsia="宋体" w:cs="Times New Roman"/>
                      <w:color w:val="auto"/>
                      <w:szCs w:val="21"/>
                      <w:highlight w:val="none"/>
                      <w:u w:val="none" w:color="auto"/>
                      <w:lang w:val="en-US" w:eastAsia="zh-CN"/>
                    </w:rPr>
                    <w:t>台</w:t>
                  </w:r>
                </w:p>
              </w:tc>
              <w:tc>
                <w:tcPr>
                  <w:tcW w:w="551" w:type="pct"/>
                  <w:tcBorders>
                    <w:tl2br w:val="nil"/>
                    <w:tr2bl w:val="nil"/>
                  </w:tcBorders>
                </w:tcPr>
                <w:p w14:paraId="65F8B741">
                  <w:pPr>
                    <w:adjustRightInd w:val="0"/>
                    <w:snapToGrid w:val="0"/>
                    <w:jc w:val="center"/>
                    <w:rPr>
                      <w:rFonts w:hint="default" w:ascii="Times New Roman" w:hAnsi="Times New Roman" w:cs="Times New Roman"/>
                      <w:bCs/>
                      <w:color w:val="auto"/>
                      <w:szCs w:val="21"/>
                      <w:highlight w:val="none"/>
                      <w:u w:val="none" w:color="auto"/>
                    </w:rPr>
                  </w:pPr>
                </w:p>
              </w:tc>
            </w:tr>
          </w:tbl>
          <w:p w14:paraId="0587FC71">
            <w:pPr>
              <w:jc w:val="center"/>
              <w:rPr>
                <w:rFonts w:hint="default" w:ascii="Times New Roman" w:hAnsi="Times New Roman" w:cs="Times New Roman"/>
                <w:b/>
                <w:bCs/>
                <w:color w:val="auto"/>
                <w:spacing w:val="-2"/>
                <w:highlight w:val="none"/>
                <w:u w:val="none" w:color="auto"/>
              </w:rPr>
            </w:pPr>
          </w:p>
          <w:p w14:paraId="663244C2">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textAlignment w:val="auto"/>
              <w:rPr>
                <w:rFonts w:hint="default" w:ascii="Times New Roman" w:hAnsi="Times New Roman" w:cs="Times New Roman"/>
                <w:color w:val="auto"/>
                <w:spacing w:val="-3"/>
                <w:highlight w:val="none"/>
                <w:u w:val="none" w:color="auto"/>
                <w:lang w:val="en-US" w:eastAsia="zh-CN"/>
              </w:rPr>
            </w:pPr>
            <w:r>
              <w:rPr>
                <w:rFonts w:hint="default" w:ascii="Times New Roman" w:hAnsi="Times New Roman" w:cs="Times New Roman"/>
                <w:color w:val="auto"/>
                <w:spacing w:val="-3"/>
                <w:highlight w:val="none"/>
                <w:u w:val="none" w:color="auto"/>
                <w:lang w:val="en-US" w:eastAsia="zh-CN"/>
              </w:rPr>
              <w:t>（3）现有项目原辅材料</w:t>
            </w:r>
          </w:p>
          <w:p w14:paraId="651F0465">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textAlignment w:val="auto"/>
              <w:rPr>
                <w:rFonts w:hint="default" w:ascii="Times New Roman" w:hAnsi="Times New Roman" w:cs="Times New Roman"/>
                <w:color w:val="auto"/>
                <w:spacing w:val="-3"/>
                <w:highlight w:val="none"/>
                <w:u w:val="none" w:color="auto"/>
                <w:lang w:val="en-US" w:eastAsia="zh-CN"/>
              </w:rPr>
            </w:pPr>
            <w:r>
              <w:rPr>
                <w:rFonts w:hint="default" w:ascii="Times New Roman" w:hAnsi="Times New Roman" w:eastAsia="宋体" w:cs="Times New Roman"/>
                <w:color w:val="auto"/>
                <w:spacing w:val="-3"/>
                <w:highlight w:val="none"/>
                <w:u w:val="none" w:color="auto"/>
                <w:lang w:val="en-US" w:eastAsia="zh-CN"/>
              </w:rPr>
              <w:t>本项目主要原辅材料为茶油饼、食品级正己烷（浸出溶剂）等其它原辅材料，均由供应商的汽车运输至本厂，生产中使用的能源主要为生物质、水、电。所需原辅材料年用量详见表 2-8 ，主要能源消耗情况详见表2-9。</w:t>
            </w:r>
          </w:p>
          <w:p w14:paraId="4CF7595C">
            <w:pPr>
              <w:jc w:val="center"/>
              <w:rPr>
                <w:rFonts w:hint="default" w:ascii="Times New Roman" w:hAnsi="Times New Roman" w:eastAsia="宋体" w:cs="Times New Roman"/>
                <w:color w:val="auto"/>
                <w:kern w:val="0"/>
                <w:sz w:val="24"/>
                <w:highlight w:val="none"/>
                <w:u w:val="none" w:color="auto"/>
                <w:lang w:eastAsia="zh-CN"/>
              </w:rPr>
            </w:pPr>
            <w:r>
              <w:rPr>
                <w:rFonts w:hint="default" w:ascii="Times New Roman" w:hAnsi="Times New Roman" w:cs="Times New Roman"/>
                <w:b/>
                <w:color w:val="auto"/>
                <w:szCs w:val="21"/>
                <w:highlight w:val="none"/>
                <w:u w:val="none" w:color="auto"/>
              </w:rPr>
              <w:t>表</w:t>
            </w:r>
            <w:r>
              <w:rPr>
                <w:rFonts w:hint="default" w:ascii="Times New Roman" w:hAnsi="Times New Roman" w:cs="Times New Roman"/>
                <w:b/>
                <w:color w:val="auto"/>
                <w:szCs w:val="21"/>
                <w:highlight w:val="none"/>
                <w:u w:val="none" w:color="auto"/>
                <w:lang w:val="en-US" w:eastAsia="zh-CN"/>
              </w:rPr>
              <w:t>2</w:t>
            </w:r>
            <w:r>
              <w:rPr>
                <w:rFonts w:hint="default" w:ascii="Times New Roman" w:hAnsi="Times New Roman" w:cs="Times New Roman"/>
                <w:b/>
                <w:color w:val="auto"/>
                <w:szCs w:val="21"/>
                <w:highlight w:val="none"/>
                <w:u w:val="none" w:color="auto"/>
              </w:rPr>
              <w:t>-</w:t>
            </w:r>
            <w:r>
              <w:rPr>
                <w:rFonts w:hint="default" w:ascii="Times New Roman" w:hAnsi="Times New Roman" w:cs="Times New Roman"/>
                <w:b/>
                <w:color w:val="auto"/>
                <w:szCs w:val="21"/>
                <w:highlight w:val="none"/>
                <w:u w:val="none" w:color="auto"/>
                <w:lang w:val="en-US" w:eastAsia="zh-CN"/>
              </w:rPr>
              <w:t xml:space="preserve">8 </w:t>
            </w:r>
            <w:r>
              <w:rPr>
                <w:rFonts w:hint="default" w:ascii="Times New Roman" w:hAnsi="Times New Roman" w:cs="Times New Roman"/>
                <w:b/>
                <w:color w:val="auto"/>
                <w:szCs w:val="21"/>
                <w:highlight w:val="none"/>
                <w:u w:val="none" w:color="auto"/>
              </w:rPr>
              <w:t xml:space="preserve"> </w:t>
            </w:r>
            <w:r>
              <w:rPr>
                <w:rFonts w:hint="default" w:ascii="Times New Roman" w:hAnsi="Times New Roman" w:cs="Times New Roman"/>
                <w:b/>
                <w:color w:val="auto"/>
                <w:szCs w:val="21"/>
                <w:highlight w:val="none"/>
                <w:u w:val="none" w:color="auto"/>
                <w:lang w:val="en-US" w:eastAsia="zh-CN"/>
              </w:rPr>
              <w:t>现有</w:t>
            </w:r>
            <w:r>
              <w:rPr>
                <w:rFonts w:hint="default" w:ascii="Times New Roman" w:hAnsi="Times New Roman" w:cs="Times New Roman"/>
                <w:b/>
                <w:color w:val="auto"/>
                <w:szCs w:val="21"/>
                <w:highlight w:val="none"/>
                <w:u w:val="none" w:color="auto"/>
              </w:rPr>
              <w:t>项目原辅材料消耗一览表</w:t>
            </w:r>
          </w:p>
          <w:tbl>
            <w:tblPr>
              <w:tblStyle w:val="156"/>
              <w:tblW w:w="4970" w:type="pct"/>
              <w:tblInd w:w="-2" w:type="dxa"/>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113" w:type="dxa"/>
                <w:left w:w="113" w:type="dxa"/>
                <w:bottom w:w="113" w:type="dxa"/>
                <w:right w:w="113" w:type="dxa"/>
              </w:tblCellMar>
            </w:tblPr>
            <w:tblGrid>
              <w:gridCol w:w="703"/>
              <w:gridCol w:w="2842"/>
              <w:gridCol w:w="1028"/>
              <w:gridCol w:w="3768"/>
            </w:tblGrid>
            <w:tr w14:paraId="269D6657">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113" w:type="dxa"/>
                  <w:left w:w="113" w:type="dxa"/>
                  <w:bottom w:w="113" w:type="dxa"/>
                  <w:right w:w="113" w:type="dxa"/>
                </w:tblCellMar>
              </w:tblPrEx>
              <w:trPr>
                <w:trHeight w:val="397" w:hRule="atLeast"/>
              </w:trPr>
              <w:tc>
                <w:tcPr>
                  <w:tcW w:w="421" w:type="pct"/>
                  <w:tcBorders>
                    <w:tl2br w:val="nil"/>
                    <w:tr2bl w:val="nil"/>
                  </w:tcBorders>
                  <w:vAlign w:val="center"/>
                </w:tcPr>
                <w:p w14:paraId="6EBFC07B">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序号</w:t>
                  </w:r>
                </w:p>
              </w:tc>
              <w:tc>
                <w:tcPr>
                  <w:tcW w:w="1703" w:type="pct"/>
                  <w:tcBorders>
                    <w:tl2br w:val="nil"/>
                    <w:tr2bl w:val="nil"/>
                  </w:tcBorders>
                  <w:vAlign w:val="center"/>
                </w:tcPr>
                <w:p w14:paraId="333E9730">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原辅材料名称</w:t>
                  </w:r>
                </w:p>
              </w:tc>
              <w:tc>
                <w:tcPr>
                  <w:tcW w:w="616" w:type="pct"/>
                  <w:tcBorders>
                    <w:tl2br w:val="nil"/>
                    <w:tr2bl w:val="nil"/>
                  </w:tcBorders>
                  <w:vAlign w:val="center"/>
                </w:tcPr>
                <w:p w14:paraId="0911247B">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消耗量</w:t>
                  </w:r>
                </w:p>
              </w:tc>
              <w:tc>
                <w:tcPr>
                  <w:tcW w:w="2258" w:type="pct"/>
                  <w:tcBorders>
                    <w:tl2br w:val="nil"/>
                    <w:tr2bl w:val="nil"/>
                  </w:tcBorders>
                  <w:vAlign w:val="center"/>
                </w:tcPr>
                <w:p w14:paraId="05D768E6">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备注</w:t>
                  </w:r>
                </w:p>
              </w:tc>
            </w:tr>
            <w:tr w14:paraId="19F1355B">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113" w:type="dxa"/>
                  <w:left w:w="113" w:type="dxa"/>
                  <w:bottom w:w="113" w:type="dxa"/>
                  <w:right w:w="113" w:type="dxa"/>
                </w:tblCellMar>
              </w:tblPrEx>
              <w:trPr>
                <w:trHeight w:val="397" w:hRule="atLeast"/>
              </w:trPr>
              <w:tc>
                <w:tcPr>
                  <w:tcW w:w="421" w:type="pct"/>
                  <w:tcBorders>
                    <w:tl2br w:val="nil"/>
                    <w:tr2bl w:val="nil"/>
                  </w:tcBorders>
                  <w:vAlign w:val="center"/>
                </w:tcPr>
                <w:p w14:paraId="6C34BB0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1</w:t>
                  </w:r>
                </w:p>
              </w:tc>
              <w:tc>
                <w:tcPr>
                  <w:tcW w:w="1703" w:type="pct"/>
                  <w:tcBorders>
                    <w:tl2br w:val="nil"/>
                    <w:tr2bl w:val="nil"/>
                  </w:tcBorders>
                  <w:vAlign w:val="center"/>
                </w:tcPr>
                <w:p w14:paraId="1D69F45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茶油饼</w:t>
                  </w:r>
                </w:p>
              </w:tc>
              <w:tc>
                <w:tcPr>
                  <w:tcW w:w="616" w:type="pct"/>
                  <w:tcBorders>
                    <w:tl2br w:val="nil"/>
                    <w:tr2bl w:val="nil"/>
                  </w:tcBorders>
                  <w:vAlign w:val="center"/>
                </w:tcPr>
                <w:p w14:paraId="3DD1232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2200 t/a</w:t>
                  </w:r>
                </w:p>
              </w:tc>
              <w:tc>
                <w:tcPr>
                  <w:tcW w:w="2258" w:type="pct"/>
                  <w:tcBorders>
                    <w:tl2br w:val="nil"/>
                    <w:tr2bl w:val="nil"/>
                  </w:tcBorders>
                  <w:vAlign w:val="center"/>
                </w:tcPr>
                <w:p w14:paraId="0FED427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汽车运输进厂，袋装，50kg/袋</w:t>
                  </w:r>
                </w:p>
              </w:tc>
            </w:tr>
            <w:tr w14:paraId="6E5F3A40">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113" w:type="dxa"/>
                  <w:left w:w="113" w:type="dxa"/>
                  <w:bottom w:w="113" w:type="dxa"/>
                  <w:right w:w="113" w:type="dxa"/>
                </w:tblCellMar>
              </w:tblPrEx>
              <w:trPr>
                <w:trHeight w:val="397" w:hRule="atLeast"/>
              </w:trPr>
              <w:tc>
                <w:tcPr>
                  <w:tcW w:w="421" w:type="pct"/>
                  <w:tcBorders>
                    <w:tl2br w:val="nil"/>
                    <w:tr2bl w:val="nil"/>
                  </w:tcBorders>
                  <w:vAlign w:val="center"/>
                </w:tcPr>
                <w:p w14:paraId="21B555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2</w:t>
                  </w:r>
                </w:p>
              </w:tc>
              <w:tc>
                <w:tcPr>
                  <w:tcW w:w="1703" w:type="pct"/>
                  <w:tcBorders>
                    <w:tl2br w:val="nil"/>
                    <w:tr2bl w:val="nil"/>
                  </w:tcBorders>
                  <w:vAlign w:val="center"/>
                </w:tcPr>
                <w:p w14:paraId="3B57A64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食品级正己烷（浸出溶剂）</w:t>
                  </w:r>
                </w:p>
              </w:tc>
              <w:tc>
                <w:tcPr>
                  <w:tcW w:w="616" w:type="pct"/>
                  <w:tcBorders>
                    <w:tl2br w:val="nil"/>
                    <w:tr2bl w:val="nil"/>
                  </w:tcBorders>
                  <w:vAlign w:val="center"/>
                </w:tcPr>
                <w:p w14:paraId="5F586BE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3 t/a</w:t>
                  </w:r>
                </w:p>
              </w:tc>
              <w:tc>
                <w:tcPr>
                  <w:tcW w:w="2258" w:type="pct"/>
                  <w:tcBorders>
                    <w:tl2br w:val="nil"/>
                    <w:tr2bl w:val="nil"/>
                  </w:tcBorders>
                  <w:vAlign w:val="center"/>
                </w:tcPr>
                <w:p w14:paraId="3A069DB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贮存于储罐中，厂区最大贮存量为3t</w:t>
                  </w:r>
                </w:p>
              </w:tc>
            </w:tr>
          </w:tbl>
          <w:p w14:paraId="4DE47C76">
            <w:pPr>
              <w:spacing w:line="360" w:lineRule="auto"/>
              <w:ind w:firstLine="420" w:firstLineChars="200"/>
              <w:rPr>
                <w:rFonts w:hint="default"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lang w:val="en-US" w:eastAsia="zh-CN"/>
              </w:rPr>
              <w:t>注：</w:t>
            </w:r>
            <w:r>
              <w:rPr>
                <w:rFonts w:hint="default" w:ascii="Times New Roman" w:hAnsi="Times New Roman" w:eastAsia="宋体" w:cs="Times New Roman"/>
                <w:color w:val="auto"/>
                <w:sz w:val="21"/>
                <w:szCs w:val="21"/>
                <w:highlight w:val="none"/>
                <w:u w:val="none" w:color="auto"/>
              </w:rPr>
              <w:t>正己烷是低毒、有微弱的特殊气味的无色液体，主要用于丙烯等烯烃聚合时的溶剂、食用植物油的提取剂、橡胶和涂料的溶剂以及颜料的稀释剂。己烷分子式：C6H14，密度为 0.672，熔点为-95℃ , 沸点为 68-70℃ , 闪点为-22℃ ,己烷不溶于水，但易溶于乙醇、乙醚等多数有机溶剂。己烷极易燃烧，会和卤素发生取代反应。</w:t>
            </w:r>
          </w:p>
          <w:p w14:paraId="4DBAF45A">
            <w:pPr>
              <w:jc w:val="center"/>
              <w:rPr>
                <w:rFonts w:hint="default" w:ascii="Times New Roman" w:hAnsi="Times New Roman" w:cs="Times New Roman"/>
              </w:rPr>
            </w:pPr>
            <w:r>
              <w:rPr>
                <w:rFonts w:hint="default" w:ascii="Times New Roman" w:hAnsi="Times New Roman" w:eastAsia="宋体" w:cs="Times New Roman"/>
                <w:b/>
                <w:color w:val="auto"/>
                <w:szCs w:val="21"/>
                <w:highlight w:val="none"/>
                <w:u w:val="none" w:color="auto"/>
              </w:rPr>
              <w:t>表</w:t>
            </w:r>
            <w:r>
              <w:rPr>
                <w:rFonts w:hint="default" w:ascii="Times New Roman" w:hAnsi="Times New Roman" w:eastAsia="宋体" w:cs="Times New Roman"/>
                <w:b/>
                <w:color w:val="auto"/>
                <w:szCs w:val="21"/>
                <w:highlight w:val="none"/>
                <w:u w:val="none" w:color="auto"/>
                <w:lang w:val="en-US" w:eastAsia="zh-CN"/>
              </w:rPr>
              <w:t>2</w:t>
            </w:r>
            <w:r>
              <w:rPr>
                <w:rFonts w:hint="default" w:ascii="Times New Roman" w:hAnsi="Times New Roman" w:eastAsia="宋体" w:cs="Times New Roman"/>
                <w:b/>
                <w:color w:val="auto"/>
                <w:szCs w:val="21"/>
                <w:highlight w:val="none"/>
                <w:u w:val="none" w:color="auto"/>
              </w:rPr>
              <w:t>-</w:t>
            </w:r>
            <w:r>
              <w:rPr>
                <w:rFonts w:hint="default" w:ascii="Times New Roman" w:hAnsi="Times New Roman" w:eastAsia="宋体" w:cs="Times New Roman"/>
                <w:b/>
                <w:color w:val="auto"/>
                <w:szCs w:val="21"/>
                <w:highlight w:val="none"/>
                <w:u w:val="none" w:color="auto"/>
                <w:lang w:val="en-US" w:eastAsia="zh-CN"/>
              </w:rPr>
              <w:t>9</w:t>
            </w:r>
            <w:r>
              <w:rPr>
                <w:rFonts w:hint="default" w:ascii="Times New Roman" w:hAnsi="Times New Roman" w:eastAsia="宋体" w:cs="Times New Roman"/>
                <w:b/>
                <w:color w:val="auto"/>
                <w:szCs w:val="21"/>
                <w:highlight w:val="none"/>
                <w:u w:val="none" w:color="auto"/>
              </w:rPr>
              <w:t xml:space="preserve">   主要能源消耗一览表</w:t>
            </w:r>
          </w:p>
          <w:tbl>
            <w:tblPr>
              <w:tblStyle w:val="156"/>
              <w:tblW w:w="4999" w:type="pct"/>
              <w:tblInd w:w="-2" w:type="dxa"/>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Layout w:type="autofit"/>
              <w:tblCellMar>
                <w:top w:w="0" w:type="dxa"/>
                <w:left w:w="0" w:type="dxa"/>
                <w:bottom w:w="0" w:type="dxa"/>
                <w:right w:w="0" w:type="dxa"/>
              </w:tblCellMar>
            </w:tblPr>
            <w:tblGrid>
              <w:gridCol w:w="1017"/>
              <w:gridCol w:w="2125"/>
              <w:gridCol w:w="1220"/>
              <w:gridCol w:w="1623"/>
              <w:gridCol w:w="2404"/>
            </w:tblGrid>
            <w:tr w14:paraId="4DBECFC2">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06" w:type="pct"/>
                  <w:tcBorders>
                    <w:tl2br w:val="nil"/>
                    <w:tr2bl w:val="nil"/>
                  </w:tcBorders>
                  <w:vAlign w:val="center"/>
                </w:tcPr>
                <w:p w14:paraId="342AAF22">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序号</w:t>
                  </w:r>
                </w:p>
              </w:tc>
              <w:tc>
                <w:tcPr>
                  <w:tcW w:w="1266" w:type="pct"/>
                  <w:tcBorders>
                    <w:tl2br w:val="nil"/>
                    <w:tr2bl w:val="nil"/>
                  </w:tcBorders>
                  <w:vAlign w:val="center"/>
                </w:tcPr>
                <w:p w14:paraId="03EA11BD">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能源名称</w:t>
                  </w:r>
                </w:p>
              </w:tc>
              <w:tc>
                <w:tcPr>
                  <w:tcW w:w="727" w:type="pct"/>
                  <w:tcBorders>
                    <w:tl2br w:val="nil"/>
                    <w:tr2bl w:val="nil"/>
                  </w:tcBorders>
                  <w:vAlign w:val="center"/>
                </w:tcPr>
                <w:p w14:paraId="2488FEE8">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单位</w:t>
                  </w:r>
                </w:p>
              </w:tc>
              <w:tc>
                <w:tcPr>
                  <w:tcW w:w="967" w:type="pct"/>
                  <w:tcBorders>
                    <w:tl2br w:val="nil"/>
                    <w:tr2bl w:val="nil"/>
                  </w:tcBorders>
                  <w:vAlign w:val="center"/>
                </w:tcPr>
                <w:p w14:paraId="4885E852">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消耗量</w:t>
                  </w:r>
                </w:p>
              </w:tc>
              <w:tc>
                <w:tcPr>
                  <w:tcW w:w="1432" w:type="pct"/>
                  <w:tcBorders>
                    <w:tl2br w:val="nil"/>
                    <w:tr2bl w:val="nil"/>
                  </w:tcBorders>
                  <w:vAlign w:val="center"/>
                </w:tcPr>
                <w:p w14:paraId="6E81B721">
                  <w:pPr>
                    <w:keepNext w:val="0"/>
                    <w:keepLines w:val="0"/>
                    <w:pageBreakBefore w:val="0"/>
                    <w:widowControl/>
                    <w:kinsoku w:val="0"/>
                    <w:wordWrap/>
                    <w:overflowPunct/>
                    <w:topLinePunct w:val="0"/>
                    <w:autoSpaceDE w:val="0"/>
                    <w:autoSpaceDN w:val="0"/>
                    <w:bidi w:val="0"/>
                    <w:adjustRightInd w:val="0"/>
                    <w:snapToGrid w:val="0"/>
                    <w:ind w:left="0" w:leftChars="0"/>
                    <w:jc w:val="center"/>
                    <w:textAlignment w:val="baseline"/>
                    <w:rPr>
                      <w:rFonts w:hint="default" w:ascii="Times New Roman" w:hAnsi="Times New Roman" w:eastAsia="宋体" w:cs="Times New Roman"/>
                      <w:b/>
                      <w:bCs/>
                      <w:color w:val="auto"/>
                      <w:szCs w:val="21"/>
                      <w:highlight w:val="none"/>
                      <w:u w:val="none" w:color="auto"/>
                    </w:rPr>
                  </w:pPr>
                  <w:r>
                    <w:rPr>
                      <w:rFonts w:hint="default" w:ascii="Times New Roman" w:hAnsi="Times New Roman" w:eastAsia="宋体" w:cs="Times New Roman"/>
                      <w:b/>
                      <w:bCs/>
                      <w:color w:val="auto"/>
                      <w:szCs w:val="21"/>
                      <w:highlight w:val="none"/>
                      <w:u w:val="none" w:color="auto"/>
                    </w:rPr>
                    <w:t>备注</w:t>
                  </w:r>
                </w:p>
              </w:tc>
            </w:tr>
            <w:tr w14:paraId="0D7FA4CF">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06" w:type="pct"/>
                  <w:tcBorders>
                    <w:tl2br w:val="nil"/>
                    <w:tr2bl w:val="nil"/>
                  </w:tcBorders>
                  <w:vAlign w:val="center"/>
                </w:tcPr>
                <w:p w14:paraId="69369EA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1</w:t>
                  </w:r>
                </w:p>
              </w:tc>
              <w:tc>
                <w:tcPr>
                  <w:tcW w:w="1266" w:type="pct"/>
                  <w:tcBorders>
                    <w:tl2br w:val="nil"/>
                    <w:tr2bl w:val="nil"/>
                  </w:tcBorders>
                  <w:vAlign w:val="center"/>
                </w:tcPr>
                <w:p w14:paraId="295473BB">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生物质燃料</w:t>
                  </w:r>
                </w:p>
              </w:tc>
              <w:tc>
                <w:tcPr>
                  <w:tcW w:w="727" w:type="pct"/>
                  <w:tcBorders>
                    <w:tl2br w:val="nil"/>
                    <w:tr2bl w:val="nil"/>
                  </w:tcBorders>
                  <w:vAlign w:val="center"/>
                </w:tcPr>
                <w:p w14:paraId="3FE683B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t/a</w:t>
                  </w:r>
                </w:p>
              </w:tc>
              <w:tc>
                <w:tcPr>
                  <w:tcW w:w="967" w:type="pct"/>
                  <w:tcBorders>
                    <w:tl2br w:val="nil"/>
                    <w:tr2bl w:val="nil"/>
                  </w:tcBorders>
                  <w:vAlign w:val="center"/>
                </w:tcPr>
                <w:p w14:paraId="549C6C9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260</w:t>
                  </w:r>
                </w:p>
              </w:tc>
              <w:tc>
                <w:tcPr>
                  <w:tcW w:w="1432" w:type="pct"/>
                  <w:tcBorders>
                    <w:tl2br w:val="nil"/>
                    <w:tr2bl w:val="nil"/>
                  </w:tcBorders>
                  <w:vAlign w:val="center"/>
                </w:tcPr>
                <w:p w14:paraId="7300D9D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市场购买</w:t>
                  </w:r>
                </w:p>
              </w:tc>
            </w:tr>
            <w:tr w14:paraId="7EA03DC0">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06" w:type="pct"/>
                  <w:tcBorders>
                    <w:tl2br w:val="nil"/>
                    <w:tr2bl w:val="nil"/>
                  </w:tcBorders>
                  <w:vAlign w:val="center"/>
                </w:tcPr>
                <w:p w14:paraId="565EC92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2</w:t>
                  </w:r>
                </w:p>
              </w:tc>
              <w:tc>
                <w:tcPr>
                  <w:tcW w:w="1266" w:type="pct"/>
                  <w:tcBorders>
                    <w:tl2br w:val="nil"/>
                    <w:tr2bl w:val="nil"/>
                  </w:tcBorders>
                  <w:vAlign w:val="center"/>
                </w:tcPr>
                <w:p w14:paraId="32F950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水</w:t>
                  </w:r>
                </w:p>
              </w:tc>
              <w:tc>
                <w:tcPr>
                  <w:tcW w:w="727" w:type="pct"/>
                  <w:tcBorders>
                    <w:tl2br w:val="nil"/>
                    <w:tr2bl w:val="nil"/>
                  </w:tcBorders>
                  <w:vAlign w:val="center"/>
                </w:tcPr>
                <w:p w14:paraId="4F35F51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m</w:t>
                  </w:r>
                  <w:r>
                    <w:rPr>
                      <w:rFonts w:hint="default" w:ascii="Times New Roman" w:hAnsi="Times New Roman" w:eastAsia="宋体" w:cs="Times New Roman"/>
                      <w:color w:val="auto"/>
                      <w:spacing w:val="7"/>
                      <w:sz w:val="21"/>
                      <w:szCs w:val="21"/>
                      <w:highlight w:val="none"/>
                      <w:u w:val="none" w:color="auto"/>
                      <w:vertAlign w:val="superscript"/>
                      <w:lang w:val="en-US" w:eastAsia="zh-CN"/>
                    </w:rPr>
                    <w:t>3</w:t>
                  </w:r>
                  <w:r>
                    <w:rPr>
                      <w:rFonts w:hint="default" w:ascii="Times New Roman" w:hAnsi="Times New Roman" w:eastAsia="宋体" w:cs="Times New Roman"/>
                      <w:color w:val="auto"/>
                      <w:spacing w:val="7"/>
                      <w:sz w:val="21"/>
                      <w:szCs w:val="21"/>
                      <w:highlight w:val="none"/>
                      <w:u w:val="none" w:color="auto"/>
                      <w:lang w:val="en-US" w:eastAsia="zh-CN"/>
                    </w:rPr>
                    <w:t>/a</w:t>
                  </w:r>
                </w:p>
              </w:tc>
              <w:tc>
                <w:tcPr>
                  <w:tcW w:w="967" w:type="pct"/>
                  <w:tcBorders>
                    <w:tl2br w:val="nil"/>
                    <w:tr2bl w:val="nil"/>
                  </w:tcBorders>
                  <w:vAlign w:val="center"/>
                </w:tcPr>
                <w:p w14:paraId="7BA7D3B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357</w:t>
                  </w:r>
                </w:p>
              </w:tc>
              <w:tc>
                <w:tcPr>
                  <w:tcW w:w="1432" w:type="pct"/>
                  <w:tcBorders>
                    <w:tl2br w:val="nil"/>
                    <w:tr2bl w:val="nil"/>
                  </w:tcBorders>
                  <w:vAlign w:val="center"/>
                </w:tcPr>
                <w:p w14:paraId="2A5E38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地下水井</w:t>
                  </w:r>
                </w:p>
              </w:tc>
            </w:tr>
            <w:tr w14:paraId="17EAD563">
              <w:tblPrEx>
                <w:tblBorders>
                  <w:top w:val="single" w:color="000000" w:sz="2" w:space="0"/>
                  <w:left w:val="single" w:color="000000" w:sz="2" w:space="0"/>
                  <w:bottom w:val="single" w:color="000000" w:sz="2" w:space="0"/>
                  <w:right w:val="single" w:color="000000" w:sz="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06" w:type="pct"/>
                  <w:tcBorders>
                    <w:tl2br w:val="nil"/>
                    <w:tr2bl w:val="nil"/>
                  </w:tcBorders>
                  <w:vAlign w:val="center"/>
                </w:tcPr>
                <w:p w14:paraId="65551A1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3</w:t>
                  </w:r>
                </w:p>
              </w:tc>
              <w:tc>
                <w:tcPr>
                  <w:tcW w:w="1266" w:type="pct"/>
                  <w:tcBorders>
                    <w:tl2br w:val="nil"/>
                    <w:tr2bl w:val="nil"/>
                  </w:tcBorders>
                  <w:vAlign w:val="center"/>
                </w:tcPr>
                <w:p w14:paraId="2DE1D36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电</w:t>
                  </w:r>
                </w:p>
              </w:tc>
              <w:tc>
                <w:tcPr>
                  <w:tcW w:w="727" w:type="pct"/>
                  <w:tcBorders>
                    <w:tl2br w:val="nil"/>
                    <w:tr2bl w:val="nil"/>
                  </w:tcBorders>
                  <w:vAlign w:val="center"/>
                </w:tcPr>
                <w:p w14:paraId="5095294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万度/a</w:t>
                  </w:r>
                </w:p>
              </w:tc>
              <w:tc>
                <w:tcPr>
                  <w:tcW w:w="967" w:type="pct"/>
                  <w:tcBorders>
                    <w:tl2br w:val="nil"/>
                    <w:tr2bl w:val="nil"/>
                  </w:tcBorders>
                  <w:vAlign w:val="center"/>
                </w:tcPr>
                <w:p w14:paraId="40AA56D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10000</w:t>
                  </w:r>
                </w:p>
              </w:tc>
              <w:tc>
                <w:tcPr>
                  <w:tcW w:w="1432" w:type="pct"/>
                  <w:tcBorders>
                    <w:tl2br w:val="nil"/>
                    <w:tr2bl w:val="nil"/>
                  </w:tcBorders>
                  <w:vAlign w:val="center"/>
                </w:tcPr>
                <w:p w14:paraId="79EA0BDA">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lang w:val="en-US" w:eastAsia="zh-CN"/>
                    </w:rPr>
                    <w:t>进宝塘镇电网提供</w:t>
                  </w:r>
                </w:p>
              </w:tc>
            </w:tr>
          </w:tbl>
          <w:p w14:paraId="35F1DB51">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lang w:val="en-US" w:eastAsia="zh-CN"/>
              </w:rPr>
              <w:t>4</w:t>
            </w:r>
            <w:r>
              <w:rPr>
                <w:rFonts w:hint="default" w:ascii="Times New Roman" w:hAnsi="Times New Roman" w:cs="Times New Roman"/>
                <w:color w:val="auto"/>
                <w:sz w:val="24"/>
                <w:highlight w:val="none"/>
                <w:u w:val="none" w:color="auto"/>
                <w:lang w:eastAsia="zh-CN"/>
              </w:rPr>
              <w:t>）现有</w:t>
            </w:r>
            <w:r>
              <w:rPr>
                <w:rFonts w:hint="default" w:ascii="Times New Roman" w:hAnsi="Times New Roman" w:cs="Times New Roman"/>
                <w:color w:val="auto"/>
                <w:sz w:val="24"/>
                <w:highlight w:val="none"/>
                <w:u w:val="none" w:color="auto"/>
              </w:rPr>
              <w:t>公用工程</w:t>
            </w:r>
          </w:p>
          <w:p w14:paraId="09B5BDB0">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1）给排水工程</w:t>
            </w:r>
          </w:p>
          <w:p w14:paraId="0B04FA40">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本项目水源为市政给水，以市政自来水作为水源。</w:t>
            </w:r>
          </w:p>
          <w:p w14:paraId="056AB919">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2）排水</w:t>
            </w:r>
          </w:p>
          <w:p w14:paraId="30CFB3D7">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①本项目采用雨污分流</w:t>
            </w:r>
            <w:r>
              <w:rPr>
                <w:rFonts w:hint="default" w:ascii="Times New Roman" w:hAnsi="Times New Roman" w:cs="Times New Roman"/>
                <w:color w:val="auto"/>
                <w:sz w:val="24"/>
                <w:highlight w:val="none"/>
                <w:u w:val="none" w:color="auto"/>
                <w:lang w:eastAsia="zh-CN"/>
              </w:rPr>
              <w:t>制</w:t>
            </w:r>
            <w:r>
              <w:rPr>
                <w:rFonts w:hint="default" w:ascii="Times New Roman" w:hAnsi="Times New Roman" w:cs="Times New Roman"/>
                <w:color w:val="auto"/>
                <w:sz w:val="24"/>
                <w:highlight w:val="none"/>
                <w:u w:val="none" w:color="auto"/>
              </w:rPr>
              <w:t>。</w:t>
            </w:r>
          </w:p>
          <w:p w14:paraId="7331935B">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②本项目</w:t>
            </w:r>
            <w:r>
              <w:rPr>
                <w:rFonts w:hint="default" w:ascii="Times New Roman" w:hAnsi="Times New Roman" w:cs="Times New Roman"/>
                <w:color w:val="auto"/>
                <w:sz w:val="24"/>
                <w:highlight w:val="none"/>
                <w:u w:val="none" w:color="auto"/>
                <w:lang w:val="en-US" w:eastAsia="zh-CN"/>
              </w:rPr>
              <w:t>锅炉循环水循环使用，不外排；设备清洗产生的清洗废水经沉淀池、化粪池处理后运至</w:t>
            </w:r>
            <w:r>
              <w:rPr>
                <w:rFonts w:hint="eastAsia" w:ascii="Times New Roman" w:hAnsi="Times New Roman" w:cs="Times New Roman"/>
                <w:color w:val="auto"/>
                <w:sz w:val="24"/>
                <w:highlight w:val="none"/>
                <w:u w:val="none" w:color="auto"/>
                <w:lang w:val="en-US" w:eastAsia="zh-CN"/>
              </w:rPr>
              <w:t>祁阳鹏鹞水务有限公司白竹污水处理厂</w:t>
            </w:r>
            <w:r>
              <w:rPr>
                <w:rFonts w:hint="default" w:ascii="Times New Roman" w:hAnsi="Times New Roman" w:cs="Times New Roman"/>
                <w:color w:val="auto"/>
                <w:sz w:val="24"/>
                <w:highlight w:val="none"/>
                <w:u w:val="none" w:color="auto"/>
                <w:lang w:val="en-US" w:eastAsia="zh-CN"/>
              </w:rPr>
              <w:t>处理；地面清洗产生的清洗废水经沉淀池、化粪池处理后运至</w:t>
            </w:r>
            <w:r>
              <w:rPr>
                <w:rFonts w:hint="eastAsia" w:ascii="Times New Roman" w:hAnsi="Times New Roman" w:cs="Times New Roman"/>
                <w:color w:val="auto"/>
                <w:sz w:val="24"/>
                <w:highlight w:val="none"/>
                <w:u w:val="none" w:color="auto"/>
                <w:lang w:val="en-US" w:eastAsia="zh-CN"/>
              </w:rPr>
              <w:t>祁阳鹏鹞水务有限公司白竹污水处理厂</w:t>
            </w:r>
            <w:r>
              <w:rPr>
                <w:rFonts w:hint="default" w:ascii="Times New Roman" w:hAnsi="Times New Roman" w:cs="Times New Roman"/>
                <w:color w:val="auto"/>
                <w:sz w:val="24"/>
                <w:highlight w:val="none"/>
                <w:u w:val="none" w:color="auto"/>
                <w:lang w:val="en-US" w:eastAsia="zh-CN"/>
              </w:rPr>
              <w:t>处理；生活污水经沉淀池、化粪池处理后运至</w:t>
            </w:r>
            <w:r>
              <w:rPr>
                <w:rFonts w:hint="eastAsia" w:ascii="Times New Roman" w:hAnsi="Times New Roman" w:cs="Times New Roman"/>
                <w:color w:val="auto"/>
                <w:sz w:val="24"/>
                <w:highlight w:val="none"/>
                <w:u w:val="none" w:color="auto"/>
                <w:lang w:val="en-US" w:eastAsia="zh-CN"/>
              </w:rPr>
              <w:t>祁阳鹏鹞水务有限公司白竹污水处理厂</w:t>
            </w:r>
            <w:r>
              <w:rPr>
                <w:rFonts w:hint="default" w:ascii="Times New Roman" w:hAnsi="Times New Roman" w:cs="Times New Roman"/>
                <w:color w:val="auto"/>
                <w:sz w:val="24"/>
                <w:highlight w:val="none"/>
                <w:u w:val="none" w:color="auto"/>
                <w:lang w:val="en-US" w:eastAsia="zh-CN"/>
              </w:rPr>
              <w:t>处理；</w:t>
            </w:r>
            <w:r>
              <w:rPr>
                <w:rFonts w:hint="eastAsia" w:cs="Times New Roman"/>
                <w:color w:val="auto"/>
                <w:sz w:val="24"/>
                <w:highlight w:val="none"/>
                <w:u w:val="none" w:color="auto"/>
                <w:lang w:val="en-US" w:eastAsia="zh-CN"/>
              </w:rPr>
              <w:t>两级水膜除尘</w:t>
            </w:r>
            <w:r>
              <w:rPr>
                <w:rFonts w:hint="default" w:ascii="Times New Roman" w:hAnsi="Times New Roman" w:cs="Times New Roman"/>
                <w:color w:val="auto"/>
                <w:sz w:val="24"/>
                <w:highlight w:val="none"/>
                <w:u w:val="none" w:color="auto"/>
                <w:lang w:val="en-US" w:eastAsia="zh-CN"/>
              </w:rPr>
              <w:t>废水经沉淀池处理后，循环使用，不外排。</w:t>
            </w:r>
          </w:p>
          <w:p w14:paraId="746BF728">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lang w:val="en-US" w:eastAsia="zh-CN"/>
              </w:rPr>
              <w:t>3</w:t>
            </w:r>
            <w:r>
              <w:rPr>
                <w:rFonts w:hint="default" w:ascii="Times New Roman" w:hAnsi="Times New Roman" w:cs="Times New Roman"/>
                <w:color w:val="auto"/>
                <w:sz w:val="24"/>
                <w:highlight w:val="none"/>
                <w:u w:val="none" w:color="auto"/>
              </w:rPr>
              <w:t>）供配电</w:t>
            </w:r>
          </w:p>
          <w:p w14:paraId="04E85B98">
            <w:pPr>
              <w:spacing w:line="360" w:lineRule="auto"/>
              <w:ind w:firstLine="480" w:firstLineChars="200"/>
              <w:rPr>
                <w:rFonts w:hint="default" w:ascii="Times New Roman" w:hAnsi="Times New Roman" w:cs="Times New Roman"/>
                <w:color w:val="auto"/>
                <w:sz w:val="24"/>
                <w:highlight w:val="none"/>
                <w:u w:val="none" w:color="auto"/>
              </w:rPr>
            </w:pPr>
            <w:r>
              <w:rPr>
                <w:rFonts w:hint="default" w:ascii="Times New Roman" w:hAnsi="Times New Roman" w:cs="Times New Roman"/>
                <w:color w:val="auto"/>
                <w:sz w:val="24"/>
                <w:highlight w:val="none"/>
                <w:u w:val="none" w:color="auto"/>
              </w:rPr>
              <w:t>本项目供电电源由市政供电网供应。</w:t>
            </w:r>
          </w:p>
          <w:p w14:paraId="6CE9C8BE">
            <w:pPr>
              <w:spacing w:line="360" w:lineRule="auto"/>
              <w:ind w:firstLine="480" w:firstLineChars="200"/>
              <w:rPr>
                <w:rFonts w:hint="default" w:ascii="Times New Roman" w:hAnsi="Times New Roman" w:cs="Times New Roman"/>
                <w:color w:val="auto"/>
                <w:sz w:val="24"/>
                <w:highlight w:val="none"/>
                <w:u w:val="none" w:color="auto"/>
                <w:lang w:eastAsia="zh-CN"/>
              </w:rPr>
            </w:pPr>
            <w:r>
              <w:rPr>
                <w:rFonts w:hint="default" w:ascii="Times New Roman" w:hAnsi="Times New Roman" w:cs="Times New Roman"/>
                <w:color w:val="auto"/>
                <w:sz w:val="24"/>
                <w:highlight w:val="none"/>
                <w:u w:val="none" w:color="auto"/>
                <w:lang w:eastAsia="zh-CN"/>
              </w:rPr>
              <w:t>（</w:t>
            </w:r>
            <w:r>
              <w:rPr>
                <w:rFonts w:hint="default" w:ascii="Times New Roman" w:hAnsi="Times New Roman" w:cs="Times New Roman"/>
                <w:color w:val="auto"/>
                <w:sz w:val="24"/>
                <w:highlight w:val="none"/>
                <w:u w:val="none" w:color="auto"/>
                <w:lang w:val="en-US" w:eastAsia="zh-CN"/>
              </w:rPr>
              <w:t>4</w:t>
            </w:r>
            <w:r>
              <w:rPr>
                <w:rFonts w:hint="default" w:ascii="Times New Roman" w:hAnsi="Times New Roman" w:cs="Times New Roman"/>
                <w:color w:val="auto"/>
                <w:sz w:val="24"/>
                <w:highlight w:val="none"/>
                <w:u w:val="none" w:color="auto"/>
                <w:lang w:eastAsia="zh-CN"/>
              </w:rPr>
              <w:t>）供热</w:t>
            </w:r>
          </w:p>
          <w:p w14:paraId="4E43B29D">
            <w:pPr>
              <w:spacing w:line="360" w:lineRule="auto"/>
              <w:ind w:firstLine="480" w:firstLineChars="200"/>
              <w:rPr>
                <w:rFonts w:hint="default" w:ascii="Times New Roman" w:hAnsi="Times New Roman" w:cs="Times New Roman"/>
                <w:color w:val="auto"/>
                <w:sz w:val="24"/>
                <w:highlight w:val="none"/>
                <w:u w:val="none" w:color="auto"/>
                <w:lang w:val="en-US" w:eastAsia="zh-CN"/>
              </w:rPr>
            </w:pPr>
            <w:r>
              <w:rPr>
                <w:rFonts w:hint="default" w:ascii="Times New Roman" w:hAnsi="Times New Roman" w:cs="Times New Roman"/>
                <w:color w:val="auto"/>
                <w:sz w:val="24"/>
                <w:highlight w:val="none"/>
                <w:u w:val="none" w:color="auto"/>
                <w:lang w:eastAsia="zh-CN"/>
              </w:rPr>
              <w:t>本项目能源为电和成型生物质燃料，现有项目用热为</w:t>
            </w:r>
            <w:r>
              <w:rPr>
                <w:rFonts w:hint="default" w:ascii="Times New Roman" w:hAnsi="Times New Roman" w:cs="Times New Roman"/>
                <w:color w:val="auto"/>
                <w:sz w:val="24"/>
                <w:highlight w:val="none"/>
                <w:u w:val="none" w:color="auto"/>
                <w:lang w:val="en-US" w:eastAsia="zh-CN"/>
              </w:rPr>
              <w:t>2t/h蒸汽锅炉。</w:t>
            </w:r>
          </w:p>
          <w:p w14:paraId="58407018">
            <w:pPr>
              <w:pStyle w:val="155"/>
              <w:keepNext w:val="0"/>
              <w:keepLines w:val="0"/>
              <w:pageBreakBefore w:val="0"/>
              <w:widowControl w:val="0"/>
              <w:kinsoku/>
              <w:wordWrap/>
              <w:overflowPunct/>
              <w:topLinePunct w:val="0"/>
              <w:autoSpaceDE/>
              <w:autoSpaceDN/>
              <w:bidi w:val="0"/>
              <w:adjustRightInd/>
              <w:snapToGrid/>
              <w:spacing w:before="120" w:line="360" w:lineRule="auto"/>
              <w:textAlignment w:val="auto"/>
              <w:rPr>
                <w:rFonts w:hint="default" w:ascii="Times New Roman" w:hAnsi="Times New Roman" w:cs="Times New Roman"/>
                <w:b/>
                <w:bCs/>
                <w:color w:val="auto"/>
                <w:spacing w:val="-4"/>
                <w:highlight w:val="none"/>
                <w:u w:val="none" w:color="auto"/>
                <w:lang w:val="en-US" w:eastAsia="zh-CN"/>
              </w:rPr>
            </w:pPr>
            <w:r>
              <w:rPr>
                <w:rFonts w:hint="default" w:ascii="Times New Roman" w:hAnsi="Times New Roman" w:cs="Times New Roman"/>
                <w:b/>
                <w:bCs/>
                <w:color w:val="auto"/>
                <w:spacing w:val="-4"/>
                <w:highlight w:val="none"/>
                <w:u w:val="none" w:color="auto"/>
                <w:lang w:val="en-US" w:eastAsia="zh-CN"/>
              </w:rPr>
              <w:t>三、现有项目生产工艺</w:t>
            </w:r>
          </w:p>
          <w:p w14:paraId="13821448">
            <w:pPr>
              <w:spacing w:line="360" w:lineRule="auto"/>
              <w:ind w:firstLine="480" w:firstLineChars="200"/>
              <w:rPr>
                <w:rFonts w:hint="default" w:ascii="Times New Roman" w:hAnsi="Times New Roman" w:cs="Times New Roman"/>
                <w:color w:val="auto"/>
                <w:sz w:val="24"/>
                <w:highlight w:val="none"/>
                <w:u w:val="none" w:color="auto"/>
                <w:lang w:val="en-US" w:eastAsia="zh-CN"/>
              </w:rPr>
            </w:pPr>
            <w:r>
              <w:rPr>
                <w:rFonts w:hint="default" w:ascii="Times New Roman" w:hAnsi="Times New Roman" w:cs="Times New Roman"/>
                <w:color w:val="auto"/>
                <w:sz w:val="24"/>
                <w:highlight w:val="none"/>
                <w:u w:val="none" w:color="auto"/>
                <w:lang w:val="en-US" w:eastAsia="zh-CN"/>
              </w:rPr>
              <w:t>1、生产工艺流程及产排污环节</w:t>
            </w:r>
          </w:p>
          <w:p w14:paraId="0E5CEB5C">
            <w:pPr>
              <w:spacing w:line="360" w:lineRule="auto"/>
              <w:ind w:firstLine="480" w:firstLineChars="200"/>
              <w:rPr>
                <w:rFonts w:hint="default" w:ascii="Times New Roman" w:hAnsi="Times New Roman" w:cs="Times New Roman"/>
                <w:color w:val="auto"/>
                <w:sz w:val="24"/>
                <w:highlight w:val="none"/>
                <w:u w:val="none" w:color="auto"/>
                <w:lang w:val="en-US" w:eastAsia="zh-CN"/>
              </w:rPr>
            </w:pPr>
            <w:r>
              <w:rPr>
                <w:rFonts w:hint="default" w:ascii="Times New Roman" w:hAnsi="Times New Roman" w:cs="Times New Roman"/>
                <w:color w:val="auto"/>
                <w:sz w:val="24"/>
                <w:highlight w:val="none"/>
                <w:u w:val="none" w:color="auto"/>
                <w:lang w:val="en-US" w:eastAsia="zh-CN"/>
              </w:rPr>
              <w:t>现有项目技改前生产工艺详见下图。</w:t>
            </w:r>
          </w:p>
          <w:p w14:paraId="0A0889A8">
            <w:pPr>
              <w:pStyle w:val="19"/>
              <w:widowControl w:val="0"/>
              <w:snapToGrid/>
              <w:spacing w:before="0" w:after="0" w:line="360" w:lineRule="auto"/>
              <w:ind w:right="0"/>
              <w:jc w:val="center"/>
              <w:rPr>
                <w:rFonts w:hint="default" w:ascii="Times New Roman" w:hAnsi="Times New Roman" w:cs="Times New Roman"/>
                <w:b/>
                <w:bCs/>
                <w:color w:val="auto"/>
                <w:sz w:val="21"/>
                <w:szCs w:val="21"/>
                <w:highlight w:val="none"/>
                <w:u w:val="none" w:color="auto"/>
              </w:rPr>
            </w:pPr>
            <w:r>
              <w:rPr>
                <w:rFonts w:hint="default" w:ascii="Times New Roman" w:hAnsi="Times New Roman" w:cs="Times New Roman"/>
                <w:color w:val="auto"/>
                <w:highlight w:val="none"/>
              </w:rPr>
              <w:object>
                <v:shape id="_x0000_i1025" o:spt="75" type="#_x0000_t75" style="height:125.55pt;width:434.2pt;" o:ole="t" filled="f" o:preferrelative="t" stroked="f" coordsize="21600,21600">
                  <v:path/>
                  <v:fill on="f" focussize="0,0"/>
                  <v:stroke on="f"/>
                  <v:imagedata r:id="rId10" o:title=""/>
                  <o:lock v:ext="edit" aspectratio="t"/>
                  <w10:wrap type="none"/>
                  <w10:anchorlock/>
                </v:shape>
                <o:OLEObject Type="Embed" ProgID="Visio.Drawing.11" ShapeID="_x0000_i1025" DrawAspect="Content" ObjectID="_1468075725" r:id="rId9">
                  <o:LockedField>false</o:LockedField>
                </o:OLEObject>
              </w:object>
            </w:r>
            <w:r>
              <w:rPr>
                <w:rFonts w:hint="default" w:ascii="Times New Roman" w:hAnsi="Times New Roman" w:cs="Times New Roman"/>
                <w:b/>
                <w:bCs/>
                <w:color w:val="auto"/>
                <w:sz w:val="21"/>
                <w:szCs w:val="21"/>
                <w:highlight w:val="none"/>
                <w:u w:val="none" w:color="auto"/>
              </w:rPr>
              <w:t>图2-</w:t>
            </w:r>
            <w:r>
              <w:rPr>
                <w:rFonts w:hint="default" w:ascii="Times New Roman" w:hAnsi="Times New Roman" w:cs="Times New Roman"/>
                <w:b/>
                <w:bCs/>
                <w:color w:val="auto"/>
                <w:sz w:val="21"/>
                <w:szCs w:val="21"/>
                <w:highlight w:val="none"/>
                <w:u w:val="none" w:color="auto"/>
                <w:lang w:val="en-US" w:eastAsia="zh-CN"/>
              </w:rPr>
              <w:t xml:space="preserve">2 </w:t>
            </w:r>
            <w:r>
              <w:rPr>
                <w:rFonts w:hint="default" w:ascii="Times New Roman" w:hAnsi="Times New Roman" w:cs="Times New Roman"/>
                <w:b/>
                <w:bCs/>
                <w:color w:val="auto"/>
                <w:sz w:val="21"/>
                <w:szCs w:val="21"/>
                <w:highlight w:val="none"/>
                <w:u w:val="none" w:color="auto"/>
              </w:rPr>
              <w:t xml:space="preserve"> </w:t>
            </w:r>
            <w:r>
              <w:rPr>
                <w:rFonts w:hint="default" w:ascii="Times New Roman" w:hAnsi="Times New Roman" w:cs="Times New Roman"/>
                <w:b/>
                <w:bCs/>
                <w:color w:val="auto"/>
                <w:sz w:val="21"/>
                <w:szCs w:val="21"/>
                <w:highlight w:val="none"/>
                <w:u w:val="none" w:color="auto"/>
                <w:lang w:val="en-US" w:eastAsia="zh-CN"/>
              </w:rPr>
              <w:t>现有</w:t>
            </w:r>
            <w:r>
              <w:rPr>
                <w:rFonts w:hint="default" w:ascii="Times New Roman" w:hAnsi="Times New Roman" w:cs="Times New Roman"/>
                <w:b/>
                <w:bCs/>
                <w:color w:val="auto"/>
                <w:sz w:val="21"/>
                <w:szCs w:val="21"/>
                <w:highlight w:val="none"/>
                <w:u w:val="none" w:color="auto"/>
              </w:rPr>
              <w:t>项目</w:t>
            </w:r>
            <w:r>
              <w:rPr>
                <w:rFonts w:hint="default" w:ascii="Times New Roman" w:hAnsi="Times New Roman" w:cs="Times New Roman"/>
                <w:b/>
                <w:bCs/>
                <w:color w:val="auto"/>
                <w:sz w:val="21"/>
                <w:szCs w:val="21"/>
                <w:highlight w:val="none"/>
                <w:u w:val="none" w:color="auto"/>
                <w:lang w:eastAsia="zh-CN"/>
              </w:rPr>
              <w:t>生产</w:t>
            </w:r>
            <w:r>
              <w:rPr>
                <w:rFonts w:hint="default" w:ascii="Times New Roman" w:hAnsi="Times New Roman" w:cs="Times New Roman"/>
                <w:b/>
                <w:bCs/>
                <w:color w:val="auto"/>
                <w:sz w:val="21"/>
                <w:szCs w:val="21"/>
                <w:highlight w:val="none"/>
                <w:u w:val="none" w:color="auto"/>
              </w:rPr>
              <w:t>工艺流程及产污节点图</w:t>
            </w:r>
          </w:p>
          <w:p w14:paraId="093B6257">
            <w:pPr>
              <w:spacing w:line="360" w:lineRule="auto"/>
              <w:ind w:firstLine="480" w:firstLineChars="200"/>
              <w:rPr>
                <w:rFonts w:hint="default" w:ascii="Times New Roman" w:hAnsi="Times New Roman" w:cs="Times New Roman"/>
                <w:color w:val="auto"/>
                <w:sz w:val="24"/>
                <w:highlight w:val="none"/>
                <w:u w:val="none" w:color="auto"/>
                <w:lang w:val="en-US" w:eastAsia="zh-CN"/>
              </w:rPr>
            </w:pPr>
            <w:r>
              <w:rPr>
                <w:rFonts w:hint="default" w:ascii="Times New Roman" w:hAnsi="Times New Roman" w:cs="Times New Roman"/>
                <w:color w:val="auto"/>
                <w:sz w:val="24"/>
                <w:highlight w:val="none"/>
                <w:u w:val="none" w:color="auto"/>
                <w:lang w:val="en-US" w:eastAsia="zh-CN"/>
              </w:rPr>
              <w:t>2、工艺流程说明</w:t>
            </w:r>
          </w:p>
          <w:p w14:paraId="2C5CFCDE">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（1）压榨油茶饼储存与输送</w:t>
            </w:r>
          </w:p>
          <w:p w14:paraId="1FA3D289">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茶油饼经破碎投加到存料箱中，为了起到料封作用，要求存料量保持80%以上。</w:t>
            </w:r>
          </w:p>
          <w:p w14:paraId="3053AC70">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（2）烘干</w:t>
            </w:r>
          </w:p>
          <w:p w14:paraId="694E2D93">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破碎后的茶油饼通过平板烘干机进行烘干，烘干温度为50~60℃，烘干后茶籽含水率12~14%。为了防止浸出器内浸出溶剂空气从进料口中流出，采用封闭绞龙输送茶饼至浸出器。</w:t>
            </w:r>
          </w:p>
          <w:p w14:paraId="1DADB00B">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（3）浸出</w:t>
            </w:r>
          </w:p>
          <w:p w14:paraId="129E9BFB">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浸出器采用正己烷作为浸出溶剂，正己烷只是充当介质作用，浸出完成后，部分进入茶粕、少量挥发损耗，其它全部回收再利用。浸出工序具体操作过程如下：启动浸出器，使转动体运转，然后依次启动封闭绞笼，进料刮板，调节进料速度；观察已进料的料格在各喷淋管下溶剂的喷淋情况和渗滤情况，调节喷淋量，防止溶剂在料格上面溢流或料层表面无溶剂层；待设备走入正常后，按进料量和溶剂比，通过流量计控制溶剂流量，调节新鲜溶剂的喷淋量；严格控制打入浸出器的新鲜溶剂中不能混有水，否则溶剂不能渗透，料格不能掉料，严重影响生产正常进行，正常生产时，浸出器的温度在50℃~55℃左右。采用蒸汽加热作为加热热源。</w:t>
            </w:r>
          </w:p>
          <w:p w14:paraId="3E0283C0">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（4）湿粕脱溶</w:t>
            </w:r>
          </w:p>
          <w:p w14:paraId="0AD1FE64">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茶饼经浸出后形成湿粕，湿粕中含有大量的浸出剂正己烷，需要脱出回收。湿粕脱溶具体操作过程如下：开启湿粕脱溶灌的搅拌装置，打开冷结水阀门，然后打开蒸汽阀门，预热设备；调节直接蒸汽阀门压力，然后进湿粕，观察蒸脱机顶部气相温度来调节直接蒸汽压力，使气相温度在70℃~80℃；控制喷入料层的直接蒸气不能带水，防止粕水分过高而结团。</w:t>
            </w:r>
          </w:p>
          <w:p w14:paraId="6E55E626">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（5）溶剂回收</w:t>
            </w:r>
          </w:p>
          <w:p w14:paraId="6DC51351">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从浸出器泵出的混合油（油脂与溶剂组成的溶液）经蒸发和汽提处理，使油脂与溶剂分离。首先将混合粕通过蒸汽间接加热进行两次蒸发，使绝大部分溶剂汽化而与油脂分离；然后，再利用油脂与溶剂挥发性的不同，将浓混合油进行水蒸气蒸馏（即汽提），把汽油中残留溶剂蒸馏出去，从而获得含溶剂量很低的浸出毛油。</w:t>
            </w:r>
          </w:p>
          <w:p w14:paraId="4C099D87">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eastAsia="宋体" w:cs="Times New Roman"/>
                <w:b/>
                <w:bCs/>
                <w:color w:val="auto"/>
                <w:sz w:val="24"/>
                <w:highlight w:val="none"/>
                <w:u w:val="none" w:color="auto"/>
              </w:rPr>
            </w:pPr>
            <w:r>
              <w:rPr>
                <w:rFonts w:hint="default" w:ascii="Times New Roman" w:hAnsi="Times New Roman" w:eastAsia="宋体" w:cs="Times New Roman"/>
                <w:b/>
                <w:bCs/>
                <w:color w:val="auto"/>
                <w:sz w:val="24"/>
                <w:highlight w:val="none"/>
                <w:u w:val="none" w:color="auto"/>
                <w:lang w:val="en-US" w:eastAsia="zh-CN"/>
              </w:rPr>
              <w:t>四</w:t>
            </w:r>
            <w:r>
              <w:rPr>
                <w:rFonts w:hint="default" w:ascii="Times New Roman" w:hAnsi="Times New Roman" w:eastAsia="宋体" w:cs="Times New Roman"/>
                <w:b/>
                <w:bCs/>
                <w:color w:val="auto"/>
                <w:sz w:val="24"/>
                <w:highlight w:val="none"/>
                <w:u w:val="none" w:color="auto"/>
              </w:rPr>
              <w:t>、现有项目污染物排放及达标情况</w:t>
            </w:r>
          </w:p>
          <w:p w14:paraId="1E86A5DA">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1、废水污染源</w:t>
            </w:r>
          </w:p>
          <w:p w14:paraId="52C97794">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现有工程营运期废水主要有员工生活污水、设备清洗废水、地面清洗废水、水膜除尘废水、锅炉循环水。</w:t>
            </w:r>
          </w:p>
          <w:p w14:paraId="45C60789">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其中锅炉循环水循环使用，不外排；设备清洗产生的清洗废水经沉淀池、化粪池处理后运至</w:t>
            </w:r>
            <w:r>
              <w:rPr>
                <w:rFonts w:hint="eastAsia" w:ascii="Times New Roman" w:hAnsi="Times New Roman" w:cs="Times New Roman"/>
                <w:color w:val="auto"/>
                <w:spacing w:val="-1"/>
                <w:highlight w:val="none"/>
                <w:u w:val="none" w:color="auto"/>
                <w:lang w:val="en-US" w:eastAsia="zh-CN"/>
              </w:rPr>
              <w:t>祁阳鹏鹞水务有限公司白竹污水处理厂</w:t>
            </w:r>
            <w:r>
              <w:rPr>
                <w:rFonts w:hint="default" w:ascii="Times New Roman" w:hAnsi="Times New Roman" w:cs="Times New Roman"/>
                <w:color w:val="auto"/>
                <w:spacing w:val="-1"/>
                <w:highlight w:val="none"/>
                <w:u w:val="none" w:color="auto"/>
                <w:lang w:val="en-US" w:eastAsia="zh-CN"/>
              </w:rPr>
              <w:t>处理；地面清洗产生的清洗废水经沉淀池、化粪池处理后运至</w:t>
            </w:r>
            <w:r>
              <w:rPr>
                <w:rFonts w:hint="eastAsia" w:ascii="Times New Roman" w:hAnsi="Times New Roman" w:cs="Times New Roman"/>
                <w:color w:val="auto"/>
                <w:spacing w:val="-1"/>
                <w:highlight w:val="none"/>
                <w:u w:val="none" w:color="auto"/>
                <w:lang w:val="en-US" w:eastAsia="zh-CN"/>
              </w:rPr>
              <w:t>祁阳鹏鹞水务有限公司白竹污水处理厂</w:t>
            </w:r>
            <w:r>
              <w:rPr>
                <w:rFonts w:hint="default" w:ascii="Times New Roman" w:hAnsi="Times New Roman" w:cs="Times New Roman"/>
                <w:color w:val="auto"/>
                <w:spacing w:val="-1"/>
                <w:highlight w:val="none"/>
                <w:u w:val="none" w:color="auto"/>
                <w:lang w:val="en-US" w:eastAsia="zh-CN"/>
              </w:rPr>
              <w:t>处理</w:t>
            </w:r>
            <w:r>
              <w:rPr>
                <w:rFonts w:hint="eastAsia" w:ascii="Times New Roman" w:hAnsi="Times New Roman" w:cs="Times New Roman"/>
                <w:color w:val="auto"/>
                <w:spacing w:val="-1"/>
                <w:highlight w:val="none"/>
                <w:u w:val="none" w:color="auto"/>
                <w:lang w:val="en-US" w:eastAsia="zh-CN"/>
              </w:rPr>
              <w:t>（详见附件6）</w:t>
            </w:r>
            <w:r>
              <w:rPr>
                <w:rFonts w:hint="default" w:ascii="Times New Roman" w:hAnsi="Times New Roman" w:cs="Times New Roman"/>
                <w:color w:val="auto"/>
                <w:spacing w:val="-1"/>
                <w:highlight w:val="none"/>
                <w:u w:val="none" w:color="auto"/>
                <w:lang w:val="en-US" w:eastAsia="zh-CN"/>
              </w:rPr>
              <w:t>；本项目生活污水经沉淀池、化粪池处理后运至</w:t>
            </w:r>
            <w:r>
              <w:rPr>
                <w:rFonts w:hint="eastAsia" w:ascii="Times New Roman" w:hAnsi="Times New Roman" w:cs="Times New Roman"/>
                <w:color w:val="auto"/>
                <w:spacing w:val="-1"/>
                <w:highlight w:val="none"/>
                <w:u w:val="none" w:color="auto"/>
                <w:lang w:val="en-US" w:eastAsia="zh-CN"/>
              </w:rPr>
              <w:t>祁阳鹏鹞水务有限公司白竹污水处理厂</w:t>
            </w:r>
            <w:r>
              <w:rPr>
                <w:rFonts w:hint="default" w:ascii="Times New Roman" w:hAnsi="Times New Roman" w:cs="Times New Roman"/>
                <w:color w:val="auto"/>
                <w:spacing w:val="-1"/>
                <w:highlight w:val="none"/>
                <w:u w:val="none" w:color="auto"/>
                <w:lang w:val="en-US" w:eastAsia="zh-CN"/>
              </w:rPr>
              <w:t>处理；水膜除尘废水经沉淀池处理后，循环使用，不外排。</w:t>
            </w:r>
          </w:p>
          <w:p w14:paraId="702E4C9A">
            <w:pPr>
              <w:pStyle w:val="155"/>
              <w:spacing w:before="36" w:line="359" w:lineRule="auto"/>
              <w:ind w:left="102" w:right="97" w:firstLine="455"/>
              <w:jc w:val="both"/>
              <w:rPr>
                <w:rFonts w:hint="default" w:ascii="Times New Roman" w:hAnsi="Times New Roman" w:eastAsia="宋体"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祁阳市白竹污水处理工程（即原祁阳县城南污水处理工程）位于观音滩镇白竹新村，主要是接收城南新区和东江片区的工业污水和生活污水，服务范围为为城南和东江规划区范围，总面积为28.15km²。该污水处理厂计划分三期建设，总规模为8.0×104m</w:t>
            </w:r>
            <w:r>
              <w:rPr>
                <w:rFonts w:hint="default" w:ascii="Times New Roman" w:hAnsi="Times New Roman" w:cs="Times New Roman"/>
                <w:color w:val="auto"/>
                <w:spacing w:val="-1"/>
                <w:highlight w:val="none"/>
                <w:u w:val="none" w:color="auto"/>
                <w:vertAlign w:val="superscript"/>
                <w:lang w:val="en-US" w:eastAsia="zh-CN"/>
              </w:rPr>
              <w:t>3</w:t>
            </w:r>
            <w:r>
              <w:rPr>
                <w:rFonts w:hint="default" w:ascii="Times New Roman" w:hAnsi="Times New Roman" w:cs="Times New Roman"/>
                <w:color w:val="auto"/>
                <w:spacing w:val="-1"/>
                <w:highlight w:val="none"/>
                <w:u w:val="none" w:color="auto"/>
                <w:lang w:val="en-US" w:eastAsia="zh-CN"/>
              </w:rPr>
              <w:t>/d，其中一期工程已于2018年3月建成运行，规模为2.5×104m</w:t>
            </w:r>
            <w:r>
              <w:rPr>
                <w:rFonts w:hint="default" w:ascii="Times New Roman" w:hAnsi="Times New Roman" w:cs="Times New Roman"/>
                <w:color w:val="auto"/>
                <w:spacing w:val="-1"/>
                <w:highlight w:val="none"/>
                <w:u w:val="none" w:color="auto"/>
                <w:vertAlign w:val="superscript"/>
                <w:lang w:val="en-US" w:eastAsia="zh-CN"/>
              </w:rPr>
              <w:t>3</w:t>
            </w:r>
            <w:r>
              <w:rPr>
                <w:rFonts w:hint="default" w:ascii="Times New Roman" w:hAnsi="Times New Roman" w:cs="Times New Roman"/>
                <w:color w:val="auto"/>
                <w:spacing w:val="-1"/>
                <w:highlight w:val="none"/>
                <w:u w:val="none" w:color="auto"/>
                <w:lang w:val="en-US" w:eastAsia="zh-CN"/>
              </w:rPr>
              <w:t>/d，占地面积9523m</w:t>
            </w:r>
            <w:r>
              <w:rPr>
                <w:rFonts w:hint="default" w:ascii="Times New Roman" w:hAnsi="Times New Roman" w:cs="Times New Roman"/>
                <w:color w:val="auto"/>
                <w:spacing w:val="-1"/>
                <w:highlight w:val="none"/>
                <w:u w:val="none" w:color="auto"/>
                <w:vertAlign w:val="superscript"/>
                <w:lang w:val="en-US" w:eastAsia="zh-CN"/>
              </w:rPr>
              <w:t>2</w:t>
            </w:r>
            <w:r>
              <w:rPr>
                <w:rFonts w:hint="default" w:ascii="Times New Roman" w:hAnsi="Times New Roman" w:cs="Times New Roman"/>
                <w:color w:val="auto"/>
                <w:spacing w:val="-1"/>
                <w:highlight w:val="none"/>
                <w:u w:val="none" w:color="auto"/>
                <w:lang w:val="en-US" w:eastAsia="zh-CN"/>
              </w:rPr>
              <w:t>。一期工程采用“粗格栅及提升泵站+细格栅+旋流沉砂池+事故调节池+水解酸化池+BDP生物倍增池+高效沉淀池+高效纤维束滤池+二氧化氯消毒”工艺，出水执行《城镇污水处理厂污染物排放标准》（GB18918-2002）一级A标准，尾水排放至东侧湘江-祁阳开发利用</w:t>
            </w:r>
            <w:r>
              <w:rPr>
                <w:rFonts w:hint="default" w:ascii="Times New Roman" w:hAnsi="Times New Roman" w:cs="Times New Roman"/>
                <w:sz w:val="24"/>
                <w:lang w:val="en-US" w:eastAsia="zh-CN"/>
              </w:rPr>
              <w:t>区</w:t>
            </w:r>
            <w:r>
              <w:rPr>
                <w:rFonts w:hint="eastAsia" w:ascii="Times New Roman" w:hAnsi="Times New Roman" w:cs="Times New Roman"/>
                <w:sz w:val="24"/>
                <w:lang w:val="en-US" w:eastAsia="zh-CN"/>
              </w:rPr>
              <w:t>，</w:t>
            </w:r>
            <w:r>
              <w:rPr>
                <w:rFonts w:hint="default" w:ascii="Times New Roman" w:hAnsi="Times New Roman" w:cs="Times New Roman"/>
                <w:sz w:val="24"/>
                <w:lang w:val="en-US" w:eastAsia="zh-CN"/>
              </w:rPr>
              <w:t>共</w:t>
            </w:r>
            <w:r>
              <w:rPr>
                <w:rFonts w:hint="default" w:ascii="Times New Roman" w:hAnsi="Times New Roman" w:cs="Times New Roman"/>
                <w:sz w:val="24"/>
              </w:rPr>
              <w:t>敷设配套污水管网总长度</w:t>
            </w:r>
            <w:r>
              <w:rPr>
                <w:rFonts w:hint="default" w:ascii="Times New Roman" w:hAnsi="Times New Roman" w:cs="Times New Roman"/>
                <w:sz w:val="24"/>
                <w:lang w:val="en-US" w:eastAsia="zh-CN"/>
              </w:rPr>
              <w:t>32880</w:t>
            </w:r>
            <w:r>
              <w:rPr>
                <w:rFonts w:hint="default" w:ascii="Times New Roman" w:hAnsi="Times New Roman" w:cs="Times New Roman"/>
                <w:sz w:val="24"/>
              </w:rPr>
              <w:t>m。</w:t>
            </w:r>
            <w:r>
              <w:rPr>
                <w:rFonts w:hint="default" w:ascii="Times New Roman" w:hAnsi="Times New Roman" w:eastAsia="宋体" w:cs="Times New Roman"/>
                <w:color w:val="auto"/>
                <w:spacing w:val="-1"/>
                <w:highlight w:val="none"/>
                <w:u w:val="none" w:color="auto"/>
                <w:lang w:val="en-US" w:eastAsia="zh-CN"/>
              </w:rPr>
              <w:t>2013年11月15日，永州市原环境保护局以永环评〔2013〕101号文</w:t>
            </w:r>
            <w:r>
              <w:rPr>
                <w:rFonts w:hint="eastAsia" w:ascii="Times New Roman" w:hAnsi="Times New Roman" w:eastAsia="宋体" w:cs="Times New Roman"/>
                <w:color w:val="auto"/>
                <w:spacing w:val="-1"/>
                <w:highlight w:val="none"/>
                <w:u w:val="none" w:color="auto"/>
                <w:lang w:val="en-US" w:eastAsia="zh-CN"/>
              </w:rPr>
              <w:t>对</w:t>
            </w:r>
            <w:r>
              <w:rPr>
                <w:rFonts w:hint="default" w:ascii="Times New Roman" w:hAnsi="Times New Roman" w:eastAsia="宋体" w:cs="Times New Roman"/>
                <w:color w:val="auto"/>
                <w:spacing w:val="-1"/>
                <w:highlight w:val="none"/>
                <w:u w:val="none" w:color="auto"/>
                <w:lang w:val="en-US" w:eastAsia="zh-CN"/>
              </w:rPr>
              <w:t>《祁阳县城镇投资管理中心祁阳县城南污水处理工程环境影响报告表》予以环评批复。2019年6月，将原祁阳县城南污水处理工程原环评及批复中污水处理工艺、出水水质等方面的内容进行变更</w:t>
            </w:r>
            <w:r>
              <w:rPr>
                <w:rFonts w:hint="eastAsia" w:ascii="Times New Roman" w:hAnsi="Times New Roman" w:eastAsia="宋体" w:cs="Times New Roman"/>
                <w:color w:val="auto"/>
                <w:spacing w:val="-1"/>
                <w:highlight w:val="none"/>
                <w:u w:val="none" w:color="auto"/>
                <w:lang w:val="en-US" w:eastAsia="zh-CN"/>
              </w:rPr>
              <w:t>为</w:t>
            </w:r>
            <w:r>
              <w:rPr>
                <w:rFonts w:hint="default" w:ascii="Times New Roman" w:hAnsi="Times New Roman" w:eastAsia="宋体" w:cs="Times New Roman"/>
                <w:color w:val="auto"/>
                <w:spacing w:val="-1"/>
                <w:highlight w:val="none"/>
                <w:u w:val="none" w:color="auto"/>
                <w:lang w:val="en-US" w:eastAsia="zh-CN"/>
              </w:rPr>
              <w:t>祁阳市白竹污水处理工程，永州市生态环境局祁阳分局</w:t>
            </w:r>
            <w:r>
              <w:rPr>
                <w:rFonts w:hint="eastAsia" w:ascii="Times New Roman" w:hAnsi="Times New Roman" w:eastAsia="宋体" w:cs="Times New Roman"/>
                <w:color w:val="auto"/>
                <w:spacing w:val="-1"/>
                <w:highlight w:val="none"/>
                <w:u w:val="none" w:color="auto"/>
                <w:lang w:val="en-US" w:eastAsia="zh-CN"/>
              </w:rPr>
              <w:t>于</w:t>
            </w:r>
            <w:r>
              <w:rPr>
                <w:rFonts w:hint="default" w:ascii="Times New Roman" w:hAnsi="Times New Roman" w:eastAsia="宋体" w:cs="Times New Roman"/>
                <w:color w:val="auto"/>
                <w:spacing w:val="-1"/>
                <w:highlight w:val="none"/>
                <w:u w:val="none" w:color="auto"/>
                <w:lang w:val="en-US" w:eastAsia="zh-CN"/>
              </w:rPr>
              <w:t>2019年9月11日以祁环评〔2019〕55号文予以环评批复。一期工程已于2019年11月通过竣工环境保护验收。</w:t>
            </w:r>
            <w:r>
              <w:rPr>
                <w:rFonts w:hint="default" w:ascii="Times New Roman" w:hAnsi="Times New Roman" w:cs="Times New Roman"/>
                <w:sz w:val="24"/>
              </w:rPr>
              <w:t>目前，本项目各生产设备运行稳定，各环保设施运行正常</w:t>
            </w:r>
            <w:r>
              <w:rPr>
                <w:rFonts w:hint="default" w:ascii="Times New Roman" w:hAnsi="Times New Roman" w:cs="Times New Roman"/>
                <w:sz w:val="24"/>
                <w:lang w:eastAsia="zh-CN"/>
              </w:rPr>
              <w:t>，</w:t>
            </w:r>
            <w:r>
              <w:rPr>
                <w:rFonts w:hint="default" w:ascii="Times New Roman" w:hAnsi="Times New Roman" w:cs="Times New Roman"/>
                <w:sz w:val="24"/>
                <w:lang w:val="en-US" w:eastAsia="zh-CN"/>
              </w:rPr>
              <w:t>出水能稳定达到</w:t>
            </w:r>
            <w:r>
              <w:rPr>
                <w:rFonts w:hint="default" w:ascii="Times New Roman" w:hAnsi="Times New Roman" w:cs="Times New Roman"/>
                <w:sz w:val="24"/>
              </w:rPr>
              <w:t>《城镇污水处理厂污染物排放标准》（GB18918-2002）一级A标准</w:t>
            </w:r>
            <w:r>
              <w:rPr>
                <w:rFonts w:hint="default" w:ascii="Times New Roman" w:hAnsi="Times New Roman" w:cs="Times New Roman"/>
                <w:sz w:val="24"/>
                <w:lang w:eastAsia="zh-CN"/>
              </w:rPr>
              <w:t>。</w:t>
            </w:r>
          </w:p>
          <w:p w14:paraId="27189149">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2、废气污染源</w:t>
            </w:r>
          </w:p>
          <w:p w14:paraId="5AF33D6C">
            <w:pPr>
              <w:pStyle w:val="155"/>
              <w:spacing w:before="36" w:line="359" w:lineRule="auto"/>
              <w:ind w:left="102" w:right="97" w:firstLine="455"/>
              <w:jc w:val="both"/>
              <w:rPr>
                <w:rFonts w:hint="default" w:ascii="Times New Roman" w:hAnsi="Times New Roman" w:eastAsia="宋体" w:cs="Times New Roman"/>
                <w:color w:val="auto"/>
                <w:spacing w:val="-1"/>
                <w:highlight w:val="none"/>
                <w:u w:val="none" w:color="auto"/>
                <w:lang w:val="en-US" w:eastAsia="zh-CN"/>
              </w:rPr>
            </w:pPr>
            <w:r>
              <w:rPr>
                <w:rFonts w:hint="default" w:ascii="Times New Roman" w:hAnsi="Times New Roman" w:eastAsia="宋体" w:cs="Times New Roman"/>
                <w:color w:val="auto"/>
                <w:spacing w:val="-1"/>
                <w:highlight w:val="none"/>
                <w:u w:val="none" w:color="auto"/>
                <w:lang w:val="en-US" w:eastAsia="zh-CN"/>
              </w:rPr>
              <w:t>员工均为周边居民，不在厂区就餐，项目不设食堂。营运期大气污染源主要来源于茶油饼破碎过程产生的粉尘、浸出工段产生的溶剂废气、湿粕脱溶过程及混合油在蒸发、汽提过程中产生的溶剂废气，锅炉产生的锅炉烟气等。</w:t>
            </w:r>
          </w:p>
          <w:p w14:paraId="07AD3C6D">
            <w:pPr>
              <w:pStyle w:val="155"/>
              <w:spacing w:before="36" w:line="359" w:lineRule="auto"/>
              <w:ind w:left="102" w:right="97" w:firstLine="455"/>
              <w:jc w:val="both"/>
              <w:rPr>
                <w:rFonts w:hint="default" w:ascii="Times New Roman" w:hAnsi="Times New Roman" w:eastAsia="宋体" w:cs="Times New Roman"/>
                <w:color w:val="auto"/>
                <w:spacing w:val="-1"/>
                <w:highlight w:val="none"/>
                <w:u w:val="none" w:color="auto"/>
                <w:lang w:val="en-US" w:eastAsia="zh-CN"/>
              </w:rPr>
            </w:pPr>
            <w:r>
              <w:rPr>
                <w:rFonts w:hint="default" w:ascii="Times New Roman" w:hAnsi="Times New Roman" w:eastAsia="宋体" w:cs="Times New Roman"/>
                <w:color w:val="auto"/>
                <w:spacing w:val="-1"/>
                <w:highlight w:val="none"/>
                <w:u w:val="none" w:color="auto"/>
                <w:lang w:val="en-US" w:eastAsia="zh-CN"/>
              </w:rPr>
              <w:t>其中茶油饼破碎在密闭车间内进行，并在车间内安装排气扇，加强车间通风，稀释扩散，减轻粉尘对周边环境的影响；浸出工段以及湿粕脱溶及混合油蒸发、汽提过程均在密闭车间内进行，</w:t>
            </w:r>
            <w:r>
              <w:rPr>
                <w:rFonts w:hint="eastAsia"/>
                <w:color w:val="auto"/>
                <w:highlight w:val="none"/>
                <w:u w:val="none"/>
                <w:lang w:val="en-US" w:eastAsia="zh-CN"/>
              </w:rPr>
              <w:t>主要污染物为非甲烷总烃，</w:t>
            </w:r>
            <w:r>
              <w:rPr>
                <w:rFonts w:hint="default" w:ascii="Times New Roman" w:hAnsi="Times New Roman" w:eastAsia="宋体" w:cs="Times New Roman"/>
                <w:color w:val="auto"/>
                <w:spacing w:val="-1"/>
                <w:highlight w:val="none"/>
                <w:u w:val="none" w:color="auto"/>
                <w:lang w:val="en-US" w:eastAsia="zh-CN"/>
              </w:rPr>
              <w:t>产生的溶剂废气</w:t>
            </w:r>
            <w:r>
              <w:rPr>
                <w:rFonts w:hint="eastAsia" w:ascii="Times New Roman" w:hAnsi="Times New Roman" w:cs="Times New Roman"/>
                <w:color w:val="auto"/>
                <w:spacing w:val="-1"/>
                <w:highlight w:val="none"/>
                <w:u w:val="none" w:color="auto"/>
                <w:lang w:val="en-US" w:eastAsia="zh-CN"/>
              </w:rPr>
              <w:t>经收集后</w:t>
            </w:r>
            <w:r>
              <w:rPr>
                <w:rFonts w:hint="default" w:ascii="Times New Roman" w:hAnsi="Times New Roman" w:eastAsia="宋体" w:cs="Times New Roman"/>
                <w:color w:val="auto"/>
                <w:spacing w:val="-1"/>
                <w:highlight w:val="none"/>
                <w:u w:val="none" w:color="auto"/>
                <w:lang w:val="en-US" w:eastAsia="zh-CN"/>
              </w:rPr>
              <w:t>通过15m排气筒排放</w:t>
            </w:r>
            <w:r>
              <w:rPr>
                <w:rFonts w:hint="default" w:ascii="Times New Roman" w:hAnsi="Times New Roman" w:cs="Times New Roman"/>
                <w:color w:val="auto"/>
                <w:spacing w:val="-1"/>
                <w:highlight w:val="none"/>
                <w:u w:val="none" w:color="auto"/>
                <w:lang w:val="en-US" w:eastAsia="zh-CN"/>
              </w:rPr>
              <w:t>；</w:t>
            </w:r>
            <w:r>
              <w:rPr>
                <w:rFonts w:hint="default" w:ascii="Times New Roman" w:hAnsi="Times New Roman" w:eastAsia="宋体" w:cs="Times New Roman"/>
                <w:color w:val="auto"/>
                <w:spacing w:val="-1"/>
                <w:highlight w:val="none"/>
                <w:u w:val="none" w:color="auto"/>
                <w:lang w:val="en-US" w:eastAsia="zh-CN"/>
              </w:rPr>
              <w:t>锅炉烟气通过两级水膜除尘器处理后，经35m高排气筒排放。</w:t>
            </w:r>
          </w:p>
          <w:p w14:paraId="79001C94">
            <w:pPr>
              <w:pStyle w:val="155"/>
              <w:spacing w:before="36" w:line="359" w:lineRule="auto"/>
              <w:ind w:left="102" w:right="97" w:firstLine="455"/>
              <w:jc w:val="both"/>
              <w:rPr>
                <w:rFonts w:hint="default" w:ascii="Times New Roman" w:hAnsi="Times New Roman" w:eastAsia="宋体" w:cs="Times New Roman"/>
                <w:color w:val="auto"/>
                <w:spacing w:val="-1"/>
                <w:highlight w:val="none"/>
                <w:u w:val="none" w:color="auto"/>
                <w:lang w:val="en-US" w:eastAsia="zh-CN"/>
              </w:rPr>
            </w:pPr>
            <w:r>
              <w:rPr>
                <w:rFonts w:hint="default" w:ascii="Times New Roman" w:hAnsi="Times New Roman" w:eastAsia="宋体" w:cs="Times New Roman"/>
                <w:color w:val="auto"/>
                <w:spacing w:val="-1"/>
                <w:highlight w:val="none"/>
                <w:u w:val="none" w:color="auto"/>
                <w:lang w:val="en-US" w:eastAsia="zh-CN"/>
              </w:rPr>
              <w:t>根据永州市耀福油脂有限公司委托湖南科比特亿美检测有限公司于2024年3月18日对企业废气的检测报告</w:t>
            </w:r>
            <w:r>
              <w:rPr>
                <w:rFonts w:hint="default" w:ascii="Times New Roman" w:hAnsi="Times New Roman" w:cs="Times New Roman"/>
                <w:color w:val="auto"/>
                <w:highlight w:val="none"/>
                <w:u w:val="none"/>
                <w:lang w:val="en-US" w:eastAsia="zh-CN"/>
              </w:rPr>
              <w:t>（第 KBT/HJ202403471号）</w:t>
            </w:r>
            <w:r>
              <w:rPr>
                <w:rFonts w:hint="default" w:ascii="Times New Roman" w:hAnsi="Times New Roman" w:eastAsia="宋体" w:cs="Times New Roman"/>
                <w:color w:val="auto"/>
                <w:spacing w:val="-1"/>
                <w:highlight w:val="none"/>
                <w:u w:val="none" w:color="auto"/>
                <w:lang w:val="en-US" w:eastAsia="zh-CN"/>
              </w:rPr>
              <w:t>，现有项目有组织废气和无组织废气排放情况如表2-10和表2-11。</w:t>
            </w:r>
          </w:p>
          <w:p w14:paraId="49F9F63E">
            <w:pPr>
              <w:jc w:val="center"/>
              <w:rPr>
                <w:rFonts w:hint="default" w:ascii="Times New Roman" w:hAnsi="Times New Roman" w:cs="Times New Roman"/>
                <w:b/>
                <w:bCs/>
                <w:color w:val="auto"/>
                <w:spacing w:val="-2"/>
                <w:highlight w:val="none"/>
                <w:u w:val="none" w:color="auto"/>
              </w:rPr>
            </w:pPr>
            <w:r>
              <w:rPr>
                <w:rFonts w:hint="default" w:ascii="Times New Roman" w:hAnsi="Times New Roman" w:cs="Times New Roman"/>
                <w:b/>
                <w:bCs/>
                <w:color w:val="auto"/>
                <w:spacing w:val="-2"/>
                <w:highlight w:val="none"/>
                <w:u w:val="none" w:color="auto"/>
              </w:rPr>
              <w:t>表 2-1</w:t>
            </w:r>
            <w:r>
              <w:rPr>
                <w:rFonts w:hint="default" w:ascii="Times New Roman" w:hAnsi="Times New Roman" w:cs="Times New Roman"/>
                <w:b/>
                <w:bCs/>
                <w:color w:val="auto"/>
                <w:spacing w:val="-2"/>
                <w:highlight w:val="none"/>
                <w:u w:val="none" w:color="auto"/>
                <w:lang w:val="en-US" w:eastAsia="zh-CN"/>
              </w:rPr>
              <w:t>0</w:t>
            </w:r>
            <w:r>
              <w:rPr>
                <w:rFonts w:hint="default" w:ascii="Times New Roman" w:hAnsi="Times New Roman" w:cs="Times New Roman"/>
                <w:b/>
                <w:bCs/>
                <w:color w:val="auto"/>
                <w:spacing w:val="-2"/>
                <w:highlight w:val="none"/>
                <w:u w:val="none" w:color="auto"/>
              </w:rPr>
              <w:t xml:space="preserve"> </w:t>
            </w:r>
            <w:r>
              <w:rPr>
                <w:rFonts w:hint="default" w:ascii="Times New Roman" w:hAnsi="Times New Roman" w:cs="Times New Roman"/>
                <w:b/>
                <w:bCs/>
                <w:color w:val="auto"/>
                <w:spacing w:val="-2"/>
                <w:highlight w:val="none"/>
                <w:u w:val="none" w:color="auto"/>
                <w:lang w:val="en-US" w:eastAsia="zh-CN"/>
              </w:rPr>
              <w:t>现有项目有组织废气</w:t>
            </w:r>
            <w:r>
              <w:rPr>
                <w:rFonts w:hint="default" w:ascii="Times New Roman" w:hAnsi="Times New Roman" w:cs="Times New Roman"/>
                <w:b/>
                <w:bCs/>
                <w:color w:val="auto"/>
                <w:spacing w:val="-2"/>
                <w:highlight w:val="none"/>
                <w:u w:val="none" w:color="auto"/>
              </w:rPr>
              <w:t>监测结果   单位：mg/m</w:t>
            </w:r>
            <w:r>
              <w:rPr>
                <w:rFonts w:hint="default" w:ascii="Times New Roman" w:hAnsi="Times New Roman" w:cs="Times New Roman"/>
                <w:b/>
                <w:bCs/>
                <w:color w:val="auto"/>
                <w:spacing w:val="-2"/>
                <w:highlight w:val="none"/>
                <w:u w:val="none" w:color="auto"/>
                <w:vertAlign w:val="superscript"/>
              </w:rPr>
              <w:t>3</w:t>
            </w:r>
          </w:p>
          <w:tbl>
            <w:tblPr>
              <w:tblStyle w:val="4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370"/>
              <w:gridCol w:w="1987"/>
              <w:gridCol w:w="1722"/>
              <w:gridCol w:w="1261"/>
              <w:gridCol w:w="659"/>
            </w:tblGrid>
            <w:tr w14:paraId="648C6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noWrap w:val="0"/>
                  <w:vAlign w:val="center"/>
                </w:tcPr>
                <w:p w14:paraId="3B03DFBA">
                  <w:pPr>
                    <w:pStyle w:val="161"/>
                    <w:rPr>
                      <w:rFonts w:hint="default" w:ascii="Times New Roman" w:hAnsi="Times New Roman" w:cs="Times New Roman"/>
                      <w:b/>
                      <w:bCs/>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采样点位</w:t>
                  </w:r>
                </w:p>
              </w:tc>
              <w:tc>
                <w:tcPr>
                  <w:tcW w:w="817" w:type="pct"/>
                  <w:noWrap w:val="0"/>
                  <w:vAlign w:val="center"/>
                </w:tcPr>
                <w:p w14:paraId="53446421">
                  <w:pPr>
                    <w:pStyle w:val="161"/>
                    <w:rPr>
                      <w:rFonts w:hint="default" w:ascii="Times New Roman" w:hAnsi="Times New Roman" w:cs="Times New Roman"/>
                      <w:b/>
                      <w:bCs/>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采样时间</w:t>
                  </w:r>
                </w:p>
              </w:tc>
              <w:tc>
                <w:tcPr>
                  <w:tcW w:w="2212" w:type="pct"/>
                  <w:gridSpan w:val="2"/>
                  <w:noWrap w:val="0"/>
                  <w:vAlign w:val="center"/>
                </w:tcPr>
                <w:p w14:paraId="4F3D2AE6">
                  <w:pPr>
                    <w:pStyle w:val="161"/>
                    <w:rPr>
                      <w:rFonts w:hint="default" w:ascii="Times New Roman" w:hAnsi="Times New Roman" w:cs="Times New Roman"/>
                      <w:b/>
                      <w:bCs/>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检测项目</w:t>
                  </w:r>
                </w:p>
              </w:tc>
              <w:tc>
                <w:tcPr>
                  <w:tcW w:w="752" w:type="pct"/>
                  <w:noWrap w:val="0"/>
                  <w:vAlign w:val="center"/>
                </w:tcPr>
                <w:p w14:paraId="131A8547">
                  <w:pPr>
                    <w:pStyle w:val="161"/>
                    <w:rPr>
                      <w:rFonts w:hint="default" w:ascii="Times New Roman" w:hAnsi="Times New Roman" w:cs="Times New Roman"/>
                      <w:b/>
                      <w:bCs/>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检测结果</w:t>
                  </w:r>
                </w:p>
              </w:tc>
              <w:tc>
                <w:tcPr>
                  <w:tcW w:w="391" w:type="pct"/>
                  <w:noWrap w:val="0"/>
                  <w:vAlign w:val="center"/>
                </w:tcPr>
                <w:p w14:paraId="2523AD18">
                  <w:pPr>
                    <w:pStyle w:val="161"/>
                    <w:rPr>
                      <w:rFonts w:hint="default" w:ascii="Times New Roman" w:hAnsi="Times New Roman" w:cs="Times New Roman"/>
                      <w:b/>
                      <w:bCs/>
                      <w:color w:val="auto"/>
                      <w:sz w:val="21"/>
                      <w:szCs w:val="21"/>
                      <w:highlight w:val="none"/>
                      <w:u w:val="none"/>
                      <w:lang w:val="en-US" w:eastAsia="zh-CN"/>
                    </w:rPr>
                  </w:pPr>
                  <w:r>
                    <w:rPr>
                      <w:rFonts w:hint="default" w:ascii="Times New Roman" w:hAnsi="Times New Roman" w:cs="Times New Roman"/>
                      <w:b/>
                      <w:bCs/>
                      <w:color w:val="auto"/>
                      <w:sz w:val="21"/>
                      <w:szCs w:val="21"/>
                      <w:highlight w:val="none"/>
                      <w:u w:val="none"/>
                      <w:lang w:val="en-US" w:eastAsia="zh-CN"/>
                    </w:rPr>
                    <w:t>标准限值</w:t>
                  </w:r>
                </w:p>
              </w:tc>
            </w:tr>
            <w:tr w14:paraId="487CB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restart"/>
                  <w:noWrap w:val="0"/>
                  <w:vAlign w:val="center"/>
                </w:tcPr>
                <w:p w14:paraId="51BB6C00">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DA001锅炉废气排放口</w:t>
                  </w:r>
                </w:p>
              </w:tc>
              <w:tc>
                <w:tcPr>
                  <w:tcW w:w="817" w:type="pct"/>
                  <w:vMerge w:val="restart"/>
                  <w:tcBorders>
                    <w:top w:val="single" w:color="000000" w:sz="4" w:space="0"/>
                  </w:tcBorders>
                  <w:noWrap w:val="0"/>
                  <w:vAlign w:val="center"/>
                </w:tcPr>
                <w:p w14:paraId="057F2255">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2024.03.18</w:t>
                  </w:r>
                </w:p>
              </w:tc>
              <w:tc>
                <w:tcPr>
                  <w:tcW w:w="2212" w:type="pct"/>
                  <w:gridSpan w:val="2"/>
                  <w:noWrap w:val="0"/>
                  <w:vAlign w:val="center"/>
                </w:tcPr>
                <w:p w14:paraId="17E1B1DF">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标干废气流量（Nm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/h）</w:t>
                  </w:r>
                </w:p>
              </w:tc>
              <w:tc>
                <w:tcPr>
                  <w:tcW w:w="752" w:type="pct"/>
                  <w:noWrap w:val="0"/>
                  <w:vAlign w:val="center"/>
                </w:tcPr>
                <w:p w14:paraId="71A672EF">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2150</w:t>
                  </w:r>
                </w:p>
              </w:tc>
              <w:tc>
                <w:tcPr>
                  <w:tcW w:w="391" w:type="pct"/>
                  <w:noWrap w:val="0"/>
                  <w:vAlign w:val="center"/>
                </w:tcPr>
                <w:p w14:paraId="52797DC8">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w:t>
                  </w:r>
                </w:p>
              </w:tc>
            </w:tr>
            <w:tr w14:paraId="33C12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7453F5A0">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04CB48EC">
                  <w:pPr>
                    <w:pStyle w:val="161"/>
                    <w:rPr>
                      <w:rFonts w:hint="default" w:ascii="Times New Roman" w:hAnsi="Times New Roman" w:cs="Times New Roman"/>
                      <w:color w:val="auto"/>
                      <w:sz w:val="21"/>
                      <w:szCs w:val="21"/>
                      <w:highlight w:val="none"/>
                      <w:u w:val="none"/>
                      <w:lang w:val="en-US" w:eastAsia="zh-CN"/>
                    </w:rPr>
                  </w:pPr>
                </w:p>
              </w:tc>
              <w:tc>
                <w:tcPr>
                  <w:tcW w:w="1185" w:type="pct"/>
                  <w:vMerge w:val="restart"/>
                  <w:noWrap w:val="0"/>
                  <w:vAlign w:val="center"/>
                </w:tcPr>
                <w:p w14:paraId="0B92D5FF">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氧含量</w:t>
                  </w:r>
                </w:p>
              </w:tc>
              <w:tc>
                <w:tcPr>
                  <w:tcW w:w="1027" w:type="pct"/>
                  <w:noWrap w:val="0"/>
                  <w:vAlign w:val="center"/>
                </w:tcPr>
                <w:p w14:paraId="14C36B0B">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实测氧含量%</w:t>
                  </w:r>
                </w:p>
              </w:tc>
              <w:tc>
                <w:tcPr>
                  <w:tcW w:w="752" w:type="pct"/>
                  <w:noWrap w:val="0"/>
                  <w:vAlign w:val="center"/>
                </w:tcPr>
                <w:p w14:paraId="0BEE87B6">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15.2</w:t>
                  </w:r>
                </w:p>
              </w:tc>
              <w:tc>
                <w:tcPr>
                  <w:tcW w:w="391" w:type="pct"/>
                  <w:noWrap w:val="0"/>
                  <w:vAlign w:val="center"/>
                </w:tcPr>
                <w:p w14:paraId="192E74E6">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w:t>
                  </w:r>
                </w:p>
              </w:tc>
            </w:tr>
            <w:tr w14:paraId="347B2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7774A73F">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06A6E586">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48FF2FF8">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2D8A6B07">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基准氧含量%</w:t>
                  </w:r>
                </w:p>
              </w:tc>
              <w:tc>
                <w:tcPr>
                  <w:tcW w:w="752" w:type="pct"/>
                  <w:noWrap w:val="0"/>
                  <w:vAlign w:val="center"/>
                </w:tcPr>
                <w:p w14:paraId="583AFB06">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9</w:t>
                  </w:r>
                </w:p>
              </w:tc>
              <w:tc>
                <w:tcPr>
                  <w:tcW w:w="391" w:type="pct"/>
                  <w:noWrap w:val="0"/>
                  <w:vAlign w:val="center"/>
                </w:tcPr>
                <w:p w14:paraId="080D97C3">
                  <w:pPr>
                    <w:pStyle w:val="161"/>
                    <w:rPr>
                      <w:rFonts w:hint="default" w:ascii="Times New Roman" w:hAnsi="Times New Roman" w:cs="Times New Roman"/>
                      <w:color w:val="auto"/>
                      <w:sz w:val="21"/>
                      <w:szCs w:val="21"/>
                      <w:highlight w:val="none"/>
                      <w:u w:val="none"/>
                      <w:lang w:val="en-US" w:eastAsia="zh-CN"/>
                    </w:rPr>
                  </w:pPr>
                </w:p>
              </w:tc>
            </w:tr>
            <w:tr w14:paraId="7B289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450EDFE9">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0272A6FA">
                  <w:pPr>
                    <w:pStyle w:val="161"/>
                    <w:rPr>
                      <w:rFonts w:hint="default" w:ascii="Times New Roman" w:hAnsi="Times New Roman" w:cs="Times New Roman"/>
                      <w:color w:val="auto"/>
                      <w:sz w:val="21"/>
                      <w:szCs w:val="21"/>
                      <w:highlight w:val="none"/>
                      <w:u w:val="none"/>
                      <w:lang w:val="en-US" w:eastAsia="zh-CN"/>
                    </w:rPr>
                  </w:pPr>
                </w:p>
              </w:tc>
              <w:tc>
                <w:tcPr>
                  <w:tcW w:w="1185" w:type="pct"/>
                  <w:vMerge w:val="restart"/>
                  <w:noWrap w:val="0"/>
                  <w:vAlign w:val="center"/>
                </w:tcPr>
                <w:p w14:paraId="23C197DB">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颗粒物</w:t>
                  </w:r>
                </w:p>
              </w:tc>
              <w:tc>
                <w:tcPr>
                  <w:tcW w:w="1027" w:type="pct"/>
                  <w:noWrap w:val="0"/>
                  <w:vAlign w:val="center"/>
                </w:tcPr>
                <w:p w14:paraId="76115019">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实测浓度（mg/m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73384DC0">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4.0</w:t>
                  </w:r>
                </w:p>
              </w:tc>
              <w:tc>
                <w:tcPr>
                  <w:tcW w:w="391" w:type="pct"/>
                  <w:noWrap w:val="0"/>
                  <w:vAlign w:val="center"/>
                </w:tcPr>
                <w:p w14:paraId="4D47A658">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w:t>
                  </w:r>
                </w:p>
              </w:tc>
            </w:tr>
            <w:tr w14:paraId="2BCA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0D106D06">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5F119658">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1581F2C1">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2D34FBDF">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折算浓度（mg/m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58118175">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8.3</w:t>
                  </w:r>
                </w:p>
              </w:tc>
              <w:tc>
                <w:tcPr>
                  <w:tcW w:w="391" w:type="pct"/>
                  <w:noWrap w:val="0"/>
                  <w:vAlign w:val="center"/>
                </w:tcPr>
                <w:p w14:paraId="4A2D0667">
                  <w:pPr>
                    <w:pStyle w:val="161"/>
                    <w:rPr>
                      <w:rFonts w:hint="default" w:ascii="Times New Roman" w:hAnsi="Times New Roman" w:cs="Times New Roman"/>
                      <w:color w:val="auto"/>
                      <w:sz w:val="21"/>
                      <w:szCs w:val="21"/>
                      <w:highlight w:val="none"/>
                      <w:u w:val="none"/>
                      <w:lang w:val="en-US" w:eastAsia="zh-CN"/>
                    </w:rPr>
                  </w:pPr>
                </w:p>
              </w:tc>
            </w:tr>
            <w:tr w14:paraId="7E75F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0DF33C12">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642E35B1">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126E0A73">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6C501788">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排放速率（kg/h）</w:t>
                  </w:r>
                </w:p>
              </w:tc>
              <w:tc>
                <w:tcPr>
                  <w:tcW w:w="752" w:type="pct"/>
                  <w:noWrap w:val="0"/>
                  <w:vAlign w:val="center"/>
                </w:tcPr>
                <w:p w14:paraId="55A77696">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0.00860</w:t>
                  </w:r>
                </w:p>
              </w:tc>
              <w:tc>
                <w:tcPr>
                  <w:tcW w:w="391" w:type="pct"/>
                  <w:noWrap w:val="0"/>
                  <w:vAlign w:val="center"/>
                </w:tcPr>
                <w:p w14:paraId="2D7261DA">
                  <w:pPr>
                    <w:pStyle w:val="161"/>
                    <w:rPr>
                      <w:rFonts w:hint="default" w:ascii="Times New Roman" w:hAnsi="Times New Roman" w:cs="Times New Roman"/>
                      <w:color w:val="auto"/>
                      <w:sz w:val="21"/>
                      <w:szCs w:val="21"/>
                      <w:highlight w:val="none"/>
                      <w:u w:val="none"/>
                      <w:lang w:val="en-US" w:eastAsia="zh-CN"/>
                    </w:rPr>
                  </w:pPr>
                </w:p>
              </w:tc>
            </w:tr>
            <w:tr w14:paraId="1026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5D0A0C9B">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371E4CCE">
                  <w:pPr>
                    <w:pStyle w:val="161"/>
                    <w:rPr>
                      <w:rFonts w:hint="default" w:ascii="Times New Roman" w:hAnsi="Times New Roman" w:cs="Times New Roman"/>
                      <w:color w:val="auto"/>
                      <w:sz w:val="21"/>
                      <w:szCs w:val="21"/>
                      <w:highlight w:val="none"/>
                      <w:u w:val="none"/>
                      <w:lang w:val="en-US" w:eastAsia="zh-CN"/>
                    </w:rPr>
                  </w:pPr>
                </w:p>
              </w:tc>
              <w:tc>
                <w:tcPr>
                  <w:tcW w:w="1185" w:type="pct"/>
                  <w:vMerge w:val="restart"/>
                  <w:noWrap w:val="0"/>
                  <w:vAlign w:val="center"/>
                </w:tcPr>
                <w:p w14:paraId="618E0325">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二氧化硫</w:t>
                  </w:r>
                </w:p>
              </w:tc>
              <w:tc>
                <w:tcPr>
                  <w:tcW w:w="1027" w:type="pct"/>
                  <w:noWrap w:val="0"/>
                  <w:vAlign w:val="center"/>
                </w:tcPr>
                <w:p w14:paraId="4BCF7543">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平均实测浓度（mg/m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57D4F0E1">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＜3</w:t>
                  </w:r>
                </w:p>
              </w:tc>
              <w:tc>
                <w:tcPr>
                  <w:tcW w:w="391" w:type="pct"/>
                  <w:noWrap w:val="0"/>
                  <w:vAlign w:val="center"/>
                </w:tcPr>
                <w:p w14:paraId="6A27E7FF">
                  <w:pPr>
                    <w:pStyle w:val="161"/>
                    <w:rPr>
                      <w:rFonts w:hint="default" w:ascii="Times New Roman" w:hAnsi="Times New Roman" w:cs="Times New Roman"/>
                      <w:color w:val="auto"/>
                      <w:sz w:val="21"/>
                      <w:szCs w:val="21"/>
                      <w:highlight w:val="none"/>
                      <w:u w:val="none"/>
                      <w:lang w:val="en-US" w:eastAsia="zh-CN"/>
                    </w:rPr>
                  </w:pPr>
                </w:p>
              </w:tc>
            </w:tr>
            <w:tr w14:paraId="4066E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30B04F8C">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74DC052E">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56B0C887">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03BE2F56">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折算浓度（mg/m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564010C7">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＜3</w:t>
                  </w:r>
                </w:p>
              </w:tc>
              <w:tc>
                <w:tcPr>
                  <w:tcW w:w="391" w:type="pct"/>
                  <w:noWrap w:val="0"/>
                  <w:vAlign w:val="center"/>
                </w:tcPr>
                <w:p w14:paraId="4F0FEAFC">
                  <w:pPr>
                    <w:pStyle w:val="161"/>
                    <w:rPr>
                      <w:rFonts w:hint="default" w:ascii="Times New Roman" w:hAnsi="Times New Roman" w:cs="Times New Roman"/>
                      <w:color w:val="auto"/>
                      <w:sz w:val="21"/>
                      <w:szCs w:val="21"/>
                      <w:highlight w:val="none"/>
                      <w:u w:val="none"/>
                      <w:lang w:val="en-US" w:eastAsia="zh-CN"/>
                    </w:rPr>
                  </w:pPr>
                </w:p>
              </w:tc>
            </w:tr>
            <w:tr w14:paraId="57AD5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73C98242">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667E1234">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3A39247C">
                  <w:pPr>
                    <w:pStyle w:val="161"/>
                    <w:rPr>
                      <w:rFonts w:hint="default" w:ascii="Times New Roman" w:hAnsi="Times New Roman" w:cs="Times New Roman"/>
                      <w:color w:val="auto"/>
                      <w:sz w:val="21"/>
                      <w:szCs w:val="21"/>
                      <w:highlight w:val="none"/>
                      <w:u w:val="none"/>
                      <w:lang w:val="en-US" w:eastAsia="zh-CN"/>
                    </w:rPr>
                  </w:pPr>
                </w:p>
              </w:tc>
              <w:tc>
                <w:tcPr>
                  <w:tcW w:w="1027" w:type="pct"/>
                  <w:shd w:val="clear" w:color="auto" w:fill="auto"/>
                  <w:noWrap w:val="0"/>
                  <w:vAlign w:val="center"/>
                </w:tcPr>
                <w:p w14:paraId="21880A4A">
                  <w:pPr>
                    <w:pStyle w:val="161"/>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cs="Times New Roman"/>
                      <w:color w:val="auto"/>
                      <w:sz w:val="21"/>
                      <w:szCs w:val="21"/>
                      <w:highlight w:val="none"/>
                      <w:u w:val="none"/>
                      <w:lang w:val="en-US" w:eastAsia="zh-CN"/>
                    </w:rPr>
                    <w:t>排放速率（kg/h）</w:t>
                  </w:r>
                </w:p>
              </w:tc>
              <w:tc>
                <w:tcPr>
                  <w:tcW w:w="752" w:type="pct"/>
                  <w:noWrap w:val="0"/>
                  <w:vAlign w:val="center"/>
                </w:tcPr>
                <w:p w14:paraId="766D9825">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0.00322</w:t>
                  </w:r>
                </w:p>
              </w:tc>
              <w:tc>
                <w:tcPr>
                  <w:tcW w:w="391" w:type="pct"/>
                  <w:noWrap w:val="0"/>
                  <w:vAlign w:val="center"/>
                </w:tcPr>
                <w:p w14:paraId="1C55AE1F">
                  <w:pPr>
                    <w:pStyle w:val="161"/>
                    <w:rPr>
                      <w:rFonts w:hint="default" w:ascii="Times New Roman" w:hAnsi="Times New Roman" w:cs="Times New Roman"/>
                      <w:color w:val="auto"/>
                      <w:sz w:val="21"/>
                      <w:szCs w:val="21"/>
                      <w:highlight w:val="none"/>
                      <w:u w:val="none"/>
                      <w:lang w:val="en-US" w:eastAsia="zh-CN"/>
                    </w:rPr>
                  </w:pPr>
                </w:p>
              </w:tc>
            </w:tr>
            <w:tr w14:paraId="495D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06B4B4D3">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7E7F1E19">
                  <w:pPr>
                    <w:pStyle w:val="161"/>
                    <w:rPr>
                      <w:rFonts w:hint="default" w:ascii="Times New Roman" w:hAnsi="Times New Roman" w:cs="Times New Roman"/>
                      <w:color w:val="auto"/>
                      <w:sz w:val="21"/>
                      <w:szCs w:val="21"/>
                      <w:highlight w:val="none"/>
                      <w:u w:val="none"/>
                      <w:lang w:val="en-US" w:eastAsia="zh-CN"/>
                    </w:rPr>
                  </w:pPr>
                </w:p>
              </w:tc>
              <w:tc>
                <w:tcPr>
                  <w:tcW w:w="1185" w:type="pct"/>
                  <w:vMerge w:val="restart"/>
                  <w:noWrap w:val="0"/>
                  <w:vAlign w:val="center"/>
                </w:tcPr>
                <w:p w14:paraId="43DFBECB">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氮氧化物</w:t>
                  </w:r>
                </w:p>
              </w:tc>
              <w:tc>
                <w:tcPr>
                  <w:tcW w:w="1027" w:type="pct"/>
                  <w:noWrap w:val="0"/>
                  <w:vAlign w:val="center"/>
                </w:tcPr>
                <w:p w14:paraId="512F7F59">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平均实测浓度（mg/m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39D6DD5C">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82</w:t>
                  </w:r>
                </w:p>
              </w:tc>
              <w:tc>
                <w:tcPr>
                  <w:tcW w:w="391" w:type="pct"/>
                  <w:noWrap w:val="0"/>
                  <w:vAlign w:val="center"/>
                </w:tcPr>
                <w:p w14:paraId="4D19EE46">
                  <w:pPr>
                    <w:pStyle w:val="161"/>
                    <w:rPr>
                      <w:rFonts w:hint="default" w:ascii="Times New Roman" w:hAnsi="Times New Roman" w:cs="Times New Roman"/>
                      <w:color w:val="auto"/>
                      <w:sz w:val="21"/>
                      <w:szCs w:val="21"/>
                      <w:highlight w:val="none"/>
                      <w:u w:val="none"/>
                      <w:lang w:val="en-US" w:eastAsia="zh-CN"/>
                    </w:rPr>
                  </w:pPr>
                </w:p>
              </w:tc>
            </w:tr>
            <w:tr w14:paraId="5140F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0F962E51">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3951A011">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0C41CFC0">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430890C0">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折算浓度（mg/m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388DB9FD">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170</w:t>
                  </w:r>
                </w:p>
              </w:tc>
              <w:tc>
                <w:tcPr>
                  <w:tcW w:w="391" w:type="pct"/>
                  <w:noWrap w:val="0"/>
                  <w:vAlign w:val="center"/>
                </w:tcPr>
                <w:p w14:paraId="72C20281">
                  <w:pPr>
                    <w:pStyle w:val="161"/>
                    <w:rPr>
                      <w:rFonts w:hint="default" w:ascii="Times New Roman" w:hAnsi="Times New Roman" w:cs="Times New Roman"/>
                      <w:color w:val="auto"/>
                      <w:sz w:val="21"/>
                      <w:szCs w:val="21"/>
                      <w:highlight w:val="none"/>
                      <w:u w:val="none"/>
                      <w:lang w:val="en-US" w:eastAsia="zh-CN"/>
                    </w:rPr>
                  </w:pPr>
                </w:p>
              </w:tc>
            </w:tr>
            <w:tr w14:paraId="59419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47F5DA62">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647D9CE2">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72F14CBB">
                  <w:pPr>
                    <w:pStyle w:val="161"/>
                    <w:rPr>
                      <w:rFonts w:hint="default" w:ascii="Times New Roman" w:hAnsi="Times New Roman" w:cs="Times New Roman"/>
                      <w:color w:val="auto"/>
                      <w:sz w:val="21"/>
                      <w:szCs w:val="21"/>
                      <w:highlight w:val="none"/>
                      <w:u w:val="none"/>
                      <w:lang w:val="en-US" w:eastAsia="zh-CN"/>
                    </w:rPr>
                  </w:pPr>
                </w:p>
              </w:tc>
              <w:tc>
                <w:tcPr>
                  <w:tcW w:w="1027" w:type="pct"/>
                  <w:shd w:val="clear" w:color="auto" w:fill="auto"/>
                  <w:noWrap w:val="0"/>
                  <w:vAlign w:val="center"/>
                </w:tcPr>
                <w:p w14:paraId="1DD1EC44">
                  <w:pPr>
                    <w:pStyle w:val="161"/>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cs="Times New Roman"/>
                      <w:color w:val="auto"/>
                      <w:sz w:val="21"/>
                      <w:szCs w:val="21"/>
                      <w:highlight w:val="none"/>
                      <w:u w:val="none"/>
                      <w:lang w:val="en-US" w:eastAsia="zh-CN"/>
                    </w:rPr>
                    <w:t>排放速率（kg/h）</w:t>
                  </w:r>
                </w:p>
              </w:tc>
              <w:tc>
                <w:tcPr>
                  <w:tcW w:w="752" w:type="pct"/>
                  <w:noWrap w:val="0"/>
                  <w:vAlign w:val="center"/>
                </w:tcPr>
                <w:p w14:paraId="1132989E">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0.176</w:t>
                  </w:r>
                </w:p>
              </w:tc>
              <w:tc>
                <w:tcPr>
                  <w:tcW w:w="391" w:type="pct"/>
                  <w:noWrap w:val="0"/>
                  <w:vAlign w:val="center"/>
                </w:tcPr>
                <w:p w14:paraId="7890486B">
                  <w:pPr>
                    <w:pStyle w:val="161"/>
                    <w:rPr>
                      <w:rFonts w:hint="default" w:ascii="Times New Roman" w:hAnsi="Times New Roman" w:cs="Times New Roman"/>
                      <w:color w:val="auto"/>
                      <w:sz w:val="21"/>
                      <w:szCs w:val="21"/>
                      <w:highlight w:val="none"/>
                      <w:u w:val="none"/>
                      <w:lang w:val="en-US" w:eastAsia="zh-CN"/>
                    </w:rPr>
                  </w:pPr>
                </w:p>
              </w:tc>
            </w:tr>
            <w:tr w14:paraId="5497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noWrap w:val="0"/>
                  <w:vAlign w:val="center"/>
                </w:tcPr>
                <w:p w14:paraId="5BECE280">
                  <w:pPr>
                    <w:pStyle w:val="161"/>
                    <w:jc w:val="left"/>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备注：(1)烟道尺寸：φ0.3m；烟道截面积：0.0707m</w:t>
                  </w:r>
                  <w:r>
                    <w:rPr>
                      <w:rFonts w:hint="default" w:ascii="Times New Roman" w:hAnsi="Times New Roman" w:cs="Times New Roman"/>
                      <w:color w:val="auto"/>
                      <w:sz w:val="21"/>
                      <w:szCs w:val="21"/>
                      <w:highlight w:val="none"/>
                      <w:u w:val="none"/>
                      <w:vertAlign w:val="superscript"/>
                      <w:lang w:val="en-US" w:eastAsia="zh-CN"/>
                    </w:rPr>
                    <w:t>2</w:t>
                  </w:r>
                  <w:r>
                    <w:rPr>
                      <w:rFonts w:hint="default" w:ascii="Times New Roman" w:hAnsi="Times New Roman" w:cs="Times New Roman"/>
                      <w:color w:val="auto"/>
                      <w:sz w:val="21"/>
                      <w:szCs w:val="21"/>
                      <w:highlight w:val="none"/>
                      <w:u w:val="none"/>
                      <w:lang w:val="en-US" w:eastAsia="zh-CN"/>
                    </w:rPr>
                    <w:t>；烟囱高度：35m；燃料种类：柴、生物质；(2)参考《锅炉大气污染物排放标准》(GB 13271-2014)表2燃煤锅炉浓度限值；(3)未检出的因子，平均值及排放速率按该因子方法检出限的1/2进行计算。</w:t>
                  </w:r>
                </w:p>
              </w:tc>
            </w:tr>
            <w:tr w14:paraId="5E703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restart"/>
                  <w:noWrap w:val="0"/>
                  <w:vAlign w:val="center"/>
                </w:tcPr>
                <w:p w14:paraId="4188DA5B">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DA002</w:t>
                  </w:r>
                  <w:r>
                    <w:rPr>
                      <w:rFonts w:hint="eastAsia" w:cs="Times New Roman"/>
                      <w:color w:val="auto"/>
                      <w:sz w:val="21"/>
                      <w:szCs w:val="21"/>
                      <w:highlight w:val="none"/>
                      <w:u w:val="none"/>
                      <w:lang w:val="en-US" w:eastAsia="zh-CN"/>
                    </w:rPr>
                    <w:t>溶剂废气排气口(</w:t>
                  </w:r>
                  <w:r>
                    <w:rPr>
                      <w:rFonts w:hint="default" w:ascii="Times New Roman" w:hAnsi="Times New Roman" w:cs="Times New Roman"/>
                      <w:color w:val="auto"/>
                      <w:sz w:val="21"/>
                      <w:szCs w:val="21"/>
                      <w:highlight w:val="none"/>
                      <w:u w:val="none"/>
                      <w:lang w:val="en-US" w:eastAsia="zh-CN"/>
                    </w:rPr>
                    <w:t>浸出蒸脱废气排放口</w:t>
                  </w:r>
                  <w:r>
                    <w:rPr>
                      <w:rFonts w:hint="eastAsia" w:cs="Times New Roman"/>
                      <w:color w:val="auto"/>
                      <w:sz w:val="21"/>
                      <w:szCs w:val="21"/>
                      <w:highlight w:val="none"/>
                      <w:u w:val="none"/>
                      <w:lang w:val="en-US" w:eastAsia="zh-CN"/>
                    </w:rPr>
                    <w:t>）</w:t>
                  </w:r>
                </w:p>
              </w:tc>
              <w:tc>
                <w:tcPr>
                  <w:tcW w:w="817" w:type="pct"/>
                  <w:vMerge w:val="restart"/>
                  <w:noWrap w:val="0"/>
                  <w:vAlign w:val="center"/>
                </w:tcPr>
                <w:p w14:paraId="6B90957C">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2024.03.18</w:t>
                  </w:r>
                </w:p>
              </w:tc>
              <w:tc>
                <w:tcPr>
                  <w:tcW w:w="2212" w:type="pct"/>
                  <w:gridSpan w:val="2"/>
                  <w:noWrap w:val="0"/>
                  <w:vAlign w:val="center"/>
                </w:tcPr>
                <w:p w14:paraId="763D24BA">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标干废气流量（Nm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/h）</w:t>
                  </w:r>
                </w:p>
              </w:tc>
              <w:tc>
                <w:tcPr>
                  <w:tcW w:w="752" w:type="pct"/>
                  <w:shd w:val="clear" w:color="auto" w:fill="auto"/>
                  <w:noWrap w:val="0"/>
                  <w:vAlign w:val="center"/>
                </w:tcPr>
                <w:p w14:paraId="14A45CF0">
                  <w:pPr>
                    <w:pStyle w:val="161"/>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cs="Times New Roman"/>
                      <w:color w:val="auto"/>
                      <w:sz w:val="21"/>
                      <w:szCs w:val="21"/>
                      <w:highlight w:val="none"/>
                      <w:u w:val="none"/>
                      <w:lang w:val="en-US" w:eastAsia="zh-CN"/>
                    </w:rPr>
                    <w:t>69</w:t>
                  </w:r>
                </w:p>
              </w:tc>
              <w:tc>
                <w:tcPr>
                  <w:tcW w:w="391" w:type="pct"/>
                  <w:shd w:val="clear" w:color="auto" w:fill="auto"/>
                  <w:noWrap w:val="0"/>
                  <w:vAlign w:val="center"/>
                </w:tcPr>
                <w:p w14:paraId="5F9E5F57">
                  <w:pPr>
                    <w:pStyle w:val="161"/>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cs="Times New Roman"/>
                      <w:color w:val="auto"/>
                      <w:sz w:val="21"/>
                      <w:szCs w:val="21"/>
                      <w:highlight w:val="none"/>
                      <w:u w:val="none"/>
                      <w:lang w:val="en-US" w:eastAsia="zh-CN"/>
                    </w:rPr>
                    <w:t>/</w:t>
                  </w:r>
                </w:p>
              </w:tc>
            </w:tr>
            <w:tr w14:paraId="5E986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21E884E1">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0CEFB8EE">
                  <w:pPr>
                    <w:pStyle w:val="161"/>
                    <w:rPr>
                      <w:rFonts w:hint="default" w:ascii="Times New Roman" w:hAnsi="Times New Roman" w:cs="Times New Roman"/>
                      <w:color w:val="auto"/>
                      <w:sz w:val="21"/>
                      <w:szCs w:val="21"/>
                      <w:highlight w:val="none"/>
                      <w:u w:val="none"/>
                      <w:lang w:val="en-US" w:eastAsia="zh-CN"/>
                    </w:rPr>
                  </w:pPr>
                </w:p>
              </w:tc>
              <w:tc>
                <w:tcPr>
                  <w:tcW w:w="1185" w:type="pct"/>
                  <w:vMerge w:val="restart"/>
                  <w:noWrap w:val="0"/>
                  <w:vAlign w:val="center"/>
                </w:tcPr>
                <w:p w14:paraId="5445509E">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非甲烷总烃</w:t>
                  </w:r>
                </w:p>
              </w:tc>
              <w:tc>
                <w:tcPr>
                  <w:tcW w:w="1027" w:type="pct"/>
                  <w:noWrap w:val="0"/>
                  <w:vAlign w:val="center"/>
                </w:tcPr>
                <w:p w14:paraId="135E3CA6">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实测浓度（mg/m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1FCF49DF">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2.33~2.52</w:t>
                  </w:r>
                </w:p>
              </w:tc>
              <w:tc>
                <w:tcPr>
                  <w:tcW w:w="391" w:type="pct"/>
                  <w:noWrap w:val="0"/>
                  <w:vAlign w:val="center"/>
                </w:tcPr>
                <w:p w14:paraId="75EC376A">
                  <w:pPr>
                    <w:pStyle w:val="161"/>
                    <w:rPr>
                      <w:rFonts w:hint="default" w:ascii="Times New Roman" w:hAnsi="Times New Roman" w:cs="Times New Roman"/>
                      <w:color w:val="auto"/>
                      <w:sz w:val="21"/>
                      <w:szCs w:val="21"/>
                      <w:highlight w:val="none"/>
                      <w:u w:val="none"/>
                      <w:lang w:val="en-US" w:eastAsia="zh-CN"/>
                    </w:rPr>
                  </w:pPr>
                </w:p>
              </w:tc>
            </w:tr>
            <w:tr w14:paraId="49BD1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2314612B">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7A9F5C26">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39A33C30">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15A8943A">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平均实测浓度（mg/m</w:t>
                  </w:r>
                  <w:r>
                    <w:rPr>
                      <w:rFonts w:hint="default" w:ascii="Times New Roman" w:hAnsi="Times New Roman" w:cs="Times New Roman"/>
                      <w:color w:val="auto"/>
                      <w:sz w:val="21"/>
                      <w:szCs w:val="21"/>
                      <w:highlight w:val="none"/>
                      <w:u w:val="none"/>
                      <w:vertAlign w:val="superscript"/>
                      <w:lang w:val="en-US" w:eastAsia="zh-CN"/>
                    </w:rPr>
                    <w:t>3</w:t>
                  </w:r>
                  <w:r>
                    <w:rPr>
                      <w:rFonts w:hint="default" w:ascii="Times New Roman" w:hAnsi="Times New Roman" w:cs="Times New Roman"/>
                      <w:color w:val="auto"/>
                      <w:sz w:val="21"/>
                      <w:szCs w:val="21"/>
                      <w:highlight w:val="none"/>
                      <w:u w:val="none"/>
                      <w:lang w:val="en-US" w:eastAsia="zh-CN"/>
                    </w:rPr>
                    <w:t>）</w:t>
                  </w:r>
                </w:p>
              </w:tc>
              <w:tc>
                <w:tcPr>
                  <w:tcW w:w="752" w:type="pct"/>
                  <w:noWrap w:val="0"/>
                  <w:vAlign w:val="center"/>
                </w:tcPr>
                <w:p w14:paraId="3DEA62F3">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2.43</w:t>
                  </w:r>
                </w:p>
              </w:tc>
              <w:tc>
                <w:tcPr>
                  <w:tcW w:w="391" w:type="pct"/>
                  <w:noWrap w:val="0"/>
                  <w:vAlign w:val="center"/>
                </w:tcPr>
                <w:p w14:paraId="3E35444D">
                  <w:pPr>
                    <w:pStyle w:val="161"/>
                    <w:rPr>
                      <w:rFonts w:hint="default" w:ascii="Times New Roman" w:hAnsi="Times New Roman" w:cs="Times New Roman"/>
                      <w:color w:val="auto"/>
                      <w:sz w:val="21"/>
                      <w:szCs w:val="21"/>
                      <w:highlight w:val="none"/>
                      <w:u w:val="none"/>
                      <w:lang w:val="en-US" w:eastAsia="zh-CN"/>
                    </w:rPr>
                  </w:pPr>
                </w:p>
              </w:tc>
            </w:tr>
            <w:tr w14:paraId="0FE87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26" w:type="pct"/>
                  <w:vMerge w:val="continue"/>
                  <w:noWrap w:val="0"/>
                  <w:vAlign w:val="center"/>
                </w:tcPr>
                <w:p w14:paraId="77D3134C">
                  <w:pPr>
                    <w:pStyle w:val="161"/>
                    <w:rPr>
                      <w:rFonts w:hint="default" w:ascii="Times New Roman" w:hAnsi="Times New Roman" w:cs="Times New Roman"/>
                      <w:color w:val="auto"/>
                      <w:sz w:val="21"/>
                      <w:szCs w:val="21"/>
                      <w:highlight w:val="none"/>
                      <w:u w:val="none"/>
                      <w:lang w:val="en-US" w:eastAsia="zh-CN"/>
                    </w:rPr>
                  </w:pPr>
                </w:p>
              </w:tc>
              <w:tc>
                <w:tcPr>
                  <w:tcW w:w="817" w:type="pct"/>
                  <w:vMerge w:val="continue"/>
                  <w:noWrap w:val="0"/>
                  <w:vAlign w:val="center"/>
                </w:tcPr>
                <w:p w14:paraId="1F2575A1">
                  <w:pPr>
                    <w:pStyle w:val="161"/>
                    <w:rPr>
                      <w:rFonts w:hint="default" w:ascii="Times New Roman" w:hAnsi="Times New Roman" w:cs="Times New Roman"/>
                      <w:color w:val="auto"/>
                      <w:sz w:val="21"/>
                      <w:szCs w:val="21"/>
                      <w:highlight w:val="none"/>
                      <w:u w:val="none"/>
                      <w:lang w:val="en-US" w:eastAsia="zh-CN"/>
                    </w:rPr>
                  </w:pPr>
                </w:p>
              </w:tc>
              <w:tc>
                <w:tcPr>
                  <w:tcW w:w="1185" w:type="pct"/>
                  <w:vMerge w:val="continue"/>
                  <w:noWrap w:val="0"/>
                  <w:vAlign w:val="center"/>
                </w:tcPr>
                <w:p w14:paraId="5A11DE6C">
                  <w:pPr>
                    <w:pStyle w:val="161"/>
                    <w:rPr>
                      <w:rFonts w:hint="default" w:ascii="Times New Roman" w:hAnsi="Times New Roman" w:cs="Times New Roman"/>
                      <w:color w:val="auto"/>
                      <w:sz w:val="21"/>
                      <w:szCs w:val="21"/>
                      <w:highlight w:val="none"/>
                      <w:u w:val="none"/>
                      <w:lang w:val="en-US" w:eastAsia="zh-CN"/>
                    </w:rPr>
                  </w:pPr>
                </w:p>
              </w:tc>
              <w:tc>
                <w:tcPr>
                  <w:tcW w:w="1027" w:type="pct"/>
                  <w:noWrap w:val="0"/>
                  <w:vAlign w:val="center"/>
                </w:tcPr>
                <w:p w14:paraId="1869FD6D">
                  <w:pPr>
                    <w:pStyle w:val="161"/>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排放速率（kg/h）</w:t>
                  </w:r>
                </w:p>
              </w:tc>
              <w:tc>
                <w:tcPr>
                  <w:tcW w:w="752" w:type="pct"/>
                  <w:noWrap w:val="0"/>
                  <w:vAlign w:val="center"/>
                </w:tcPr>
                <w:p w14:paraId="15F9CD16">
                  <w:pPr>
                    <w:pStyle w:val="161"/>
                    <w:rPr>
                      <w:rFonts w:hint="default" w:ascii="Times New Roman" w:hAnsi="Times New Roman" w:cs="Times New Roman"/>
                      <w:color w:val="auto"/>
                      <w:sz w:val="21"/>
                      <w:szCs w:val="21"/>
                      <w:highlight w:val="none"/>
                      <w:u w:val="none"/>
                      <w:lang w:val="en-US" w:eastAsia="zh-CN"/>
                    </w:rPr>
                  </w:pPr>
                  <w:r>
                    <w:rPr>
                      <w:rFonts w:hint="eastAsia" w:ascii="Times New Roman" w:hAnsi="Times New Roman" w:cs="Times New Roman"/>
                      <w:color w:val="auto"/>
                      <w:sz w:val="21"/>
                      <w:szCs w:val="21"/>
                      <w:highlight w:val="none"/>
                      <w:u w:val="none"/>
                      <w:lang w:val="en-US" w:eastAsia="zh-CN"/>
                    </w:rPr>
                    <w:t>0.183</w:t>
                  </w:r>
                </w:p>
              </w:tc>
              <w:tc>
                <w:tcPr>
                  <w:tcW w:w="391" w:type="pct"/>
                  <w:noWrap w:val="0"/>
                  <w:vAlign w:val="center"/>
                </w:tcPr>
                <w:p w14:paraId="71C2070B">
                  <w:pPr>
                    <w:pStyle w:val="161"/>
                    <w:rPr>
                      <w:rFonts w:hint="default" w:ascii="Times New Roman" w:hAnsi="Times New Roman" w:cs="Times New Roman"/>
                      <w:color w:val="auto"/>
                      <w:sz w:val="21"/>
                      <w:szCs w:val="21"/>
                      <w:highlight w:val="none"/>
                      <w:u w:val="none"/>
                      <w:lang w:val="en-US" w:eastAsia="zh-CN"/>
                    </w:rPr>
                  </w:pPr>
                </w:p>
              </w:tc>
            </w:tr>
            <w:tr w14:paraId="2BAB5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6"/>
                  <w:tcBorders>
                    <w:bottom w:val="single" w:color="000000" w:sz="4" w:space="0"/>
                  </w:tcBorders>
                  <w:noWrap w:val="0"/>
                  <w:vAlign w:val="center"/>
                </w:tcPr>
                <w:p w14:paraId="14C91683">
                  <w:pPr>
                    <w:pStyle w:val="161"/>
                    <w:jc w:val="left"/>
                    <w:rPr>
                      <w:rFonts w:hint="default" w:ascii="Times New Roman" w:hAnsi="Times New Roman" w:cs="Times New Roman"/>
                      <w:color w:val="auto"/>
                      <w:sz w:val="21"/>
                      <w:szCs w:val="21"/>
                      <w:highlight w:val="none"/>
                      <w:u w:val="none"/>
                      <w:lang w:val="en-US" w:eastAsia="zh-CN"/>
                    </w:rPr>
                  </w:pPr>
                  <w:r>
                    <w:rPr>
                      <w:rFonts w:hint="default" w:ascii="Times New Roman" w:hAnsi="Times New Roman" w:cs="Times New Roman"/>
                      <w:color w:val="auto"/>
                      <w:sz w:val="21"/>
                      <w:szCs w:val="21"/>
                      <w:highlight w:val="none"/>
                      <w:u w:val="none"/>
                      <w:lang w:val="en-US" w:eastAsia="zh-CN"/>
                    </w:rPr>
                    <w:t>备注：(1)排气筒高度：15m；排气筒尺寸：φ0.05m；排气筒截面积：0.00200m；(2)参考《大气污染物综合排放标准》(GB16297-1996)表2排放浓度限值。</w:t>
                  </w:r>
                </w:p>
              </w:tc>
            </w:tr>
          </w:tbl>
          <w:p w14:paraId="16D203C0">
            <w:pPr>
              <w:pStyle w:val="155"/>
              <w:keepNext w:val="0"/>
              <w:keepLines w:val="0"/>
              <w:pageBreakBefore w:val="0"/>
              <w:widowControl w:val="0"/>
              <w:kinsoku/>
              <w:wordWrap/>
              <w:overflowPunct/>
              <w:topLinePunct w:val="0"/>
              <w:autoSpaceDE/>
              <w:autoSpaceDN/>
              <w:bidi w:val="0"/>
              <w:adjustRightInd/>
              <w:snapToGrid/>
              <w:spacing w:line="360" w:lineRule="auto"/>
              <w:ind w:right="0" w:firstLine="468" w:firstLineChars="200"/>
              <w:jc w:val="both"/>
              <w:textAlignment w:val="auto"/>
              <w:rPr>
                <w:rFonts w:hint="default" w:ascii="Times New Roman" w:hAnsi="Times New Roman" w:cs="Times New Roman"/>
                <w:color w:val="auto"/>
                <w:spacing w:val="-3"/>
                <w:highlight w:val="none"/>
                <w:u w:val="none" w:color="auto"/>
                <w:lang w:val="en-US" w:eastAsia="zh-CN"/>
              </w:rPr>
            </w:pPr>
            <w:r>
              <w:rPr>
                <w:rFonts w:hint="default" w:ascii="Times New Roman" w:hAnsi="Times New Roman" w:cs="Times New Roman"/>
                <w:color w:val="auto"/>
                <w:spacing w:val="-3"/>
                <w:highlight w:val="none"/>
                <w:u w:val="none" w:color="auto"/>
                <w:lang w:val="en-US" w:eastAsia="zh-CN"/>
              </w:rPr>
              <w:t>由上表可知，溶剂废气排气口(浸出蒸脱废气排放口）</w:t>
            </w:r>
            <w:r>
              <w:rPr>
                <w:rFonts w:hint="default" w:ascii="Times New Roman" w:hAnsi="Times New Roman" w:cs="Times New Roman"/>
                <w:color w:val="auto"/>
                <w:spacing w:val="-3"/>
                <w:sz w:val="24"/>
                <w:szCs w:val="24"/>
                <w:highlight w:val="none"/>
                <w:u w:val="none" w:color="auto"/>
                <w:lang w:val="en-US" w:eastAsia="zh-CN"/>
              </w:rPr>
              <w:t>非甲烷总烃</w:t>
            </w:r>
            <w:r>
              <w:rPr>
                <w:rFonts w:hint="default" w:ascii="Times New Roman" w:hAnsi="Times New Roman" w:cs="Times New Roman"/>
                <w:color w:val="auto"/>
                <w:spacing w:val="-3"/>
                <w:highlight w:val="none"/>
                <w:u w:val="none" w:color="auto"/>
                <w:lang w:val="en-US" w:eastAsia="zh-CN"/>
              </w:rPr>
              <w:t>达到《大气污染物综合排放标准》(GB16297-1996)表2排放浓度限值，锅炉废气颗粒物、二氧化硫、氮氧化物达到</w:t>
            </w:r>
            <w:r>
              <w:rPr>
                <w:rFonts w:hint="default" w:ascii="Times New Roman" w:hAnsi="Times New Roman" w:eastAsia="宋体" w:cs="Times New Roman"/>
                <w:color w:val="auto"/>
                <w:kern w:val="0"/>
                <w:sz w:val="24"/>
                <w:szCs w:val="24"/>
                <w:highlight w:val="none"/>
                <w:u w:val="none" w:color="auto"/>
                <w:lang w:val="en-US" w:eastAsia="zh-CN" w:bidi="ar"/>
              </w:rPr>
              <w:t>《锅炉大气污染物排放标准》（GB13271-2014）中表2规定的新建燃煤锅炉大气污染物排放浓度限值</w:t>
            </w:r>
            <w:r>
              <w:rPr>
                <w:rFonts w:hint="default" w:ascii="Times New Roman" w:hAnsi="Times New Roman" w:cs="Times New Roman"/>
                <w:color w:val="auto"/>
                <w:spacing w:val="-3"/>
                <w:highlight w:val="none"/>
                <w:u w:val="none" w:color="auto"/>
                <w:lang w:val="en-US" w:eastAsia="zh-CN"/>
              </w:rPr>
              <w:t>。</w:t>
            </w:r>
          </w:p>
          <w:p w14:paraId="0BCD5E6C">
            <w:pPr>
              <w:jc w:val="center"/>
              <w:rPr>
                <w:rFonts w:hint="default" w:ascii="Times New Roman" w:hAnsi="Times New Roman" w:cs="Times New Roman"/>
                <w:b/>
                <w:bCs/>
                <w:color w:val="auto"/>
                <w:spacing w:val="-2"/>
                <w:highlight w:val="none"/>
                <w:u w:val="none" w:color="auto"/>
                <w:vertAlign w:val="superscript"/>
              </w:rPr>
            </w:pPr>
            <w:r>
              <w:rPr>
                <w:rFonts w:hint="default" w:ascii="Times New Roman" w:hAnsi="Times New Roman" w:cs="Times New Roman"/>
                <w:b/>
                <w:bCs/>
                <w:color w:val="auto"/>
                <w:spacing w:val="-2"/>
                <w:highlight w:val="none"/>
                <w:u w:val="none" w:color="auto"/>
              </w:rPr>
              <w:t>表 2-1</w:t>
            </w:r>
            <w:r>
              <w:rPr>
                <w:rFonts w:hint="default" w:ascii="Times New Roman" w:hAnsi="Times New Roman" w:cs="Times New Roman"/>
                <w:b/>
                <w:bCs/>
                <w:color w:val="auto"/>
                <w:spacing w:val="-2"/>
                <w:highlight w:val="none"/>
                <w:u w:val="none" w:color="auto"/>
                <w:lang w:val="en-US" w:eastAsia="zh-CN"/>
              </w:rPr>
              <w:t>1</w:t>
            </w:r>
            <w:r>
              <w:rPr>
                <w:rFonts w:hint="default" w:ascii="Times New Roman" w:hAnsi="Times New Roman" w:cs="Times New Roman"/>
                <w:b/>
                <w:bCs/>
                <w:color w:val="auto"/>
                <w:spacing w:val="-2"/>
                <w:highlight w:val="none"/>
                <w:u w:val="none" w:color="auto"/>
              </w:rPr>
              <w:t xml:space="preserve">   </w:t>
            </w:r>
            <w:r>
              <w:rPr>
                <w:rFonts w:hint="default" w:ascii="Times New Roman" w:hAnsi="Times New Roman" w:cs="Times New Roman"/>
                <w:b/>
                <w:bCs/>
                <w:color w:val="auto"/>
                <w:spacing w:val="-2"/>
                <w:highlight w:val="none"/>
                <w:u w:val="none" w:color="auto"/>
                <w:lang w:val="en-US" w:eastAsia="zh-CN"/>
              </w:rPr>
              <w:t>现有项目无</w:t>
            </w:r>
            <w:r>
              <w:rPr>
                <w:rFonts w:hint="default" w:ascii="Times New Roman" w:hAnsi="Times New Roman" w:cs="Times New Roman"/>
                <w:b/>
                <w:bCs/>
                <w:color w:val="auto"/>
                <w:spacing w:val="-2"/>
                <w:highlight w:val="none"/>
                <w:u w:val="none" w:color="auto"/>
              </w:rPr>
              <w:t>组织废气监测结果</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978"/>
              <w:gridCol w:w="1041"/>
              <w:gridCol w:w="1028"/>
              <w:gridCol w:w="1028"/>
              <w:gridCol w:w="1029"/>
              <w:gridCol w:w="1032"/>
            </w:tblGrid>
            <w:tr w14:paraId="400C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restart"/>
                  <w:vAlign w:val="center"/>
                </w:tcPr>
                <w:p w14:paraId="6BB01AC7">
                  <w:pPr>
                    <w:jc w:val="center"/>
                    <w:rPr>
                      <w:rFonts w:hint="default" w:ascii="Times New Roman" w:hAnsi="Times New Roman" w:cs="Times New Roman"/>
                      <w:b/>
                      <w:bCs/>
                      <w:color w:val="auto"/>
                      <w:spacing w:val="-2"/>
                      <w:sz w:val="21"/>
                      <w:szCs w:val="21"/>
                      <w:highlight w:val="none"/>
                      <w:u w:val="none" w:color="auto"/>
                      <w:vertAlign w:val="baseline"/>
                    </w:rPr>
                  </w:pPr>
                  <w:r>
                    <w:rPr>
                      <w:rFonts w:hint="default" w:ascii="Times New Roman" w:hAnsi="Times New Roman" w:cs="Times New Roman"/>
                      <w:b/>
                      <w:bCs/>
                      <w:color w:val="auto"/>
                      <w:spacing w:val="-1"/>
                      <w:sz w:val="21"/>
                      <w:szCs w:val="21"/>
                      <w:highlight w:val="none"/>
                      <w:u w:val="none" w:color="auto"/>
                      <w:lang w:val="en-US" w:eastAsia="zh-CN"/>
                    </w:rPr>
                    <w:t>检测项目</w:t>
                  </w:r>
                </w:p>
              </w:tc>
              <w:tc>
                <w:tcPr>
                  <w:tcW w:w="1978" w:type="dxa"/>
                  <w:vMerge w:val="restart"/>
                  <w:vAlign w:val="center"/>
                </w:tcPr>
                <w:p w14:paraId="5D501473">
                  <w:pPr>
                    <w:jc w:val="center"/>
                    <w:rPr>
                      <w:rFonts w:hint="default" w:ascii="Times New Roman" w:hAnsi="Times New Roman" w:cs="Times New Roman"/>
                      <w:b/>
                      <w:bCs/>
                      <w:color w:val="auto"/>
                      <w:spacing w:val="-2"/>
                      <w:sz w:val="21"/>
                      <w:szCs w:val="21"/>
                      <w:highlight w:val="none"/>
                      <w:u w:val="none" w:color="auto"/>
                      <w:vertAlign w:val="baseline"/>
                    </w:rPr>
                  </w:pPr>
                  <w:r>
                    <w:rPr>
                      <w:rFonts w:hint="default" w:ascii="Times New Roman" w:hAnsi="Times New Roman" w:cs="Times New Roman"/>
                      <w:b/>
                      <w:bCs/>
                      <w:color w:val="auto"/>
                      <w:sz w:val="21"/>
                      <w:szCs w:val="21"/>
                      <w:highlight w:val="none"/>
                      <w:u w:val="none" w:color="auto"/>
                      <w:lang w:val="en-US" w:eastAsia="zh-CN"/>
                    </w:rPr>
                    <w:t>检测点位</w:t>
                  </w:r>
                </w:p>
              </w:tc>
              <w:tc>
                <w:tcPr>
                  <w:tcW w:w="1041" w:type="dxa"/>
                  <w:vMerge w:val="restart"/>
                  <w:vAlign w:val="center"/>
                </w:tcPr>
                <w:p w14:paraId="45F09BCA">
                  <w:pPr>
                    <w:jc w:val="center"/>
                    <w:rPr>
                      <w:rFonts w:hint="default" w:ascii="Times New Roman" w:hAnsi="Times New Roman"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lang w:val="en-US" w:eastAsia="zh-CN"/>
                    </w:rPr>
                    <w:t>单位</w:t>
                  </w:r>
                </w:p>
              </w:tc>
              <w:tc>
                <w:tcPr>
                  <w:tcW w:w="3085" w:type="dxa"/>
                  <w:gridSpan w:val="3"/>
                  <w:vAlign w:val="center"/>
                </w:tcPr>
                <w:p w14:paraId="741D814F">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bCs/>
                      <w:color w:val="auto"/>
                      <w:spacing w:val="4"/>
                      <w:sz w:val="21"/>
                      <w:szCs w:val="21"/>
                      <w:highlight w:val="none"/>
                      <w:u w:val="none" w:color="auto"/>
                    </w:rPr>
                  </w:pPr>
                  <w:r>
                    <w:rPr>
                      <w:rFonts w:hint="default" w:ascii="Times New Roman" w:hAnsi="Times New Roman" w:cs="Times New Roman"/>
                      <w:b/>
                      <w:bCs/>
                      <w:color w:val="auto"/>
                      <w:sz w:val="21"/>
                      <w:szCs w:val="21"/>
                      <w:highlight w:val="none"/>
                      <w:u w:val="none" w:color="auto"/>
                      <w:lang w:val="en-US" w:eastAsia="zh-CN"/>
                    </w:rPr>
                    <w:t>检测频次及检测结果</w:t>
                  </w:r>
                </w:p>
              </w:tc>
              <w:tc>
                <w:tcPr>
                  <w:tcW w:w="1032" w:type="dxa"/>
                  <w:vMerge w:val="restart"/>
                  <w:vAlign w:val="center"/>
                </w:tcPr>
                <w:p w14:paraId="0596A78D">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pacing w:val="4"/>
                      <w:sz w:val="21"/>
                      <w:szCs w:val="21"/>
                      <w:highlight w:val="none"/>
                      <w:u w:val="none" w:color="auto"/>
                      <w:lang w:val="en-US" w:eastAsia="zh-CN"/>
                    </w:rPr>
                  </w:pPr>
                  <w:r>
                    <w:rPr>
                      <w:rFonts w:hint="default" w:ascii="Times New Roman" w:hAnsi="Times New Roman" w:eastAsia="宋体" w:cs="Times New Roman"/>
                      <w:b/>
                      <w:bCs/>
                      <w:color w:val="auto"/>
                      <w:spacing w:val="4"/>
                      <w:sz w:val="21"/>
                      <w:szCs w:val="21"/>
                      <w:highlight w:val="none"/>
                      <w:u w:val="none" w:color="auto"/>
                      <w:lang w:val="en-US" w:eastAsia="zh-CN"/>
                    </w:rPr>
                    <w:t>标准限值</w:t>
                  </w:r>
                </w:p>
              </w:tc>
            </w:tr>
            <w:tr w14:paraId="6AE6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59170F58">
                  <w:pPr>
                    <w:jc w:val="center"/>
                    <w:rPr>
                      <w:rFonts w:hint="default" w:ascii="Times New Roman" w:hAnsi="Times New Roman" w:cs="Times New Roman"/>
                      <w:b/>
                      <w:bCs/>
                      <w:color w:val="auto"/>
                      <w:spacing w:val="-1"/>
                      <w:sz w:val="21"/>
                      <w:szCs w:val="21"/>
                      <w:highlight w:val="none"/>
                      <w:u w:val="none" w:color="auto"/>
                      <w:lang w:val="en-US" w:eastAsia="zh-CN"/>
                    </w:rPr>
                  </w:pPr>
                </w:p>
              </w:tc>
              <w:tc>
                <w:tcPr>
                  <w:tcW w:w="1978" w:type="dxa"/>
                  <w:vMerge w:val="continue"/>
                  <w:vAlign w:val="center"/>
                </w:tcPr>
                <w:p w14:paraId="433B441F">
                  <w:pPr>
                    <w:jc w:val="center"/>
                    <w:rPr>
                      <w:rFonts w:hint="default" w:ascii="Times New Roman" w:hAnsi="Times New Roman" w:cs="Times New Roman"/>
                      <w:b/>
                      <w:bCs/>
                      <w:color w:val="auto"/>
                      <w:sz w:val="21"/>
                      <w:szCs w:val="21"/>
                      <w:highlight w:val="none"/>
                      <w:u w:val="none" w:color="auto"/>
                      <w:lang w:val="en-US" w:eastAsia="zh-CN"/>
                    </w:rPr>
                  </w:pPr>
                </w:p>
              </w:tc>
              <w:tc>
                <w:tcPr>
                  <w:tcW w:w="1041" w:type="dxa"/>
                  <w:vMerge w:val="continue"/>
                  <w:vAlign w:val="center"/>
                </w:tcPr>
                <w:p w14:paraId="362D9126">
                  <w:pPr>
                    <w:jc w:val="center"/>
                    <w:rPr>
                      <w:rFonts w:hint="default" w:ascii="Times New Roman" w:hAnsi="Times New Roman" w:cs="Times New Roman"/>
                      <w:b/>
                      <w:bCs/>
                      <w:color w:val="auto"/>
                      <w:sz w:val="21"/>
                      <w:szCs w:val="21"/>
                      <w:highlight w:val="none"/>
                      <w:u w:val="none" w:color="auto"/>
                      <w:lang w:val="en-US" w:eastAsia="zh-CN"/>
                    </w:rPr>
                  </w:pPr>
                </w:p>
              </w:tc>
              <w:tc>
                <w:tcPr>
                  <w:tcW w:w="1028" w:type="dxa"/>
                  <w:vAlign w:val="center"/>
                </w:tcPr>
                <w:p w14:paraId="2E8306E6">
                  <w:pPr>
                    <w:jc w:val="center"/>
                    <w:rPr>
                      <w:rFonts w:hint="default" w:ascii="Times New Roman" w:hAnsi="Times New Roman" w:cs="Times New Roman"/>
                      <w:b/>
                      <w:bCs/>
                      <w:color w:val="auto"/>
                      <w:sz w:val="21"/>
                      <w:szCs w:val="21"/>
                      <w:highlight w:val="none"/>
                      <w:u w:val="none" w:color="auto"/>
                      <w:lang w:val="en-US" w:eastAsia="zh-CN"/>
                    </w:rPr>
                  </w:pPr>
                  <w:r>
                    <w:rPr>
                      <w:rFonts w:hint="default" w:ascii="Times New Roman" w:hAnsi="Times New Roman" w:cs="Times New Roman"/>
                      <w:b/>
                      <w:bCs/>
                      <w:color w:val="auto"/>
                      <w:sz w:val="21"/>
                      <w:szCs w:val="21"/>
                      <w:highlight w:val="none"/>
                      <w:u w:val="none" w:color="auto"/>
                      <w:lang w:val="en-US" w:eastAsia="zh-CN"/>
                    </w:rPr>
                    <w:t>第一次</w:t>
                  </w:r>
                </w:p>
              </w:tc>
              <w:tc>
                <w:tcPr>
                  <w:tcW w:w="1028" w:type="dxa"/>
                  <w:vAlign w:val="center"/>
                </w:tcPr>
                <w:p w14:paraId="16E5CF16">
                  <w:pPr>
                    <w:jc w:val="center"/>
                    <w:rPr>
                      <w:rFonts w:hint="default" w:ascii="Times New Roman" w:hAnsi="Times New Roman" w:eastAsia="宋体" w:cs="Times New Roman"/>
                      <w:b/>
                      <w:bCs/>
                      <w:color w:val="auto"/>
                      <w:spacing w:val="-2"/>
                      <w:sz w:val="21"/>
                      <w:szCs w:val="21"/>
                      <w:highlight w:val="none"/>
                      <w:u w:val="none" w:color="auto"/>
                      <w:vertAlign w:val="baseline"/>
                      <w:lang w:val="en-US" w:eastAsia="zh-CN"/>
                    </w:rPr>
                  </w:pPr>
                  <w:r>
                    <w:rPr>
                      <w:rFonts w:hint="default" w:ascii="Times New Roman" w:hAnsi="Times New Roman" w:cs="Times New Roman"/>
                      <w:b/>
                      <w:bCs/>
                      <w:color w:val="auto"/>
                      <w:spacing w:val="-2"/>
                      <w:sz w:val="21"/>
                      <w:szCs w:val="21"/>
                      <w:highlight w:val="none"/>
                      <w:u w:val="none" w:color="auto"/>
                      <w:vertAlign w:val="baseline"/>
                      <w:lang w:val="en-US" w:eastAsia="zh-CN"/>
                    </w:rPr>
                    <w:t>第二次</w:t>
                  </w:r>
                </w:p>
              </w:tc>
              <w:tc>
                <w:tcPr>
                  <w:tcW w:w="1029" w:type="dxa"/>
                  <w:vAlign w:val="center"/>
                </w:tcPr>
                <w:p w14:paraId="775AE00F">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bCs/>
                      <w:color w:val="auto"/>
                      <w:spacing w:val="4"/>
                      <w:sz w:val="21"/>
                      <w:szCs w:val="21"/>
                      <w:highlight w:val="none"/>
                      <w:u w:val="none" w:color="auto"/>
                      <w:lang w:val="en-US" w:eastAsia="zh-CN"/>
                    </w:rPr>
                  </w:pPr>
                  <w:r>
                    <w:rPr>
                      <w:rFonts w:hint="default" w:ascii="Times New Roman" w:hAnsi="Times New Roman" w:cs="Times New Roman"/>
                      <w:b/>
                      <w:bCs/>
                      <w:color w:val="auto"/>
                      <w:spacing w:val="4"/>
                      <w:sz w:val="21"/>
                      <w:szCs w:val="21"/>
                      <w:highlight w:val="none"/>
                      <w:u w:val="none" w:color="auto"/>
                      <w:lang w:val="en-US" w:eastAsia="zh-CN"/>
                    </w:rPr>
                    <w:t>第三次</w:t>
                  </w:r>
                </w:p>
              </w:tc>
              <w:tc>
                <w:tcPr>
                  <w:tcW w:w="1032" w:type="dxa"/>
                  <w:vMerge w:val="continue"/>
                  <w:vAlign w:val="center"/>
                </w:tcPr>
                <w:p w14:paraId="41B544B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b w:val="0"/>
                      <w:bCs w:val="0"/>
                      <w:color w:val="auto"/>
                      <w:spacing w:val="4"/>
                      <w:sz w:val="21"/>
                      <w:szCs w:val="21"/>
                      <w:highlight w:val="none"/>
                      <w:u w:val="none" w:color="auto"/>
                      <w:lang w:val="en-US" w:eastAsia="zh-CN"/>
                    </w:rPr>
                  </w:pPr>
                </w:p>
              </w:tc>
            </w:tr>
            <w:tr w14:paraId="478F7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restart"/>
                  <w:vAlign w:val="center"/>
                </w:tcPr>
                <w:p w14:paraId="01D8B8EB">
                  <w:pPr>
                    <w:jc w:val="center"/>
                    <w:rPr>
                      <w:rFonts w:hint="default" w:ascii="Times New Roman" w:hAnsi="Times New Roman"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臭气浓度</w:t>
                  </w:r>
                </w:p>
              </w:tc>
              <w:tc>
                <w:tcPr>
                  <w:tcW w:w="1978" w:type="dxa"/>
                  <w:vAlign w:val="center"/>
                </w:tcPr>
                <w:p w14:paraId="0C423B32">
                  <w:pPr>
                    <w:jc w:val="center"/>
                    <w:rPr>
                      <w:rFonts w:hint="default" w:ascii="Times New Roman" w:hAnsi="Times New Roman"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厂界上风向北G1</w:t>
                  </w:r>
                </w:p>
              </w:tc>
              <w:tc>
                <w:tcPr>
                  <w:tcW w:w="1041" w:type="dxa"/>
                  <w:vAlign w:val="center"/>
                </w:tcPr>
                <w:p w14:paraId="38E0142B">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无量纲</w:t>
                  </w:r>
                </w:p>
              </w:tc>
              <w:tc>
                <w:tcPr>
                  <w:tcW w:w="1028" w:type="dxa"/>
                  <w:vAlign w:val="center"/>
                </w:tcPr>
                <w:p w14:paraId="52CC43FB">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8" w:type="dxa"/>
                  <w:vAlign w:val="center"/>
                </w:tcPr>
                <w:p w14:paraId="0EE036A0">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9" w:type="dxa"/>
                  <w:vAlign w:val="center"/>
                </w:tcPr>
                <w:p w14:paraId="12CDC98E">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32" w:type="dxa"/>
                  <w:vMerge w:val="restart"/>
                  <w:vAlign w:val="center"/>
                </w:tcPr>
                <w:p w14:paraId="091E338B">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20</w:t>
                  </w:r>
                </w:p>
              </w:tc>
            </w:tr>
            <w:tr w14:paraId="76498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6E459E8F">
                  <w:pPr>
                    <w:jc w:val="center"/>
                    <w:rPr>
                      <w:rFonts w:hint="default" w:ascii="Times New Roman" w:hAnsi="Times New Roman" w:cs="Times New Roman"/>
                      <w:b w:val="0"/>
                      <w:bCs w:val="0"/>
                      <w:color w:val="auto"/>
                      <w:spacing w:val="-2"/>
                      <w:sz w:val="21"/>
                      <w:szCs w:val="21"/>
                      <w:highlight w:val="none"/>
                      <w:u w:val="none" w:color="auto"/>
                      <w:vertAlign w:val="baseline"/>
                    </w:rPr>
                  </w:pPr>
                </w:p>
              </w:tc>
              <w:tc>
                <w:tcPr>
                  <w:tcW w:w="1978" w:type="dxa"/>
                  <w:vAlign w:val="center"/>
                </w:tcPr>
                <w:p w14:paraId="0EC54665">
                  <w:pPr>
                    <w:jc w:val="center"/>
                    <w:rPr>
                      <w:rFonts w:hint="default" w:ascii="Times New Roman" w:hAnsi="Times New Roman"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厂界下风向西南G2</w:t>
                  </w:r>
                </w:p>
              </w:tc>
              <w:tc>
                <w:tcPr>
                  <w:tcW w:w="1041" w:type="dxa"/>
                  <w:vAlign w:val="center"/>
                </w:tcPr>
                <w:p w14:paraId="4344703E">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无量纲</w:t>
                  </w:r>
                </w:p>
              </w:tc>
              <w:tc>
                <w:tcPr>
                  <w:tcW w:w="1028" w:type="dxa"/>
                  <w:vAlign w:val="center"/>
                </w:tcPr>
                <w:p w14:paraId="1A8F4E7C">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8" w:type="dxa"/>
                  <w:vAlign w:val="center"/>
                </w:tcPr>
                <w:p w14:paraId="7AB4B776">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9" w:type="dxa"/>
                  <w:vAlign w:val="center"/>
                </w:tcPr>
                <w:p w14:paraId="299A1538">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32" w:type="dxa"/>
                  <w:vMerge w:val="continue"/>
                  <w:vAlign w:val="center"/>
                </w:tcPr>
                <w:p w14:paraId="7731F9D7">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20E5B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507A93D8">
                  <w:pPr>
                    <w:jc w:val="center"/>
                    <w:rPr>
                      <w:rFonts w:hint="default" w:ascii="Times New Roman" w:hAnsi="Times New Roman" w:cs="Times New Roman"/>
                      <w:b w:val="0"/>
                      <w:bCs w:val="0"/>
                      <w:color w:val="auto"/>
                      <w:spacing w:val="-2"/>
                      <w:sz w:val="21"/>
                      <w:szCs w:val="21"/>
                      <w:highlight w:val="none"/>
                      <w:u w:val="none" w:color="auto"/>
                      <w:vertAlign w:val="baseline"/>
                    </w:rPr>
                  </w:pPr>
                </w:p>
              </w:tc>
              <w:tc>
                <w:tcPr>
                  <w:tcW w:w="1978" w:type="dxa"/>
                  <w:vAlign w:val="center"/>
                </w:tcPr>
                <w:p w14:paraId="0A1EED95">
                  <w:pPr>
                    <w:jc w:val="center"/>
                    <w:rPr>
                      <w:rFonts w:hint="default" w:ascii="Times New Roman" w:hAnsi="Times New Roman"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厂界下风向南G3</w:t>
                  </w:r>
                </w:p>
              </w:tc>
              <w:tc>
                <w:tcPr>
                  <w:tcW w:w="1041" w:type="dxa"/>
                  <w:vAlign w:val="center"/>
                </w:tcPr>
                <w:p w14:paraId="6F19878F">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无量纲</w:t>
                  </w:r>
                </w:p>
              </w:tc>
              <w:tc>
                <w:tcPr>
                  <w:tcW w:w="1028" w:type="dxa"/>
                  <w:vAlign w:val="center"/>
                </w:tcPr>
                <w:p w14:paraId="39488832">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8" w:type="dxa"/>
                  <w:vAlign w:val="center"/>
                </w:tcPr>
                <w:p w14:paraId="4C5D87EA">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9" w:type="dxa"/>
                  <w:vAlign w:val="center"/>
                </w:tcPr>
                <w:p w14:paraId="102CEDAC">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14</w:t>
                  </w:r>
                </w:p>
              </w:tc>
              <w:tc>
                <w:tcPr>
                  <w:tcW w:w="1032" w:type="dxa"/>
                  <w:vMerge w:val="continue"/>
                  <w:vAlign w:val="center"/>
                </w:tcPr>
                <w:p w14:paraId="1328A235">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0AE0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73971E5C">
                  <w:pPr>
                    <w:jc w:val="center"/>
                    <w:rPr>
                      <w:rFonts w:hint="default" w:ascii="Times New Roman" w:hAnsi="Times New Roman" w:cs="Times New Roman"/>
                      <w:b w:val="0"/>
                      <w:bCs w:val="0"/>
                      <w:color w:val="auto"/>
                      <w:spacing w:val="-2"/>
                      <w:sz w:val="21"/>
                      <w:szCs w:val="21"/>
                      <w:highlight w:val="none"/>
                      <w:u w:val="none" w:color="auto"/>
                      <w:vertAlign w:val="baseline"/>
                    </w:rPr>
                  </w:pPr>
                </w:p>
              </w:tc>
              <w:tc>
                <w:tcPr>
                  <w:tcW w:w="1978" w:type="dxa"/>
                  <w:vAlign w:val="center"/>
                </w:tcPr>
                <w:p w14:paraId="4E59CFDD">
                  <w:pPr>
                    <w:jc w:val="center"/>
                    <w:rPr>
                      <w:rFonts w:hint="default" w:ascii="Times New Roman" w:hAnsi="Times New Roman" w:cs="Times New Roman"/>
                      <w:b w:val="0"/>
                      <w:bCs w:val="0"/>
                      <w:color w:val="auto"/>
                      <w:spacing w:val="-2"/>
                      <w:sz w:val="21"/>
                      <w:szCs w:val="21"/>
                      <w:highlight w:val="none"/>
                      <w:u w:val="none" w:color="auto"/>
                      <w:vertAlign w:val="baseline"/>
                      <w:lang w:val="en-US"/>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厂界下风向东G4</w:t>
                  </w:r>
                </w:p>
              </w:tc>
              <w:tc>
                <w:tcPr>
                  <w:tcW w:w="1041" w:type="dxa"/>
                  <w:vAlign w:val="center"/>
                </w:tcPr>
                <w:p w14:paraId="0EDBA913">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无量纲</w:t>
                  </w:r>
                </w:p>
              </w:tc>
              <w:tc>
                <w:tcPr>
                  <w:tcW w:w="1028" w:type="dxa"/>
                  <w:vAlign w:val="center"/>
                </w:tcPr>
                <w:p w14:paraId="400318B1">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11</w:t>
                  </w:r>
                </w:p>
              </w:tc>
              <w:tc>
                <w:tcPr>
                  <w:tcW w:w="1028" w:type="dxa"/>
                  <w:vAlign w:val="center"/>
                </w:tcPr>
                <w:p w14:paraId="2ED9A66D">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29" w:type="dxa"/>
                  <w:vAlign w:val="center"/>
                </w:tcPr>
                <w:p w14:paraId="3F546CB0">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c>
                <w:tcPr>
                  <w:tcW w:w="1032" w:type="dxa"/>
                  <w:vMerge w:val="continue"/>
                  <w:vAlign w:val="center"/>
                </w:tcPr>
                <w:p w14:paraId="51B6A3A3">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1091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restart"/>
                  <w:vAlign w:val="center"/>
                </w:tcPr>
                <w:p w14:paraId="7F722A42">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颗粒物</w:t>
                  </w:r>
                </w:p>
              </w:tc>
              <w:tc>
                <w:tcPr>
                  <w:tcW w:w="1978" w:type="dxa"/>
                  <w:shd w:val="clear" w:color="auto" w:fill="auto"/>
                  <w:vAlign w:val="center"/>
                </w:tcPr>
                <w:p w14:paraId="57F77170">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厂界上风向北G1</w:t>
                  </w:r>
                </w:p>
              </w:tc>
              <w:tc>
                <w:tcPr>
                  <w:tcW w:w="1041" w:type="dxa"/>
                  <w:vAlign w:val="center"/>
                </w:tcPr>
                <w:p w14:paraId="663920BF">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19379CD1">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＜0.168</w:t>
                  </w:r>
                </w:p>
              </w:tc>
              <w:tc>
                <w:tcPr>
                  <w:tcW w:w="1032" w:type="dxa"/>
                  <w:vMerge w:val="restart"/>
                  <w:vAlign w:val="center"/>
                </w:tcPr>
                <w:p w14:paraId="07C71B85">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1.0</w:t>
                  </w:r>
                </w:p>
              </w:tc>
            </w:tr>
            <w:tr w14:paraId="1D68E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71392E7B">
                  <w:pPr>
                    <w:jc w:val="center"/>
                    <w:rPr>
                      <w:rFonts w:hint="default" w:ascii="Times New Roman" w:hAnsi="Times New Roman" w:cs="Times New Roman"/>
                      <w:b w:val="0"/>
                      <w:bCs w:val="0"/>
                      <w:color w:val="auto"/>
                      <w:spacing w:val="-2"/>
                      <w:sz w:val="21"/>
                      <w:szCs w:val="21"/>
                      <w:highlight w:val="none"/>
                      <w:u w:val="none" w:color="auto"/>
                      <w:vertAlign w:val="baseline"/>
                    </w:rPr>
                  </w:pPr>
                </w:p>
              </w:tc>
              <w:tc>
                <w:tcPr>
                  <w:tcW w:w="1978" w:type="dxa"/>
                  <w:shd w:val="clear" w:color="auto" w:fill="auto"/>
                  <w:vAlign w:val="center"/>
                </w:tcPr>
                <w:p w14:paraId="53D6D902">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厂界下风向西南G2</w:t>
                  </w:r>
                </w:p>
              </w:tc>
              <w:tc>
                <w:tcPr>
                  <w:tcW w:w="1041" w:type="dxa"/>
                  <w:vAlign w:val="center"/>
                </w:tcPr>
                <w:p w14:paraId="47EABE3C">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0B797F9B">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0.315</w:t>
                  </w:r>
                </w:p>
              </w:tc>
              <w:tc>
                <w:tcPr>
                  <w:tcW w:w="1032" w:type="dxa"/>
                  <w:vMerge w:val="continue"/>
                  <w:vAlign w:val="center"/>
                </w:tcPr>
                <w:p w14:paraId="1D2E2386">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6440F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2A2F9002">
                  <w:pPr>
                    <w:jc w:val="center"/>
                    <w:rPr>
                      <w:rFonts w:hint="default" w:ascii="Times New Roman" w:hAnsi="Times New Roman" w:cs="Times New Roman"/>
                      <w:b w:val="0"/>
                      <w:bCs w:val="0"/>
                      <w:color w:val="auto"/>
                      <w:spacing w:val="-2"/>
                      <w:sz w:val="21"/>
                      <w:szCs w:val="21"/>
                      <w:highlight w:val="none"/>
                      <w:u w:val="none" w:color="auto"/>
                      <w:vertAlign w:val="baseline"/>
                    </w:rPr>
                  </w:pPr>
                </w:p>
              </w:tc>
              <w:tc>
                <w:tcPr>
                  <w:tcW w:w="1978" w:type="dxa"/>
                  <w:shd w:val="clear" w:color="auto" w:fill="auto"/>
                  <w:vAlign w:val="center"/>
                </w:tcPr>
                <w:p w14:paraId="3AE80168">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厂界下风向南G3</w:t>
                  </w:r>
                </w:p>
              </w:tc>
              <w:tc>
                <w:tcPr>
                  <w:tcW w:w="1041" w:type="dxa"/>
                  <w:vAlign w:val="center"/>
                </w:tcPr>
                <w:p w14:paraId="036204CB">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7AF2AF09">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0.318</w:t>
                  </w:r>
                </w:p>
              </w:tc>
              <w:tc>
                <w:tcPr>
                  <w:tcW w:w="1032" w:type="dxa"/>
                  <w:vMerge w:val="continue"/>
                  <w:vAlign w:val="center"/>
                </w:tcPr>
                <w:p w14:paraId="77239C7F">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4867D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779F5EBF">
                  <w:pPr>
                    <w:jc w:val="center"/>
                    <w:rPr>
                      <w:rFonts w:hint="default" w:ascii="Times New Roman" w:hAnsi="Times New Roman" w:cs="Times New Roman"/>
                      <w:b w:val="0"/>
                      <w:bCs w:val="0"/>
                      <w:color w:val="auto"/>
                      <w:spacing w:val="-2"/>
                      <w:sz w:val="21"/>
                      <w:szCs w:val="21"/>
                      <w:highlight w:val="none"/>
                      <w:u w:val="none" w:color="auto"/>
                      <w:vertAlign w:val="baseline"/>
                    </w:rPr>
                  </w:pPr>
                </w:p>
              </w:tc>
              <w:tc>
                <w:tcPr>
                  <w:tcW w:w="0" w:type="auto"/>
                  <w:shd w:val="clear" w:color="auto" w:fill="auto"/>
                  <w:vAlign w:val="center"/>
                </w:tcPr>
                <w:p w14:paraId="2D43ADE6">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厂界下风向东G4</w:t>
                  </w:r>
                </w:p>
              </w:tc>
              <w:tc>
                <w:tcPr>
                  <w:tcW w:w="0" w:type="auto"/>
                  <w:vAlign w:val="center"/>
                </w:tcPr>
                <w:p w14:paraId="49BB3CE5">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1352874A">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0.322</w:t>
                  </w:r>
                </w:p>
              </w:tc>
              <w:tc>
                <w:tcPr>
                  <w:tcW w:w="1032" w:type="dxa"/>
                  <w:vMerge w:val="continue"/>
                  <w:vAlign w:val="center"/>
                </w:tcPr>
                <w:p w14:paraId="02D0B478">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1022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restart"/>
                  <w:vAlign w:val="center"/>
                </w:tcPr>
                <w:p w14:paraId="68333586">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氨</w:t>
                  </w:r>
                </w:p>
              </w:tc>
              <w:tc>
                <w:tcPr>
                  <w:tcW w:w="0" w:type="auto"/>
                  <w:shd w:val="clear" w:color="auto" w:fill="auto"/>
                  <w:vAlign w:val="center"/>
                </w:tcPr>
                <w:p w14:paraId="592612AF">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厂界上风向北G1</w:t>
                  </w:r>
                </w:p>
              </w:tc>
              <w:tc>
                <w:tcPr>
                  <w:tcW w:w="0" w:type="auto"/>
                  <w:vAlign w:val="center"/>
                </w:tcPr>
                <w:p w14:paraId="7F98B97E">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67163BB2">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0.10</w:t>
                  </w:r>
                </w:p>
              </w:tc>
              <w:tc>
                <w:tcPr>
                  <w:tcW w:w="1032" w:type="dxa"/>
                  <w:vMerge w:val="restart"/>
                  <w:vAlign w:val="center"/>
                </w:tcPr>
                <w:p w14:paraId="358ABC85">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1.5</w:t>
                  </w:r>
                </w:p>
              </w:tc>
            </w:tr>
            <w:tr w14:paraId="143A7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71AC658C">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0318F686">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厂界下风向西南G2</w:t>
                  </w:r>
                </w:p>
              </w:tc>
              <w:tc>
                <w:tcPr>
                  <w:tcW w:w="0" w:type="auto"/>
                  <w:vAlign w:val="center"/>
                </w:tcPr>
                <w:p w14:paraId="566099C2">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6058DADA">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0.22</w:t>
                  </w:r>
                </w:p>
              </w:tc>
              <w:tc>
                <w:tcPr>
                  <w:tcW w:w="1032" w:type="dxa"/>
                  <w:vMerge w:val="continue"/>
                  <w:vAlign w:val="center"/>
                </w:tcPr>
                <w:p w14:paraId="2E14BE76">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3AFD0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290973B0">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423B3FA3">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厂界下风向南G3</w:t>
                  </w:r>
                </w:p>
              </w:tc>
              <w:tc>
                <w:tcPr>
                  <w:tcW w:w="0" w:type="auto"/>
                  <w:vAlign w:val="center"/>
                </w:tcPr>
                <w:p w14:paraId="0E350422">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600D3FBE">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0.27</w:t>
                  </w:r>
                </w:p>
              </w:tc>
              <w:tc>
                <w:tcPr>
                  <w:tcW w:w="1032" w:type="dxa"/>
                  <w:vMerge w:val="continue"/>
                  <w:vAlign w:val="center"/>
                </w:tcPr>
                <w:p w14:paraId="00D18E1D">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3F073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18B06FBC">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34E418A5">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厂界下风向东G4</w:t>
                  </w:r>
                </w:p>
              </w:tc>
              <w:tc>
                <w:tcPr>
                  <w:tcW w:w="0" w:type="auto"/>
                  <w:vAlign w:val="center"/>
                </w:tcPr>
                <w:p w14:paraId="29A61764">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3E910AE6">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0.21</w:t>
                  </w:r>
                </w:p>
              </w:tc>
              <w:tc>
                <w:tcPr>
                  <w:tcW w:w="1032" w:type="dxa"/>
                  <w:vMerge w:val="continue"/>
                  <w:vAlign w:val="center"/>
                </w:tcPr>
                <w:p w14:paraId="5673187A">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53D12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restart"/>
                  <w:vAlign w:val="center"/>
                </w:tcPr>
                <w:p w14:paraId="385B3EAE">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硫化氢</w:t>
                  </w:r>
                </w:p>
              </w:tc>
              <w:tc>
                <w:tcPr>
                  <w:tcW w:w="0" w:type="auto"/>
                  <w:shd w:val="clear" w:color="auto" w:fill="auto"/>
                  <w:vAlign w:val="center"/>
                </w:tcPr>
                <w:p w14:paraId="36B81498">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厂界上风向北G1</w:t>
                  </w:r>
                </w:p>
              </w:tc>
              <w:tc>
                <w:tcPr>
                  <w:tcW w:w="0" w:type="auto"/>
                  <w:vAlign w:val="center"/>
                </w:tcPr>
                <w:p w14:paraId="002DD6A3">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79D28B08">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0.001</w:t>
                  </w:r>
                </w:p>
              </w:tc>
              <w:tc>
                <w:tcPr>
                  <w:tcW w:w="1032" w:type="dxa"/>
                  <w:vMerge w:val="restart"/>
                  <w:vAlign w:val="center"/>
                </w:tcPr>
                <w:p w14:paraId="7DCE06E2">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0.06</w:t>
                  </w:r>
                </w:p>
              </w:tc>
            </w:tr>
            <w:tr w14:paraId="5F75A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07CB1BE4">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0F5DFFEC">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厂界下风向西南G2</w:t>
                  </w:r>
                </w:p>
              </w:tc>
              <w:tc>
                <w:tcPr>
                  <w:tcW w:w="0" w:type="auto"/>
                  <w:vAlign w:val="center"/>
                </w:tcPr>
                <w:p w14:paraId="5FB94EFA">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40DD1F73">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0.002</w:t>
                  </w:r>
                </w:p>
              </w:tc>
              <w:tc>
                <w:tcPr>
                  <w:tcW w:w="1032" w:type="dxa"/>
                  <w:vMerge w:val="continue"/>
                  <w:vAlign w:val="center"/>
                </w:tcPr>
                <w:p w14:paraId="55F09481">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1959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538235E6">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411712AD">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厂界下风向南G3</w:t>
                  </w:r>
                </w:p>
              </w:tc>
              <w:tc>
                <w:tcPr>
                  <w:tcW w:w="0" w:type="auto"/>
                  <w:vAlign w:val="center"/>
                </w:tcPr>
                <w:p w14:paraId="01A6AACB">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7A6B2BCF">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0.002</w:t>
                  </w:r>
                </w:p>
              </w:tc>
              <w:tc>
                <w:tcPr>
                  <w:tcW w:w="1032" w:type="dxa"/>
                  <w:vMerge w:val="continue"/>
                  <w:vAlign w:val="center"/>
                </w:tcPr>
                <w:p w14:paraId="3325BE60">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3FBF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49F9702B">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45A345C1">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厂界下风向东G4</w:t>
                  </w:r>
                </w:p>
              </w:tc>
              <w:tc>
                <w:tcPr>
                  <w:tcW w:w="0" w:type="auto"/>
                  <w:vAlign w:val="center"/>
                </w:tcPr>
                <w:p w14:paraId="15B4E4FB">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18F9A775">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0.002</w:t>
                  </w:r>
                </w:p>
              </w:tc>
              <w:tc>
                <w:tcPr>
                  <w:tcW w:w="1032" w:type="dxa"/>
                  <w:vMerge w:val="continue"/>
                  <w:vAlign w:val="center"/>
                </w:tcPr>
                <w:p w14:paraId="423DDD7B">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6D37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restart"/>
                  <w:vAlign w:val="center"/>
                </w:tcPr>
                <w:p w14:paraId="5D892356">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非甲烷总烃</w:t>
                  </w:r>
                </w:p>
              </w:tc>
              <w:tc>
                <w:tcPr>
                  <w:tcW w:w="0" w:type="auto"/>
                  <w:shd w:val="clear" w:color="auto" w:fill="auto"/>
                  <w:vAlign w:val="center"/>
                </w:tcPr>
                <w:p w14:paraId="213A0F8D">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厂界上风向北G1</w:t>
                  </w:r>
                </w:p>
              </w:tc>
              <w:tc>
                <w:tcPr>
                  <w:tcW w:w="0" w:type="auto"/>
                  <w:vAlign w:val="center"/>
                </w:tcPr>
                <w:p w14:paraId="387BEC21">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236859C1">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0.41</w:t>
                  </w:r>
                </w:p>
              </w:tc>
              <w:tc>
                <w:tcPr>
                  <w:tcW w:w="1032" w:type="dxa"/>
                  <w:vMerge w:val="restart"/>
                  <w:vAlign w:val="center"/>
                </w:tcPr>
                <w:p w14:paraId="462D3086">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4.0</w:t>
                  </w:r>
                </w:p>
              </w:tc>
            </w:tr>
            <w:tr w14:paraId="19BE2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49FDD5A4">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6DD450A6">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厂界下风向西南G2</w:t>
                  </w:r>
                </w:p>
              </w:tc>
              <w:tc>
                <w:tcPr>
                  <w:tcW w:w="0" w:type="auto"/>
                  <w:vAlign w:val="center"/>
                </w:tcPr>
                <w:p w14:paraId="7347EB99">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5D21FFA5">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0.49</w:t>
                  </w:r>
                </w:p>
              </w:tc>
              <w:tc>
                <w:tcPr>
                  <w:tcW w:w="1032" w:type="dxa"/>
                  <w:vMerge w:val="continue"/>
                  <w:vAlign w:val="center"/>
                </w:tcPr>
                <w:p w14:paraId="51F659CE">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165AA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7E560737">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154786A7">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厂界下风向南G3</w:t>
                  </w:r>
                </w:p>
              </w:tc>
              <w:tc>
                <w:tcPr>
                  <w:tcW w:w="0" w:type="auto"/>
                  <w:vAlign w:val="center"/>
                </w:tcPr>
                <w:p w14:paraId="2AD798F0">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668650D4">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0.50</w:t>
                  </w:r>
                </w:p>
              </w:tc>
              <w:tc>
                <w:tcPr>
                  <w:tcW w:w="1032" w:type="dxa"/>
                  <w:vMerge w:val="continue"/>
                  <w:vAlign w:val="center"/>
                </w:tcPr>
                <w:p w14:paraId="71ADC07A">
                  <w:pPr>
                    <w:jc w:val="center"/>
                    <w:rPr>
                      <w:rFonts w:hint="default" w:ascii="Times New Roman" w:hAnsi="Times New Roman" w:cs="Times New Roman"/>
                      <w:b w:val="0"/>
                      <w:bCs w:val="0"/>
                      <w:color w:val="auto"/>
                      <w:spacing w:val="-2"/>
                      <w:sz w:val="21"/>
                      <w:szCs w:val="21"/>
                      <w:highlight w:val="none"/>
                      <w:u w:val="none" w:color="auto"/>
                      <w:vertAlign w:val="baseline"/>
                    </w:rPr>
                  </w:pPr>
                </w:p>
              </w:tc>
            </w:tr>
            <w:tr w14:paraId="757FC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50" w:type="dxa"/>
                  <w:vMerge w:val="continue"/>
                  <w:vAlign w:val="center"/>
                </w:tcPr>
                <w:p w14:paraId="770125FB">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p>
              </w:tc>
              <w:tc>
                <w:tcPr>
                  <w:tcW w:w="0" w:type="auto"/>
                  <w:shd w:val="clear" w:color="auto" w:fill="auto"/>
                  <w:vAlign w:val="center"/>
                </w:tcPr>
                <w:p w14:paraId="30BEDDE0">
                  <w:pPr>
                    <w:jc w:val="center"/>
                    <w:rPr>
                      <w:rFonts w:hint="default" w:ascii="Times New Roman" w:hAnsi="Times New Roman" w:eastAsia="宋体" w:cs="Times New Roman"/>
                      <w:b w:val="0"/>
                      <w:bCs w:val="0"/>
                      <w:color w:val="auto"/>
                      <w:spacing w:val="-2"/>
                      <w:kern w:val="2"/>
                      <w:sz w:val="21"/>
                      <w:szCs w:val="21"/>
                      <w:highlight w:val="none"/>
                      <w:u w:val="none" w:color="auto"/>
                      <w:vertAlign w:val="baseline"/>
                      <w:lang w:val="en-US" w:eastAsia="zh-CN" w:bidi="ar-SA"/>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厂界下风向东G4</w:t>
                  </w:r>
                </w:p>
              </w:tc>
              <w:tc>
                <w:tcPr>
                  <w:tcW w:w="0" w:type="auto"/>
                  <w:vAlign w:val="center"/>
                </w:tcPr>
                <w:p w14:paraId="132EDD5C">
                  <w:pPr>
                    <w:jc w:val="center"/>
                    <w:rPr>
                      <w:rFonts w:hint="default" w:ascii="Times New Roman" w:hAnsi="Times New Roman" w:cs="Times New Roman"/>
                      <w:b w:val="0"/>
                      <w:bCs w:val="0"/>
                      <w:color w:val="auto"/>
                      <w:spacing w:val="-2"/>
                      <w:sz w:val="21"/>
                      <w:szCs w:val="21"/>
                      <w:highlight w:val="none"/>
                      <w:u w:val="none" w:color="auto"/>
                      <w:vertAlign w:val="baseline"/>
                    </w:rPr>
                  </w:pPr>
                  <w:r>
                    <w:rPr>
                      <w:rFonts w:hint="default" w:ascii="Times New Roman" w:hAnsi="Times New Roman" w:cs="Times New Roman"/>
                      <w:b w:val="0"/>
                      <w:bCs w:val="0"/>
                      <w:color w:val="auto"/>
                      <w:spacing w:val="-2"/>
                      <w:sz w:val="21"/>
                      <w:szCs w:val="21"/>
                      <w:highlight w:val="none"/>
                      <w:u w:val="none" w:color="auto"/>
                    </w:rPr>
                    <w:t>mg/m</w:t>
                  </w:r>
                  <w:r>
                    <w:rPr>
                      <w:rFonts w:hint="default" w:ascii="Times New Roman" w:hAnsi="Times New Roman" w:cs="Times New Roman"/>
                      <w:b w:val="0"/>
                      <w:bCs w:val="0"/>
                      <w:color w:val="auto"/>
                      <w:spacing w:val="-2"/>
                      <w:sz w:val="21"/>
                      <w:szCs w:val="21"/>
                      <w:highlight w:val="none"/>
                      <w:u w:val="none" w:color="auto"/>
                      <w:vertAlign w:val="superscript"/>
                    </w:rPr>
                    <w:t>3</w:t>
                  </w:r>
                </w:p>
              </w:tc>
              <w:tc>
                <w:tcPr>
                  <w:tcW w:w="3085" w:type="dxa"/>
                  <w:gridSpan w:val="3"/>
                  <w:vAlign w:val="center"/>
                </w:tcPr>
                <w:p w14:paraId="05521CC7">
                  <w:pPr>
                    <w:jc w:val="center"/>
                    <w:rPr>
                      <w:rFonts w:hint="default" w:ascii="Times New Roman" w:hAnsi="Times New Roman" w:eastAsia="宋体" w:cs="Times New Roman"/>
                      <w:b w:val="0"/>
                      <w:bCs w:val="0"/>
                      <w:color w:val="auto"/>
                      <w:spacing w:val="-2"/>
                      <w:sz w:val="21"/>
                      <w:szCs w:val="21"/>
                      <w:highlight w:val="none"/>
                      <w:u w:val="none" w:color="auto"/>
                      <w:vertAlign w:val="baseline"/>
                      <w:lang w:val="en-US" w:eastAsia="zh-CN"/>
                    </w:rPr>
                  </w:pPr>
                  <w:r>
                    <w:rPr>
                      <w:rFonts w:hint="default" w:ascii="Times New Roman" w:hAnsi="Times New Roman" w:cs="Times New Roman"/>
                      <w:b w:val="0"/>
                      <w:bCs w:val="0"/>
                      <w:color w:val="auto"/>
                      <w:spacing w:val="-2"/>
                      <w:sz w:val="21"/>
                      <w:szCs w:val="21"/>
                      <w:highlight w:val="none"/>
                      <w:u w:val="none" w:color="auto"/>
                      <w:vertAlign w:val="baseline"/>
                      <w:lang w:val="en-US" w:eastAsia="zh-CN"/>
                    </w:rPr>
                    <w:t>0.54</w:t>
                  </w:r>
                </w:p>
              </w:tc>
              <w:tc>
                <w:tcPr>
                  <w:tcW w:w="1032" w:type="dxa"/>
                  <w:vMerge w:val="continue"/>
                  <w:vAlign w:val="center"/>
                </w:tcPr>
                <w:p w14:paraId="3E15C396">
                  <w:pPr>
                    <w:jc w:val="center"/>
                    <w:rPr>
                      <w:rFonts w:hint="default" w:ascii="Times New Roman" w:hAnsi="Times New Roman" w:cs="Times New Roman"/>
                      <w:b w:val="0"/>
                      <w:bCs w:val="0"/>
                      <w:color w:val="auto"/>
                      <w:spacing w:val="-2"/>
                      <w:sz w:val="21"/>
                      <w:szCs w:val="21"/>
                      <w:highlight w:val="none"/>
                      <w:u w:val="none" w:color="auto"/>
                      <w:vertAlign w:val="baseline"/>
                    </w:rPr>
                  </w:pPr>
                </w:p>
              </w:tc>
            </w:tr>
          </w:tbl>
          <w:p w14:paraId="3BBAA493">
            <w:pPr>
              <w:jc w:val="center"/>
              <w:rPr>
                <w:rFonts w:hint="default" w:ascii="Times New Roman" w:hAnsi="Times New Roman" w:cs="Times New Roman"/>
                <w:b/>
                <w:bCs/>
                <w:color w:val="auto"/>
                <w:spacing w:val="-2"/>
                <w:highlight w:val="none"/>
                <w:u w:val="none" w:color="auto"/>
                <w:vertAlign w:val="superscript"/>
              </w:rPr>
            </w:pPr>
          </w:p>
          <w:p w14:paraId="6F2E6436">
            <w:pPr>
              <w:pStyle w:val="155"/>
              <w:keepNext w:val="0"/>
              <w:keepLines w:val="0"/>
              <w:pageBreakBefore w:val="0"/>
              <w:widowControl w:val="0"/>
              <w:kinsoku/>
              <w:wordWrap/>
              <w:overflowPunct/>
              <w:topLinePunct w:val="0"/>
              <w:autoSpaceDE/>
              <w:autoSpaceDN/>
              <w:bidi w:val="0"/>
              <w:adjustRightInd/>
              <w:snapToGrid/>
              <w:spacing w:line="360" w:lineRule="auto"/>
              <w:ind w:right="0" w:firstLine="476" w:firstLineChars="200"/>
              <w:jc w:val="both"/>
              <w:textAlignment w:val="auto"/>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由上表可知，监测期间无组织废气颗粒物、非甲烷总烃参考《大气污染物综合排放标准》(GB16297-1996)表2无组织排放监控浓度限值，其他参考《恶臭污染物排放标准》(GB14554-93)表1恶臭污染物厂界标准值二级排放限值。</w:t>
            </w:r>
          </w:p>
          <w:p w14:paraId="43F85550">
            <w:pPr>
              <w:pStyle w:val="155"/>
              <w:spacing w:before="36" w:line="359" w:lineRule="auto"/>
              <w:ind w:left="102" w:right="97" w:firstLine="455"/>
              <w:jc w:val="both"/>
              <w:rPr>
                <w:rFonts w:hint="default" w:ascii="Times New Roman" w:hAnsi="Times New Roman" w:cs="Times New Roman"/>
                <w:color w:val="auto"/>
                <w:spacing w:val="-1"/>
                <w:highlight w:val="none"/>
                <w:u w:val="none" w:color="auto"/>
                <w:lang w:val="en-US" w:eastAsia="zh-CN"/>
              </w:rPr>
            </w:pPr>
            <w:r>
              <w:rPr>
                <w:rFonts w:hint="default" w:ascii="Times New Roman" w:hAnsi="Times New Roman" w:cs="Times New Roman"/>
                <w:color w:val="auto"/>
                <w:spacing w:val="-1"/>
                <w:highlight w:val="none"/>
                <w:u w:val="none" w:color="auto"/>
                <w:lang w:val="en-US" w:eastAsia="zh-CN"/>
              </w:rPr>
              <w:t>3、噪声</w:t>
            </w:r>
          </w:p>
          <w:p w14:paraId="5876114F">
            <w:pPr>
              <w:pStyle w:val="155"/>
              <w:keepNext w:val="0"/>
              <w:keepLines w:val="0"/>
              <w:pageBreakBefore w:val="0"/>
              <w:widowControl w:val="0"/>
              <w:kinsoku/>
              <w:wordWrap/>
              <w:overflowPunct/>
              <w:topLinePunct w:val="0"/>
              <w:autoSpaceDE/>
              <w:autoSpaceDN/>
              <w:bidi w:val="0"/>
              <w:adjustRightInd/>
              <w:snapToGrid/>
              <w:spacing w:line="360" w:lineRule="auto"/>
              <w:ind w:right="0" w:firstLine="476" w:firstLineChars="200"/>
              <w:jc w:val="both"/>
              <w:textAlignment w:val="auto"/>
              <w:rPr>
                <w:rFonts w:hint="default" w:ascii="Times New Roman" w:hAnsi="Times New Roman" w:cs="Times New Roman"/>
                <w:b/>
                <w:bCs/>
                <w:color w:val="auto"/>
                <w:spacing w:val="-2"/>
                <w:highlight w:val="none"/>
                <w:u w:val="none" w:color="auto"/>
                <w:lang w:val="en-US" w:eastAsia="zh-CN"/>
              </w:rPr>
            </w:pPr>
            <w:r>
              <w:rPr>
                <w:rFonts w:hint="default" w:ascii="Times New Roman" w:hAnsi="Times New Roman" w:eastAsia="宋体" w:cs="Times New Roman"/>
                <w:color w:val="auto"/>
                <w:spacing w:val="-1"/>
                <w:highlight w:val="none"/>
                <w:u w:val="none" w:color="auto"/>
                <w:lang w:val="en-US" w:eastAsia="zh-CN"/>
              </w:rPr>
              <w:t>现有项目噪声主要源于运营过程中破碎机、蒸脱机、提升机等设备噪声、原材料及产品装卸噪声及运输车辆噪声。各设备均在生产车间内运行，通过房间墙体隔声和传播距离衰减等措施，减少设备噪声的影响，并对设备采用基础减振，定期对设备维护保养，同时在道路两侧进行绿化，减轻本项目对周边环境的影响。根据永州市耀福油脂有限公司委托湖南科比特亿美检测有限公司于2024年3月18日对企业</w:t>
            </w:r>
            <w:r>
              <w:rPr>
                <w:rFonts w:hint="default" w:ascii="Times New Roman" w:hAnsi="Times New Roman" w:cs="Times New Roman"/>
                <w:color w:val="auto"/>
                <w:spacing w:val="-1"/>
                <w:highlight w:val="none"/>
                <w:u w:val="none" w:color="auto"/>
                <w:lang w:val="en-US" w:eastAsia="zh-CN"/>
              </w:rPr>
              <w:t>噪声的检测报告</w:t>
            </w:r>
            <w:r>
              <w:rPr>
                <w:rFonts w:hint="default" w:ascii="Times New Roman" w:hAnsi="Times New Roman" w:cs="Times New Roman"/>
                <w:color w:val="auto"/>
                <w:highlight w:val="none"/>
                <w:u w:val="none"/>
                <w:lang w:val="en-US" w:eastAsia="zh-CN"/>
              </w:rPr>
              <w:t>（第 KBT/HJ202403471号）</w:t>
            </w:r>
            <w:r>
              <w:rPr>
                <w:rFonts w:hint="default" w:ascii="Times New Roman" w:hAnsi="Times New Roman" w:cs="Times New Roman"/>
                <w:color w:val="auto"/>
                <w:spacing w:val="-1"/>
                <w:highlight w:val="none"/>
                <w:u w:val="none" w:color="auto"/>
                <w:lang w:val="en-US" w:eastAsia="zh-CN"/>
              </w:rPr>
              <w:t>，现有项目噪声排放情况如下。</w:t>
            </w:r>
          </w:p>
          <w:p w14:paraId="0D1F7A92">
            <w:pPr>
              <w:jc w:val="center"/>
              <w:rPr>
                <w:rFonts w:hint="default" w:ascii="Times New Roman" w:hAnsi="Times New Roman" w:cs="Times New Roman"/>
                <w:b/>
                <w:color w:val="auto"/>
                <w:szCs w:val="21"/>
                <w:highlight w:val="none"/>
                <w:u w:val="none" w:color="auto"/>
                <w:lang w:val="en-US" w:eastAsia="zh-CN"/>
              </w:rPr>
            </w:pPr>
            <w:r>
              <w:rPr>
                <w:rFonts w:hint="default" w:ascii="Times New Roman" w:hAnsi="Times New Roman" w:cs="Times New Roman"/>
                <w:b/>
                <w:color w:val="auto"/>
                <w:szCs w:val="21"/>
                <w:highlight w:val="none"/>
                <w:u w:val="none" w:color="auto"/>
                <w:lang w:val="en-US" w:eastAsia="zh-CN"/>
              </w:rPr>
              <w:t>表 2-12   厂界噪声监测结果</w:t>
            </w:r>
          </w:p>
          <w:tbl>
            <w:tblPr>
              <w:tblStyle w:val="43"/>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1674"/>
              <w:gridCol w:w="1674"/>
              <w:gridCol w:w="1190"/>
              <w:gridCol w:w="959"/>
              <w:gridCol w:w="1197"/>
            </w:tblGrid>
            <w:tr w14:paraId="40C05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8" w:type="pct"/>
                  <w:vMerge w:val="restart"/>
                  <w:tcBorders>
                    <w:tl2br w:val="nil"/>
                    <w:tr2bl w:val="nil"/>
                  </w:tcBorders>
                  <w:vAlign w:val="center"/>
                </w:tcPr>
                <w:p w14:paraId="16ACC538">
                  <w:pPr>
                    <w:jc w:val="center"/>
                    <w:rPr>
                      <w:rFonts w:hint="default" w:ascii="Times New Roman" w:hAnsi="Times New Roman" w:cs="Times New Roman"/>
                      <w:b/>
                      <w:color w:val="auto"/>
                      <w:szCs w:val="21"/>
                      <w:highlight w:val="none"/>
                      <w:u w:val="none" w:color="auto"/>
                      <w:vertAlign w:val="baseline"/>
                      <w:lang w:val="en-US" w:eastAsia="zh-CN"/>
                    </w:rPr>
                  </w:pPr>
                  <w:r>
                    <w:rPr>
                      <w:rFonts w:hint="default" w:ascii="Times New Roman" w:hAnsi="Times New Roman" w:cs="Times New Roman"/>
                      <w:color w:val="auto"/>
                      <w:szCs w:val="21"/>
                      <w:highlight w:val="none"/>
                      <w:u w:val="none" w:color="auto"/>
                    </w:rPr>
                    <w:t>检测点位</w:t>
                  </w:r>
                </w:p>
              </w:tc>
              <w:tc>
                <w:tcPr>
                  <w:tcW w:w="2000" w:type="pct"/>
                  <w:gridSpan w:val="2"/>
                  <w:tcBorders>
                    <w:tl2br w:val="nil"/>
                    <w:tr2bl w:val="nil"/>
                  </w:tcBorders>
                  <w:vAlign w:val="center"/>
                </w:tcPr>
                <w:p w14:paraId="3E0FC368">
                  <w:pPr>
                    <w:jc w:val="center"/>
                    <w:rPr>
                      <w:rFonts w:hint="default" w:ascii="Times New Roman" w:hAnsi="Times New Roman" w:cs="Times New Roman"/>
                      <w:b/>
                      <w:color w:val="auto"/>
                      <w:szCs w:val="21"/>
                      <w:highlight w:val="none"/>
                      <w:u w:val="none" w:color="auto"/>
                      <w:vertAlign w:val="baseline"/>
                      <w:lang w:val="en-US" w:eastAsia="zh-CN"/>
                    </w:rPr>
                  </w:pPr>
                  <w:r>
                    <w:rPr>
                      <w:rFonts w:hint="default" w:ascii="Times New Roman" w:hAnsi="Times New Roman" w:cs="Times New Roman"/>
                      <w:color w:val="auto"/>
                      <w:szCs w:val="21"/>
                      <w:highlight w:val="none"/>
                      <w:u w:val="none" w:color="auto"/>
                    </w:rPr>
                    <w:t>检测结果（单位：dB(A)）</w:t>
                  </w:r>
                </w:p>
              </w:tc>
              <w:tc>
                <w:tcPr>
                  <w:tcW w:w="1284" w:type="pct"/>
                  <w:gridSpan w:val="2"/>
                  <w:tcBorders>
                    <w:tl2br w:val="nil"/>
                    <w:tr2bl w:val="nil"/>
                  </w:tcBorders>
                  <w:vAlign w:val="center"/>
                </w:tcPr>
                <w:p w14:paraId="365862A4">
                  <w:pPr>
                    <w:widowControl/>
                    <w:jc w:val="center"/>
                    <w:textAlignment w:val="center"/>
                    <w:rPr>
                      <w:rFonts w:hint="default" w:ascii="Times New Roman" w:hAnsi="Times New Roman" w:cs="Times New Roman"/>
                      <w:b/>
                      <w:color w:val="auto"/>
                      <w:szCs w:val="21"/>
                      <w:highlight w:val="none"/>
                      <w:u w:val="none" w:color="auto"/>
                      <w:vertAlign w:val="baseline"/>
                      <w:lang w:val="en-US" w:eastAsia="zh-CN"/>
                    </w:rPr>
                  </w:pPr>
                  <w:r>
                    <w:rPr>
                      <w:rFonts w:hint="default" w:ascii="Times New Roman" w:hAnsi="Times New Roman" w:cs="Times New Roman"/>
                      <w:color w:val="auto"/>
                      <w:szCs w:val="21"/>
                      <w:highlight w:val="none"/>
                      <w:u w:val="none" w:color="auto"/>
                      <w:lang w:val="en-US" w:eastAsia="zh-CN"/>
                    </w:rPr>
                    <w:t>评价标准</w:t>
                  </w:r>
                </w:p>
              </w:tc>
              <w:tc>
                <w:tcPr>
                  <w:tcW w:w="715" w:type="pct"/>
                  <w:vMerge w:val="restart"/>
                  <w:tcBorders>
                    <w:tl2br w:val="nil"/>
                    <w:tr2bl w:val="nil"/>
                  </w:tcBorders>
                  <w:vAlign w:val="center"/>
                </w:tcPr>
                <w:p w14:paraId="7DF668CE">
                  <w:pPr>
                    <w:widowControl/>
                    <w:jc w:val="center"/>
                    <w:textAlignment w:val="center"/>
                    <w:rPr>
                      <w:rFonts w:hint="default" w:ascii="Times New Roman" w:hAnsi="Times New Roman" w:cs="Times New Roman"/>
                      <w:b/>
                      <w:color w:val="auto"/>
                      <w:szCs w:val="21"/>
                      <w:highlight w:val="none"/>
                      <w:u w:val="none" w:color="auto"/>
                      <w:vertAlign w:val="baseline"/>
                      <w:lang w:val="en-US" w:eastAsia="zh-CN"/>
                    </w:rPr>
                  </w:pPr>
                  <w:r>
                    <w:rPr>
                      <w:rFonts w:hint="default" w:ascii="Times New Roman" w:hAnsi="Times New Roman" w:cs="Times New Roman"/>
                      <w:color w:val="auto"/>
                      <w:szCs w:val="21"/>
                      <w:highlight w:val="none"/>
                      <w:u w:val="none" w:color="auto"/>
                      <w:lang w:val="en-US" w:eastAsia="zh-CN"/>
                    </w:rPr>
                    <w:t>达标情况</w:t>
                  </w:r>
                </w:p>
              </w:tc>
            </w:tr>
            <w:tr w14:paraId="3E69BB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8" w:type="pct"/>
                  <w:vMerge w:val="continue"/>
                  <w:tcBorders>
                    <w:tl2br w:val="nil"/>
                    <w:tr2bl w:val="nil"/>
                  </w:tcBorders>
                  <w:vAlign w:val="center"/>
                </w:tcPr>
                <w:p w14:paraId="53E4CDBF">
                  <w:pPr>
                    <w:jc w:val="center"/>
                    <w:rPr>
                      <w:rFonts w:hint="default" w:ascii="Times New Roman" w:hAnsi="Times New Roman" w:cs="Times New Roman"/>
                      <w:b/>
                      <w:color w:val="auto"/>
                      <w:szCs w:val="21"/>
                      <w:highlight w:val="none"/>
                      <w:u w:val="none" w:color="auto"/>
                      <w:vertAlign w:val="baseline"/>
                      <w:lang w:val="en-US" w:eastAsia="zh-CN"/>
                    </w:rPr>
                  </w:pPr>
                </w:p>
              </w:tc>
              <w:tc>
                <w:tcPr>
                  <w:tcW w:w="1000" w:type="pct"/>
                  <w:tcBorders>
                    <w:tl2br w:val="nil"/>
                    <w:tr2bl w:val="nil"/>
                  </w:tcBorders>
                  <w:shd w:val="clear" w:color="auto" w:fill="auto"/>
                  <w:vAlign w:val="center"/>
                </w:tcPr>
                <w:p w14:paraId="1ADC6C7C">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rPr>
                    <w:t>昼间</w:t>
                  </w:r>
                </w:p>
              </w:tc>
              <w:tc>
                <w:tcPr>
                  <w:tcW w:w="1000" w:type="pct"/>
                  <w:tcBorders>
                    <w:tl2br w:val="nil"/>
                    <w:tr2bl w:val="nil"/>
                  </w:tcBorders>
                  <w:shd w:val="clear" w:color="auto" w:fill="auto"/>
                  <w:vAlign w:val="center"/>
                </w:tcPr>
                <w:p w14:paraId="1568B418">
                  <w:pPr>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pacing w:val="1"/>
                      <w:sz w:val="21"/>
                      <w:szCs w:val="21"/>
                      <w:highlight w:val="none"/>
                      <w:u w:val="none" w:color="auto"/>
                      <w:lang w:val="en-US" w:eastAsia="zh-CN"/>
                    </w:rPr>
                    <w:t>夜间</w:t>
                  </w:r>
                </w:p>
              </w:tc>
              <w:tc>
                <w:tcPr>
                  <w:tcW w:w="711" w:type="pct"/>
                  <w:tcBorders>
                    <w:tl2br w:val="nil"/>
                    <w:tr2bl w:val="nil"/>
                  </w:tcBorders>
                  <w:vAlign w:val="center"/>
                </w:tcPr>
                <w:p w14:paraId="1D7CD29D">
                  <w:pPr>
                    <w:jc w:val="center"/>
                    <w:rPr>
                      <w:rFonts w:hint="default" w:ascii="Times New Roman" w:hAnsi="Times New Roman" w:cs="Times New Roman"/>
                      <w:b/>
                      <w:color w:val="auto"/>
                      <w:szCs w:val="21"/>
                      <w:highlight w:val="none"/>
                      <w:u w:val="none" w:color="auto"/>
                      <w:vertAlign w:val="baseline"/>
                      <w:lang w:val="en-US" w:eastAsia="zh-CN"/>
                    </w:rPr>
                  </w:pPr>
                  <w:r>
                    <w:rPr>
                      <w:rFonts w:hint="default" w:ascii="Times New Roman" w:hAnsi="Times New Roman" w:cs="Times New Roman"/>
                      <w:color w:val="auto"/>
                      <w:szCs w:val="21"/>
                      <w:highlight w:val="none"/>
                      <w:u w:val="none" w:color="auto"/>
                    </w:rPr>
                    <w:t>昼间</w:t>
                  </w:r>
                </w:p>
              </w:tc>
              <w:tc>
                <w:tcPr>
                  <w:tcW w:w="572" w:type="pct"/>
                  <w:tcBorders>
                    <w:tl2br w:val="nil"/>
                    <w:tr2bl w:val="nil"/>
                  </w:tcBorders>
                  <w:vAlign w:val="center"/>
                </w:tcPr>
                <w:p w14:paraId="717B4510">
                  <w:pPr>
                    <w:jc w:val="center"/>
                    <w:rPr>
                      <w:rFonts w:hint="default" w:ascii="Times New Roman" w:hAnsi="Times New Roman" w:cs="Times New Roman"/>
                      <w:b/>
                      <w:color w:val="auto"/>
                      <w:szCs w:val="21"/>
                      <w:highlight w:val="none"/>
                      <w:u w:val="none" w:color="auto"/>
                      <w:vertAlign w:val="baseline"/>
                      <w:lang w:val="en-US" w:eastAsia="zh-CN"/>
                    </w:rPr>
                  </w:pPr>
                  <w:r>
                    <w:rPr>
                      <w:rFonts w:hint="default" w:ascii="Times New Roman" w:hAnsi="Times New Roman" w:cs="Times New Roman"/>
                      <w:color w:val="auto"/>
                      <w:spacing w:val="1"/>
                      <w:sz w:val="21"/>
                      <w:szCs w:val="21"/>
                      <w:highlight w:val="none"/>
                      <w:u w:val="none" w:color="auto"/>
                      <w:lang w:val="en-US" w:eastAsia="zh-CN"/>
                    </w:rPr>
                    <w:t>夜间</w:t>
                  </w:r>
                </w:p>
              </w:tc>
              <w:tc>
                <w:tcPr>
                  <w:tcW w:w="715" w:type="pct"/>
                  <w:vMerge w:val="continue"/>
                  <w:tcBorders>
                    <w:tl2br w:val="nil"/>
                    <w:tr2bl w:val="nil"/>
                  </w:tcBorders>
                  <w:vAlign w:val="center"/>
                </w:tcPr>
                <w:p w14:paraId="6C616E61">
                  <w:pPr>
                    <w:jc w:val="center"/>
                    <w:rPr>
                      <w:rFonts w:hint="default" w:ascii="Times New Roman" w:hAnsi="Times New Roman" w:cs="Times New Roman"/>
                      <w:b/>
                      <w:color w:val="auto"/>
                      <w:szCs w:val="21"/>
                      <w:highlight w:val="none"/>
                      <w:u w:val="none" w:color="auto"/>
                      <w:vertAlign w:val="baseline"/>
                      <w:lang w:val="en-US" w:eastAsia="zh-CN"/>
                    </w:rPr>
                  </w:pPr>
                </w:p>
              </w:tc>
            </w:tr>
            <w:tr w14:paraId="2ACD5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8" w:type="pct"/>
                  <w:tcBorders>
                    <w:tl2br w:val="nil"/>
                    <w:tr2bl w:val="nil"/>
                  </w:tcBorders>
                  <w:shd w:val="clear" w:color="auto" w:fill="auto"/>
                  <w:vAlign w:val="center"/>
                </w:tcPr>
                <w:p w14:paraId="0317EA79">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厂界东</w:t>
                  </w:r>
                  <w:r>
                    <w:rPr>
                      <w:rFonts w:hint="default" w:ascii="Times New Roman" w:hAnsi="Times New Roman" w:cs="Times New Roman"/>
                      <w:color w:val="auto"/>
                      <w:szCs w:val="21"/>
                      <w:highlight w:val="none"/>
                      <w:u w:val="none" w:color="auto"/>
                    </w:rPr>
                    <w:t>（N1）</w:t>
                  </w:r>
                </w:p>
              </w:tc>
              <w:tc>
                <w:tcPr>
                  <w:tcW w:w="1000" w:type="pct"/>
                  <w:tcBorders>
                    <w:tl2br w:val="nil"/>
                    <w:tr2bl w:val="nil"/>
                  </w:tcBorders>
                  <w:shd w:val="clear" w:color="auto" w:fill="auto"/>
                  <w:vAlign w:val="center"/>
                </w:tcPr>
                <w:p w14:paraId="7B9338A8">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57</w:t>
                  </w:r>
                </w:p>
              </w:tc>
              <w:tc>
                <w:tcPr>
                  <w:tcW w:w="1000" w:type="pct"/>
                  <w:tcBorders>
                    <w:tl2br w:val="nil"/>
                    <w:tr2bl w:val="nil"/>
                  </w:tcBorders>
                  <w:shd w:val="clear" w:color="auto" w:fill="auto"/>
                  <w:vAlign w:val="center"/>
                </w:tcPr>
                <w:p w14:paraId="0C02246B">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44</w:t>
                  </w:r>
                </w:p>
              </w:tc>
              <w:tc>
                <w:tcPr>
                  <w:tcW w:w="711" w:type="pct"/>
                  <w:tcBorders>
                    <w:tl2br w:val="nil"/>
                    <w:tr2bl w:val="nil"/>
                  </w:tcBorders>
                  <w:shd w:val="clear" w:color="auto" w:fill="auto"/>
                  <w:vAlign w:val="center"/>
                </w:tcPr>
                <w:p w14:paraId="6CA471F8">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60</w:t>
                  </w:r>
                </w:p>
              </w:tc>
              <w:tc>
                <w:tcPr>
                  <w:tcW w:w="572" w:type="pct"/>
                  <w:tcBorders>
                    <w:tl2br w:val="nil"/>
                    <w:tr2bl w:val="nil"/>
                  </w:tcBorders>
                  <w:shd w:val="clear" w:color="auto" w:fill="auto"/>
                  <w:vAlign w:val="center"/>
                </w:tcPr>
                <w:p w14:paraId="6FA08925">
                  <w:pPr>
                    <w:widowControl/>
                    <w:jc w:val="center"/>
                    <w:textAlignment w:val="center"/>
                    <w:rPr>
                      <w:rFonts w:hint="default" w:ascii="Times New Roman" w:hAnsi="Times New Roman"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50</w:t>
                  </w:r>
                </w:p>
              </w:tc>
              <w:tc>
                <w:tcPr>
                  <w:tcW w:w="715" w:type="pct"/>
                  <w:tcBorders>
                    <w:tl2br w:val="nil"/>
                    <w:tr2bl w:val="nil"/>
                  </w:tcBorders>
                  <w:shd w:val="clear" w:color="auto" w:fill="auto"/>
                  <w:vAlign w:val="center"/>
                </w:tcPr>
                <w:p w14:paraId="2B28D921">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达标</w:t>
                  </w:r>
                </w:p>
              </w:tc>
            </w:tr>
            <w:tr w14:paraId="44C9EA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8" w:type="pct"/>
                  <w:tcBorders>
                    <w:tl2br w:val="nil"/>
                    <w:tr2bl w:val="nil"/>
                  </w:tcBorders>
                  <w:shd w:val="clear" w:color="auto" w:fill="auto"/>
                  <w:vAlign w:val="center"/>
                </w:tcPr>
                <w:p w14:paraId="678F175C">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厂界</w:t>
                  </w:r>
                  <w:r>
                    <w:rPr>
                      <w:rFonts w:hint="default" w:ascii="Times New Roman" w:hAnsi="Times New Roman" w:cs="Times New Roman"/>
                      <w:color w:val="auto"/>
                      <w:szCs w:val="21"/>
                      <w:highlight w:val="none"/>
                      <w:u w:val="none" w:color="auto"/>
                    </w:rPr>
                    <w:t>南（N2）</w:t>
                  </w:r>
                </w:p>
              </w:tc>
              <w:tc>
                <w:tcPr>
                  <w:tcW w:w="1000" w:type="pct"/>
                  <w:tcBorders>
                    <w:tl2br w:val="nil"/>
                    <w:tr2bl w:val="nil"/>
                  </w:tcBorders>
                  <w:shd w:val="clear" w:color="auto" w:fill="auto"/>
                  <w:vAlign w:val="center"/>
                </w:tcPr>
                <w:p w14:paraId="2006B80C">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58</w:t>
                  </w:r>
                </w:p>
              </w:tc>
              <w:tc>
                <w:tcPr>
                  <w:tcW w:w="1000" w:type="pct"/>
                  <w:tcBorders>
                    <w:tl2br w:val="nil"/>
                    <w:tr2bl w:val="nil"/>
                  </w:tcBorders>
                  <w:shd w:val="clear" w:color="auto" w:fill="auto"/>
                  <w:vAlign w:val="center"/>
                </w:tcPr>
                <w:p w14:paraId="6E5AE277">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46</w:t>
                  </w:r>
                </w:p>
              </w:tc>
              <w:tc>
                <w:tcPr>
                  <w:tcW w:w="711" w:type="pct"/>
                  <w:tcBorders>
                    <w:tl2br w:val="nil"/>
                    <w:tr2bl w:val="nil"/>
                  </w:tcBorders>
                  <w:shd w:val="clear" w:color="auto" w:fill="auto"/>
                  <w:vAlign w:val="center"/>
                </w:tcPr>
                <w:p w14:paraId="617079A6">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60</w:t>
                  </w:r>
                </w:p>
              </w:tc>
              <w:tc>
                <w:tcPr>
                  <w:tcW w:w="572" w:type="pct"/>
                  <w:tcBorders>
                    <w:tl2br w:val="nil"/>
                    <w:tr2bl w:val="nil"/>
                  </w:tcBorders>
                  <w:shd w:val="clear" w:color="auto" w:fill="auto"/>
                  <w:vAlign w:val="center"/>
                </w:tcPr>
                <w:p w14:paraId="6728DF34">
                  <w:pPr>
                    <w:widowControl/>
                    <w:jc w:val="center"/>
                    <w:textAlignment w:val="center"/>
                    <w:rPr>
                      <w:rFonts w:hint="default" w:ascii="Times New Roman" w:hAnsi="Times New Roman"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50</w:t>
                  </w:r>
                </w:p>
              </w:tc>
              <w:tc>
                <w:tcPr>
                  <w:tcW w:w="715" w:type="pct"/>
                  <w:tcBorders>
                    <w:tl2br w:val="nil"/>
                    <w:tr2bl w:val="nil"/>
                  </w:tcBorders>
                  <w:shd w:val="clear" w:color="auto" w:fill="auto"/>
                  <w:vAlign w:val="center"/>
                </w:tcPr>
                <w:p w14:paraId="68B1857D">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达标</w:t>
                  </w:r>
                </w:p>
              </w:tc>
            </w:tr>
            <w:tr w14:paraId="671388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8" w:type="pct"/>
                  <w:tcBorders>
                    <w:tl2br w:val="nil"/>
                    <w:tr2bl w:val="nil"/>
                  </w:tcBorders>
                  <w:shd w:val="clear" w:color="auto" w:fill="auto"/>
                  <w:vAlign w:val="center"/>
                </w:tcPr>
                <w:p w14:paraId="592C7A7A">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厂界西</w:t>
                  </w:r>
                  <w:r>
                    <w:rPr>
                      <w:rFonts w:hint="default" w:ascii="Times New Roman" w:hAnsi="Times New Roman" w:cs="Times New Roman"/>
                      <w:color w:val="auto"/>
                      <w:szCs w:val="21"/>
                      <w:highlight w:val="none"/>
                      <w:u w:val="none" w:color="auto"/>
                    </w:rPr>
                    <w:t>（N3）</w:t>
                  </w:r>
                </w:p>
              </w:tc>
              <w:tc>
                <w:tcPr>
                  <w:tcW w:w="1000" w:type="pct"/>
                  <w:tcBorders>
                    <w:tl2br w:val="nil"/>
                    <w:tr2bl w:val="nil"/>
                  </w:tcBorders>
                  <w:shd w:val="clear" w:color="auto" w:fill="auto"/>
                  <w:vAlign w:val="center"/>
                </w:tcPr>
                <w:p w14:paraId="172A5FCC">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56</w:t>
                  </w:r>
                </w:p>
              </w:tc>
              <w:tc>
                <w:tcPr>
                  <w:tcW w:w="1000" w:type="pct"/>
                  <w:tcBorders>
                    <w:tl2br w:val="nil"/>
                    <w:tr2bl w:val="nil"/>
                  </w:tcBorders>
                  <w:shd w:val="clear" w:color="auto" w:fill="auto"/>
                  <w:vAlign w:val="center"/>
                </w:tcPr>
                <w:p w14:paraId="06688762">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43</w:t>
                  </w:r>
                </w:p>
              </w:tc>
              <w:tc>
                <w:tcPr>
                  <w:tcW w:w="711" w:type="pct"/>
                  <w:tcBorders>
                    <w:tl2br w:val="nil"/>
                    <w:tr2bl w:val="nil"/>
                  </w:tcBorders>
                  <w:shd w:val="clear" w:color="auto" w:fill="auto"/>
                  <w:vAlign w:val="center"/>
                </w:tcPr>
                <w:p w14:paraId="2C815CD0">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60</w:t>
                  </w:r>
                </w:p>
              </w:tc>
              <w:tc>
                <w:tcPr>
                  <w:tcW w:w="572" w:type="pct"/>
                  <w:tcBorders>
                    <w:tl2br w:val="nil"/>
                    <w:tr2bl w:val="nil"/>
                  </w:tcBorders>
                  <w:shd w:val="clear" w:color="auto" w:fill="auto"/>
                  <w:vAlign w:val="center"/>
                </w:tcPr>
                <w:p w14:paraId="21E23E34">
                  <w:pPr>
                    <w:widowControl/>
                    <w:jc w:val="center"/>
                    <w:textAlignment w:val="center"/>
                    <w:rPr>
                      <w:rFonts w:hint="default" w:ascii="Times New Roman" w:hAnsi="Times New Roman"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50</w:t>
                  </w:r>
                </w:p>
              </w:tc>
              <w:tc>
                <w:tcPr>
                  <w:tcW w:w="715" w:type="pct"/>
                  <w:tcBorders>
                    <w:tl2br w:val="nil"/>
                    <w:tr2bl w:val="nil"/>
                  </w:tcBorders>
                  <w:shd w:val="clear" w:color="auto" w:fill="auto"/>
                  <w:vAlign w:val="center"/>
                </w:tcPr>
                <w:p w14:paraId="5E90FB5A">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达标</w:t>
                  </w:r>
                </w:p>
              </w:tc>
            </w:tr>
            <w:tr w14:paraId="27476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98" w:type="pct"/>
                  <w:tcBorders>
                    <w:tl2br w:val="nil"/>
                    <w:tr2bl w:val="nil"/>
                  </w:tcBorders>
                  <w:shd w:val="clear" w:color="auto" w:fill="auto"/>
                  <w:vAlign w:val="center"/>
                </w:tcPr>
                <w:p w14:paraId="5C3CA906">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厂界北</w:t>
                  </w:r>
                  <w:r>
                    <w:rPr>
                      <w:rFonts w:hint="default" w:ascii="Times New Roman" w:hAnsi="Times New Roman" w:cs="Times New Roman"/>
                      <w:color w:val="auto"/>
                      <w:szCs w:val="21"/>
                      <w:highlight w:val="none"/>
                      <w:u w:val="none" w:color="auto"/>
                    </w:rPr>
                    <w:t>（N4）</w:t>
                  </w:r>
                </w:p>
              </w:tc>
              <w:tc>
                <w:tcPr>
                  <w:tcW w:w="1000" w:type="pct"/>
                  <w:tcBorders>
                    <w:tl2br w:val="nil"/>
                    <w:tr2bl w:val="nil"/>
                  </w:tcBorders>
                  <w:shd w:val="clear" w:color="auto" w:fill="auto"/>
                  <w:vAlign w:val="center"/>
                </w:tcPr>
                <w:p w14:paraId="2C1623F1">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54</w:t>
                  </w:r>
                </w:p>
              </w:tc>
              <w:tc>
                <w:tcPr>
                  <w:tcW w:w="1000" w:type="pct"/>
                  <w:tcBorders>
                    <w:tl2br w:val="nil"/>
                    <w:tr2bl w:val="nil"/>
                  </w:tcBorders>
                  <w:shd w:val="clear" w:color="auto" w:fill="auto"/>
                  <w:vAlign w:val="center"/>
                </w:tcPr>
                <w:p w14:paraId="0ED1694C">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kern w:val="2"/>
                      <w:sz w:val="21"/>
                      <w:szCs w:val="21"/>
                      <w:highlight w:val="none"/>
                      <w:u w:val="none" w:color="auto"/>
                      <w:lang w:val="en-US" w:eastAsia="zh-CN" w:bidi="ar-SA"/>
                    </w:rPr>
                    <w:t>45</w:t>
                  </w:r>
                </w:p>
              </w:tc>
              <w:tc>
                <w:tcPr>
                  <w:tcW w:w="711" w:type="pct"/>
                  <w:tcBorders>
                    <w:tl2br w:val="nil"/>
                    <w:tr2bl w:val="nil"/>
                  </w:tcBorders>
                  <w:shd w:val="clear" w:color="auto" w:fill="auto"/>
                  <w:vAlign w:val="center"/>
                </w:tcPr>
                <w:p w14:paraId="5B276430">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60</w:t>
                  </w:r>
                </w:p>
              </w:tc>
              <w:tc>
                <w:tcPr>
                  <w:tcW w:w="572" w:type="pct"/>
                  <w:tcBorders>
                    <w:tl2br w:val="nil"/>
                    <w:tr2bl w:val="nil"/>
                  </w:tcBorders>
                  <w:shd w:val="clear" w:color="auto" w:fill="auto"/>
                  <w:vAlign w:val="center"/>
                </w:tcPr>
                <w:p w14:paraId="36C5D59C">
                  <w:pPr>
                    <w:widowControl/>
                    <w:jc w:val="center"/>
                    <w:textAlignment w:val="center"/>
                    <w:rPr>
                      <w:rFonts w:hint="default" w:ascii="Times New Roman" w:hAnsi="Times New Roman" w:cs="Times New Roman"/>
                      <w:color w:val="auto"/>
                      <w:szCs w:val="21"/>
                      <w:highlight w:val="none"/>
                      <w:u w:val="none" w:color="auto"/>
                      <w:lang w:val="en-US" w:eastAsia="zh-CN"/>
                    </w:rPr>
                  </w:pPr>
                  <w:r>
                    <w:rPr>
                      <w:rFonts w:hint="default" w:ascii="Times New Roman" w:hAnsi="Times New Roman" w:cs="Times New Roman"/>
                      <w:color w:val="auto"/>
                      <w:szCs w:val="21"/>
                      <w:highlight w:val="none"/>
                      <w:u w:val="none" w:color="auto"/>
                      <w:lang w:val="en-US" w:eastAsia="zh-CN"/>
                    </w:rPr>
                    <w:t>50</w:t>
                  </w:r>
                </w:p>
              </w:tc>
              <w:tc>
                <w:tcPr>
                  <w:tcW w:w="715" w:type="pct"/>
                  <w:tcBorders>
                    <w:tl2br w:val="nil"/>
                    <w:tr2bl w:val="nil"/>
                  </w:tcBorders>
                  <w:shd w:val="clear" w:color="auto" w:fill="auto"/>
                  <w:vAlign w:val="center"/>
                </w:tcPr>
                <w:p w14:paraId="06767BCD">
                  <w:pPr>
                    <w:widowControl/>
                    <w:jc w:val="center"/>
                    <w:textAlignment w:val="center"/>
                    <w:rPr>
                      <w:rFonts w:hint="default" w:ascii="Times New Roman" w:hAnsi="Times New Roman" w:eastAsia="宋体" w:cs="Times New Roman"/>
                      <w:color w:val="auto"/>
                      <w:kern w:val="2"/>
                      <w:sz w:val="21"/>
                      <w:szCs w:val="21"/>
                      <w:highlight w:val="none"/>
                      <w:u w:val="none" w:color="auto"/>
                      <w:lang w:val="en-US" w:eastAsia="zh-CN" w:bidi="ar-SA"/>
                    </w:rPr>
                  </w:pPr>
                  <w:r>
                    <w:rPr>
                      <w:rFonts w:hint="default" w:ascii="Times New Roman" w:hAnsi="Times New Roman" w:cs="Times New Roman"/>
                      <w:color w:val="auto"/>
                      <w:szCs w:val="21"/>
                      <w:highlight w:val="none"/>
                      <w:u w:val="none" w:color="auto"/>
                      <w:lang w:val="en-US" w:eastAsia="zh-CN"/>
                    </w:rPr>
                    <w:t>达标</w:t>
                  </w:r>
                </w:p>
              </w:tc>
            </w:tr>
          </w:tbl>
          <w:p w14:paraId="1B67962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lang w:val="en-US" w:eastAsia="zh-CN"/>
              </w:rPr>
            </w:pPr>
            <w:r>
              <w:rPr>
                <w:rFonts w:hint="default" w:ascii="Times New Roman" w:hAnsi="Times New Roman" w:eastAsia="宋体" w:cs="Times New Roman"/>
                <w:color w:val="auto"/>
                <w:sz w:val="24"/>
                <w:highlight w:val="none"/>
                <w:u w:val="none" w:color="auto"/>
                <w:lang w:val="en-US" w:eastAsia="zh-CN"/>
              </w:rPr>
              <w:t>监测期间，厂界四周昼间</w:t>
            </w:r>
            <w:r>
              <w:rPr>
                <w:rFonts w:hint="default" w:ascii="Times New Roman" w:hAnsi="Times New Roman" w:cs="Times New Roman"/>
                <w:color w:val="auto"/>
                <w:sz w:val="24"/>
                <w:highlight w:val="none"/>
                <w:u w:val="none" w:color="auto"/>
                <w:lang w:val="en-US" w:eastAsia="zh-CN"/>
              </w:rPr>
              <w:t>、夜间</w:t>
            </w:r>
            <w:r>
              <w:rPr>
                <w:rFonts w:hint="default" w:ascii="Times New Roman" w:hAnsi="Times New Roman" w:eastAsia="宋体" w:cs="Times New Roman"/>
                <w:color w:val="auto"/>
                <w:sz w:val="24"/>
                <w:highlight w:val="none"/>
                <w:u w:val="none" w:color="auto"/>
                <w:lang w:val="en-US" w:eastAsia="zh-CN"/>
              </w:rPr>
              <w:t>噪声值</w:t>
            </w:r>
            <w:r>
              <w:rPr>
                <w:rFonts w:hint="default" w:ascii="Times New Roman" w:hAnsi="Times New Roman" w:cs="Times New Roman"/>
                <w:color w:val="auto"/>
                <w:sz w:val="24"/>
                <w:highlight w:val="none"/>
                <w:u w:val="none" w:color="auto"/>
                <w:lang w:val="en-US" w:eastAsia="zh-CN"/>
              </w:rPr>
              <w:t>均</w:t>
            </w:r>
            <w:r>
              <w:rPr>
                <w:rFonts w:hint="default" w:ascii="Times New Roman" w:hAnsi="Times New Roman" w:eastAsia="宋体" w:cs="Times New Roman"/>
                <w:color w:val="auto"/>
                <w:sz w:val="24"/>
                <w:highlight w:val="none"/>
                <w:u w:val="none" w:color="auto"/>
                <w:lang w:val="en-US" w:eastAsia="zh-CN"/>
              </w:rPr>
              <w:t>符合《工业企业厂界环境噪声排放标准》(GB12348-2008)中2类标准限值要求。</w:t>
            </w:r>
          </w:p>
          <w:p w14:paraId="673FE5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cs="Times New Roman"/>
                <w:color w:val="auto"/>
                <w:sz w:val="24"/>
                <w:highlight w:val="none"/>
                <w:u w:val="none" w:color="auto"/>
                <w:lang w:val="en-US" w:eastAsia="zh-CN"/>
              </w:rPr>
              <w:t>4、</w:t>
            </w:r>
            <w:r>
              <w:rPr>
                <w:rFonts w:hint="default" w:ascii="Times New Roman" w:hAnsi="Times New Roman" w:eastAsia="宋体" w:cs="Times New Roman"/>
                <w:color w:val="auto"/>
                <w:sz w:val="24"/>
                <w:highlight w:val="none"/>
                <w:u w:val="none" w:color="auto"/>
                <w:lang w:eastAsia="zh-CN"/>
              </w:rPr>
              <w:t>固体废物污染源</w:t>
            </w:r>
          </w:p>
          <w:p w14:paraId="776C47B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val="en-US" w:eastAsia="zh-CN"/>
              </w:rPr>
              <w:t>现有项目产生的固体废物主要有不合格油茶饼、生活垃圾、废含油抹布、手套等。其中不合格油茶饼经统一收集后，外售作为燃料；生活垃圾经移动式垃圾桶收集后，定期交环卫部门处置；根据《国家危险废物名录》（2025年版），设备维护产生的少量废含油抹布、手套全过程豁免危废管理，与生活垃圾一起交环卫部门处理。</w:t>
            </w:r>
          </w:p>
          <w:p w14:paraId="7D87463A">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auto"/>
                <w:sz w:val="24"/>
                <w:highlight w:val="none"/>
                <w:u w:val="none" w:color="auto"/>
                <w:lang w:eastAsia="zh-CN"/>
              </w:rPr>
            </w:pPr>
            <w:r>
              <w:rPr>
                <w:rFonts w:hint="default" w:ascii="Times New Roman" w:hAnsi="Times New Roman" w:eastAsia="宋体" w:cs="Times New Roman"/>
                <w:b/>
                <w:bCs/>
                <w:color w:val="auto"/>
                <w:sz w:val="24"/>
                <w:highlight w:val="none"/>
                <w:u w:val="none" w:color="auto"/>
                <w:lang w:val="en-US" w:eastAsia="zh-CN"/>
              </w:rPr>
              <w:t>五</w:t>
            </w:r>
            <w:r>
              <w:rPr>
                <w:rFonts w:hint="default" w:ascii="Times New Roman" w:hAnsi="Times New Roman" w:eastAsia="宋体" w:cs="Times New Roman"/>
                <w:b/>
                <w:bCs/>
                <w:color w:val="auto"/>
                <w:sz w:val="24"/>
                <w:highlight w:val="none"/>
                <w:u w:val="none" w:color="auto"/>
                <w:lang w:eastAsia="zh-CN"/>
              </w:rPr>
              <w:t>、现有项目目前存在的主要问题</w:t>
            </w:r>
          </w:p>
          <w:p w14:paraId="3841565E">
            <w:pPr>
              <w:jc w:val="center"/>
              <w:rPr>
                <w:rFonts w:hint="default" w:ascii="Times New Roman" w:hAnsi="Times New Roman" w:cs="Times New Roman"/>
                <w:b/>
                <w:bCs/>
                <w:color w:val="auto"/>
                <w:spacing w:val="-2"/>
                <w:highlight w:val="none"/>
                <w:u w:val="none" w:color="auto"/>
                <w:lang w:eastAsia="zh-CN"/>
              </w:rPr>
            </w:pPr>
            <w:r>
              <w:rPr>
                <w:rFonts w:hint="default" w:ascii="Times New Roman" w:hAnsi="Times New Roman" w:cs="Times New Roman"/>
                <w:b/>
                <w:bCs/>
                <w:color w:val="auto"/>
                <w:spacing w:val="-2"/>
                <w:highlight w:val="none"/>
                <w:u w:val="none" w:color="auto"/>
                <w:lang w:eastAsia="zh-CN"/>
              </w:rPr>
              <w:t>表 2-1</w:t>
            </w:r>
            <w:r>
              <w:rPr>
                <w:rFonts w:hint="default" w:ascii="Times New Roman" w:hAnsi="Times New Roman" w:cs="Times New Roman"/>
                <w:b/>
                <w:bCs/>
                <w:color w:val="auto"/>
                <w:spacing w:val="-2"/>
                <w:highlight w:val="none"/>
                <w:u w:val="none" w:color="auto"/>
                <w:lang w:val="en-US" w:eastAsia="zh-CN"/>
              </w:rPr>
              <w:t>3</w:t>
            </w:r>
            <w:r>
              <w:rPr>
                <w:rFonts w:hint="default" w:ascii="Times New Roman" w:hAnsi="Times New Roman" w:cs="Times New Roman"/>
                <w:b/>
                <w:bCs/>
                <w:color w:val="auto"/>
                <w:spacing w:val="-2"/>
                <w:highlight w:val="none"/>
                <w:u w:val="none" w:color="auto"/>
                <w:lang w:eastAsia="zh-CN"/>
              </w:rPr>
              <w:t xml:space="preserve">   现有项目存在的问题及整改措施</w:t>
            </w:r>
          </w:p>
          <w:tbl>
            <w:tblPr>
              <w:tblStyle w:val="156"/>
              <w:tblW w:w="4998" w:type="pct"/>
              <w:tblInd w:w="-85"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197"/>
              <w:gridCol w:w="3960"/>
              <w:gridCol w:w="1206"/>
            </w:tblGrid>
            <w:tr w14:paraId="3F1C3D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911" w:type="pct"/>
                  <w:tcBorders>
                    <w:tl2br w:val="nil"/>
                    <w:tr2bl w:val="nil"/>
                  </w:tcBorders>
                  <w:tcMar>
                    <w:top w:w="45" w:type="dxa"/>
                    <w:left w:w="45" w:type="dxa"/>
                    <w:bottom w:w="45" w:type="dxa"/>
                    <w:right w:w="45" w:type="dxa"/>
                  </w:tcMar>
                  <w:vAlign w:val="center"/>
                </w:tcPr>
                <w:p w14:paraId="5C214424">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现有项目存在的问题</w:t>
                  </w:r>
                </w:p>
              </w:tc>
              <w:tc>
                <w:tcPr>
                  <w:tcW w:w="2367" w:type="pct"/>
                  <w:tcBorders>
                    <w:tl2br w:val="nil"/>
                    <w:tr2bl w:val="nil"/>
                  </w:tcBorders>
                  <w:tcMar>
                    <w:top w:w="45" w:type="dxa"/>
                    <w:left w:w="45" w:type="dxa"/>
                    <w:bottom w:w="45" w:type="dxa"/>
                    <w:right w:w="45" w:type="dxa"/>
                  </w:tcMar>
                  <w:vAlign w:val="center"/>
                </w:tcPr>
                <w:p w14:paraId="5FF5B575">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lang w:eastAsia="zh-CN"/>
                    </w:rPr>
                  </w:pPr>
                  <w:r>
                    <w:rPr>
                      <w:rFonts w:hint="default" w:ascii="Times New Roman" w:hAnsi="Times New Roman" w:eastAsia="宋体" w:cs="Times New Roman"/>
                      <w:color w:val="auto"/>
                      <w:kern w:val="0"/>
                      <w:sz w:val="21"/>
                      <w:szCs w:val="21"/>
                      <w:highlight w:val="none"/>
                      <w:u w:val="none" w:color="auto"/>
                      <w:lang w:eastAsia="zh-CN"/>
                    </w:rPr>
                    <w:t>针对现有存在的问题提出的改进措施</w:t>
                  </w:r>
                </w:p>
              </w:tc>
              <w:tc>
                <w:tcPr>
                  <w:tcW w:w="721" w:type="pct"/>
                  <w:tcBorders>
                    <w:tl2br w:val="nil"/>
                    <w:tr2bl w:val="nil"/>
                  </w:tcBorders>
                  <w:tcMar>
                    <w:top w:w="45" w:type="dxa"/>
                    <w:left w:w="45" w:type="dxa"/>
                    <w:bottom w:w="45" w:type="dxa"/>
                    <w:right w:w="45" w:type="dxa"/>
                  </w:tcMar>
                  <w:vAlign w:val="center"/>
                </w:tcPr>
                <w:p w14:paraId="53B45769">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rPr>
                  </w:pPr>
                  <w:r>
                    <w:rPr>
                      <w:rFonts w:hint="default" w:ascii="Times New Roman" w:hAnsi="Times New Roman" w:eastAsia="宋体" w:cs="Times New Roman"/>
                      <w:color w:val="auto"/>
                      <w:kern w:val="0"/>
                      <w:sz w:val="21"/>
                      <w:szCs w:val="21"/>
                      <w:highlight w:val="none"/>
                      <w:u w:val="none" w:color="auto"/>
                    </w:rPr>
                    <w:t>整改期限</w:t>
                  </w:r>
                </w:p>
              </w:tc>
            </w:tr>
            <w:tr w14:paraId="731EC8C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911" w:type="pct"/>
                  <w:tcBorders>
                    <w:tl2br w:val="nil"/>
                    <w:tr2bl w:val="nil"/>
                  </w:tcBorders>
                  <w:tcMar>
                    <w:top w:w="45" w:type="dxa"/>
                    <w:left w:w="45" w:type="dxa"/>
                    <w:bottom w:w="45" w:type="dxa"/>
                    <w:right w:w="45" w:type="dxa"/>
                  </w:tcMar>
                  <w:vAlign w:val="center"/>
                </w:tcPr>
                <w:p w14:paraId="471B349C">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rPr>
                    <w:t>①项目原有的危废管理、处置措施没有到位，</w:t>
                  </w:r>
                  <w:r>
                    <w:rPr>
                      <w:rFonts w:hint="default" w:ascii="Times New Roman" w:hAnsi="Times New Roman" w:cs="Times New Roman"/>
                      <w:color w:val="auto"/>
                      <w:kern w:val="0"/>
                      <w:sz w:val="21"/>
                      <w:szCs w:val="21"/>
                      <w:highlight w:val="none"/>
                      <w:u w:val="none" w:color="auto"/>
                      <w:lang w:val="en-US" w:eastAsia="zh-CN"/>
                    </w:rPr>
                    <w:t>危废暂存间</w:t>
                  </w:r>
                  <w:r>
                    <w:rPr>
                      <w:rFonts w:hint="default" w:ascii="Times New Roman" w:hAnsi="Times New Roman" w:eastAsia="宋体" w:cs="Times New Roman"/>
                      <w:color w:val="auto"/>
                      <w:kern w:val="0"/>
                      <w:sz w:val="21"/>
                      <w:szCs w:val="21"/>
                      <w:highlight w:val="none"/>
                      <w:u w:val="none" w:color="auto"/>
                      <w:lang w:val="en-US" w:eastAsia="zh-CN"/>
                    </w:rPr>
                    <w:t>设置不规范，无标识标牌</w:t>
                  </w:r>
                </w:p>
              </w:tc>
              <w:tc>
                <w:tcPr>
                  <w:tcW w:w="2367" w:type="pct"/>
                  <w:tcBorders>
                    <w:tl2br w:val="nil"/>
                    <w:tr2bl w:val="nil"/>
                  </w:tcBorders>
                  <w:tcMar>
                    <w:top w:w="45" w:type="dxa"/>
                    <w:left w:w="45" w:type="dxa"/>
                    <w:bottom w:w="45" w:type="dxa"/>
                    <w:right w:w="45" w:type="dxa"/>
                  </w:tcMar>
                  <w:vAlign w:val="center"/>
                </w:tcPr>
                <w:p w14:paraId="71FBCE0F">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lang w:eastAsia="zh-CN"/>
                    </w:rPr>
                    <w:t>①按照《危险废物贮存污染控制标准》(GB 18597-2023)的要求进行建设，危废暂存间应粘贴标识标牌，并与有危废处置资质的公司签订危废处置协议，按照规范要求填写危废管理台账</w:t>
                  </w:r>
                </w:p>
              </w:tc>
              <w:tc>
                <w:tcPr>
                  <w:tcW w:w="721" w:type="pct"/>
                  <w:vMerge w:val="restart"/>
                  <w:tcBorders>
                    <w:tl2br w:val="nil"/>
                    <w:tr2bl w:val="nil"/>
                  </w:tcBorders>
                  <w:tcMar>
                    <w:top w:w="45" w:type="dxa"/>
                    <w:left w:w="45" w:type="dxa"/>
                    <w:bottom w:w="45" w:type="dxa"/>
                    <w:right w:w="45" w:type="dxa"/>
                  </w:tcMar>
                  <w:vAlign w:val="center"/>
                </w:tcPr>
                <w:p w14:paraId="6B5537E0">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lang w:val="en-US" w:eastAsia="zh-CN"/>
                    </w:rPr>
                    <w:t>与本次技改项目同时设计、同时施工、同时运行</w:t>
                  </w:r>
                </w:p>
              </w:tc>
            </w:tr>
            <w:tr w14:paraId="034A51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911" w:type="pct"/>
                  <w:tcBorders>
                    <w:tl2br w:val="nil"/>
                    <w:tr2bl w:val="nil"/>
                  </w:tcBorders>
                  <w:tcMar>
                    <w:top w:w="45" w:type="dxa"/>
                    <w:left w:w="45" w:type="dxa"/>
                    <w:bottom w:w="45" w:type="dxa"/>
                    <w:right w:w="45" w:type="dxa"/>
                  </w:tcMar>
                  <w:vAlign w:val="center"/>
                </w:tcPr>
                <w:p w14:paraId="0FC5D067">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lang w:val="en-US" w:eastAsia="zh-CN"/>
                    </w:rPr>
                    <w:t>②未配备专管环保的工作人员，缺少对废气和工业固废等的监督管</w:t>
                  </w:r>
                </w:p>
                <w:p w14:paraId="5F5DEA5B">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lang w:val="en-US" w:eastAsia="zh-CN"/>
                    </w:rPr>
                  </w:pPr>
                  <w:r>
                    <w:rPr>
                      <w:rFonts w:hint="default" w:ascii="Times New Roman" w:hAnsi="Times New Roman" w:eastAsia="宋体" w:cs="Times New Roman"/>
                      <w:color w:val="auto"/>
                      <w:kern w:val="0"/>
                      <w:sz w:val="21"/>
                      <w:szCs w:val="21"/>
                      <w:highlight w:val="none"/>
                      <w:u w:val="none" w:color="auto"/>
                      <w:lang w:val="en-US" w:eastAsia="zh-CN"/>
                    </w:rPr>
                    <w:t>理</w:t>
                  </w:r>
                </w:p>
              </w:tc>
              <w:tc>
                <w:tcPr>
                  <w:tcW w:w="2367" w:type="pct"/>
                  <w:tcBorders>
                    <w:tl2br w:val="nil"/>
                    <w:tr2bl w:val="nil"/>
                  </w:tcBorders>
                  <w:tcMar>
                    <w:top w:w="45" w:type="dxa"/>
                    <w:left w:w="45" w:type="dxa"/>
                    <w:bottom w:w="45" w:type="dxa"/>
                    <w:right w:w="45" w:type="dxa"/>
                  </w:tcMar>
                  <w:vAlign w:val="center"/>
                </w:tcPr>
                <w:p w14:paraId="367AA768">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cs="Times New Roman"/>
                      <w:color w:val="auto"/>
                      <w:kern w:val="0"/>
                      <w:sz w:val="21"/>
                      <w:szCs w:val="21"/>
                      <w:highlight w:val="none"/>
                      <w:u w:val="none" w:color="auto"/>
                      <w:lang w:val="en-US" w:eastAsia="zh-CN"/>
                    </w:rPr>
                  </w:pPr>
                  <w:r>
                    <w:rPr>
                      <w:rFonts w:hint="default" w:ascii="Times New Roman" w:hAnsi="Times New Roman" w:cs="Times New Roman"/>
                      <w:color w:val="auto"/>
                      <w:kern w:val="0"/>
                      <w:sz w:val="21"/>
                      <w:szCs w:val="21"/>
                      <w:highlight w:val="none"/>
                      <w:u w:val="none" w:color="auto"/>
                      <w:lang w:val="en-US" w:eastAsia="zh-CN"/>
                    </w:rPr>
                    <w:t>②</w:t>
                  </w:r>
                  <w:r>
                    <w:rPr>
                      <w:rFonts w:hint="eastAsia" w:ascii="Times New Roman" w:hAnsi="Times New Roman" w:cs="Times New Roman"/>
                      <w:color w:val="auto"/>
                      <w:kern w:val="0"/>
                      <w:sz w:val="21"/>
                      <w:szCs w:val="21"/>
                      <w:highlight w:val="none"/>
                      <w:u w:val="none" w:color="auto"/>
                      <w:lang w:val="en-US" w:eastAsia="zh-CN"/>
                    </w:rPr>
                    <w:t xml:space="preserve">必须配备专 管环保的工作人员，特别注意对污水、废气和工业固废的监督管理， </w:t>
                  </w:r>
                </w:p>
                <w:p w14:paraId="014F68F3">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rPr>
                  </w:pPr>
                  <w:r>
                    <w:rPr>
                      <w:rFonts w:hint="eastAsia" w:ascii="Times New Roman" w:hAnsi="Times New Roman" w:cs="Times New Roman"/>
                      <w:color w:val="auto"/>
                      <w:kern w:val="0"/>
                      <w:sz w:val="21"/>
                      <w:szCs w:val="21"/>
                      <w:highlight w:val="none"/>
                      <w:u w:val="none" w:color="auto"/>
                      <w:lang w:val="en-US" w:eastAsia="zh-CN"/>
                    </w:rPr>
                    <w:t>保证达标排放和符合环保要求。统一安排，积极贯彻</w:t>
                  </w:r>
                  <w:r>
                    <w:rPr>
                      <w:rFonts w:hint="default" w:ascii="Times New Roman" w:hAnsi="Times New Roman" w:cs="Times New Roman"/>
                      <w:color w:val="auto"/>
                      <w:kern w:val="0"/>
                      <w:sz w:val="21"/>
                      <w:szCs w:val="21"/>
                      <w:highlight w:val="none"/>
                      <w:u w:val="none" w:color="auto"/>
                      <w:lang w:val="en-US" w:eastAsia="zh-CN"/>
                    </w:rPr>
                    <w:t>“</w:t>
                  </w:r>
                  <w:r>
                    <w:rPr>
                      <w:rFonts w:hint="eastAsia" w:ascii="Times New Roman" w:hAnsi="Times New Roman" w:cs="Times New Roman"/>
                      <w:color w:val="auto"/>
                      <w:kern w:val="0"/>
                      <w:sz w:val="21"/>
                      <w:szCs w:val="21"/>
                      <w:highlight w:val="none"/>
                      <w:u w:val="none" w:color="auto"/>
                      <w:lang w:val="en-US" w:eastAsia="zh-CN"/>
                    </w:rPr>
                    <w:t>预防为主、防治结合</w:t>
                  </w:r>
                  <w:r>
                    <w:rPr>
                      <w:rFonts w:hint="default" w:ascii="Times New Roman" w:hAnsi="Times New Roman" w:cs="Times New Roman"/>
                      <w:color w:val="auto"/>
                      <w:kern w:val="0"/>
                      <w:sz w:val="21"/>
                      <w:szCs w:val="21"/>
                      <w:highlight w:val="none"/>
                      <w:u w:val="none" w:color="auto"/>
                      <w:lang w:val="en-US" w:eastAsia="zh-CN"/>
                    </w:rPr>
                    <w:t>”</w:t>
                  </w:r>
                  <w:r>
                    <w:rPr>
                      <w:rFonts w:hint="eastAsia" w:ascii="Times New Roman" w:hAnsi="Times New Roman" w:cs="Times New Roman"/>
                      <w:color w:val="auto"/>
                      <w:kern w:val="0"/>
                      <w:sz w:val="21"/>
                      <w:szCs w:val="21"/>
                      <w:highlight w:val="none"/>
                      <w:u w:val="none" w:color="auto"/>
                      <w:lang w:val="en-US" w:eastAsia="zh-CN"/>
                    </w:rPr>
                    <w:t>的方针，形成环境管理</w:t>
                  </w:r>
                  <w:r>
                    <w:rPr>
                      <w:rFonts w:hint="default" w:ascii="Times New Roman" w:hAnsi="Times New Roman" w:cs="Times New Roman"/>
                      <w:color w:val="auto"/>
                      <w:kern w:val="0"/>
                      <w:sz w:val="21"/>
                      <w:szCs w:val="21"/>
                      <w:highlight w:val="none"/>
                      <w:u w:val="none" w:color="auto"/>
                      <w:lang w:val="en-US" w:eastAsia="zh-CN"/>
                    </w:rPr>
                    <w:t>，做好台账管理记录，并保存5年</w:t>
                  </w:r>
                </w:p>
              </w:tc>
              <w:tc>
                <w:tcPr>
                  <w:tcW w:w="721" w:type="pct"/>
                  <w:vMerge w:val="continue"/>
                  <w:tcBorders>
                    <w:tl2br w:val="nil"/>
                    <w:tr2bl w:val="nil"/>
                  </w:tcBorders>
                  <w:tcMar>
                    <w:top w:w="45" w:type="dxa"/>
                    <w:left w:w="45" w:type="dxa"/>
                    <w:bottom w:w="45" w:type="dxa"/>
                    <w:right w:w="45" w:type="dxa"/>
                  </w:tcMar>
                  <w:vAlign w:val="center"/>
                </w:tcPr>
                <w:p w14:paraId="2DD0AFAE">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rPr>
                  </w:pPr>
                </w:p>
              </w:tc>
            </w:tr>
            <w:tr w14:paraId="175F35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1911" w:type="pct"/>
                  <w:tcBorders>
                    <w:tl2br w:val="nil"/>
                    <w:tr2bl w:val="nil"/>
                  </w:tcBorders>
                  <w:tcMar>
                    <w:top w:w="45" w:type="dxa"/>
                    <w:left w:w="45" w:type="dxa"/>
                    <w:bottom w:w="45" w:type="dxa"/>
                    <w:right w:w="45" w:type="dxa"/>
                  </w:tcMar>
                  <w:vAlign w:val="center"/>
                </w:tcPr>
                <w:p w14:paraId="24E7149F">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rPr>
                  </w:pPr>
                  <w:r>
                    <w:rPr>
                      <w:rFonts w:hint="eastAsia" w:ascii="Times New Roman" w:hAnsi="Times New Roman" w:cs="Times New Roman"/>
                      <w:color w:val="auto"/>
                      <w:kern w:val="0"/>
                      <w:sz w:val="21"/>
                      <w:szCs w:val="21"/>
                      <w:highlight w:val="none"/>
                      <w:u w:val="none" w:color="auto"/>
                      <w:lang w:val="en-US" w:eastAsia="zh-CN"/>
                    </w:rPr>
                    <w:t>③</w:t>
                  </w:r>
                  <w:r>
                    <w:rPr>
                      <w:rFonts w:hint="default" w:ascii="Times New Roman" w:hAnsi="Times New Roman" w:eastAsia="宋体" w:cs="Times New Roman"/>
                      <w:color w:val="auto"/>
                      <w:kern w:val="0"/>
                      <w:sz w:val="21"/>
                      <w:szCs w:val="21"/>
                      <w:highlight w:val="none"/>
                      <w:u w:val="none" w:color="auto"/>
                    </w:rPr>
                    <w:t>现有项目废气排放口未规范化设置标识标牌</w:t>
                  </w:r>
                </w:p>
              </w:tc>
              <w:tc>
                <w:tcPr>
                  <w:tcW w:w="2367" w:type="pct"/>
                  <w:tcBorders>
                    <w:tl2br w:val="nil"/>
                    <w:tr2bl w:val="nil"/>
                  </w:tcBorders>
                  <w:tcMar>
                    <w:top w:w="45" w:type="dxa"/>
                    <w:left w:w="45" w:type="dxa"/>
                    <w:bottom w:w="45" w:type="dxa"/>
                    <w:right w:w="45" w:type="dxa"/>
                  </w:tcMar>
                  <w:vAlign w:val="center"/>
                </w:tcPr>
                <w:p w14:paraId="5B85569F">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cs="Times New Roman"/>
                      <w:color w:val="auto"/>
                      <w:kern w:val="0"/>
                      <w:sz w:val="21"/>
                      <w:szCs w:val="21"/>
                      <w:highlight w:val="none"/>
                      <w:u w:val="none" w:color="auto"/>
                      <w:lang w:val="en-US" w:eastAsia="zh-CN"/>
                    </w:rPr>
                  </w:pPr>
                  <w:r>
                    <w:rPr>
                      <w:rFonts w:hint="eastAsia" w:ascii="Times New Roman" w:hAnsi="Times New Roman" w:cs="Times New Roman"/>
                      <w:color w:val="auto"/>
                      <w:kern w:val="0"/>
                      <w:sz w:val="21"/>
                      <w:szCs w:val="21"/>
                      <w:highlight w:val="none"/>
                      <w:u w:val="none" w:color="auto"/>
                      <w:lang w:val="en-US" w:eastAsia="zh-CN"/>
                    </w:rPr>
                    <w:t>③</w:t>
                  </w:r>
                  <w:r>
                    <w:rPr>
                      <w:rFonts w:hint="default" w:ascii="Times New Roman" w:hAnsi="Times New Roman" w:cs="Times New Roman"/>
                      <w:color w:val="auto"/>
                      <w:kern w:val="0"/>
                      <w:sz w:val="21"/>
                      <w:szCs w:val="21"/>
                      <w:highlight w:val="none"/>
                      <w:u w:val="none" w:color="auto"/>
                      <w:lang w:val="en-US" w:eastAsia="zh-CN"/>
                    </w:rPr>
                    <w:t>按照《国家环境保护总局办公厅关于印发排放口标志牌技术规格的通知》（环办[2003]第 95 号）、固定污染源（水、大气）编码规则（试行）规范化设置废气排放口</w:t>
                  </w:r>
                </w:p>
              </w:tc>
              <w:tc>
                <w:tcPr>
                  <w:tcW w:w="721" w:type="pct"/>
                  <w:vMerge w:val="continue"/>
                  <w:tcBorders>
                    <w:tl2br w:val="nil"/>
                    <w:tr2bl w:val="nil"/>
                  </w:tcBorders>
                  <w:tcMar>
                    <w:top w:w="45" w:type="dxa"/>
                    <w:left w:w="45" w:type="dxa"/>
                    <w:bottom w:w="45" w:type="dxa"/>
                    <w:right w:w="45" w:type="dxa"/>
                  </w:tcMar>
                  <w:vAlign w:val="center"/>
                </w:tcPr>
                <w:p w14:paraId="30A21C1E">
                  <w:pPr>
                    <w:keepNext w:val="0"/>
                    <w:keepLines w:val="0"/>
                    <w:pageBreakBefore w:val="0"/>
                    <w:widowControl/>
                    <w:kinsoku w:val="0"/>
                    <w:wordWrap/>
                    <w:overflowPunct/>
                    <w:topLinePunct w:val="0"/>
                    <w:autoSpaceDE w:val="0"/>
                    <w:autoSpaceDN w:val="0"/>
                    <w:bidi w:val="0"/>
                    <w:adjustRightInd w:val="0"/>
                    <w:snapToGrid w:val="0"/>
                    <w:jc w:val="left"/>
                    <w:textAlignment w:val="baseline"/>
                    <w:rPr>
                      <w:rFonts w:hint="default" w:ascii="Times New Roman" w:hAnsi="Times New Roman" w:eastAsia="宋体" w:cs="Times New Roman"/>
                      <w:color w:val="auto"/>
                      <w:kern w:val="0"/>
                      <w:sz w:val="21"/>
                      <w:szCs w:val="21"/>
                      <w:highlight w:val="none"/>
                      <w:u w:val="none" w:color="auto"/>
                    </w:rPr>
                  </w:pPr>
                </w:p>
              </w:tc>
            </w:tr>
          </w:tbl>
          <w:p w14:paraId="23098FB1">
            <w:pPr>
              <w:keepNext w:val="0"/>
              <w:keepLines w:val="0"/>
              <w:pageBreakBefore w:val="0"/>
              <w:widowControl w:val="0"/>
              <w:kinsoku/>
              <w:wordWrap/>
              <w:overflowPunct/>
              <w:topLinePunct w:val="0"/>
              <w:autoSpaceDE/>
              <w:autoSpaceDN/>
              <w:bidi w:val="0"/>
              <w:adjustRightInd w:val="0"/>
              <w:snapToGrid w:val="0"/>
              <w:spacing w:line="360" w:lineRule="auto"/>
              <w:ind w:firstLine="424" w:firstLineChars="200"/>
              <w:jc w:val="left"/>
              <w:textAlignment w:val="auto"/>
              <w:rPr>
                <w:rFonts w:hint="default" w:ascii="Times New Roman" w:hAnsi="Times New Roman" w:cs="Times New Roman"/>
                <w:color w:val="auto"/>
                <w:spacing w:val="1"/>
                <w:highlight w:val="none"/>
                <w:u w:val="none" w:color="auto"/>
                <w:lang w:val="en-US" w:eastAsia="zh-CN"/>
              </w:rPr>
            </w:pPr>
          </w:p>
        </w:tc>
      </w:tr>
    </w:tbl>
    <w:p w14:paraId="71C8F987">
      <w:pPr>
        <w:pStyle w:val="39"/>
        <w:jc w:val="center"/>
        <w:rPr>
          <w:rFonts w:ascii="Times New Roman" w:hAnsi="Times New Roman"/>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3E7124B8">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pPr>
      <w:bookmarkStart w:id="6" w:name="_Toc92182179"/>
      <w:r>
        <w:rPr>
          <w:rFonts w:ascii="Times New Roman" w:hAnsi="Times New Roman"/>
          <w:b/>
          <w:bCs/>
          <w:snapToGrid w:val="0"/>
          <w:color w:val="auto"/>
          <w:sz w:val="30"/>
          <w:szCs w:val="30"/>
          <w:highlight w:val="none"/>
        </w:rPr>
        <w:t>三、区域环境质量现状、环境保护目标及评价标准</w:t>
      </w:r>
      <w:bookmarkEnd w:id="6"/>
    </w:p>
    <w:tbl>
      <w:tblPr>
        <w:tblStyle w:val="42"/>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3"/>
        <w:gridCol w:w="8608"/>
      </w:tblGrid>
      <w:tr w14:paraId="5E49C6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0" w:type="pct"/>
            <w:vAlign w:val="center"/>
          </w:tcPr>
          <w:p w14:paraId="36263D9C">
            <w:pPr>
              <w:adjustRightInd w:val="0"/>
              <w:snapToGrid w:val="0"/>
              <w:jc w:val="center"/>
              <w:rPr>
                <w:color w:val="auto"/>
                <w:kern w:val="0"/>
                <w:sz w:val="24"/>
                <w:highlight w:val="none"/>
              </w:rPr>
            </w:pPr>
            <w:r>
              <w:rPr>
                <w:color w:val="auto"/>
                <w:kern w:val="0"/>
                <w:sz w:val="24"/>
                <w:highlight w:val="none"/>
              </w:rPr>
              <w:t>区域</w:t>
            </w:r>
          </w:p>
          <w:p w14:paraId="38C67D84">
            <w:pPr>
              <w:adjustRightInd w:val="0"/>
              <w:snapToGrid w:val="0"/>
              <w:jc w:val="center"/>
              <w:rPr>
                <w:color w:val="auto"/>
                <w:kern w:val="0"/>
                <w:sz w:val="24"/>
                <w:highlight w:val="none"/>
              </w:rPr>
            </w:pPr>
            <w:r>
              <w:rPr>
                <w:color w:val="auto"/>
                <w:kern w:val="0"/>
                <w:sz w:val="24"/>
                <w:highlight w:val="none"/>
              </w:rPr>
              <w:t>环境</w:t>
            </w:r>
          </w:p>
          <w:p w14:paraId="2224B859">
            <w:pPr>
              <w:adjustRightInd w:val="0"/>
              <w:snapToGrid w:val="0"/>
              <w:jc w:val="center"/>
              <w:rPr>
                <w:color w:val="auto"/>
                <w:kern w:val="0"/>
                <w:sz w:val="24"/>
                <w:highlight w:val="none"/>
              </w:rPr>
            </w:pPr>
            <w:r>
              <w:rPr>
                <w:color w:val="auto"/>
                <w:kern w:val="0"/>
                <w:sz w:val="24"/>
                <w:highlight w:val="none"/>
              </w:rPr>
              <w:t>质量</w:t>
            </w:r>
          </w:p>
          <w:p w14:paraId="02D16509">
            <w:pPr>
              <w:adjustRightInd w:val="0"/>
              <w:snapToGrid w:val="0"/>
              <w:jc w:val="center"/>
              <w:rPr>
                <w:color w:val="auto"/>
                <w:kern w:val="0"/>
                <w:szCs w:val="21"/>
                <w:highlight w:val="none"/>
              </w:rPr>
            </w:pPr>
            <w:r>
              <w:rPr>
                <w:color w:val="auto"/>
                <w:kern w:val="0"/>
                <w:sz w:val="24"/>
                <w:highlight w:val="none"/>
              </w:rPr>
              <w:t>现状</w:t>
            </w:r>
          </w:p>
        </w:tc>
        <w:tc>
          <w:tcPr>
            <w:tcW w:w="4749" w:type="pct"/>
            <w:vAlign w:val="center"/>
          </w:tcPr>
          <w:p w14:paraId="4C26CCA5">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1、环境空气质量现状调查与评价</w:t>
            </w:r>
          </w:p>
          <w:p w14:paraId="4DC783D9">
            <w:pPr>
              <w:widowControl/>
              <w:spacing w:beforeLines="0" w:line="480" w:lineRule="exact"/>
              <w:ind w:firstLine="480" w:firstLineChars="200"/>
              <w:jc w:val="left"/>
              <w:rPr>
                <w:rFonts w:hint="default" w:ascii="Times New Roman" w:hAnsi="Times New Roman" w:cs="Times New Roman"/>
                <w:color w:val="auto"/>
                <w:sz w:val="24"/>
                <w:szCs w:val="24"/>
                <w:highlight w:val="none"/>
                <w:u w:val="none" w:color="auto"/>
              </w:rPr>
            </w:pPr>
            <w:r>
              <w:rPr>
                <w:rFonts w:hint="eastAsia" w:ascii="Times New Roman" w:hAnsi="Times New Roman" w:cs="Times New Roman"/>
                <w:color w:val="auto"/>
                <w:sz w:val="24"/>
                <w:szCs w:val="24"/>
                <w:highlight w:val="none"/>
                <w:u w:val="none" w:color="auto"/>
              </w:rPr>
              <w:t>根据《建设项目环境影响报告表编制技术指南(污染影响类)(试行)》常规污染物引用与建设项目距离近的有效数据，包括近3年的规划环境影响评价的监测数据，国家、地方环境空气质量监测网数据或生态环境主管部门公开发布的质量数据等</w:t>
            </w:r>
            <w:r>
              <w:rPr>
                <w:rFonts w:hint="eastAsia" w:cs="Times New Roman"/>
                <w:color w:val="auto"/>
                <w:sz w:val="24"/>
                <w:szCs w:val="24"/>
                <w:highlight w:val="none"/>
                <w:u w:val="none" w:color="auto"/>
                <w:lang w:eastAsia="zh-CN"/>
              </w:rPr>
              <w:t>。</w:t>
            </w:r>
            <w:r>
              <w:rPr>
                <w:rFonts w:hint="default" w:ascii="Times New Roman" w:hAnsi="Times New Roman" w:cs="Times New Roman"/>
                <w:color w:val="auto"/>
                <w:sz w:val="24"/>
                <w:szCs w:val="24"/>
                <w:highlight w:val="none"/>
                <w:u w:val="none" w:color="auto"/>
              </w:rPr>
              <w:t>为了解本项目所在区域大气环境质量现状，本次环评引用</w:t>
            </w:r>
            <w:r>
              <w:rPr>
                <w:rFonts w:hint="eastAsia"/>
                <w:color w:val="auto"/>
                <w:sz w:val="24"/>
                <w:szCs w:val="32"/>
                <w:highlight w:val="none"/>
              </w:rPr>
              <w:t>永州市生态环境局发布的《关于2</w:t>
            </w:r>
            <w:r>
              <w:rPr>
                <w:color w:val="auto"/>
                <w:sz w:val="24"/>
                <w:szCs w:val="32"/>
                <w:highlight w:val="none"/>
              </w:rPr>
              <w:t>02</w:t>
            </w:r>
            <w:r>
              <w:rPr>
                <w:rFonts w:hint="eastAsia"/>
                <w:color w:val="auto"/>
                <w:sz w:val="24"/>
                <w:szCs w:val="32"/>
                <w:highlight w:val="none"/>
                <w:lang w:val="en-US" w:eastAsia="zh-CN"/>
              </w:rPr>
              <w:t>4</w:t>
            </w:r>
            <w:r>
              <w:rPr>
                <w:rFonts w:hint="eastAsia"/>
                <w:color w:val="auto"/>
                <w:sz w:val="24"/>
                <w:szCs w:val="32"/>
                <w:highlight w:val="none"/>
              </w:rPr>
              <w:t>年1</w:t>
            </w:r>
            <w:r>
              <w:rPr>
                <w:color w:val="auto"/>
                <w:sz w:val="24"/>
                <w:szCs w:val="32"/>
                <w:highlight w:val="none"/>
              </w:rPr>
              <w:t>2</w:t>
            </w:r>
            <w:r>
              <w:rPr>
                <w:rFonts w:hint="eastAsia"/>
                <w:color w:val="auto"/>
                <w:sz w:val="24"/>
                <w:szCs w:val="32"/>
                <w:highlight w:val="none"/>
              </w:rPr>
              <w:t>月份全市环境质量状况的通报》中附件4</w:t>
            </w:r>
            <w:r>
              <w:rPr>
                <w:color w:val="auto"/>
                <w:sz w:val="24"/>
                <w:szCs w:val="32"/>
                <w:highlight w:val="none"/>
              </w:rPr>
              <w:t xml:space="preserve"> </w:t>
            </w:r>
            <w:r>
              <w:rPr>
                <w:rFonts w:hint="eastAsia"/>
                <w:color w:val="auto"/>
                <w:sz w:val="24"/>
                <w:szCs w:val="32"/>
                <w:highlight w:val="none"/>
              </w:rPr>
              <w:t>《</w:t>
            </w:r>
            <w:r>
              <w:rPr>
                <w:rFonts w:hint="eastAsia" w:hAnsi="宋体"/>
                <w:color w:val="auto"/>
                <w:sz w:val="24"/>
                <w:szCs w:val="32"/>
                <w:highlight w:val="none"/>
              </w:rPr>
              <w:t>202</w:t>
            </w:r>
            <w:r>
              <w:rPr>
                <w:rFonts w:hint="eastAsia" w:hAnsi="宋体"/>
                <w:color w:val="auto"/>
                <w:sz w:val="24"/>
                <w:szCs w:val="32"/>
                <w:highlight w:val="none"/>
                <w:lang w:val="en-US" w:eastAsia="zh-CN"/>
              </w:rPr>
              <w:t>4</w:t>
            </w:r>
            <w:r>
              <w:rPr>
                <w:rFonts w:hint="eastAsia" w:hAnsi="宋体"/>
                <w:color w:val="auto"/>
                <w:sz w:val="24"/>
                <w:szCs w:val="32"/>
                <w:highlight w:val="none"/>
              </w:rPr>
              <w:t>年</w:t>
            </w:r>
            <w:r>
              <w:rPr>
                <w:rFonts w:hint="eastAsia" w:hAnsi="宋体"/>
                <w:color w:val="auto"/>
                <w:sz w:val="24"/>
                <w:szCs w:val="32"/>
                <w:highlight w:val="none"/>
                <w:lang w:val="en-US" w:eastAsia="zh-CN"/>
              </w:rPr>
              <w:t>1-12月</w:t>
            </w:r>
            <w:r>
              <w:rPr>
                <w:rFonts w:hint="eastAsia"/>
                <w:color w:val="auto"/>
                <w:sz w:val="24"/>
                <w:szCs w:val="32"/>
                <w:highlight w:val="none"/>
              </w:rPr>
              <w:t>全市城市环境空气质量污染物浓度状况</w:t>
            </w:r>
            <w:r>
              <w:rPr>
                <w:color w:val="auto"/>
                <w:sz w:val="24"/>
                <w:szCs w:val="32"/>
                <w:highlight w:val="none"/>
              </w:rPr>
              <w:t>》中</w:t>
            </w:r>
            <w:r>
              <w:rPr>
                <w:rFonts w:hint="eastAsia"/>
                <w:color w:val="auto"/>
                <w:sz w:val="24"/>
                <w:szCs w:val="32"/>
                <w:highlight w:val="none"/>
                <w:lang w:val="en-US" w:eastAsia="zh-CN"/>
              </w:rPr>
              <w:t>祁阳市</w:t>
            </w:r>
            <w:r>
              <w:rPr>
                <w:color w:val="auto"/>
                <w:sz w:val="24"/>
                <w:szCs w:val="32"/>
                <w:highlight w:val="none"/>
              </w:rPr>
              <w:t>环境空气质量现状数据</w:t>
            </w:r>
            <w:r>
              <w:rPr>
                <w:rFonts w:hint="default" w:ascii="Times New Roman" w:hAnsi="Times New Roman" w:cs="Times New Roman"/>
                <w:color w:val="auto"/>
                <w:sz w:val="24"/>
                <w:szCs w:val="24"/>
                <w:highlight w:val="none"/>
                <w:u w:val="none" w:color="auto"/>
                <w:lang w:eastAsia="zh-CN"/>
              </w:rPr>
              <w:t>，</w:t>
            </w:r>
            <w:r>
              <w:rPr>
                <w:rFonts w:hint="eastAsia" w:ascii="Times New Roman" w:hAnsi="Times New Roman" w:cs="Times New Roman"/>
                <w:color w:val="auto"/>
                <w:sz w:val="24"/>
                <w:szCs w:val="24"/>
                <w:highlight w:val="none"/>
                <w:u w:val="none" w:color="auto"/>
              </w:rPr>
              <w:t>满足</w:t>
            </w:r>
            <w:r>
              <w:rPr>
                <w:rFonts w:hint="default" w:ascii="Times New Roman" w:hAnsi="Times New Roman" w:cs="Times New Roman"/>
                <w:color w:val="auto"/>
                <w:sz w:val="24"/>
                <w:szCs w:val="24"/>
                <w:highlight w:val="none"/>
                <w:u w:val="none" w:color="auto"/>
                <w:lang w:val="en-US" w:eastAsia="zh-CN"/>
              </w:rPr>
              <w:t>技术指南</w:t>
            </w:r>
            <w:r>
              <w:rPr>
                <w:rFonts w:hint="eastAsia" w:ascii="Times New Roman" w:hAnsi="Times New Roman" w:cs="Times New Roman"/>
                <w:color w:val="auto"/>
                <w:sz w:val="24"/>
                <w:szCs w:val="24"/>
                <w:highlight w:val="none"/>
                <w:u w:val="none" w:color="auto"/>
              </w:rPr>
              <w:t>要求</w:t>
            </w:r>
            <w:r>
              <w:rPr>
                <w:rFonts w:hint="default" w:ascii="Times New Roman" w:hAnsi="Times New Roman" w:cs="Times New Roman"/>
                <w:color w:val="auto"/>
                <w:sz w:val="24"/>
                <w:szCs w:val="24"/>
                <w:highlight w:val="none"/>
                <w:u w:val="none" w:color="auto"/>
              </w:rPr>
              <w:t>，</w:t>
            </w:r>
            <w:r>
              <w:rPr>
                <w:rFonts w:hint="default" w:ascii="Times New Roman" w:hAnsi="Times New Roman" w:cs="Times New Roman"/>
                <w:color w:val="auto"/>
                <w:sz w:val="24"/>
                <w:szCs w:val="24"/>
                <w:highlight w:val="none"/>
                <w:u w:val="none" w:color="auto"/>
                <w:lang w:eastAsia="zh-CN"/>
              </w:rPr>
              <w:t>具体统计</w:t>
            </w:r>
            <w:r>
              <w:rPr>
                <w:rFonts w:hint="default" w:ascii="Times New Roman" w:hAnsi="Times New Roman" w:cs="Times New Roman"/>
                <w:color w:val="auto"/>
                <w:sz w:val="24"/>
                <w:szCs w:val="24"/>
                <w:highlight w:val="none"/>
                <w:u w:val="none" w:color="auto"/>
                <w:lang w:val="en-US" w:eastAsia="zh-CN"/>
              </w:rPr>
              <w:t>详见</w:t>
            </w:r>
            <w:r>
              <w:rPr>
                <w:rFonts w:hint="default" w:ascii="Times New Roman" w:hAnsi="Times New Roman" w:cs="Times New Roman"/>
                <w:color w:val="auto"/>
                <w:sz w:val="24"/>
                <w:szCs w:val="24"/>
                <w:highlight w:val="none"/>
                <w:u w:val="none" w:color="auto"/>
              </w:rPr>
              <w:t>表3-1。</w:t>
            </w:r>
          </w:p>
          <w:p w14:paraId="603200B7">
            <w:pPr>
              <w:pStyle w:val="56"/>
              <w:keepNext w:val="0"/>
              <w:keepLines w:val="0"/>
              <w:pageBreakBefore w:val="0"/>
              <w:widowControl w:val="0"/>
              <w:kinsoku/>
              <w:wordWrap/>
              <w:overflowPunct/>
              <w:topLinePunct w:val="0"/>
              <w:autoSpaceDE/>
              <w:autoSpaceDN/>
              <w:bidi w:val="0"/>
              <w:adjustRightInd/>
              <w:snapToGrid/>
              <w:spacing w:line="440" w:lineRule="exact"/>
              <w:ind w:firstLine="0" w:firstLineChars="0"/>
              <w:jc w:val="center"/>
              <w:textAlignment w:val="auto"/>
              <w:rPr>
                <w:rFonts w:hint="eastAsia" w:ascii="Times New Roman" w:hAnsi="Times New Roman" w:eastAsia="宋体" w:cs="Times New Roman"/>
                <w:b/>
                <w:bCs/>
                <w:color w:val="auto"/>
                <w:kern w:val="2"/>
                <w:sz w:val="21"/>
                <w:szCs w:val="21"/>
                <w:highlight w:val="none"/>
                <w:u w:val="none" w:color="auto"/>
                <w:lang w:val="en-US" w:eastAsia="zh-CN" w:bidi="ar-SA"/>
              </w:rPr>
            </w:pPr>
            <w:r>
              <w:rPr>
                <w:rFonts w:hint="eastAsia" w:ascii="Times New Roman" w:hAnsi="Times New Roman" w:eastAsia="宋体" w:cs="Times New Roman"/>
                <w:b/>
                <w:bCs/>
                <w:color w:val="auto"/>
                <w:kern w:val="2"/>
                <w:sz w:val="21"/>
                <w:szCs w:val="21"/>
                <w:highlight w:val="none"/>
                <w:u w:val="none" w:color="auto"/>
                <w:lang w:val="en-US" w:eastAsia="zh-CN" w:bidi="ar-SA"/>
              </w:rPr>
              <w:t>表</w:t>
            </w:r>
            <w:r>
              <w:rPr>
                <w:rFonts w:hint="default" w:ascii="Times New Roman" w:hAnsi="Times New Roman" w:eastAsia="宋体" w:cs="Times New Roman"/>
                <w:b/>
                <w:bCs/>
                <w:color w:val="auto"/>
                <w:kern w:val="2"/>
                <w:sz w:val="21"/>
                <w:szCs w:val="21"/>
                <w:highlight w:val="none"/>
                <w:u w:val="none" w:color="auto"/>
                <w:lang w:val="en-US" w:eastAsia="zh-CN" w:bidi="ar-SA"/>
              </w:rPr>
              <w:t>3</w:t>
            </w:r>
            <w:r>
              <w:rPr>
                <w:rFonts w:hint="eastAsia" w:ascii="Times New Roman" w:hAnsi="Times New Roman" w:eastAsia="宋体" w:cs="Times New Roman"/>
                <w:b/>
                <w:bCs/>
                <w:color w:val="auto"/>
                <w:kern w:val="2"/>
                <w:sz w:val="21"/>
                <w:szCs w:val="21"/>
                <w:highlight w:val="none"/>
                <w:u w:val="none" w:color="auto"/>
                <w:lang w:val="en-US" w:eastAsia="zh-CN" w:bidi="ar-SA"/>
              </w:rPr>
              <w:t>-1</w:t>
            </w:r>
            <w:r>
              <w:rPr>
                <w:rFonts w:hint="eastAsia" w:cs="Times New Roman"/>
                <w:b/>
                <w:bCs/>
                <w:color w:val="auto"/>
                <w:kern w:val="2"/>
                <w:sz w:val="21"/>
                <w:szCs w:val="21"/>
                <w:highlight w:val="none"/>
                <w:u w:val="none" w:color="auto"/>
                <w:lang w:val="en-US" w:eastAsia="zh-CN" w:bidi="ar-SA"/>
              </w:rPr>
              <w:t xml:space="preserve"> </w:t>
            </w:r>
            <w:r>
              <w:rPr>
                <w:rFonts w:hint="default" w:ascii="Times New Roman" w:hAnsi="Times New Roman" w:eastAsia="宋体" w:cs="Times New Roman"/>
                <w:b/>
                <w:bCs/>
                <w:color w:val="auto"/>
                <w:kern w:val="2"/>
                <w:sz w:val="21"/>
                <w:szCs w:val="21"/>
                <w:highlight w:val="none"/>
                <w:u w:val="none" w:color="auto"/>
                <w:lang w:val="en-US" w:eastAsia="zh-CN" w:bidi="ar-SA"/>
              </w:rPr>
              <w:t xml:space="preserve"> 2024年1-12月永州市环境空气质量污染物浓度状况(</w:t>
            </w:r>
            <w:r>
              <w:rPr>
                <w:rFonts w:hint="eastAsia" w:cs="Times New Roman"/>
                <w:b/>
                <w:bCs/>
                <w:color w:val="auto"/>
                <w:kern w:val="2"/>
                <w:sz w:val="21"/>
                <w:szCs w:val="21"/>
                <w:highlight w:val="none"/>
                <w:u w:val="none" w:color="auto"/>
                <w:lang w:val="en-US" w:eastAsia="zh-CN" w:bidi="ar-SA"/>
              </w:rPr>
              <w:t>祁阳市</w:t>
            </w:r>
            <w:r>
              <w:rPr>
                <w:rFonts w:hint="default" w:ascii="Times New Roman" w:hAnsi="Times New Roman" w:eastAsia="宋体" w:cs="Times New Roman"/>
                <w:b/>
                <w:bCs/>
                <w:color w:val="auto"/>
                <w:kern w:val="2"/>
                <w:sz w:val="21"/>
                <w:szCs w:val="21"/>
                <w:highlight w:val="none"/>
                <w:u w:val="none" w:color="auto"/>
                <w:lang w:val="en-US" w:eastAsia="zh-CN" w:bidi="ar-SA"/>
              </w:rPr>
              <w:t>)</w:t>
            </w:r>
          </w:p>
          <w:tbl>
            <w:tblPr>
              <w:tblStyle w:val="42"/>
              <w:tblW w:w="4999"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834"/>
              <w:gridCol w:w="1333"/>
              <w:gridCol w:w="1782"/>
              <w:gridCol w:w="842"/>
              <w:gridCol w:w="823"/>
              <w:gridCol w:w="919"/>
              <w:gridCol w:w="842"/>
            </w:tblGrid>
            <w:tr w14:paraId="34B250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noWrap/>
                  <w:vAlign w:val="center"/>
                </w:tcPr>
                <w:p w14:paraId="47175C48">
                  <w:pPr>
                    <w:jc w:val="center"/>
                    <w:rPr>
                      <w:sz w:val="21"/>
                      <w:szCs w:val="21"/>
                      <w:u w:val="none"/>
                    </w:rPr>
                  </w:pPr>
                  <w:r>
                    <w:rPr>
                      <w:sz w:val="21"/>
                      <w:szCs w:val="21"/>
                      <w:u w:val="none"/>
                    </w:rPr>
                    <w:t>点位</w:t>
                  </w:r>
                </w:p>
              </w:tc>
              <w:tc>
                <w:tcPr>
                  <w:tcW w:w="795" w:type="pct"/>
                  <w:noWrap/>
                  <w:vAlign w:val="center"/>
                </w:tcPr>
                <w:p w14:paraId="175BEA82">
                  <w:pPr>
                    <w:jc w:val="center"/>
                    <w:rPr>
                      <w:sz w:val="21"/>
                      <w:szCs w:val="21"/>
                      <w:u w:val="none"/>
                    </w:rPr>
                  </w:pPr>
                  <w:r>
                    <w:rPr>
                      <w:sz w:val="21"/>
                      <w:szCs w:val="21"/>
                      <w:u w:val="none"/>
                    </w:rPr>
                    <w:t>监测因子</w:t>
                  </w:r>
                </w:p>
              </w:tc>
              <w:tc>
                <w:tcPr>
                  <w:tcW w:w="1063" w:type="pct"/>
                  <w:noWrap/>
                  <w:vAlign w:val="center"/>
                </w:tcPr>
                <w:p w14:paraId="071DA6BD">
                  <w:pPr>
                    <w:jc w:val="center"/>
                    <w:rPr>
                      <w:sz w:val="21"/>
                      <w:szCs w:val="21"/>
                      <w:u w:val="none"/>
                    </w:rPr>
                  </w:pPr>
                  <w:r>
                    <w:rPr>
                      <w:sz w:val="21"/>
                      <w:szCs w:val="21"/>
                      <w:u w:val="none"/>
                    </w:rPr>
                    <w:t>年评价指标</w:t>
                  </w:r>
                </w:p>
              </w:tc>
              <w:tc>
                <w:tcPr>
                  <w:tcW w:w="502" w:type="pct"/>
                  <w:noWrap/>
                  <w:vAlign w:val="center"/>
                </w:tcPr>
                <w:p w14:paraId="013F7ED6">
                  <w:pPr>
                    <w:jc w:val="center"/>
                    <w:rPr>
                      <w:sz w:val="21"/>
                      <w:szCs w:val="21"/>
                      <w:u w:val="none"/>
                    </w:rPr>
                  </w:pPr>
                  <w:r>
                    <w:rPr>
                      <w:sz w:val="21"/>
                      <w:szCs w:val="21"/>
                      <w:u w:val="none"/>
                    </w:rPr>
                    <w:t>监测浓度</w:t>
                  </w:r>
                </w:p>
              </w:tc>
              <w:tc>
                <w:tcPr>
                  <w:tcW w:w="491" w:type="pct"/>
                  <w:noWrap/>
                  <w:vAlign w:val="center"/>
                </w:tcPr>
                <w:p w14:paraId="107FE381">
                  <w:pPr>
                    <w:jc w:val="center"/>
                    <w:rPr>
                      <w:sz w:val="21"/>
                      <w:szCs w:val="21"/>
                      <w:u w:val="none"/>
                    </w:rPr>
                  </w:pPr>
                  <w:r>
                    <w:rPr>
                      <w:sz w:val="21"/>
                      <w:szCs w:val="21"/>
                      <w:u w:val="none"/>
                    </w:rPr>
                    <w:t>标准值</w:t>
                  </w:r>
                </w:p>
              </w:tc>
              <w:tc>
                <w:tcPr>
                  <w:tcW w:w="548" w:type="pct"/>
                  <w:noWrap/>
                  <w:vAlign w:val="center"/>
                </w:tcPr>
                <w:p w14:paraId="00ECC704">
                  <w:pPr>
                    <w:jc w:val="center"/>
                    <w:rPr>
                      <w:sz w:val="21"/>
                      <w:szCs w:val="21"/>
                      <w:u w:val="none"/>
                    </w:rPr>
                  </w:pPr>
                  <w:r>
                    <w:rPr>
                      <w:sz w:val="21"/>
                      <w:szCs w:val="21"/>
                      <w:u w:val="none"/>
                    </w:rPr>
                    <w:t>占标率(%)</w:t>
                  </w:r>
                </w:p>
              </w:tc>
              <w:tc>
                <w:tcPr>
                  <w:tcW w:w="502" w:type="pct"/>
                  <w:noWrap/>
                  <w:vAlign w:val="center"/>
                </w:tcPr>
                <w:p w14:paraId="5C6A6276">
                  <w:pPr>
                    <w:jc w:val="center"/>
                    <w:rPr>
                      <w:sz w:val="21"/>
                      <w:szCs w:val="21"/>
                      <w:u w:val="none"/>
                    </w:rPr>
                  </w:pPr>
                  <w:r>
                    <w:rPr>
                      <w:sz w:val="21"/>
                      <w:szCs w:val="21"/>
                      <w:u w:val="none"/>
                    </w:rPr>
                    <w:t>达标情况</w:t>
                  </w:r>
                </w:p>
              </w:tc>
            </w:tr>
            <w:tr w14:paraId="6A579D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vMerge w:val="restart"/>
                  <w:noWrap/>
                  <w:vAlign w:val="center"/>
                </w:tcPr>
                <w:p w14:paraId="2F52E27F">
                  <w:pPr>
                    <w:jc w:val="center"/>
                    <w:rPr>
                      <w:sz w:val="21"/>
                      <w:szCs w:val="21"/>
                      <w:u w:val="none"/>
                    </w:rPr>
                  </w:pPr>
                  <w:r>
                    <w:rPr>
                      <w:sz w:val="21"/>
                      <w:szCs w:val="21"/>
                      <w:u w:val="none"/>
                    </w:rPr>
                    <w:t>永州市生态环境局祁阳分局G1</w:t>
                  </w:r>
                </w:p>
              </w:tc>
              <w:tc>
                <w:tcPr>
                  <w:tcW w:w="795" w:type="pct"/>
                  <w:noWrap/>
                  <w:vAlign w:val="center"/>
                </w:tcPr>
                <w:p w14:paraId="513ECF9C">
                  <w:pPr>
                    <w:jc w:val="center"/>
                    <w:rPr>
                      <w:sz w:val="21"/>
                      <w:szCs w:val="21"/>
                      <w:u w:val="none"/>
                    </w:rPr>
                  </w:pPr>
                  <w:r>
                    <w:rPr>
                      <w:sz w:val="21"/>
                      <w:szCs w:val="21"/>
                      <w:u w:val="none"/>
                    </w:rPr>
                    <w:t>PM</w:t>
                  </w:r>
                  <w:r>
                    <w:rPr>
                      <w:sz w:val="21"/>
                      <w:szCs w:val="21"/>
                      <w:u w:val="none"/>
                      <w:vertAlign w:val="subscript"/>
                    </w:rPr>
                    <w:t>10</w:t>
                  </w:r>
                </w:p>
              </w:tc>
              <w:tc>
                <w:tcPr>
                  <w:tcW w:w="1063" w:type="pct"/>
                  <w:vMerge w:val="restart"/>
                  <w:noWrap/>
                  <w:vAlign w:val="center"/>
                </w:tcPr>
                <w:p w14:paraId="3A751C52">
                  <w:pPr>
                    <w:jc w:val="center"/>
                    <w:rPr>
                      <w:sz w:val="21"/>
                      <w:szCs w:val="21"/>
                      <w:u w:val="none"/>
                    </w:rPr>
                  </w:pPr>
                  <w:r>
                    <w:rPr>
                      <w:sz w:val="21"/>
                      <w:szCs w:val="21"/>
                      <w:u w:val="none"/>
                    </w:rPr>
                    <w:t>年平均质量浓度</w:t>
                  </w:r>
                </w:p>
              </w:tc>
              <w:tc>
                <w:tcPr>
                  <w:tcW w:w="502" w:type="pct"/>
                  <w:noWrap/>
                  <w:vAlign w:val="center"/>
                </w:tcPr>
                <w:p w14:paraId="2EC8057C">
                  <w:pPr>
                    <w:jc w:val="center"/>
                    <w:rPr>
                      <w:sz w:val="21"/>
                      <w:szCs w:val="21"/>
                      <w:u w:val="none"/>
                    </w:rPr>
                  </w:pPr>
                  <w:r>
                    <w:rPr>
                      <w:rFonts w:hint="eastAsia"/>
                      <w:sz w:val="21"/>
                      <w:szCs w:val="21"/>
                      <w:u w:val="none"/>
                    </w:rPr>
                    <w:t>42</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491" w:type="pct"/>
                  <w:noWrap/>
                  <w:vAlign w:val="center"/>
                </w:tcPr>
                <w:p w14:paraId="3D08B6B3">
                  <w:pPr>
                    <w:jc w:val="center"/>
                    <w:rPr>
                      <w:sz w:val="21"/>
                      <w:szCs w:val="21"/>
                      <w:u w:val="none"/>
                    </w:rPr>
                  </w:pPr>
                  <w:r>
                    <w:rPr>
                      <w:rFonts w:hint="eastAsia"/>
                      <w:sz w:val="21"/>
                      <w:szCs w:val="21"/>
                      <w:u w:val="none"/>
                      <w:lang w:val="en-US" w:eastAsia="zh-CN"/>
                    </w:rPr>
                    <w:t>6</w:t>
                  </w:r>
                  <w:r>
                    <w:rPr>
                      <w:sz w:val="21"/>
                      <w:szCs w:val="21"/>
                      <w:u w:val="none"/>
                    </w:rPr>
                    <w:t>0</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548" w:type="pct"/>
                  <w:noWrap/>
                  <w:vAlign w:val="center"/>
                </w:tcPr>
                <w:p w14:paraId="68996BD0">
                  <w:pPr>
                    <w:jc w:val="center"/>
                    <w:rPr>
                      <w:sz w:val="21"/>
                      <w:szCs w:val="21"/>
                      <w:u w:val="none"/>
                    </w:rPr>
                  </w:pPr>
                  <w:r>
                    <w:rPr>
                      <w:rFonts w:hint="eastAsia"/>
                      <w:sz w:val="21"/>
                      <w:szCs w:val="21"/>
                      <w:u w:val="none"/>
                    </w:rPr>
                    <w:t>60</w:t>
                  </w:r>
                  <w:r>
                    <w:rPr>
                      <w:sz w:val="21"/>
                      <w:szCs w:val="21"/>
                      <w:u w:val="none"/>
                    </w:rPr>
                    <w:t>%</w:t>
                  </w:r>
                </w:p>
              </w:tc>
              <w:tc>
                <w:tcPr>
                  <w:tcW w:w="502" w:type="pct"/>
                  <w:noWrap/>
                  <w:vAlign w:val="center"/>
                </w:tcPr>
                <w:p w14:paraId="7A1E1E07">
                  <w:pPr>
                    <w:jc w:val="center"/>
                    <w:rPr>
                      <w:sz w:val="21"/>
                      <w:szCs w:val="21"/>
                      <w:u w:val="none"/>
                    </w:rPr>
                  </w:pPr>
                  <w:r>
                    <w:rPr>
                      <w:sz w:val="21"/>
                      <w:szCs w:val="21"/>
                      <w:u w:val="none"/>
                    </w:rPr>
                    <w:t>达标</w:t>
                  </w:r>
                </w:p>
              </w:tc>
            </w:tr>
            <w:tr w14:paraId="697D11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vMerge w:val="continue"/>
                  <w:noWrap/>
                  <w:vAlign w:val="center"/>
                </w:tcPr>
                <w:p w14:paraId="45683E99">
                  <w:pPr>
                    <w:jc w:val="center"/>
                    <w:rPr>
                      <w:sz w:val="21"/>
                      <w:szCs w:val="21"/>
                      <w:u w:val="none"/>
                    </w:rPr>
                  </w:pPr>
                </w:p>
              </w:tc>
              <w:tc>
                <w:tcPr>
                  <w:tcW w:w="795" w:type="pct"/>
                  <w:noWrap/>
                  <w:vAlign w:val="center"/>
                </w:tcPr>
                <w:p w14:paraId="49E77BA4">
                  <w:pPr>
                    <w:jc w:val="center"/>
                    <w:rPr>
                      <w:sz w:val="21"/>
                      <w:szCs w:val="21"/>
                      <w:u w:val="none"/>
                    </w:rPr>
                  </w:pPr>
                  <w:r>
                    <w:rPr>
                      <w:sz w:val="21"/>
                      <w:szCs w:val="21"/>
                      <w:u w:val="none"/>
                    </w:rPr>
                    <w:t>PM</w:t>
                  </w:r>
                  <w:r>
                    <w:rPr>
                      <w:sz w:val="21"/>
                      <w:szCs w:val="21"/>
                      <w:u w:val="none"/>
                      <w:vertAlign w:val="subscript"/>
                    </w:rPr>
                    <w:t>2.5</w:t>
                  </w:r>
                </w:p>
              </w:tc>
              <w:tc>
                <w:tcPr>
                  <w:tcW w:w="1063" w:type="pct"/>
                  <w:vMerge w:val="continue"/>
                  <w:noWrap/>
                  <w:vAlign w:val="center"/>
                </w:tcPr>
                <w:p w14:paraId="7D2A42F5">
                  <w:pPr>
                    <w:jc w:val="center"/>
                    <w:rPr>
                      <w:sz w:val="21"/>
                      <w:szCs w:val="21"/>
                      <w:u w:val="none"/>
                    </w:rPr>
                  </w:pPr>
                </w:p>
              </w:tc>
              <w:tc>
                <w:tcPr>
                  <w:tcW w:w="502" w:type="pct"/>
                  <w:noWrap/>
                  <w:vAlign w:val="center"/>
                </w:tcPr>
                <w:p w14:paraId="368751A5">
                  <w:pPr>
                    <w:jc w:val="center"/>
                    <w:rPr>
                      <w:sz w:val="21"/>
                      <w:szCs w:val="21"/>
                      <w:u w:val="none"/>
                    </w:rPr>
                  </w:pPr>
                  <w:r>
                    <w:rPr>
                      <w:rFonts w:hint="eastAsia"/>
                      <w:sz w:val="21"/>
                      <w:szCs w:val="21"/>
                      <w:u w:val="none"/>
                    </w:rPr>
                    <w:t>30</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491" w:type="pct"/>
                  <w:noWrap/>
                  <w:vAlign w:val="center"/>
                </w:tcPr>
                <w:p w14:paraId="2F31C048">
                  <w:pPr>
                    <w:jc w:val="center"/>
                    <w:rPr>
                      <w:sz w:val="21"/>
                      <w:szCs w:val="21"/>
                      <w:u w:val="none"/>
                    </w:rPr>
                  </w:pPr>
                  <w:r>
                    <w:rPr>
                      <w:rFonts w:hint="eastAsia"/>
                      <w:sz w:val="21"/>
                      <w:szCs w:val="21"/>
                      <w:u w:val="none"/>
                      <w:lang w:val="en-US" w:eastAsia="zh-CN"/>
                    </w:rPr>
                    <w:t>30u</w:t>
                  </w:r>
                  <w:r>
                    <w:rPr>
                      <w:rFonts w:hint="eastAsia"/>
                      <w:sz w:val="21"/>
                      <w:szCs w:val="21"/>
                      <w:u w:val="none"/>
                    </w:rPr>
                    <w:t>g/m</w:t>
                  </w:r>
                  <w:r>
                    <w:rPr>
                      <w:rFonts w:hint="eastAsia"/>
                      <w:sz w:val="21"/>
                      <w:szCs w:val="21"/>
                      <w:u w:val="none"/>
                      <w:vertAlign w:val="superscript"/>
                    </w:rPr>
                    <w:t>3</w:t>
                  </w:r>
                </w:p>
              </w:tc>
              <w:tc>
                <w:tcPr>
                  <w:tcW w:w="548" w:type="pct"/>
                  <w:noWrap/>
                  <w:vAlign w:val="center"/>
                </w:tcPr>
                <w:p w14:paraId="402E0C15">
                  <w:pPr>
                    <w:jc w:val="center"/>
                    <w:rPr>
                      <w:sz w:val="21"/>
                      <w:szCs w:val="21"/>
                      <w:u w:val="none"/>
                    </w:rPr>
                  </w:pPr>
                  <w:r>
                    <w:rPr>
                      <w:rFonts w:hint="eastAsia"/>
                      <w:sz w:val="21"/>
                      <w:szCs w:val="21"/>
                      <w:u w:val="none"/>
                    </w:rPr>
                    <w:t>85.7</w:t>
                  </w:r>
                  <w:r>
                    <w:rPr>
                      <w:sz w:val="21"/>
                      <w:szCs w:val="21"/>
                      <w:u w:val="none"/>
                    </w:rPr>
                    <w:t>%</w:t>
                  </w:r>
                </w:p>
              </w:tc>
              <w:tc>
                <w:tcPr>
                  <w:tcW w:w="502" w:type="pct"/>
                  <w:noWrap/>
                  <w:vAlign w:val="center"/>
                </w:tcPr>
                <w:p w14:paraId="4F4337F4">
                  <w:pPr>
                    <w:jc w:val="center"/>
                    <w:rPr>
                      <w:sz w:val="21"/>
                      <w:szCs w:val="21"/>
                      <w:u w:val="none"/>
                    </w:rPr>
                  </w:pPr>
                  <w:r>
                    <w:rPr>
                      <w:sz w:val="21"/>
                      <w:szCs w:val="21"/>
                      <w:u w:val="none"/>
                    </w:rPr>
                    <w:t>达标</w:t>
                  </w:r>
                </w:p>
              </w:tc>
            </w:tr>
            <w:tr w14:paraId="7C773B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vMerge w:val="continue"/>
                  <w:noWrap/>
                  <w:vAlign w:val="center"/>
                </w:tcPr>
                <w:p w14:paraId="3CAC8E79">
                  <w:pPr>
                    <w:jc w:val="center"/>
                    <w:rPr>
                      <w:sz w:val="21"/>
                      <w:szCs w:val="21"/>
                      <w:u w:val="none"/>
                    </w:rPr>
                  </w:pPr>
                </w:p>
              </w:tc>
              <w:tc>
                <w:tcPr>
                  <w:tcW w:w="795" w:type="pct"/>
                  <w:noWrap/>
                  <w:vAlign w:val="center"/>
                </w:tcPr>
                <w:p w14:paraId="608EDABD">
                  <w:pPr>
                    <w:jc w:val="center"/>
                    <w:rPr>
                      <w:sz w:val="21"/>
                      <w:szCs w:val="21"/>
                      <w:u w:val="none"/>
                    </w:rPr>
                  </w:pPr>
                  <w:r>
                    <w:rPr>
                      <w:sz w:val="21"/>
                      <w:szCs w:val="21"/>
                      <w:u w:val="none"/>
                    </w:rPr>
                    <w:t>二氧化硫</w:t>
                  </w:r>
                </w:p>
              </w:tc>
              <w:tc>
                <w:tcPr>
                  <w:tcW w:w="1063" w:type="pct"/>
                  <w:vMerge w:val="continue"/>
                  <w:noWrap/>
                  <w:vAlign w:val="center"/>
                </w:tcPr>
                <w:p w14:paraId="63F7C904">
                  <w:pPr>
                    <w:jc w:val="center"/>
                    <w:rPr>
                      <w:sz w:val="21"/>
                      <w:szCs w:val="21"/>
                      <w:u w:val="none"/>
                    </w:rPr>
                  </w:pPr>
                </w:p>
              </w:tc>
              <w:tc>
                <w:tcPr>
                  <w:tcW w:w="502" w:type="pct"/>
                  <w:noWrap/>
                  <w:vAlign w:val="center"/>
                </w:tcPr>
                <w:p w14:paraId="3DA14BAE">
                  <w:pPr>
                    <w:jc w:val="center"/>
                    <w:rPr>
                      <w:sz w:val="21"/>
                      <w:szCs w:val="21"/>
                      <w:u w:val="none"/>
                    </w:rPr>
                  </w:pPr>
                  <w:r>
                    <w:rPr>
                      <w:rFonts w:hint="eastAsia"/>
                      <w:sz w:val="21"/>
                      <w:szCs w:val="21"/>
                      <w:u w:val="none"/>
                    </w:rPr>
                    <w:t>9</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491" w:type="pct"/>
                  <w:noWrap/>
                  <w:vAlign w:val="center"/>
                </w:tcPr>
                <w:p w14:paraId="41FE7713">
                  <w:pPr>
                    <w:jc w:val="center"/>
                    <w:rPr>
                      <w:sz w:val="21"/>
                      <w:szCs w:val="21"/>
                      <w:u w:val="none"/>
                    </w:rPr>
                  </w:pPr>
                  <w:r>
                    <w:rPr>
                      <w:sz w:val="21"/>
                      <w:szCs w:val="21"/>
                      <w:u w:val="none"/>
                    </w:rPr>
                    <w:t>60</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548" w:type="pct"/>
                  <w:noWrap/>
                  <w:vAlign w:val="center"/>
                </w:tcPr>
                <w:p w14:paraId="10C760FA">
                  <w:pPr>
                    <w:jc w:val="center"/>
                    <w:rPr>
                      <w:sz w:val="21"/>
                      <w:szCs w:val="21"/>
                      <w:u w:val="none"/>
                    </w:rPr>
                  </w:pPr>
                  <w:r>
                    <w:rPr>
                      <w:sz w:val="21"/>
                      <w:szCs w:val="21"/>
                      <w:u w:val="none"/>
                    </w:rPr>
                    <w:t>1</w:t>
                  </w:r>
                  <w:r>
                    <w:rPr>
                      <w:rFonts w:hint="eastAsia"/>
                      <w:sz w:val="21"/>
                      <w:szCs w:val="21"/>
                      <w:u w:val="none"/>
                    </w:rPr>
                    <w:t>5</w:t>
                  </w:r>
                  <w:r>
                    <w:rPr>
                      <w:sz w:val="21"/>
                      <w:szCs w:val="21"/>
                      <w:u w:val="none"/>
                    </w:rPr>
                    <w:t>%</w:t>
                  </w:r>
                </w:p>
              </w:tc>
              <w:tc>
                <w:tcPr>
                  <w:tcW w:w="502" w:type="pct"/>
                  <w:noWrap/>
                  <w:vAlign w:val="center"/>
                </w:tcPr>
                <w:p w14:paraId="5E5CE071">
                  <w:pPr>
                    <w:jc w:val="center"/>
                    <w:rPr>
                      <w:sz w:val="21"/>
                      <w:szCs w:val="21"/>
                      <w:u w:val="none"/>
                    </w:rPr>
                  </w:pPr>
                  <w:r>
                    <w:rPr>
                      <w:sz w:val="21"/>
                      <w:szCs w:val="21"/>
                      <w:u w:val="none"/>
                    </w:rPr>
                    <w:t>达标</w:t>
                  </w:r>
                </w:p>
              </w:tc>
            </w:tr>
            <w:tr w14:paraId="3E8A7A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vMerge w:val="continue"/>
                  <w:noWrap/>
                  <w:vAlign w:val="center"/>
                </w:tcPr>
                <w:p w14:paraId="43C68FA9">
                  <w:pPr>
                    <w:jc w:val="center"/>
                    <w:rPr>
                      <w:sz w:val="21"/>
                      <w:szCs w:val="21"/>
                      <w:u w:val="none"/>
                    </w:rPr>
                  </w:pPr>
                </w:p>
              </w:tc>
              <w:tc>
                <w:tcPr>
                  <w:tcW w:w="795" w:type="pct"/>
                  <w:noWrap/>
                  <w:vAlign w:val="center"/>
                </w:tcPr>
                <w:p w14:paraId="455E2478">
                  <w:pPr>
                    <w:jc w:val="center"/>
                    <w:rPr>
                      <w:sz w:val="21"/>
                      <w:szCs w:val="21"/>
                      <w:u w:val="none"/>
                    </w:rPr>
                  </w:pPr>
                  <w:r>
                    <w:rPr>
                      <w:sz w:val="21"/>
                      <w:szCs w:val="21"/>
                      <w:u w:val="none"/>
                    </w:rPr>
                    <w:t>二氧化氮</w:t>
                  </w:r>
                </w:p>
              </w:tc>
              <w:tc>
                <w:tcPr>
                  <w:tcW w:w="1063" w:type="pct"/>
                  <w:vMerge w:val="continue"/>
                  <w:noWrap/>
                  <w:vAlign w:val="center"/>
                </w:tcPr>
                <w:p w14:paraId="1198B7F0">
                  <w:pPr>
                    <w:jc w:val="center"/>
                    <w:rPr>
                      <w:sz w:val="21"/>
                      <w:szCs w:val="21"/>
                      <w:u w:val="none"/>
                    </w:rPr>
                  </w:pPr>
                </w:p>
              </w:tc>
              <w:tc>
                <w:tcPr>
                  <w:tcW w:w="502" w:type="pct"/>
                  <w:noWrap/>
                  <w:vAlign w:val="center"/>
                </w:tcPr>
                <w:p w14:paraId="1A268606">
                  <w:pPr>
                    <w:jc w:val="center"/>
                    <w:rPr>
                      <w:sz w:val="21"/>
                      <w:szCs w:val="21"/>
                      <w:u w:val="none"/>
                    </w:rPr>
                  </w:pPr>
                  <w:r>
                    <w:rPr>
                      <w:sz w:val="21"/>
                      <w:szCs w:val="21"/>
                      <w:u w:val="none"/>
                    </w:rPr>
                    <w:t>1</w:t>
                  </w:r>
                  <w:r>
                    <w:rPr>
                      <w:rFonts w:hint="eastAsia"/>
                      <w:sz w:val="21"/>
                      <w:szCs w:val="21"/>
                      <w:u w:val="none"/>
                    </w:rPr>
                    <w:t>2</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491" w:type="pct"/>
                  <w:noWrap/>
                  <w:vAlign w:val="center"/>
                </w:tcPr>
                <w:p w14:paraId="09918EA4">
                  <w:pPr>
                    <w:jc w:val="center"/>
                    <w:rPr>
                      <w:sz w:val="21"/>
                      <w:szCs w:val="21"/>
                      <w:u w:val="none"/>
                    </w:rPr>
                  </w:pPr>
                  <w:r>
                    <w:rPr>
                      <w:sz w:val="21"/>
                      <w:szCs w:val="21"/>
                      <w:u w:val="none"/>
                    </w:rPr>
                    <w:t>40</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548" w:type="pct"/>
                  <w:noWrap/>
                  <w:vAlign w:val="center"/>
                </w:tcPr>
                <w:p w14:paraId="119C0609">
                  <w:pPr>
                    <w:jc w:val="center"/>
                    <w:rPr>
                      <w:sz w:val="21"/>
                      <w:szCs w:val="21"/>
                      <w:u w:val="none"/>
                    </w:rPr>
                  </w:pPr>
                  <w:r>
                    <w:rPr>
                      <w:sz w:val="21"/>
                      <w:szCs w:val="21"/>
                      <w:u w:val="none"/>
                    </w:rPr>
                    <w:t>3</w:t>
                  </w:r>
                  <w:r>
                    <w:rPr>
                      <w:rFonts w:hint="eastAsia"/>
                      <w:sz w:val="21"/>
                      <w:szCs w:val="21"/>
                      <w:u w:val="none"/>
                    </w:rPr>
                    <w:t>0</w:t>
                  </w:r>
                  <w:r>
                    <w:rPr>
                      <w:sz w:val="21"/>
                      <w:szCs w:val="21"/>
                      <w:u w:val="none"/>
                    </w:rPr>
                    <w:t>%</w:t>
                  </w:r>
                </w:p>
              </w:tc>
              <w:tc>
                <w:tcPr>
                  <w:tcW w:w="502" w:type="pct"/>
                  <w:noWrap/>
                  <w:vAlign w:val="center"/>
                </w:tcPr>
                <w:p w14:paraId="296FD3F7">
                  <w:pPr>
                    <w:jc w:val="center"/>
                    <w:rPr>
                      <w:sz w:val="21"/>
                      <w:szCs w:val="21"/>
                      <w:u w:val="none"/>
                    </w:rPr>
                  </w:pPr>
                  <w:r>
                    <w:rPr>
                      <w:sz w:val="21"/>
                      <w:szCs w:val="21"/>
                      <w:u w:val="none"/>
                    </w:rPr>
                    <w:t>达标</w:t>
                  </w:r>
                </w:p>
              </w:tc>
            </w:tr>
            <w:tr w14:paraId="654971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vMerge w:val="continue"/>
                  <w:noWrap/>
                  <w:vAlign w:val="center"/>
                </w:tcPr>
                <w:p w14:paraId="39CDF90F">
                  <w:pPr>
                    <w:jc w:val="center"/>
                    <w:rPr>
                      <w:sz w:val="21"/>
                      <w:szCs w:val="21"/>
                      <w:u w:val="none"/>
                    </w:rPr>
                  </w:pPr>
                </w:p>
              </w:tc>
              <w:tc>
                <w:tcPr>
                  <w:tcW w:w="795" w:type="pct"/>
                  <w:noWrap/>
                  <w:vAlign w:val="center"/>
                </w:tcPr>
                <w:p w14:paraId="2B8CC75F">
                  <w:pPr>
                    <w:jc w:val="center"/>
                    <w:rPr>
                      <w:sz w:val="21"/>
                      <w:szCs w:val="21"/>
                      <w:u w:val="none"/>
                    </w:rPr>
                  </w:pPr>
                  <w:r>
                    <w:rPr>
                      <w:sz w:val="21"/>
                      <w:szCs w:val="21"/>
                      <w:u w:val="none"/>
                    </w:rPr>
                    <w:t>臭氧</w:t>
                  </w:r>
                </w:p>
              </w:tc>
              <w:tc>
                <w:tcPr>
                  <w:tcW w:w="1063" w:type="pct"/>
                  <w:noWrap/>
                  <w:vAlign w:val="center"/>
                </w:tcPr>
                <w:p w14:paraId="6F86C8DF">
                  <w:pPr>
                    <w:jc w:val="center"/>
                    <w:rPr>
                      <w:sz w:val="21"/>
                      <w:szCs w:val="21"/>
                      <w:u w:val="none"/>
                    </w:rPr>
                  </w:pPr>
                  <w:r>
                    <w:rPr>
                      <w:sz w:val="21"/>
                      <w:szCs w:val="21"/>
                      <w:u w:val="none"/>
                    </w:rPr>
                    <w:t>日最大8h第90百分位</w:t>
                  </w:r>
                </w:p>
              </w:tc>
              <w:tc>
                <w:tcPr>
                  <w:tcW w:w="502" w:type="pct"/>
                  <w:noWrap/>
                  <w:vAlign w:val="center"/>
                </w:tcPr>
                <w:p w14:paraId="44D52489">
                  <w:pPr>
                    <w:jc w:val="center"/>
                    <w:rPr>
                      <w:sz w:val="21"/>
                      <w:szCs w:val="21"/>
                      <w:u w:val="none"/>
                    </w:rPr>
                  </w:pPr>
                  <w:r>
                    <w:rPr>
                      <w:sz w:val="21"/>
                      <w:szCs w:val="21"/>
                      <w:u w:val="none"/>
                    </w:rPr>
                    <w:t>1</w:t>
                  </w:r>
                  <w:r>
                    <w:rPr>
                      <w:rFonts w:hint="eastAsia"/>
                      <w:sz w:val="21"/>
                      <w:szCs w:val="21"/>
                      <w:u w:val="none"/>
                    </w:rPr>
                    <w:t>29</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491" w:type="pct"/>
                  <w:noWrap/>
                  <w:vAlign w:val="center"/>
                </w:tcPr>
                <w:p w14:paraId="693F8848">
                  <w:pPr>
                    <w:jc w:val="center"/>
                    <w:rPr>
                      <w:sz w:val="21"/>
                      <w:szCs w:val="21"/>
                      <w:u w:val="none"/>
                    </w:rPr>
                  </w:pPr>
                  <w:r>
                    <w:rPr>
                      <w:sz w:val="21"/>
                      <w:szCs w:val="21"/>
                      <w:u w:val="none"/>
                    </w:rPr>
                    <w:t>160</w:t>
                  </w:r>
                  <w:r>
                    <w:rPr>
                      <w:rFonts w:hint="eastAsia"/>
                      <w:sz w:val="21"/>
                      <w:szCs w:val="21"/>
                      <w:u w:val="none"/>
                      <w:lang w:val="en-US" w:eastAsia="zh-CN"/>
                    </w:rPr>
                    <w:t>u</w:t>
                  </w:r>
                  <w:r>
                    <w:rPr>
                      <w:rFonts w:hint="eastAsia"/>
                      <w:sz w:val="21"/>
                      <w:szCs w:val="21"/>
                      <w:u w:val="none"/>
                    </w:rPr>
                    <w:t>g/m</w:t>
                  </w:r>
                  <w:r>
                    <w:rPr>
                      <w:rFonts w:hint="eastAsia"/>
                      <w:sz w:val="21"/>
                      <w:szCs w:val="21"/>
                      <w:u w:val="none"/>
                      <w:vertAlign w:val="superscript"/>
                    </w:rPr>
                    <w:t>3</w:t>
                  </w:r>
                </w:p>
              </w:tc>
              <w:tc>
                <w:tcPr>
                  <w:tcW w:w="548" w:type="pct"/>
                  <w:noWrap/>
                  <w:vAlign w:val="center"/>
                </w:tcPr>
                <w:p w14:paraId="5D38F2E1">
                  <w:pPr>
                    <w:jc w:val="center"/>
                    <w:rPr>
                      <w:sz w:val="21"/>
                      <w:szCs w:val="21"/>
                      <w:u w:val="none"/>
                    </w:rPr>
                  </w:pPr>
                  <w:r>
                    <w:rPr>
                      <w:rFonts w:hint="eastAsia"/>
                      <w:sz w:val="21"/>
                      <w:szCs w:val="21"/>
                      <w:u w:val="none"/>
                    </w:rPr>
                    <w:t>44.6</w:t>
                  </w:r>
                  <w:r>
                    <w:rPr>
                      <w:sz w:val="21"/>
                      <w:szCs w:val="21"/>
                      <w:u w:val="none"/>
                    </w:rPr>
                    <w:t>%</w:t>
                  </w:r>
                </w:p>
              </w:tc>
              <w:tc>
                <w:tcPr>
                  <w:tcW w:w="502" w:type="pct"/>
                  <w:noWrap/>
                  <w:vAlign w:val="center"/>
                </w:tcPr>
                <w:p w14:paraId="0F481ADC">
                  <w:pPr>
                    <w:jc w:val="center"/>
                    <w:rPr>
                      <w:sz w:val="21"/>
                      <w:szCs w:val="21"/>
                      <w:u w:val="none"/>
                    </w:rPr>
                  </w:pPr>
                  <w:r>
                    <w:rPr>
                      <w:sz w:val="21"/>
                      <w:szCs w:val="21"/>
                      <w:u w:val="none"/>
                    </w:rPr>
                    <w:t>达标</w:t>
                  </w:r>
                </w:p>
              </w:tc>
            </w:tr>
            <w:tr w14:paraId="2EA0DA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jc w:val="center"/>
              </w:trPr>
              <w:tc>
                <w:tcPr>
                  <w:tcW w:w="1094" w:type="pct"/>
                  <w:vMerge w:val="continue"/>
                  <w:noWrap/>
                  <w:vAlign w:val="center"/>
                </w:tcPr>
                <w:p w14:paraId="58B5B41B">
                  <w:pPr>
                    <w:jc w:val="center"/>
                    <w:rPr>
                      <w:sz w:val="21"/>
                      <w:szCs w:val="21"/>
                      <w:u w:val="none"/>
                    </w:rPr>
                  </w:pPr>
                </w:p>
              </w:tc>
              <w:tc>
                <w:tcPr>
                  <w:tcW w:w="795" w:type="pct"/>
                  <w:noWrap/>
                  <w:vAlign w:val="center"/>
                </w:tcPr>
                <w:p w14:paraId="3BFD3C41">
                  <w:pPr>
                    <w:jc w:val="center"/>
                    <w:rPr>
                      <w:sz w:val="21"/>
                      <w:szCs w:val="21"/>
                      <w:u w:val="none"/>
                    </w:rPr>
                  </w:pPr>
                  <w:r>
                    <w:rPr>
                      <w:sz w:val="21"/>
                      <w:szCs w:val="21"/>
                      <w:u w:val="none"/>
                    </w:rPr>
                    <w:t>CO</w:t>
                  </w:r>
                </w:p>
              </w:tc>
              <w:tc>
                <w:tcPr>
                  <w:tcW w:w="1063" w:type="pct"/>
                  <w:noWrap/>
                  <w:vAlign w:val="center"/>
                </w:tcPr>
                <w:p w14:paraId="2C35E56E">
                  <w:pPr>
                    <w:jc w:val="center"/>
                    <w:rPr>
                      <w:sz w:val="21"/>
                      <w:szCs w:val="21"/>
                      <w:u w:val="none"/>
                    </w:rPr>
                  </w:pPr>
                  <w:r>
                    <w:rPr>
                      <w:sz w:val="21"/>
                      <w:szCs w:val="21"/>
                      <w:u w:val="none"/>
                    </w:rPr>
                    <w:t>CO第95百分值</w:t>
                  </w:r>
                </w:p>
              </w:tc>
              <w:tc>
                <w:tcPr>
                  <w:tcW w:w="502" w:type="pct"/>
                  <w:noWrap/>
                  <w:vAlign w:val="center"/>
                </w:tcPr>
                <w:p w14:paraId="673B2FA9">
                  <w:pPr>
                    <w:jc w:val="center"/>
                    <w:rPr>
                      <w:sz w:val="21"/>
                      <w:szCs w:val="21"/>
                      <w:u w:val="none"/>
                    </w:rPr>
                  </w:pPr>
                  <w:r>
                    <w:rPr>
                      <w:sz w:val="21"/>
                      <w:szCs w:val="21"/>
                      <w:u w:val="none"/>
                    </w:rPr>
                    <w:t>1.</w:t>
                  </w:r>
                  <w:r>
                    <w:rPr>
                      <w:rFonts w:hint="eastAsia"/>
                      <w:sz w:val="21"/>
                      <w:szCs w:val="21"/>
                      <w:u w:val="none"/>
                    </w:rPr>
                    <w:t>0</w:t>
                  </w:r>
                  <w:r>
                    <w:rPr>
                      <w:sz w:val="21"/>
                      <w:szCs w:val="21"/>
                      <w:u w:val="none"/>
                    </w:rPr>
                    <w:t>mg/m</w:t>
                  </w:r>
                  <w:r>
                    <w:rPr>
                      <w:sz w:val="21"/>
                      <w:szCs w:val="21"/>
                      <w:u w:val="none"/>
                      <w:vertAlign w:val="superscript"/>
                    </w:rPr>
                    <w:t>3</w:t>
                  </w:r>
                </w:p>
              </w:tc>
              <w:tc>
                <w:tcPr>
                  <w:tcW w:w="491" w:type="pct"/>
                  <w:noWrap/>
                  <w:vAlign w:val="center"/>
                </w:tcPr>
                <w:p w14:paraId="0FF84779">
                  <w:pPr>
                    <w:jc w:val="center"/>
                    <w:rPr>
                      <w:sz w:val="21"/>
                      <w:szCs w:val="21"/>
                      <w:u w:val="none"/>
                    </w:rPr>
                  </w:pPr>
                  <w:r>
                    <w:rPr>
                      <w:sz w:val="21"/>
                      <w:szCs w:val="21"/>
                      <w:u w:val="none"/>
                    </w:rPr>
                    <w:t>4mg/m</w:t>
                  </w:r>
                  <w:r>
                    <w:rPr>
                      <w:sz w:val="21"/>
                      <w:szCs w:val="21"/>
                      <w:u w:val="none"/>
                      <w:vertAlign w:val="superscript"/>
                    </w:rPr>
                    <w:t>3</w:t>
                  </w:r>
                </w:p>
              </w:tc>
              <w:tc>
                <w:tcPr>
                  <w:tcW w:w="548" w:type="pct"/>
                  <w:noWrap/>
                  <w:vAlign w:val="center"/>
                </w:tcPr>
                <w:p w14:paraId="474FE4B6">
                  <w:pPr>
                    <w:jc w:val="center"/>
                    <w:rPr>
                      <w:sz w:val="21"/>
                      <w:szCs w:val="21"/>
                      <w:u w:val="none"/>
                    </w:rPr>
                  </w:pPr>
                  <w:r>
                    <w:rPr>
                      <w:sz w:val="21"/>
                      <w:szCs w:val="21"/>
                      <w:u w:val="none"/>
                    </w:rPr>
                    <w:t>25%</w:t>
                  </w:r>
                </w:p>
              </w:tc>
              <w:tc>
                <w:tcPr>
                  <w:tcW w:w="502" w:type="pct"/>
                  <w:noWrap/>
                  <w:vAlign w:val="center"/>
                </w:tcPr>
                <w:p w14:paraId="3B368F1D">
                  <w:pPr>
                    <w:jc w:val="center"/>
                    <w:rPr>
                      <w:sz w:val="21"/>
                      <w:szCs w:val="21"/>
                      <w:u w:val="none"/>
                    </w:rPr>
                  </w:pPr>
                  <w:r>
                    <w:rPr>
                      <w:sz w:val="21"/>
                      <w:szCs w:val="21"/>
                      <w:u w:val="none"/>
                    </w:rPr>
                    <w:t>达标</w:t>
                  </w:r>
                </w:p>
              </w:tc>
            </w:tr>
          </w:tbl>
          <w:p w14:paraId="030BB8F4">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根据上表可知，2024年1-12月份</w:t>
            </w:r>
            <w:r>
              <w:rPr>
                <w:rFonts w:hint="eastAsia" w:cs="Times New Roman"/>
                <w:color w:val="auto"/>
                <w:sz w:val="24"/>
                <w:highlight w:val="none"/>
                <w:lang w:eastAsia="zh-CN"/>
              </w:rPr>
              <w:t>祁阳市</w:t>
            </w:r>
            <w:r>
              <w:rPr>
                <w:rFonts w:hint="eastAsia" w:ascii="Times New Roman" w:hAnsi="Times New Roman" w:eastAsia="宋体" w:cs="Times New Roman"/>
                <w:color w:val="auto"/>
                <w:sz w:val="24"/>
                <w:highlight w:val="none"/>
                <w:lang w:eastAsia="zh-CN"/>
              </w:rPr>
              <w:t>的常规监测因子均达到《环境空气质量标准》(</w:t>
            </w:r>
            <w:r>
              <w:rPr>
                <w:rFonts w:hint="eastAsia" w:cs="Times New Roman"/>
                <w:color w:val="auto"/>
                <w:sz w:val="24"/>
                <w:highlight w:val="none"/>
                <w:lang w:eastAsia="zh-CN"/>
              </w:rPr>
              <w:t>GB3095-2026</w:t>
            </w:r>
            <w:r>
              <w:rPr>
                <w:rFonts w:hint="eastAsia" w:ascii="Times New Roman" w:hAnsi="Times New Roman" w:eastAsia="宋体" w:cs="Times New Roman"/>
                <w:color w:val="auto"/>
                <w:sz w:val="24"/>
                <w:highlight w:val="none"/>
                <w:lang w:eastAsia="zh-CN"/>
              </w:rPr>
              <w:t>)中</w:t>
            </w:r>
            <w:r>
              <w:rPr>
                <w:rFonts w:hint="eastAsia" w:cs="Times New Roman"/>
                <w:color w:val="auto"/>
                <w:sz w:val="24"/>
                <w:highlight w:val="none"/>
                <w:lang w:val="en-US" w:eastAsia="zh-CN"/>
              </w:rPr>
              <w:t>过渡阶段浓度限值</w:t>
            </w:r>
            <w:r>
              <w:rPr>
                <w:rFonts w:hint="eastAsia" w:ascii="Times New Roman" w:hAnsi="Times New Roman" w:eastAsia="宋体" w:cs="Times New Roman"/>
                <w:color w:val="auto"/>
                <w:sz w:val="24"/>
                <w:highlight w:val="none"/>
                <w:lang w:eastAsia="zh-CN"/>
              </w:rPr>
              <w:t>二级标准，项目所在地为环境空气质量达标区域。</w:t>
            </w:r>
          </w:p>
          <w:p w14:paraId="2E435980">
            <w:pPr>
              <w:spacing w:line="360" w:lineRule="auto"/>
              <w:ind w:firstLine="480" w:firstLineChars="200"/>
              <w:rPr>
                <w:rFonts w:hint="eastAsia" w:ascii="Times New Roman" w:hAnsi="Times New Roman" w:eastAsia="宋体" w:cs="Times New Roman"/>
                <w:color w:val="auto"/>
                <w:sz w:val="24"/>
                <w:highlight w:val="none"/>
                <w:lang w:eastAsia="zh-CN"/>
              </w:rPr>
            </w:pPr>
            <w:r>
              <w:rPr>
                <w:rFonts w:hint="eastAsia" w:ascii="Times New Roman" w:hAnsi="Times New Roman" w:eastAsia="宋体" w:cs="Times New Roman"/>
                <w:color w:val="auto"/>
                <w:sz w:val="24"/>
                <w:highlight w:val="none"/>
                <w:lang w:eastAsia="zh-CN"/>
              </w:rPr>
              <w:t>(2)其他污染物环境质量现状补充监测数据</w:t>
            </w:r>
          </w:p>
          <w:p w14:paraId="0526D7EA">
            <w:pPr>
              <w:spacing w:line="360" w:lineRule="auto"/>
              <w:ind w:firstLine="480" w:firstLineChars="200"/>
              <w:rPr>
                <w:rFonts w:hint="eastAsia"/>
                <w:color w:val="auto"/>
                <w:sz w:val="24"/>
                <w:szCs w:val="32"/>
                <w:highlight w:val="none"/>
              </w:rPr>
            </w:pPr>
            <w:r>
              <w:rPr>
                <w:rFonts w:hint="eastAsia" w:ascii="Times New Roman" w:hAnsi="Times New Roman" w:eastAsia="宋体" w:cs="Times New Roman"/>
                <w:color w:val="auto"/>
                <w:sz w:val="24"/>
                <w:highlight w:val="none"/>
                <w:lang w:val="en-US" w:eastAsia="zh-CN"/>
              </w:rPr>
              <w:t>为进一步了解区域环境质量，本次评价</w:t>
            </w:r>
            <w:r>
              <w:rPr>
                <w:rFonts w:hint="eastAsia" w:ascii="Times New Roman" w:hAnsi="Times New Roman" w:eastAsia="宋体" w:cs="Times New Roman"/>
                <w:color w:val="auto"/>
                <w:sz w:val="24"/>
                <w:highlight w:val="none"/>
              </w:rPr>
              <w:t>选取</w:t>
            </w:r>
            <w:r>
              <w:rPr>
                <w:rFonts w:hint="eastAsia" w:ascii="Times New Roman" w:hAnsi="Times New Roman" w:eastAsia="宋体" w:cs="Times New Roman"/>
                <w:color w:val="auto"/>
                <w:sz w:val="24"/>
                <w:highlight w:val="none"/>
                <w:lang w:val="en-US" w:eastAsia="zh-CN"/>
              </w:rPr>
              <w:t>氮氧化物、TSP</w:t>
            </w:r>
            <w:r>
              <w:rPr>
                <w:rFonts w:hint="eastAsia" w:ascii="Times New Roman" w:hAnsi="Times New Roman" w:eastAsia="宋体" w:cs="Times New Roman"/>
                <w:color w:val="auto"/>
                <w:sz w:val="24"/>
                <w:highlight w:val="none"/>
                <w:lang w:eastAsia="zh-CN"/>
              </w:rPr>
              <w:t>为本项目的特征污染因子</w:t>
            </w:r>
            <w:r>
              <w:rPr>
                <w:rFonts w:hint="eastAsia" w:cs="Times New Roman"/>
                <w:color w:val="auto"/>
                <w:sz w:val="24"/>
                <w:highlight w:val="none"/>
                <w:lang w:eastAsia="zh-CN"/>
              </w:rPr>
              <w:t>。</w:t>
            </w:r>
            <w:r>
              <w:rPr>
                <w:color w:val="auto"/>
                <w:sz w:val="24"/>
                <w:highlight w:val="none"/>
              </w:rPr>
              <w:t>本项目环评委托</w:t>
            </w:r>
            <w:r>
              <w:rPr>
                <w:rFonts w:hint="eastAsia"/>
                <w:color w:val="auto"/>
                <w:sz w:val="24"/>
                <w:highlight w:val="none"/>
                <w:lang w:eastAsia="zh-CN"/>
              </w:rPr>
              <w:t>湖南科比特亿美检测有限公司</w:t>
            </w:r>
            <w:r>
              <w:rPr>
                <w:rFonts w:hint="eastAsia"/>
                <w:color w:val="auto"/>
                <w:sz w:val="24"/>
                <w:highlight w:val="none"/>
                <w:lang w:val="en-US" w:eastAsia="zh-CN"/>
              </w:rPr>
              <w:t>在</w:t>
            </w:r>
            <w:r>
              <w:rPr>
                <w:rFonts w:hint="eastAsia"/>
                <w:color w:val="auto"/>
                <w:sz w:val="24"/>
                <w:highlight w:val="none"/>
              </w:rPr>
              <w:t>G1</w:t>
            </w:r>
            <w:r>
              <w:rPr>
                <w:rFonts w:ascii="Times New Roman" w:hAnsi="Times New Roman" w:eastAsia="宋体" w:cs="Times New Roman"/>
                <w:kern w:val="1"/>
                <w:sz w:val="24"/>
                <w:szCs w:val="24"/>
                <w:lang w:val="en-US" w:eastAsia="zh-CN"/>
              </w:rPr>
              <w:t>当季主导风向下风向</w:t>
            </w:r>
            <w:r>
              <w:rPr>
                <w:rFonts w:hint="eastAsia" w:eastAsia="宋体" w:cs="Times New Roman"/>
                <w:kern w:val="1"/>
                <w:sz w:val="24"/>
                <w:szCs w:val="24"/>
                <w:lang w:val="en-US" w:eastAsia="zh-CN"/>
              </w:rPr>
              <w:t>设1</w:t>
            </w:r>
            <w:r>
              <w:rPr>
                <w:rFonts w:ascii="Times New Roman" w:hAnsi="Times New Roman" w:eastAsia="宋体" w:cs="Times New Roman"/>
                <w:kern w:val="1"/>
                <w:sz w:val="24"/>
                <w:szCs w:val="24"/>
                <w:lang w:val="en-US" w:eastAsia="zh-CN"/>
              </w:rPr>
              <w:t>个</w:t>
            </w:r>
            <w:r>
              <w:rPr>
                <w:rFonts w:hint="eastAsia" w:eastAsia="宋体" w:cs="Times New Roman"/>
                <w:kern w:val="1"/>
                <w:sz w:val="24"/>
                <w:szCs w:val="24"/>
                <w:lang w:val="en-US" w:eastAsia="zh-CN"/>
              </w:rPr>
              <w:t>监测</w:t>
            </w:r>
            <w:r>
              <w:rPr>
                <w:rFonts w:hint="eastAsia" w:ascii="Times New Roman" w:hAnsi="Times New Roman" w:eastAsia="宋体" w:cs="Times New Roman"/>
                <w:color w:val="auto"/>
                <w:sz w:val="24"/>
                <w:highlight w:val="none"/>
                <w:lang w:eastAsia="zh-CN"/>
              </w:rPr>
              <w:t>，</w:t>
            </w:r>
            <w:r>
              <w:rPr>
                <w:rFonts w:hint="eastAsia" w:cs="Times New Roman"/>
                <w:color w:val="auto"/>
                <w:sz w:val="24"/>
                <w:highlight w:val="none"/>
                <w:lang w:val="en-US" w:eastAsia="zh-CN"/>
              </w:rPr>
              <w:t>监测因子为氮氧化物，</w:t>
            </w:r>
            <w:r>
              <w:rPr>
                <w:rFonts w:hint="eastAsia" w:ascii="Times New Roman" w:hAnsi="Times New Roman" w:eastAsia="宋体" w:cs="Times New Roman"/>
                <w:color w:val="auto"/>
                <w:sz w:val="24"/>
                <w:highlight w:val="none"/>
                <w:lang w:eastAsia="zh-CN"/>
              </w:rPr>
              <w:t>进行连续3天</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lang w:eastAsia="zh-CN"/>
              </w:rPr>
              <w:t>202</w:t>
            </w:r>
            <w:r>
              <w:rPr>
                <w:rFonts w:hint="eastAsia" w:cs="Times New Roman"/>
                <w:color w:val="auto"/>
                <w:sz w:val="24"/>
                <w:highlight w:val="none"/>
                <w:lang w:val="en-US" w:eastAsia="zh-CN"/>
              </w:rPr>
              <w:t>6</w:t>
            </w:r>
            <w:r>
              <w:rPr>
                <w:rFonts w:hint="eastAsia" w:ascii="Times New Roman" w:hAnsi="Times New Roman" w:eastAsia="宋体" w:cs="Times New Roman"/>
                <w:color w:val="auto"/>
                <w:sz w:val="24"/>
                <w:highlight w:val="none"/>
                <w:lang w:eastAsia="zh-CN"/>
              </w:rPr>
              <w:t>年</w:t>
            </w:r>
            <w:r>
              <w:rPr>
                <w:rFonts w:hint="eastAsia" w:cs="Times New Roman"/>
                <w:color w:val="auto"/>
                <w:sz w:val="24"/>
                <w:highlight w:val="none"/>
                <w:lang w:val="en-US" w:eastAsia="zh-CN"/>
              </w:rPr>
              <w:t>3月17日至3月20日</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lang w:eastAsia="zh-CN"/>
              </w:rPr>
              <w:t>的现状监测</w:t>
            </w:r>
            <w:r>
              <w:rPr>
                <w:rFonts w:hint="eastAsia" w:cs="Times New Roman"/>
                <w:color w:val="auto"/>
                <w:sz w:val="24"/>
                <w:highlight w:val="none"/>
                <w:lang w:eastAsia="zh-CN"/>
              </w:rPr>
              <w:t>，</w:t>
            </w:r>
            <w:r>
              <w:rPr>
                <w:rFonts w:hint="eastAsia" w:ascii="Times New Roman" w:hAnsi="Times New Roman" w:eastAsia="宋体" w:cs="Times New Roman"/>
                <w:color w:val="auto"/>
                <w:sz w:val="24"/>
                <w:highlight w:val="none"/>
                <w:lang w:eastAsia="zh-CN"/>
              </w:rPr>
              <w:t>检测结果如下表</w:t>
            </w:r>
            <w:r>
              <w:rPr>
                <w:rFonts w:hint="eastAsia"/>
                <w:color w:val="auto"/>
                <w:sz w:val="24"/>
                <w:szCs w:val="32"/>
                <w:highlight w:val="none"/>
              </w:rPr>
              <w:t>。</w:t>
            </w:r>
          </w:p>
          <w:p w14:paraId="1DA682A9">
            <w:pPr>
              <w:ind w:firstLine="422"/>
              <w:jc w:val="center"/>
              <w:rPr>
                <w:b/>
                <w:bCs/>
                <w:sz w:val="21"/>
                <w:szCs w:val="21"/>
                <w:highlight w:val="none"/>
                <w:u w:val="none"/>
              </w:rPr>
            </w:pPr>
          </w:p>
          <w:p w14:paraId="198FC3F3">
            <w:pPr>
              <w:ind w:firstLine="422"/>
              <w:jc w:val="center"/>
              <w:rPr>
                <w:b/>
                <w:bCs/>
                <w:sz w:val="21"/>
                <w:szCs w:val="21"/>
                <w:highlight w:val="none"/>
                <w:u w:val="none"/>
              </w:rPr>
            </w:pPr>
          </w:p>
          <w:p w14:paraId="46A04648">
            <w:pPr>
              <w:ind w:firstLine="422"/>
              <w:jc w:val="center"/>
              <w:rPr>
                <w:b/>
                <w:bCs/>
                <w:sz w:val="21"/>
                <w:szCs w:val="21"/>
                <w:highlight w:val="none"/>
                <w:u w:val="none"/>
              </w:rPr>
            </w:pPr>
          </w:p>
          <w:p w14:paraId="6B60DF8C">
            <w:pPr>
              <w:ind w:firstLine="422"/>
              <w:jc w:val="center"/>
              <w:rPr>
                <w:b/>
                <w:bCs/>
                <w:sz w:val="21"/>
                <w:szCs w:val="21"/>
                <w:highlight w:val="none"/>
                <w:u w:val="none"/>
              </w:rPr>
            </w:pPr>
          </w:p>
          <w:p w14:paraId="0298C9D5">
            <w:pPr>
              <w:ind w:firstLine="422"/>
              <w:jc w:val="center"/>
              <w:rPr>
                <w:b/>
                <w:bCs/>
                <w:sz w:val="21"/>
                <w:szCs w:val="21"/>
                <w:highlight w:val="none"/>
                <w:u w:val="none"/>
              </w:rPr>
            </w:pPr>
            <w:r>
              <w:rPr>
                <w:b/>
                <w:bCs/>
                <w:sz w:val="21"/>
                <w:szCs w:val="21"/>
                <w:highlight w:val="none"/>
                <w:u w:val="none"/>
              </w:rPr>
              <w:t xml:space="preserve">表3-2 </w:t>
            </w:r>
            <w:r>
              <w:rPr>
                <w:rFonts w:hint="eastAsia"/>
                <w:b/>
                <w:bCs/>
                <w:sz w:val="21"/>
                <w:szCs w:val="21"/>
                <w:highlight w:val="none"/>
                <w:u w:val="none"/>
                <w:lang w:val="en-US" w:eastAsia="zh-CN"/>
              </w:rPr>
              <w:t>检测期间气象参数</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1199"/>
              <w:gridCol w:w="1199"/>
              <w:gridCol w:w="1199"/>
              <w:gridCol w:w="1199"/>
              <w:gridCol w:w="1199"/>
              <w:gridCol w:w="1199"/>
            </w:tblGrid>
            <w:tr w14:paraId="0516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8" w:type="dxa"/>
                </w:tcPr>
                <w:p w14:paraId="77BC185B">
                  <w:pPr>
                    <w:jc w:val="center"/>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检测日期</w:t>
                  </w:r>
                </w:p>
              </w:tc>
              <w:tc>
                <w:tcPr>
                  <w:tcW w:w="1199" w:type="dxa"/>
                </w:tcPr>
                <w:p w14:paraId="636A4C97">
                  <w:pPr>
                    <w:jc w:val="center"/>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环境气温（℃）</w:t>
                  </w:r>
                </w:p>
              </w:tc>
              <w:tc>
                <w:tcPr>
                  <w:tcW w:w="1199" w:type="dxa"/>
                </w:tcPr>
                <w:p w14:paraId="5E57C190">
                  <w:pPr>
                    <w:jc w:val="center"/>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环境气压（kPa）</w:t>
                  </w:r>
                </w:p>
              </w:tc>
              <w:tc>
                <w:tcPr>
                  <w:tcW w:w="1199" w:type="dxa"/>
                </w:tcPr>
                <w:p w14:paraId="474F9094">
                  <w:pPr>
                    <w:jc w:val="center"/>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相对湿度（%RH）</w:t>
                  </w:r>
                </w:p>
              </w:tc>
              <w:tc>
                <w:tcPr>
                  <w:tcW w:w="1199" w:type="dxa"/>
                </w:tcPr>
                <w:p w14:paraId="2870E977">
                  <w:pPr>
                    <w:jc w:val="center"/>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风速（m/s）</w:t>
                  </w:r>
                </w:p>
              </w:tc>
              <w:tc>
                <w:tcPr>
                  <w:tcW w:w="1199" w:type="dxa"/>
                </w:tcPr>
                <w:p w14:paraId="5112D712">
                  <w:pPr>
                    <w:jc w:val="center"/>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风向</w:t>
                  </w:r>
                </w:p>
              </w:tc>
              <w:tc>
                <w:tcPr>
                  <w:tcW w:w="1199" w:type="dxa"/>
                </w:tcPr>
                <w:p w14:paraId="3EC458E1">
                  <w:pPr>
                    <w:jc w:val="center"/>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天气</w:t>
                  </w:r>
                </w:p>
              </w:tc>
            </w:tr>
            <w:tr w14:paraId="0988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8" w:type="dxa"/>
                </w:tcPr>
                <w:p w14:paraId="14E555F2">
                  <w:pPr>
                    <w:jc w:val="center"/>
                    <w:rPr>
                      <w:b/>
                      <w:bCs/>
                      <w:sz w:val="21"/>
                      <w:szCs w:val="21"/>
                      <w:highlight w:val="none"/>
                      <w:u w:val="none"/>
                      <w:vertAlign w:val="baseline"/>
                    </w:rPr>
                  </w:pPr>
                  <w:r>
                    <w:rPr>
                      <w:rFonts w:hint="eastAsia"/>
                      <w:sz w:val="21"/>
                      <w:szCs w:val="21"/>
                      <w:highlight w:val="none"/>
                      <w:u w:val="none"/>
                      <w:lang w:val="en-US" w:eastAsia="zh-CN"/>
                    </w:rPr>
                    <w:t>2026.03.17-03.18</w:t>
                  </w:r>
                </w:p>
              </w:tc>
              <w:tc>
                <w:tcPr>
                  <w:tcW w:w="1199" w:type="dxa"/>
                  <w:vAlign w:val="center"/>
                </w:tcPr>
                <w:p w14:paraId="72FE26EA">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14.9</w:t>
                  </w:r>
                </w:p>
              </w:tc>
              <w:tc>
                <w:tcPr>
                  <w:tcW w:w="1199" w:type="dxa"/>
                  <w:vAlign w:val="center"/>
                </w:tcPr>
                <w:p w14:paraId="1EEC2C55">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100.6</w:t>
                  </w:r>
                </w:p>
              </w:tc>
              <w:tc>
                <w:tcPr>
                  <w:tcW w:w="1199" w:type="dxa"/>
                  <w:vAlign w:val="center"/>
                </w:tcPr>
                <w:p w14:paraId="70AB19EF">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70</w:t>
                  </w:r>
                </w:p>
              </w:tc>
              <w:tc>
                <w:tcPr>
                  <w:tcW w:w="1199" w:type="dxa"/>
                  <w:vAlign w:val="center"/>
                </w:tcPr>
                <w:p w14:paraId="0A2B6104">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1.4</w:t>
                  </w:r>
                </w:p>
              </w:tc>
              <w:tc>
                <w:tcPr>
                  <w:tcW w:w="1199" w:type="dxa"/>
                  <w:vAlign w:val="center"/>
                </w:tcPr>
                <w:p w14:paraId="21E6B4B5">
                  <w:pPr>
                    <w:jc w:val="center"/>
                    <w:rPr>
                      <w:rFonts w:hint="eastAsia"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东北风</w:t>
                  </w:r>
                </w:p>
              </w:tc>
              <w:tc>
                <w:tcPr>
                  <w:tcW w:w="1199" w:type="dxa"/>
                  <w:vAlign w:val="center"/>
                </w:tcPr>
                <w:p w14:paraId="5881B58D">
                  <w:pPr>
                    <w:jc w:val="center"/>
                    <w:rPr>
                      <w:rFonts w:hint="eastAsia"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多云</w:t>
                  </w:r>
                </w:p>
              </w:tc>
            </w:tr>
            <w:tr w14:paraId="79C8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8" w:type="dxa"/>
                </w:tcPr>
                <w:p w14:paraId="3BE74828">
                  <w:pPr>
                    <w:jc w:val="center"/>
                    <w:rPr>
                      <w:b/>
                      <w:bCs/>
                      <w:sz w:val="21"/>
                      <w:szCs w:val="21"/>
                      <w:highlight w:val="none"/>
                      <w:u w:val="none"/>
                      <w:vertAlign w:val="baseline"/>
                    </w:rPr>
                  </w:pPr>
                  <w:r>
                    <w:rPr>
                      <w:rFonts w:hint="eastAsia"/>
                      <w:sz w:val="21"/>
                      <w:szCs w:val="21"/>
                      <w:highlight w:val="none"/>
                      <w:u w:val="none"/>
                      <w:lang w:val="en-US" w:eastAsia="zh-CN"/>
                    </w:rPr>
                    <w:t>2026.03.18-03.19</w:t>
                  </w:r>
                </w:p>
              </w:tc>
              <w:tc>
                <w:tcPr>
                  <w:tcW w:w="1199" w:type="dxa"/>
                  <w:vAlign w:val="center"/>
                </w:tcPr>
                <w:p w14:paraId="5EDF54EF">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13.1</w:t>
                  </w:r>
                </w:p>
              </w:tc>
              <w:tc>
                <w:tcPr>
                  <w:tcW w:w="1199" w:type="dxa"/>
                  <w:vAlign w:val="center"/>
                </w:tcPr>
                <w:p w14:paraId="5541E0FE">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100.3</w:t>
                  </w:r>
                </w:p>
              </w:tc>
              <w:tc>
                <w:tcPr>
                  <w:tcW w:w="1199" w:type="dxa"/>
                  <w:vAlign w:val="center"/>
                </w:tcPr>
                <w:p w14:paraId="36C45E86">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67</w:t>
                  </w:r>
                </w:p>
              </w:tc>
              <w:tc>
                <w:tcPr>
                  <w:tcW w:w="1199" w:type="dxa"/>
                  <w:vAlign w:val="center"/>
                </w:tcPr>
                <w:p w14:paraId="3DC8B22B">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1.5</w:t>
                  </w:r>
                </w:p>
              </w:tc>
              <w:tc>
                <w:tcPr>
                  <w:tcW w:w="1199" w:type="dxa"/>
                  <w:vAlign w:val="center"/>
                </w:tcPr>
                <w:p w14:paraId="42281A98">
                  <w:pPr>
                    <w:jc w:val="center"/>
                    <w:rPr>
                      <w:b w:val="0"/>
                      <w:bCs w:val="0"/>
                      <w:sz w:val="21"/>
                      <w:szCs w:val="21"/>
                      <w:highlight w:val="none"/>
                      <w:u w:val="none"/>
                      <w:vertAlign w:val="baseline"/>
                    </w:rPr>
                  </w:pPr>
                  <w:r>
                    <w:rPr>
                      <w:rFonts w:hint="eastAsia"/>
                      <w:b w:val="0"/>
                      <w:bCs w:val="0"/>
                      <w:sz w:val="21"/>
                      <w:szCs w:val="21"/>
                      <w:highlight w:val="none"/>
                      <w:u w:val="none"/>
                      <w:vertAlign w:val="baseline"/>
                      <w:lang w:val="en-US" w:eastAsia="zh-CN"/>
                    </w:rPr>
                    <w:t>东北风</w:t>
                  </w:r>
                </w:p>
              </w:tc>
              <w:tc>
                <w:tcPr>
                  <w:tcW w:w="1199" w:type="dxa"/>
                  <w:vAlign w:val="center"/>
                </w:tcPr>
                <w:p w14:paraId="7A0F2C0E">
                  <w:pPr>
                    <w:jc w:val="center"/>
                    <w:rPr>
                      <w:rFonts w:hint="eastAsia"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阴天</w:t>
                  </w:r>
                </w:p>
              </w:tc>
            </w:tr>
            <w:tr w14:paraId="2A24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198" w:type="dxa"/>
                </w:tcPr>
                <w:p w14:paraId="4A708C1D">
                  <w:pPr>
                    <w:jc w:val="center"/>
                    <w:rPr>
                      <w:b/>
                      <w:bCs/>
                      <w:sz w:val="21"/>
                      <w:szCs w:val="21"/>
                      <w:highlight w:val="none"/>
                      <w:u w:val="none"/>
                      <w:vertAlign w:val="baseline"/>
                    </w:rPr>
                  </w:pPr>
                  <w:r>
                    <w:rPr>
                      <w:rFonts w:hint="eastAsia"/>
                      <w:sz w:val="21"/>
                      <w:szCs w:val="21"/>
                      <w:highlight w:val="none"/>
                      <w:u w:val="none"/>
                      <w:lang w:val="en-US" w:eastAsia="zh-CN"/>
                    </w:rPr>
                    <w:t>2026.03.19-03.20</w:t>
                  </w:r>
                </w:p>
              </w:tc>
              <w:tc>
                <w:tcPr>
                  <w:tcW w:w="1199" w:type="dxa"/>
                  <w:vAlign w:val="center"/>
                </w:tcPr>
                <w:p w14:paraId="79F09852">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14.6</w:t>
                  </w:r>
                </w:p>
              </w:tc>
              <w:tc>
                <w:tcPr>
                  <w:tcW w:w="1199" w:type="dxa"/>
                  <w:vAlign w:val="center"/>
                </w:tcPr>
                <w:p w14:paraId="2C953ABC">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100.5</w:t>
                  </w:r>
                </w:p>
              </w:tc>
              <w:tc>
                <w:tcPr>
                  <w:tcW w:w="1199" w:type="dxa"/>
                  <w:vAlign w:val="center"/>
                </w:tcPr>
                <w:p w14:paraId="0AB1B705">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69</w:t>
                  </w:r>
                </w:p>
              </w:tc>
              <w:tc>
                <w:tcPr>
                  <w:tcW w:w="1199" w:type="dxa"/>
                  <w:vAlign w:val="center"/>
                </w:tcPr>
                <w:p w14:paraId="55695A94">
                  <w:pPr>
                    <w:jc w:val="center"/>
                    <w:rPr>
                      <w:rFonts w:hint="default"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1.4</w:t>
                  </w:r>
                </w:p>
              </w:tc>
              <w:tc>
                <w:tcPr>
                  <w:tcW w:w="1199" w:type="dxa"/>
                  <w:vAlign w:val="center"/>
                </w:tcPr>
                <w:p w14:paraId="305270E9">
                  <w:pPr>
                    <w:jc w:val="center"/>
                    <w:rPr>
                      <w:b w:val="0"/>
                      <w:bCs w:val="0"/>
                      <w:sz w:val="21"/>
                      <w:szCs w:val="21"/>
                      <w:highlight w:val="none"/>
                      <w:u w:val="none"/>
                      <w:vertAlign w:val="baseline"/>
                    </w:rPr>
                  </w:pPr>
                  <w:r>
                    <w:rPr>
                      <w:rFonts w:hint="eastAsia"/>
                      <w:b w:val="0"/>
                      <w:bCs w:val="0"/>
                      <w:sz w:val="21"/>
                      <w:szCs w:val="21"/>
                      <w:highlight w:val="none"/>
                      <w:u w:val="none"/>
                      <w:vertAlign w:val="baseline"/>
                      <w:lang w:val="en-US" w:eastAsia="zh-CN"/>
                    </w:rPr>
                    <w:t>北风</w:t>
                  </w:r>
                </w:p>
              </w:tc>
              <w:tc>
                <w:tcPr>
                  <w:tcW w:w="1199" w:type="dxa"/>
                  <w:vAlign w:val="center"/>
                </w:tcPr>
                <w:p w14:paraId="7042849E">
                  <w:pPr>
                    <w:jc w:val="center"/>
                    <w:rPr>
                      <w:rFonts w:hint="eastAsia" w:eastAsia="宋体"/>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阴天</w:t>
                  </w:r>
                </w:p>
              </w:tc>
            </w:tr>
          </w:tbl>
          <w:p w14:paraId="38757E3E">
            <w:pPr>
              <w:ind w:firstLine="422"/>
              <w:jc w:val="center"/>
              <w:rPr>
                <w:b/>
                <w:bCs/>
                <w:sz w:val="21"/>
                <w:szCs w:val="21"/>
                <w:highlight w:val="none"/>
                <w:u w:val="none"/>
              </w:rPr>
            </w:pPr>
          </w:p>
          <w:p w14:paraId="6A1431AB">
            <w:pPr>
              <w:ind w:firstLine="422"/>
              <w:jc w:val="center"/>
              <w:rPr>
                <w:kern w:val="0"/>
                <w:sz w:val="21"/>
                <w:szCs w:val="21"/>
                <w:highlight w:val="none"/>
                <w:u w:val="none"/>
              </w:rPr>
            </w:pPr>
            <w:r>
              <w:rPr>
                <w:b/>
                <w:bCs/>
                <w:sz w:val="21"/>
                <w:szCs w:val="21"/>
                <w:highlight w:val="none"/>
                <w:u w:val="none"/>
              </w:rPr>
              <w:t>表3-</w:t>
            </w:r>
            <w:r>
              <w:rPr>
                <w:rFonts w:hint="eastAsia"/>
                <w:b/>
                <w:bCs/>
                <w:sz w:val="21"/>
                <w:szCs w:val="21"/>
                <w:highlight w:val="none"/>
                <w:u w:val="none"/>
                <w:lang w:val="en-US" w:eastAsia="zh-CN"/>
              </w:rPr>
              <w:t>3</w:t>
            </w:r>
            <w:r>
              <w:rPr>
                <w:b/>
                <w:bCs/>
                <w:sz w:val="21"/>
                <w:szCs w:val="21"/>
                <w:highlight w:val="none"/>
                <w:u w:val="none"/>
              </w:rPr>
              <w:t xml:space="preserve"> </w:t>
            </w:r>
            <w:r>
              <w:rPr>
                <w:rFonts w:hint="eastAsia"/>
                <w:b/>
                <w:bCs/>
                <w:sz w:val="21"/>
                <w:szCs w:val="21"/>
                <w:highlight w:val="none"/>
                <w:u w:val="none"/>
                <w:lang w:val="en-US" w:eastAsia="zh-CN"/>
              </w:rPr>
              <w:t>氮氧化物</w:t>
            </w:r>
            <w:r>
              <w:rPr>
                <w:rFonts w:hint="eastAsia"/>
                <w:b/>
                <w:bCs/>
                <w:sz w:val="21"/>
                <w:szCs w:val="21"/>
                <w:highlight w:val="none"/>
                <w:u w:val="none"/>
              </w:rPr>
              <w:t>环境空气监测</w:t>
            </w:r>
            <w:r>
              <w:rPr>
                <w:b/>
                <w:bCs/>
                <w:sz w:val="21"/>
                <w:szCs w:val="21"/>
                <w:highlight w:val="none"/>
                <w:u w:val="none"/>
              </w:rPr>
              <w:t>结果浓度</w:t>
            </w:r>
          </w:p>
          <w:tbl>
            <w:tblPr>
              <w:tblStyle w:val="42"/>
              <w:tblW w:w="498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04"/>
              <w:gridCol w:w="1178"/>
              <w:gridCol w:w="1545"/>
              <w:gridCol w:w="1518"/>
              <w:gridCol w:w="1625"/>
              <w:gridCol w:w="1094"/>
            </w:tblGrid>
            <w:tr w14:paraId="6D16B7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39" w:type="pct"/>
                  <w:vMerge w:val="restart"/>
                  <w:noWrap w:val="0"/>
                  <w:vAlign w:val="center"/>
                </w:tcPr>
                <w:p w14:paraId="6897B47E">
                  <w:pPr>
                    <w:spacing w:before="0" w:after="0"/>
                    <w:jc w:val="center"/>
                    <w:rPr>
                      <w:sz w:val="21"/>
                      <w:szCs w:val="21"/>
                      <w:highlight w:val="none"/>
                      <w:u w:val="none"/>
                    </w:rPr>
                  </w:pPr>
                  <w:r>
                    <w:rPr>
                      <w:sz w:val="21"/>
                      <w:szCs w:val="21"/>
                      <w:highlight w:val="none"/>
                      <w:u w:val="none"/>
                    </w:rPr>
                    <w:t>检测项目</w:t>
                  </w:r>
                </w:p>
              </w:tc>
              <w:tc>
                <w:tcPr>
                  <w:tcW w:w="704" w:type="pct"/>
                  <w:vMerge w:val="restart"/>
                  <w:noWrap w:val="0"/>
                  <w:vAlign w:val="center"/>
                </w:tcPr>
                <w:p w14:paraId="70000A8E">
                  <w:pPr>
                    <w:spacing w:before="0" w:after="0"/>
                    <w:jc w:val="center"/>
                    <w:rPr>
                      <w:sz w:val="21"/>
                      <w:szCs w:val="21"/>
                      <w:highlight w:val="none"/>
                      <w:u w:val="none"/>
                    </w:rPr>
                  </w:pPr>
                  <w:r>
                    <w:rPr>
                      <w:sz w:val="21"/>
                      <w:szCs w:val="21"/>
                      <w:highlight w:val="none"/>
                      <w:u w:val="none"/>
                    </w:rPr>
                    <w:t>采样点位</w:t>
                  </w:r>
                </w:p>
              </w:tc>
              <w:tc>
                <w:tcPr>
                  <w:tcW w:w="2801" w:type="pct"/>
                  <w:gridSpan w:val="3"/>
                  <w:noWrap w:val="0"/>
                  <w:vAlign w:val="center"/>
                </w:tcPr>
                <w:p w14:paraId="6AA46B76">
                  <w:pPr>
                    <w:spacing w:before="0" w:after="0"/>
                    <w:jc w:val="center"/>
                    <w:rPr>
                      <w:sz w:val="21"/>
                      <w:szCs w:val="21"/>
                      <w:highlight w:val="none"/>
                      <w:u w:val="none"/>
                    </w:rPr>
                  </w:pPr>
                  <w:r>
                    <w:rPr>
                      <w:sz w:val="21"/>
                      <w:szCs w:val="21"/>
                      <w:highlight w:val="none"/>
                      <w:u w:val="none"/>
                    </w:rPr>
                    <w:t>采样日期及检测结果</w:t>
                  </w:r>
                </w:p>
              </w:tc>
              <w:tc>
                <w:tcPr>
                  <w:tcW w:w="654" w:type="pct"/>
                  <w:vMerge w:val="restart"/>
                  <w:noWrap w:val="0"/>
                  <w:vAlign w:val="center"/>
                </w:tcPr>
                <w:p w14:paraId="47742137">
                  <w:pPr>
                    <w:spacing w:before="0" w:after="0"/>
                    <w:jc w:val="center"/>
                    <w:rPr>
                      <w:rFonts w:hint="default" w:eastAsia="宋体"/>
                      <w:sz w:val="21"/>
                      <w:szCs w:val="21"/>
                      <w:highlight w:val="none"/>
                      <w:u w:val="none"/>
                      <w:lang w:val="en-US" w:eastAsia="zh-CN"/>
                    </w:rPr>
                  </w:pPr>
                  <w:r>
                    <w:rPr>
                      <w:rFonts w:hint="eastAsia"/>
                      <w:sz w:val="21"/>
                      <w:szCs w:val="21"/>
                      <w:highlight w:val="none"/>
                      <w:u w:val="none"/>
                      <w:lang w:val="en-US" w:eastAsia="zh-CN"/>
                    </w:rPr>
                    <w:t>标准限值</w:t>
                  </w:r>
                </w:p>
              </w:tc>
            </w:tr>
            <w:tr w14:paraId="330490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39" w:type="pct"/>
                  <w:vMerge w:val="continue"/>
                  <w:noWrap w:val="0"/>
                  <w:vAlign w:val="center"/>
                </w:tcPr>
                <w:p w14:paraId="4AD9FDCC">
                  <w:pPr>
                    <w:spacing w:before="0" w:after="0"/>
                    <w:jc w:val="center"/>
                    <w:rPr>
                      <w:sz w:val="21"/>
                      <w:szCs w:val="21"/>
                      <w:highlight w:val="none"/>
                      <w:u w:val="none"/>
                    </w:rPr>
                  </w:pPr>
                </w:p>
              </w:tc>
              <w:tc>
                <w:tcPr>
                  <w:tcW w:w="704" w:type="pct"/>
                  <w:vMerge w:val="continue"/>
                  <w:noWrap w:val="0"/>
                  <w:vAlign w:val="center"/>
                </w:tcPr>
                <w:p w14:paraId="332F8C43">
                  <w:pPr>
                    <w:spacing w:before="0" w:after="0"/>
                    <w:jc w:val="center"/>
                    <w:rPr>
                      <w:sz w:val="21"/>
                      <w:szCs w:val="21"/>
                      <w:highlight w:val="none"/>
                      <w:u w:val="none"/>
                    </w:rPr>
                  </w:pPr>
                </w:p>
              </w:tc>
              <w:tc>
                <w:tcPr>
                  <w:tcW w:w="923" w:type="pct"/>
                  <w:noWrap w:val="0"/>
                  <w:vAlign w:val="center"/>
                </w:tcPr>
                <w:p w14:paraId="5A1E9A7A">
                  <w:pPr>
                    <w:spacing w:before="0" w:after="0"/>
                    <w:jc w:val="center"/>
                    <w:rPr>
                      <w:rFonts w:hint="default" w:eastAsia="宋体"/>
                      <w:sz w:val="21"/>
                      <w:szCs w:val="21"/>
                      <w:highlight w:val="none"/>
                      <w:u w:val="none"/>
                      <w:lang w:val="en-US" w:eastAsia="zh-CN"/>
                    </w:rPr>
                  </w:pPr>
                  <w:r>
                    <w:rPr>
                      <w:rFonts w:hint="eastAsia"/>
                      <w:sz w:val="21"/>
                      <w:szCs w:val="21"/>
                      <w:highlight w:val="none"/>
                      <w:u w:val="none"/>
                      <w:lang w:val="en-US" w:eastAsia="zh-CN"/>
                    </w:rPr>
                    <w:t>2026.03.17-03.18</w:t>
                  </w:r>
                </w:p>
              </w:tc>
              <w:tc>
                <w:tcPr>
                  <w:tcW w:w="907" w:type="pct"/>
                  <w:noWrap w:val="0"/>
                  <w:vAlign w:val="center"/>
                </w:tcPr>
                <w:p w14:paraId="783B8FF1">
                  <w:pPr>
                    <w:spacing w:before="0" w:after="0"/>
                    <w:jc w:val="center"/>
                    <w:rPr>
                      <w:rFonts w:hint="default"/>
                      <w:sz w:val="21"/>
                      <w:szCs w:val="21"/>
                      <w:highlight w:val="none"/>
                      <w:u w:val="none"/>
                      <w:lang w:val="en-US"/>
                    </w:rPr>
                  </w:pPr>
                  <w:r>
                    <w:rPr>
                      <w:rFonts w:hint="eastAsia"/>
                      <w:sz w:val="21"/>
                      <w:szCs w:val="21"/>
                      <w:highlight w:val="none"/>
                      <w:u w:val="none"/>
                      <w:lang w:val="en-US" w:eastAsia="zh-CN"/>
                    </w:rPr>
                    <w:t>2026.03.18-03.19</w:t>
                  </w:r>
                </w:p>
              </w:tc>
              <w:tc>
                <w:tcPr>
                  <w:tcW w:w="970" w:type="pct"/>
                  <w:noWrap w:val="0"/>
                  <w:vAlign w:val="center"/>
                </w:tcPr>
                <w:p w14:paraId="2438D26C">
                  <w:pPr>
                    <w:spacing w:before="0" w:after="0"/>
                    <w:jc w:val="center"/>
                    <w:rPr>
                      <w:rFonts w:hint="default"/>
                      <w:sz w:val="21"/>
                      <w:szCs w:val="21"/>
                      <w:highlight w:val="none"/>
                      <w:u w:val="none"/>
                      <w:lang w:val="en-US"/>
                    </w:rPr>
                  </w:pPr>
                  <w:r>
                    <w:rPr>
                      <w:rFonts w:hint="eastAsia"/>
                      <w:sz w:val="21"/>
                      <w:szCs w:val="21"/>
                      <w:highlight w:val="none"/>
                      <w:u w:val="none"/>
                      <w:lang w:val="en-US" w:eastAsia="zh-CN"/>
                    </w:rPr>
                    <w:t>2026.03.19-03.20</w:t>
                  </w:r>
                </w:p>
              </w:tc>
              <w:tc>
                <w:tcPr>
                  <w:tcW w:w="654" w:type="pct"/>
                  <w:vMerge w:val="continue"/>
                  <w:noWrap w:val="0"/>
                  <w:vAlign w:val="center"/>
                </w:tcPr>
                <w:p w14:paraId="332CE45D">
                  <w:pPr>
                    <w:spacing w:before="0" w:after="0"/>
                    <w:jc w:val="center"/>
                    <w:rPr>
                      <w:rFonts w:hint="eastAsia"/>
                      <w:sz w:val="21"/>
                      <w:szCs w:val="21"/>
                      <w:highlight w:val="none"/>
                      <w:u w:val="none"/>
                      <w:lang w:val="en-US" w:eastAsia="zh-CN"/>
                    </w:rPr>
                  </w:pPr>
                </w:p>
              </w:tc>
            </w:tr>
            <w:tr w14:paraId="6FB13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839" w:type="pct"/>
                  <w:noWrap w:val="0"/>
                  <w:vAlign w:val="center"/>
                </w:tcPr>
                <w:p w14:paraId="4CC977B0">
                  <w:pPr>
                    <w:spacing w:before="0" w:after="0"/>
                    <w:jc w:val="center"/>
                    <w:rPr>
                      <w:sz w:val="21"/>
                      <w:szCs w:val="21"/>
                      <w:highlight w:val="none"/>
                      <w:u w:val="none"/>
                    </w:rPr>
                  </w:pPr>
                  <w:r>
                    <w:rPr>
                      <w:rFonts w:hint="eastAsia"/>
                      <w:sz w:val="21"/>
                      <w:szCs w:val="21"/>
                      <w:highlight w:val="none"/>
                      <w:u w:val="none"/>
                    </w:rPr>
                    <w:t>氮氧化物</w:t>
                  </w:r>
                  <w:r>
                    <w:rPr>
                      <w:sz w:val="21"/>
                      <w:szCs w:val="21"/>
                      <w:highlight w:val="none"/>
                      <w:u w:val="none"/>
                    </w:rPr>
                    <w:t>（</w:t>
                  </w:r>
                  <w:r>
                    <w:rPr>
                      <w:rFonts w:hint="eastAsia"/>
                      <w:sz w:val="21"/>
                      <w:szCs w:val="21"/>
                      <w:highlight w:val="none"/>
                      <w:u w:val="none"/>
                      <w:lang w:val="en-US" w:eastAsia="zh-CN"/>
                    </w:rPr>
                    <w:t>u</w:t>
                  </w:r>
                  <w:r>
                    <w:rPr>
                      <w:sz w:val="21"/>
                      <w:szCs w:val="21"/>
                      <w:highlight w:val="none"/>
                      <w:u w:val="none"/>
                    </w:rPr>
                    <w:t>g/m</w:t>
                  </w:r>
                  <w:r>
                    <w:rPr>
                      <w:sz w:val="21"/>
                      <w:szCs w:val="21"/>
                      <w:highlight w:val="none"/>
                      <w:u w:val="none"/>
                      <w:vertAlign w:val="superscript"/>
                    </w:rPr>
                    <w:t>3</w:t>
                  </w:r>
                  <w:r>
                    <w:rPr>
                      <w:sz w:val="21"/>
                      <w:szCs w:val="21"/>
                      <w:highlight w:val="none"/>
                      <w:u w:val="none"/>
                    </w:rPr>
                    <w:t>）</w:t>
                  </w:r>
                </w:p>
              </w:tc>
              <w:tc>
                <w:tcPr>
                  <w:tcW w:w="704" w:type="pct"/>
                  <w:noWrap w:val="0"/>
                  <w:vAlign w:val="center"/>
                </w:tcPr>
                <w:p w14:paraId="216A4874">
                  <w:pPr>
                    <w:spacing w:before="0" w:after="0"/>
                    <w:jc w:val="center"/>
                    <w:rPr>
                      <w:sz w:val="21"/>
                      <w:szCs w:val="21"/>
                      <w:highlight w:val="none"/>
                      <w:u w:val="none"/>
                    </w:rPr>
                  </w:pPr>
                  <w:r>
                    <w:rPr>
                      <w:rFonts w:hint="eastAsia"/>
                      <w:sz w:val="21"/>
                      <w:szCs w:val="21"/>
                      <w:highlight w:val="none"/>
                      <w:u w:val="none"/>
                    </w:rPr>
                    <w:t>G1当季主导风向下风向</w:t>
                  </w:r>
                </w:p>
              </w:tc>
              <w:tc>
                <w:tcPr>
                  <w:tcW w:w="923" w:type="pct"/>
                  <w:noWrap w:val="0"/>
                  <w:vAlign w:val="center"/>
                </w:tcPr>
                <w:p w14:paraId="1B74C704">
                  <w:pPr>
                    <w:spacing w:before="0" w:after="0"/>
                    <w:jc w:val="center"/>
                    <w:rPr>
                      <w:rFonts w:hint="eastAsia" w:eastAsia="宋体"/>
                      <w:sz w:val="21"/>
                      <w:szCs w:val="21"/>
                      <w:highlight w:val="none"/>
                      <w:u w:val="none"/>
                      <w:lang w:val="en-US" w:eastAsia="zh-CN"/>
                    </w:rPr>
                  </w:pPr>
                  <w:r>
                    <w:rPr>
                      <w:rFonts w:hint="eastAsia"/>
                      <w:sz w:val="21"/>
                      <w:szCs w:val="21"/>
                      <w:highlight w:val="none"/>
                      <w:u w:val="none"/>
                      <w:lang w:val="en-US" w:eastAsia="zh-CN"/>
                    </w:rPr>
                    <w:t>8</w:t>
                  </w:r>
                </w:p>
              </w:tc>
              <w:tc>
                <w:tcPr>
                  <w:tcW w:w="907" w:type="pct"/>
                  <w:noWrap w:val="0"/>
                  <w:vAlign w:val="center"/>
                </w:tcPr>
                <w:p w14:paraId="445786C8">
                  <w:pPr>
                    <w:spacing w:before="0" w:after="0"/>
                    <w:jc w:val="center"/>
                    <w:rPr>
                      <w:rFonts w:hint="default" w:eastAsia="宋体"/>
                      <w:sz w:val="21"/>
                      <w:szCs w:val="21"/>
                      <w:highlight w:val="none"/>
                      <w:u w:val="none"/>
                      <w:lang w:val="en-US" w:eastAsia="zh-CN"/>
                    </w:rPr>
                  </w:pPr>
                  <w:r>
                    <w:rPr>
                      <w:rFonts w:hint="eastAsia"/>
                      <w:sz w:val="21"/>
                      <w:szCs w:val="21"/>
                      <w:highlight w:val="none"/>
                      <w:u w:val="none"/>
                      <w:lang w:val="en-US" w:eastAsia="zh-CN"/>
                    </w:rPr>
                    <w:t>10</w:t>
                  </w:r>
                </w:p>
              </w:tc>
              <w:tc>
                <w:tcPr>
                  <w:tcW w:w="970" w:type="pct"/>
                  <w:noWrap w:val="0"/>
                  <w:vAlign w:val="center"/>
                </w:tcPr>
                <w:p w14:paraId="72C0A3BD">
                  <w:pPr>
                    <w:spacing w:before="0" w:after="0"/>
                    <w:jc w:val="center"/>
                    <w:rPr>
                      <w:rFonts w:hint="default" w:eastAsia="宋体"/>
                      <w:sz w:val="21"/>
                      <w:szCs w:val="21"/>
                      <w:highlight w:val="none"/>
                      <w:u w:val="none"/>
                      <w:lang w:val="en-US" w:eastAsia="zh-CN"/>
                    </w:rPr>
                  </w:pPr>
                  <w:r>
                    <w:rPr>
                      <w:rFonts w:hint="eastAsia"/>
                      <w:sz w:val="21"/>
                      <w:szCs w:val="21"/>
                      <w:highlight w:val="none"/>
                      <w:u w:val="none"/>
                      <w:lang w:val="en-US" w:eastAsia="zh-CN"/>
                    </w:rPr>
                    <w:t>12</w:t>
                  </w:r>
                </w:p>
              </w:tc>
              <w:tc>
                <w:tcPr>
                  <w:tcW w:w="654" w:type="pct"/>
                  <w:noWrap w:val="0"/>
                  <w:vAlign w:val="center"/>
                </w:tcPr>
                <w:p w14:paraId="29A4C496">
                  <w:pPr>
                    <w:spacing w:before="0" w:after="0"/>
                    <w:jc w:val="center"/>
                    <w:rPr>
                      <w:rFonts w:hint="default" w:eastAsia="宋体"/>
                      <w:sz w:val="21"/>
                      <w:szCs w:val="21"/>
                      <w:highlight w:val="none"/>
                      <w:u w:val="none"/>
                      <w:lang w:val="en-US" w:eastAsia="zh-CN"/>
                    </w:rPr>
                  </w:pPr>
                  <w:r>
                    <w:rPr>
                      <w:rFonts w:hint="eastAsia"/>
                      <w:sz w:val="21"/>
                      <w:szCs w:val="21"/>
                      <w:highlight w:val="none"/>
                      <w:u w:val="none"/>
                      <w:lang w:val="en-US" w:eastAsia="zh-CN"/>
                    </w:rPr>
                    <w:t>100</w:t>
                  </w:r>
                </w:p>
              </w:tc>
            </w:tr>
          </w:tbl>
          <w:p w14:paraId="496EB3F4">
            <w:pPr>
              <w:spacing w:line="360" w:lineRule="auto"/>
              <w:ind w:firstLine="480" w:firstLineChars="200"/>
              <w:rPr>
                <w:rFonts w:hint="eastAsia"/>
                <w:color w:val="auto"/>
                <w:sz w:val="24"/>
                <w:szCs w:val="32"/>
                <w:highlight w:val="none"/>
              </w:rPr>
            </w:pPr>
            <w:r>
              <w:rPr>
                <w:rFonts w:hint="eastAsia"/>
                <w:color w:val="auto"/>
                <w:sz w:val="24"/>
                <w:szCs w:val="32"/>
                <w:highlight w:val="none"/>
              </w:rPr>
              <w:t>从表3-</w:t>
            </w:r>
            <w:r>
              <w:rPr>
                <w:rFonts w:hint="eastAsia"/>
                <w:color w:val="auto"/>
                <w:sz w:val="24"/>
                <w:szCs w:val="32"/>
                <w:highlight w:val="none"/>
                <w:lang w:val="en-US" w:eastAsia="zh-CN"/>
              </w:rPr>
              <w:t>3</w:t>
            </w:r>
            <w:r>
              <w:rPr>
                <w:rFonts w:hint="eastAsia"/>
                <w:color w:val="auto"/>
                <w:sz w:val="24"/>
                <w:szCs w:val="32"/>
                <w:highlight w:val="none"/>
              </w:rPr>
              <w:t>看出，</w:t>
            </w:r>
            <w:r>
              <w:rPr>
                <w:rFonts w:hint="eastAsia" w:cs="Times New Roman"/>
                <w:color w:val="auto"/>
                <w:sz w:val="24"/>
                <w:highlight w:val="none"/>
                <w:lang w:val="en-US" w:eastAsia="zh-CN"/>
              </w:rPr>
              <w:t>氮氧化物</w:t>
            </w:r>
            <w:r>
              <w:rPr>
                <w:rFonts w:hint="eastAsia"/>
                <w:color w:val="auto"/>
                <w:sz w:val="24"/>
                <w:szCs w:val="32"/>
                <w:highlight w:val="none"/>
              </w:rPr>
              <w:t>的监测值均满足</w:t>
            </w:r>
            <w:r>
              <w:rPr>
                <w:rFonts w:hint="eastAsia"/>
                <w:color w:val="auto"/>
                <w:sz w:val="24"/>
                <w:szCs w:val="32"/>
                <w:highlight w:val="none"/>
                <w:lang w:eastAsia="zh-CN"/>
              </w:rPr>
              <w:t>《环境空气质量标准》(GB3095-2026)</w:t>
            </w:r>
            <w:r>
              <w:rPr>
                <w:rFonts w:hint="eastAsia"/>
                <w:color w:val="auto"/>
                <w:sz w:val="24"/>
                <w:szCs w:val="32"/>
                <w:highlight w:val="none"/>
              </w:rPr>
              <w:t>中</w:t>
            </w:r>
            <w:r>
              <w:rPr>
                <w:rFonts w:hint="eastAsia"/>
                <w:color w:val="auto"/>
                <w:sz w:val="24"/>
                <w:szCs w:val="32"/>
                <w:highlight w:val="none"/>
                <w:lang w:val="en-US" w:eastAsia="zh-CN"/>
              </w:rPr>
              <w:t>表2中</w:t>
            </w:r>
            <w:r>
              <w:rPr>
                <w:rFonts w:hint="eastAsia"/>
                <w:color w:val="auto"/>
                <w:sz w:val="24"/>
                <w:szCs w:val="32"/>
                <w:highlight w:val="none"/>
              </w:rPr>
              <w:t>二级标准。</w:t>
            </w:r>
          </w:p>
          <w:p w14:paraId="6829B379">
            <w:pPr>
              <w:spacing w:line="360" w:lineRule="auto"/>
              <w:ind w:firstLine="480" w:firstLineChars="200"/>
              <w:rPr>
                <w:rFonts w:hint="eastAsia"/>
                <w:color w:val="auto"/>
                <w:sz w:val="24"/>
                <w:szCs w:val="32"/>
                <w:highlight w:val="none"/>
              </w:rPr>
            </w:pPr>
            <w:r>
              <w:rPr>
                <w:rFonts w:hint="eastAsia" w:ascii="Times New Roman" w:hAnsi="Times New Roman" w:eastAsia="宋体" w:cs="Times New Roman"/>
                <w:color w:val="auto"/>
                <w:sz w:val="24"/>
                <w:szCs w:val="32"/>
                <w:highlight w:val="none"/>
              </w:rPr>
              <w:t>本次评价</w:t>
            </w:r>
            <w:r>
              <w:rPr>
                <w:rFonts w:hint="eastAsia" w:ascii="Times New Roman" w:hAnsi="Times New Roman" w:eastAsia="宋体" w:cs="Times New Roman"/>
                <w:color w:val="auto"/>
                <w:sz w:val="24"/>
                <w:szCs w:val="32"/>
                <w:highlight w:val="none"/>
                <w:lang w:val="en-US" w:eastAsia="zh-CN"/>
              </w:rPr>
              <w:t>TSP</w:t>
            </w:r>
            <w:r>
              <w:rPr>
                <w:rFonts w:hint="eastAsia" w:ascii="Times New Roman" w:hAnsi="Times New Roman" w:eastAsia="宋体" w:cs="Times New Roman"/>
                <w:color w:val="auto"/>
                <w:sz w:val="24"/>
                <w:szCs w:val="32"/>
                <w:highlight w:val="none"/>
              </w:rPr>
              <w:t>引用《祁阳市进宝塘镇荷叶建筑石料用灰岩矿扩建项目环境影响报告表》（批复文号为祁环评〔2025〕10号）中大气环境质量监测数据。祁阳市荷叶采石场有限公司</w:t>
            </w:r>
            <w:r>
              <w:rPr>
                <w:rFonts w:hint="eastAsia" w:ascii="Times New Roman" w:hAnsi="Times New Roman" w:eastAsia="宋体" w:cs="Times New Roman"/>
                <w:color w:val="auto"/>
                <w:sz w:val="24"/>
                <w:szCs w:val="32"/>
                <w:highlight w:val="none"/>
                <w:lang w:val="en-US" w:eastAsia="zh-CN"/>
              </w:rPr>
              <w:t>位于本项目的东北面约1.2km，</w:t>
            </w:r>
            <w:r>
              <w:rPr>
                <w:rFonts w:hint="eastAsia" w:ascii="Times New Roman" w:hAnsi="Times New Roman" w:eastAsia="宋体" w:cs="Times New Roman"/>
                <w:color w:val="auto"/>
                <w:sz w:val="24"/>
                <w:szCs w:val="32"/>
                <w:highlight w:val="none"/>
              </w:rPr>
              <w:t>评价期间委托</w:t>
            </w:r>
            <w:r>
              <w:rPr>
                <w:rFonts w:hint="eastAsia" w:cs="Times New Roman"/>
                <w:color w:val="auto"/>
                <w:sz w:val="24"/>
                <w:szCs w:val="32"/>
                <w:highlight w:val="none"/>
                <w:lang w:eastAsia="zh-CN"/>
              </w:rPr>
              <w:t>湖南科比特亿美检测有限公司</w:t>
            </w:r>
            <w:r>
              <w:rPr>
                <w:rFonts w:hint="eastAsia" w:ascii="Times New Roman" w:hAnsi="Times New Roman" w:eastAsia="宋体" w:cs="Times New Roman"/>
                <w:color w:val="auto"/>
                <w:sz w:val="24"/>
                <w:szCs w:val="32"/>
                <w:highlight w:val="none"/>
              </w:rPr>
              <w:t>对项目地当季主导风下风向设置一个监测点，进行连续3天</w:t>
            </w:r>
            <w:r>
              <w:rPr>
                <w:rFonts w:hint="eastAsia" w:ascii="Times New Roman" w:hAnsi="Times New Roman" w:eastAsia="宋体" w:cs="Times New Roman"/>
                <w:color w:val="auto"/>
                <w:sz w:val="24"/>
                <w:szCs w:val="32"/>
                <w:highlight w:val="none"/>
                <w:lang w:eastAsia="zh-CN"/>
              </w:rPr>
              <w:t>（</w:t>
            </w:r>
            <w:r>
              <w:rPr>
                <w:rFonts w:hint="eastAsia" w:ascii="Times New Roman" w:hAnsi="Times New Roman" w:eastAsia="宋体" w:cs="Times New Roman"/>
                <w:color w:val="auto"/>
                <w:sz w:val="24"/>
                <w:szCs w:val="32"/>
                <w:highlight w:val="none"/>
              </w:rPr>
              <w:t>2025年8月5日至8月7日</w:t>
            </w:r>
            <w:r>
              <w:rPr>
                <w:rFonts w:hint="eastAsia" w:ascii="Times New Roman" w:hAnsi="Times New Roman" w:eastAsia="宋体" w:cs="Times New Roman"/>
                <w:color w:val="auto"/>
                <w:sz w:val="24"/>
                <w:szCs w:val="32"/>
                <w:highlight w:val="none"/>
                <w:lang w:eastAsia="zh-CN"/>
              </w:rPr>
              <w:t>）</w:t>
            </w:r>
            <w:r>
              <w:rPr>
                <w:rFonts w:hint="eastAsia" w:ascii="Times New Roman" w:hAnsi="Times New Roman" w:eastAsia="宋体" w:cs="Times New Roman"/>
                <w:color w:val="auto"/>
                <w:sz w:val="24"/>
                <w:szCs w:val="32"/>
                <w:highlight w:val="none"/>
              </w:rPr>
              <w:t>的现状监测。</w:t>
            </w:r>
          </w:p>
          <w:p w14:paraId="20EDDF02">
            <w:pPr>
              <w:spacing w:line="360" w:lineRule="auto"/>
              <w:ind w:firstLine="480" w:firstLineChars="200"/>
              <w:rPr>
                <w:rFonts w:hint="eastAsia" w:ascii="Times New Roman" w:hAnsi="Times New Roman" w:eastAsia="宋体" w:cs="Times New Roman"/>
                <w:color w:val="auto"/>
                <w:sz w:val="24"/>
                <w:szCs w:val="32"/>
                <w:highlight w:val="none"/>
              </w:rPr>
            </w:pPr>
            <w:r>
              <w:rPr>
                <w:rFonts w:hint="eastAsia" w:ascii="Times New Roman" w:hAnsi="Times New Roman" w:eastAsia="宋体" w:cs="Times New Roman"/>
                <w:color w:val="auto"/>
                <w:sz w:val="24"/>
                <w:szCs w:val="32"/>
                <w:highlight w:val="none"/>
              </w:rPr>
              <w:t>检测结果如下表：</w:t>
            </w:r>
          </w:p>
          <w:p w14:paraId="5C5088E9">
            <w:pPr>
              <w:ind w:firstLine="422"/>
              <w:jc w:val="center"/>
              <w:rPr>
                <w:kern w:val="0"/>
                <w:sz w:val="21"/>
                <w:szCs w:val="21"/>
                <w:u w:val="none"/>
              </w:rPr>
            </w:pPr>
            <w:r>
              <w:rPr>
                <w:b/>
                <w:bCs/>
                <w:sz w:val="21"/>
                <w:szCs w:val="21"/>
                <w:u w:val="none"/>
              </w:rPr>
              <w:t>表3-</w:t>
            </w:r>
            <w:r>
              <w:rPr>
                <w:rFonts w:hint="eastAsia"/>
                <w:b/>
                <w:bCs/>
                <w:sz w:val="21"/>
                <w:szCs w:val="21"/>
                <w:u w:val="none"/>
                <w:lang w:val="en-US" w:eastAsia="zh-CN"/>
              </w:rPr>
              <w:t>4</w:t>
            </w:r>
            <w:r>
              <w:rPr>
                <w:b/>
                <w:bCs/>
                <w:sz w:val="21"/>
                <w:szCs w:val="21"/>
                <w:u w:val="none"/>
              </w:rPr>
              <w:t xml:space="preserve"> 其他污染物</w:t>
            </w:r>
            <w:r>
              <w:rPr>
                <w:rFonts w:hint="eastAsia"/>
                <w:b/>
                <w:bCs/>
                <w:sz w:val="21"/>
                <w:szCs w:val="21"/>
                <w:u w:val="none"/>
              </w:rPr>
              <w:t>环境空气监测</w:t>
            </w:r>
            <w:r>
              <w:rPr>
                <w:b/>
                <w:bCs/>
                <w:sz w:val="21"/>
                <w:szCs w:val="21"/>
                <w:u w:val="none"/>
              </w:rPr>
              <w:t>结果浓度</w:t>
            </w:r>
          </w:p>
          <w:tbl>
            <w:tblPr>
              <w:tblStyle w:val="42"/>
              <w:tblW w:w="4993" w:type="pct"/>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82"/>
              <w:gridCol w:w="1774"/>
              <w:gridCol w:w="1116"/>
              <w:gridCol w:w="1223"/>
              <w:gridCol w:w="1102"/>
              <w:gridCol w:w="878"/>
            </w:tblGrid>
            <w:tr w14:paraId="05C2D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2" w:hRule="atLeast"/>
              </w:trPr>
              <w:tc>
                <w:tcPr>
                  <w:tcW w:w="1363" w:type="pct"/>
                  <w:vMerge w:val="restart"/>
                  <w:noWrap w:val="0"/>
                  <w:vAlign w:val="center"/>
                </w:tcPr>
                <w:p w14:paraId="160612F0">
                  <w:pPr>
                    <w:spacing w:before="0" w:after="0"/>
                    <w:jc w:val="center"/>
                    <w:rPr>
                      <w:sz w:val="21"/>
                      <w:szCs w:val="21"/>
                      <w:u w:val="none"/>
                    </w:rPr>
                  </w:pPr>
                  <w:r>
                    <w:rPr>
                      <w:sz w:val="21"/>
                      <w:szCs w:val="21"/>
                      <w:u w:val="none"/>
                    </w:rPr>
                    <w:t>检测项目</w:t>
                  </w:r>
                </w:p>
              </w:tc>
              <w:tc>
                <w:tcPr>
                  <w:tcW w:w="1059" w:type="pct"/>
                  <w:vMerge w:val="restart"/>
                  <w:noWrap w:val="0"/>
                  <w:vAlign w:val="center"/>
                </w:tcPr>
                <w:p w14:paraId="4EE1E9F1">
                  <w:pPr>
                    <w:spacing w:before="0" w:after="0"/>
                    <w:jc w:val="center"/>
                    <w:rPr>
                      <w:sz w:val="21"/>
                      <w:szCs w:val="21"/>
                      <w:u w:val="none"/>
                    </w:rPr>
                  </w:pPr>
                  <w:r>
                    <w:rPr>
                      <w:sz w:val="21"/>
                      <w:szCs w:val="21"/>
                      <w:u w:val="none"/>
                    </w:rPr>
                    <w:t>采样点位</w:t>
                  </w:r>
                </w:p>
              </w:tc>
              <w:tc>
                <w:tcPr>
                  <w:tcW w:w="2054" w:type="pct"/>
                  <w:gridSpan w:val="3"/>
                  <w:tcBorders>
                    <w:right w:val="single" w:color="auto" w:sz="4" w:space="0"/>
                  </w:tcBorders>
                  <w:noWrap w:val="0"/>
                  <w:vAlign w:val="center"/>
                </w:tcPr>
                <w:p w14:paraId="6DABA449">
                  <w:pPr>
                    <w:spacing w:before="0" w:after="0"/>
                    <w:jc w:val="center"/>
                    <w:rPr>
                      <w:sz w:val="21"/>
                      <w:szCs w:val="21"/>
                      <w:u w:val="none"/>
                    </w:rPr>
                  </w:pPr>
                  <w:r>
                    <w:rPr>
                      <w:sz w:val="21"/>
                      <w:szCs w:val="21"/>
                      <w:u w:val="none"/>
                    </w:rPr>
                    <w:t>采样日期及检测结果</w:t>
                  </w:r>
                </w:p>
              </w:tc>
              <w:tc>
                <w:tcPr>
                  <w:tcW w:w="522" w:type="pct"/>
                  <w:vMerge w:val="restart"/>
                  <w:tcBorders>
                    <w:left w:val="single" w:color="auto" w:sz="4" w:space="0"/>
                  </w:tcBorders>
                  <w:noWrap w:val="0"/>
                  <w:vAlign w:val="center"/>
                </w:tcPr>
                <w:p w14:paraId="75ED7473">
                  <w:pPr>
                    <w:spacing w:before="0" w:after="0"/>
                    <w:jc w:val="center"/>
                    <w:rPr>
                      <w:rFonts w:hint="eastAsia" w:eastAsia="宋体"/>
                      <w:sz w:val="21"/>
                      <w:szCs w:val="21"/>
                      <w:u w:val="none"/>
                      <w:lang w:val="en-US" w:eastAsia="zh-CN"/>
                    </w:rPr>
                  </w:pPr>
                  <w:r>
                    <w:rPr>
                      <w:rFonts w:hint="eastAsia"/>
                      <w:sz w:val="21"/>
                      <w:szCs w:val="21"/>
                      <w:u w:val="none"/>
                      <w:lang w:val="en-US" w:eastAsia="zh-CN"/>
                    </w:rPr>
                    <w:t>标准值</w:t>
                  </w:r>
                </w:p>
              </w:tc>
            </w:tr>
            <w:tr w14:paraId="136D74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1363" w:type="pct"/>
                  <w:vMerge w:val="continue"/>
                  <w:noWrap w:val="0"/>
                  <w:vAlign w:val="center"/>
                </w:tcPr>
                <w:p w14:paraId="14F362CD">
                  <w:pPr>
                    <w:spacing w:before="0" w:after="0"/>
                    <w:jc w:val="center"/>
                    <w:rPr>
                      <w:sz w:val="21"/>
                      <w:szCs w:val="21"/>
                      <w:u w:val="none"/>
                    </w:rPr>
                  </w:pPr>
                </w:p>
              </w:tc>
              <w:tc>
                <w:tcPr>
                  <w:tcW w:w="1059" w:type="pct"/>
                  <w:vMerge w:val="continue"/>
                  <w:noWrap w:val="0"/>
                  <w:vAlign w:val="center"/>
                </w:tcPr>
                <w:p w14:paraId="357A37E8">
                  <w:pPr>
                    <w:spacing w:before="0" w:after="0"/>
                    <w:jc w:val="center"/>
                    <w:rPr>
                      <w:sz w:val="21"/>
                      <w:szCs w:val="21"/>
                      <w:u w:val="none"/>
                    </w:rPr>
                  </w:pPr>
                </w:p>
              </w:tc>
              <w:tc>
                <w:tcPr>
                  <w:tcW w:w="666" w:type="pct"/>
                  <w:noWrap w:val="0"/>
                  <w:vAlign w:val="center"/>
                </w:tcPr>
                <w:p w14:paraId="3297C207">
                  <w:pPr>
                    <w:spacing w:before="0" w:after="0"/>
                    <w:jc w:val="center"/>
                    <w:rPr>
                      <w:sz w:val="21"/>
                      <w:szCs w:val="21"/>
                      <w:u w:val="none"/>
                    </w:rPr>
                  </w:pPr>
                  <w:r>
                    <w:rPr>
                      <w:sz w:val="21"/>
                      <w:szCs w:val="21"/>
                      <w:u w:val="none"/>
                    </w:rPr>
                    <w:t>2025.08.05</w:t>
                  </w:r>
                </w:p>
              </w:tc>
              <w:tc>
                <w:tcPr>
                  <w:tcW w:w="730" w:type="pct"/>
                  <w:noWrap w:val="0"/>
                  <w:vAlign w:val="center"/>
                </w:tcPr>
                <w:p w14:paraId="749F5368">
                  <w:pPr>
                    <w:spacing w:before="0" w:after="0"/>
                    <w:jc w:val="center"/>
                    <w:rPr>
                      <w:sz w:val="21"/>
                      <w:szCs w:val="21"/>
                      <w:u w:val="none"/>
                    </w:rPr>
                  </w:pPr>
                  <w:r>
                    <w:rPr>
                      <w:sz w:val="21"/>
                      <w:szCs w:val="21"/>
                      <w:u w:val="none"/>
                    </w:rPr>
                    <w:t>2025.08.06</w:t>
                  </w:r>
                </w:p>
              </w:tc>
              <w:tc>
                <w:tcPr>
                  <w:tcW w:w="657" w:type="pct"/>
                  <w:tcBorders>
                    <w:right w:val="single" w:color="auto" w:sz="4" w:space="0"/>
                  </w:tcBorders>
                  <w:noWrap w:val="0"/>
                  <w:vAlign w:val="center"/>
                </w:tcPr>
                <w:p w14:paraId="23356D80">
                  <w:pPr>
                    <w:spacing w:before="0" w:after="0"/>
                    <w:jc w:val="center"/>
                    <w:rPr>
                      <w:sz w:val="21"/>
                      <w:szCs w:val="21"/>
                      <w:u w:val="none"/>
                    </w:rPr>
                  </w:pPr>
                  <w:r>
                    <w:rPr>
                      <w:sz w:val="21"/>
                      <w:szCs w:val="21"/>
                      <w:u w:val="none"/>
                    </w:rPr>
                    <w:t>2025.08.07</w:t>
                  </w:r>
                </w:p>
              </w:tc>
              <w:tc>
                <w:tcPr>
                  <w:tcW w:w="522" w:type="pct"/>
                  <w:vMerge w:val="continue"/>
                  <w:tcBorders>
                    <w:left w:val="single" w:color="auto" w:sz="4" w:space="0"/>
                  </w:tcBorders>
                  <w:noWrap w:val="0"/>
                  <w:vAlign w:val="center"/>
                </w:tcPr>
                <w:p w14:paraId="14B625CC">
                  <w:pPr>
                    <w:spacing w:before="0" w:after="0"/>
                    <w:jc w:val="center"/>
                    <w:rPr>
                      <w:sz w:val="21"/>
                      <w:szCs w:val="21"/>
                      <w:u w:val="none"/>
                    </w:rPr>
                  </w:pPr>
                </w:p>
              </w:tc>
            </w:tr>
            <w:tr w14:paraId="18427F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363" w:type="pct"/>
                  <w:noWrap w:val="0"/>
                  <w:vAlign w:val="center"/>
                </w:tcPr>
                <w:p w14:paraId="523611CC">
                  <w:pPr>
                    <w:spacing w:before="0" w:after="0"/>
                    <w:jc w:val="center"/>
                    <w:rPr>
                      <w:sz w:val="21"/>
                      <w:szCs w:val="21"/>
                      <w:u w:val="none"/>
                    </w:rPr>
                  </w:pPr>
                  <w:r>
                    <w:rPr>
                      <w:sz w:val="21"/>
                      <w:szCs w:val="21"/>
                      <w:u w:val="none"/>
                    </w:rPr>
                    <w:t>总悬浮颗粒物（</w:t>
                  </w:r>
                  <w:r>
                    <w:rPr>
                      <w:rFonts w:hint="eastAsia"/>
                      <w:sz w:val="21"/>
                      <w:szCs w:val="21"/>
                      <w:u w:val="none"/>
                      <w:lang w:val="en-US" w:eastAsia="zh-CN"/>
                    </w:rPr>
                    <w:t>u</w:t>
                  </w:r>
                  <w:r>
                    <w:rPr>
                      <w:sz w:val="21"/>
                      <w:szCs w:val="21"/>
                      <w:u w:val="none"/>
                    </w:rPr>
                    <w:t>g/m</w:t>
                  </w:r>
                  <w:r>
                    <w:rPr>
                      <w:sz w:val="21"/>
                      <w:szCs w:val="21"/>
                      <w:u w:val="none"/>
                      <w:vertAlign w:val="superscript"/>
                    </w:rPr>
                    <w:t>3</w:t>
                  </w:r>
                  <w:r>
                    <w:rPr>
                      <w:sz w:val="21"/>
                      <w:szCs w:val="21"/>
                      <w:u w:val="none"/>
                    </w:rPr>
                    <w:t>）</w:t>
                  </w:r>
                </w:p>
              </w:tc>
              <w:tc>
                <w:tcPr>
                  <w:tcW w:w="1059" w:type="pct"/>
                  <w:noWrap w:val="0"/>
                  <w:vAlign w:val="center"/>
                </w:tcPr>
                <w:p w14:paraId="4B5B155C">
                  <w:pPr>
                    <w:spacing w:before="0" w:after="0"/>
                    <w:jc w:val="center"/>
                    <w:rPr>
                      <w:sz w:val="21"/>
                      <w:szCs w:val="21"/>
                      <w:u w:val="none"/>
                    </w:rPr>
                  </w:pPr>
                  <w:r>
                    <w:rPr>
                      <w:sz w:val="21"/>
                      <w:szCs w:val="21"/>
                      <w:u w:val="none"/>
                    </w:rPr>
                    <w:t>环境监测点A1</w:t>
                  </w:r>
                </w:p>
              </w:tc>
              <w:tc>
                <w:tcPr>
                  <w:tcW w:w="666" w:type="pct"/>
                  <w:noWrap w:val="0"/>
                  <w:vAlign w:val="center"/>
                </w:tcPr>
                <w:p w14:paraId="7BDFC7CB">
                  <w:pPr>
                    <w:spacing w:before="0" w:after="0"/>
                    <w:jc w:val="center"/>
                    <w:rPr>
                      <w:rFonts w:hint="default" w:eastAsia="宋体"/>
                      <w:sz w:val="21"/>
                      <w:szCs w:val="21"/>
                      <w:u w:val="none"/>
                      <w:lang w:val="en-US" w:eastAsia="zh-CN"/>
                    </w:rPr>
                  </w:pPr>
                  <w:r>
                    <w:rPr>
                      <w:rFonts w:hint="eastAsia"/>
                      <w:sz w:val="21"/>
                      <w:szCs w:val="21"/>
                      <w:u w:val="none"/>
                      <w:lang w:val="en-US" w:eastAsia="zh-CN"/>
                    </w:rPr>
                    <w:t>44</w:t>
                  </w:r>
                </w:p>
              </w:tc>
              <w:tc>
                <w:tcPr>
                  <w:tcW w:w="730" w:type="pct"/>
                  <w:noWrap w:val="0"/>
                  <w:vAlign w:val="center"/>
                </w:tcPr>
                <w:p w14:paraId="62C35AE7">
                  <w:pPr>
                    <w:spacing w:before="0" w:after="0"/>
                    <w:jc w:val="center"/>
                    <w:rPr>
                      <w:rFonts w:hint="default" w:eastAsia="宋体"/>
                      <w:sz w:val="21"/>
                      <w:szCs w:val="21"/>
                      <w:u w:val="none"/>
                      <w:lang w:val="en-US" w:eastAsia="zh-CN"/>
                    </w:rPr>
                  </w:pPr>
                  <w:r>
                    <w:rPr>
                      <w:rFonts w:hint="eastAsia"/>
                      <w:sz w:val="21"/>
                      <w:szCs w:val="21"/>
                      <w:u w:val="none"/>
                      <w:lang w:val="en-US" w:eastAsia="zh-CN"/>
                    </w:rPr>
                    <w:t>55</w:t>
                  </w:r>
                </w:p>
              </w:tc>
              <w:tc>
                <w:tcPr>
                  <w:tcW w:w="657" w:type="pct"/>
                  <w:tcBorders>
                    <w:right w:val="single" w:color="auto" w:sz="4" w:space="0"/>
                  </w:tcBorders>
                  <w:noWrap w:val="0"/>
                  <w:vAlign w:val="center"/>
                </w:tcPr>
                <w:p w14:paraId="4A922FA4">
                  <w:pPr>
                    <w:spacing w:before="0" w:after="0"/>
                    <w:jc w:val="center"/>
                    <w:rPr>
                      <w:rFonts w:hint="default" w:eastAsia="宋体"/>
                      <w:sz w:val="21"/>
                      <w:szCs w:val="21"/>
                      <w:u w:val="none"/>
                      <w:lang w:val="en-US" w:eastAsia="zh-CN"/>
                    </w:rPr>
                  </w:pPr>
                  <w:r>
                    <w:rPr>
                      <w:rFonts w:hint="eastAsia"/>
                      <w:sz w:val="21"/>
                      <w:szCs w:val="21"/>
                      <w:u w:val="none"/>
                      <w:lang w:val="en-US" w:eastAsia="zh-CN"/>
                    </w:rPr>
                    <w:t>68</w:t>
                  </w:r>
                </w:p>
              </w:tc>
              <w:tc>
                <w:tcPr>
                  <w:tcW w:w="522" w:type="pct"/>
                  <w:tcBorders>
                    <w:left w:val="single" w:color="auto" w:sz="4" w:space="0"/>
                  </w:tcBorders>
                  <w:noWrap w:val="0"/>
                  <w:vAlign w:val="center"/>
                </w:tcPr>
                <w:p w14:paraId="3568509F">
                  <w:pPr>
                    <w:spacing w:before="0" w:after="0"/>
                    <w:jc w:val="center"/>
                    <w:rPr>
                      <w:rFonts w:hint="default"/>
                      <w:sz w:val="21"/>
                      <w:szCs w:val="21"/>
                      <w:u w:val="none"/>
                      <w:lang w:val="en-US" w:eastAsia="zh-CN"/>
                    </w:rPr>
                  </w:pPr>
                  <w:r>
                    <w:rPr>
                      <w:rFonts w:hint="eastAsia"/>
                      <w:sz w:val="21"/>
                      <w:szCs w:val="21"/>
                      <w:u w:val="none"/>
                      <w:lang w:val="en-US" w:eastAsia="zh-CN"/>
                    </w:rPr>
                    <w:t>300</w:t>
                  </w:r>
                </w:p>
              </w:tc>
            </w:tr>
            <w:tr w14:paraId="77DE4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000" w:type="pct"/>
                  <w:gridSpan w:val="6"/>
                  <w:noWrap w:val="0"/>
                  <w:vAlign w:val="center"/>
                </w:tcPr>
                <w:p w14:paraId="41ABE627">
                  <w:pPr>
                    <w:spacing w:before="0" w:after="0"/>
                    <w:jc w:val="left"/>
                    <w:rPr>
                      <w:sz w:val="21"/>
                      <w:szCs w:val="21"/>
                      <w:u w:val="none"/>
                    </w:rPr>
                  </w:pPr>
                  <w:r>
                    <w:rPr>
                      <w:sz w:val="21"/>
                      <w:szCs w:val="21"/>
                      <w:u w:val="none"/>
                    </w:rPr>
                    <w:t>备注：监测期间：2025.08.05：天气晴，环境气温30.7℃</w:t>
                  </w:r>
                  <w:r>
                    <w:rPr>
                      <w:rFonts w:hint="eastAsia"/>
                      <w:sz w:val="21"/>
                      <w:szCs w:val="21"/>
                      <w:u w:val="none"/>
                    </w:rPr>
                    <w:t>，</w:t>
                  </w:r>
                  <w:r>
                    <w:rPr>
                      <w:sz w:val="21"/>
                      <w:szCs w:val="21"/>
                      <w:u w:val="none"/>
                    </w:rPr>
                    <w:t>环境气压100. 1kPa，相对湿度56%，风向南，风速1.8m/s；2025.08.06：天气晴，环境气温31.6℃</w:t>
                  </w:r>
                  <w:r>
                    <w:rPr>
                      <w:rFonts w:hint="eastAsia"/>
                      <w:sz w:val="21"/>
                      <w:szCs w:val="21"/>
                      <w:u w:val="none"/>
                    </w:rPr>
                    <w:t>，</w:t>
                  </w:r>
                  <w:r>
                    <w:rPr>
                      <w:sz w:val="21"/>
                      <w:szCs w:val="21"/>
                      <w:u w:val="none"/>
                    </w:rPr>
                    <w:t>环境气压100.2kPa，相对湿度52%，风向南，风速1.6m/s；2025.08.07：天气晴，环境气温32.2℃</w:t>
                  </w:r>
                  <w:r>
                    <w:rPr>
                      <w:rFonts w:hint="eastAsia"/>
                      <w:sz w:val="21"/>
                      <w:szCs w:val="21"/>
                      <w:u w:val="none"/>
                    </w:rPr>
                    <w:t>，</w:t>
                  </w:r>
                  <w:r>
                    <w:rPr>
                      <w:sz w:val="21"/>
                      <w:szCs w:val="21"/>
                      <w:u w:val="none"/>
                    </w:rPr>
                    <w:t>环境气压100. 1kPa，相对湿度55%，风向南，风速1.7m/s。</w:t>
                  </w:r>
                </w:p>
              </w:tc>
            </w:tr>
          </w:tbl>
          <w:p w14:paraId="1597E6E0">
            <w:pPr>
              <w:spacing w:line="360" w:lineRule="auto"/>
              <w:ind w:firstLine="480" w:firstLineChars="200"/>
              <w:rPr>
                <w:rFonts w:hint="eastAsia" w:ascii="Times New Roman" w:hAnsi="Times New Roman" w:eastAsia="宋体" w:cs="Times New Roman"/>
                <w:color w:val="auto"/>
                <w:sz w:val="24"/>
                <w:szCs w:val="32"/>
                <w:highlight w:val="none"/>
              </w:rPr>
            </w:pPr>
            <w:r>
              <w:rPr>
                <w:rFonts w:hint="eastAsia" w:ascii="Times New Roman" w:hAnsi="Times New Roman" w:eastAsia="宋体" w:cs="Times New Roman"/>
                <w:color w:val="auto"/>
                <w:sz w:val="24"/>
                <w:szCs w:val="32"/>
                <w:highlight w:val="none"/>
              </w:rPr>
              <w:t>从表3-</w:t>
            </w:r>
            <w:r>
              <w:rPr>
                <w:rFonts w:hint="eastAsia" w:cs="Times New Roman"/>
                <w:color w:val="auto"/>
                <w:sz w:val="24"/>
                <w:szCs w:val="32"/>
                <w:highlight w:val="none"/>
                <w:lang w:val="en-US" w:eastAsia="zh-CN"/>
              </w:rPr>
              <w:t>4</w:t>
            </w:r>
            <w:r>
              <w:rPr>
                <w:rFonts w:hint="eastAsia" w:ascii="Times New Roman" w:hAnsi="Times New Roman" w:eastAsia="宋体" w:cs="Times New Roman"/>
                <w:color w:val="auto"/>
                <w:sz w:val="24"/>
                <w:szCs w:val="32"/>
                <w:highlight w:val="none"/>
              </w:rPr>
              <w:t>看出，TSP的监测值均满足</w:t>
            </w:r>
            <w:r>
              <w:rPr>
                <w:rFonts w:hint="eastAsia"/>
                <w:color w:val="auto"/>
                <w:sz w:val="24"/>
                <w:szCs w:val="32"/>
                <w:highlight w:val="none"/>
                <w:lang w:eastAsia="zh-CN"/>
              </w:rPr>
              <w:t>《环境空气质量标准》(GB3095-2026)</w:t>
            </w:r>
            <w:r>
              <w:rPr>
                <w:rFonts w:hint="eastAsia"/>
                <w:color w:val="auto"/>
                <w:sz w:val="24"/>
                <w:szCs w:val="32"/>
                <w:highlight w:val="none"/>
              </w:rPr>
              <w:t>中</w:t>
            </w:r>
            <w:r>
              <w:rPr>
                <w:rFonts w:hint="eastAsia"/>
                <w:color w:val="auto"/>
                <w:sz w:val="24"/>
                <w:szCs w:val="32"/>
                <w:highlight w:val="none"/>
                <w:lang w:val="en-US" w:eastAsia="zh-CN"/>
              </w:rPr>
              <w:t>表2中</w:t>
            </w:r>
            <w:r>
              <w:rPr>
                <w:rFonts w:hint="eastAsia"/>
                <w:color w:val="auto"/>
                <w:sz w:val="24"/>
                <w:szCs w:val="32"/>
                <w:highlight w:val="none"/>
              </w:rPr>
              <w:t>二级标准</w:t>
            </w:r>
            <w:r>
              <w:rPr>
                <w:rFonts w:hint="eastAsia" w:ascii="Times New Roman" w:hAnsi="Times New Roman" w:eastAsia="宋体" w:cs="Times New Roman"/>
                <w:color w:val="auto"/>
                <w:sz w:val="24"/>
                <w:szCs w:val="32"/>
                <w:highlight w:val="none"/>
              </w:rPr>
              <w:t>。</w:t>
            </w:r>
          </w:p>
          <w:p w14:paraId="72E91786">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2、水环境质量现状评价</w:t>
            </w:r>
          </w:p>
          <w:p w14:paraId="439AA810">
            <w:pPr>
              <w:spacing w:line="360" w:lineRule="auto"/>
              <w:ind w:firstLine="480" w:firstLineChars="200"/>
              <w:rPr>
                <w:rFonts w:hint="eastAsia"/>
                <w:color w:val="auto"/>
                <w:sz w:val="24"/>
                <w:highlight w:val="none"/>
                <w:lang w:val="en-US" w:eastAsia="zh-CN"/>
              </w:rPr>
            </w:pPr>
            <w:r>
              <w:rPr>
                <w:rFonts w:hint="eastAsia"/>
                <w:color w:val="auto"/>
                <w:sz w:val="24"/>
                <w:highlight w:val="none"/>
                <w:lang w:val="zh-CN" w:eastAsia="zh-CN"/>
              </w:rPr>
              <w:t>根据《湖南省主要地表水系水功能区划》(DB43/023-2005)祁水该段流域用水功能为渔业用水，执行《地表水环境质量标准》(GB3838-2002)III类标准。为了解祁水地表水水质情况，本次环评收集了永州市生态环境局发布永州市2024年12月份环境质量状况和祁阳市人民政府发布的2023年第一、二季度祁阳市饮用水、万人千吨水质监测结果公告，根据该公告，2024年12月份考核我市的52个省控地表水断面水质状况：Ⅰ类水质断面14个、Ⅱ类水质断面38个。祁水入湘江口(下游35.4km)地表水常规断面均达到了《地表水环境质量标准》</w:t>
            </w:r>
            <w:r>
              <w:rPr>
                <w:rFonts w:hint="eastAsia"/>
                <w:color w:val="auto"/>
                <w:sz w:val="24"/>
                <w:highlight w:val="none"/>
                <w:lang w:val="en-US" w:eastAsia="zh-CN"/>
              </w:rPr>
              <w:t>Ⅱ</w:t>
            </w:r>
            <w:r>
              <w:rPr>
                <w:rFonts w:hint="eastAsia"/>
                <w:color w:val="auto"/>
                <w:sz w:val="24"/>
                <w:highlight w:val="none"/>
                <w:lang w:val="zh-CN" w:eastAsia="zh-CN"/>
              </w:rPr>
              <w:t>类水质要求，祁阳市集中式饮用水源地监测断面（黎家坪镇老屋冲村）、乡镇万人千吨监测点位断面均达到了相关水质类别要求。</w:t>
            </w:r>
          </w:p>
          <w:p w14:paraId="7285F263">
            <w:pPr>
              <w:spacing w:line="360" w:lineRule="auto"/>
              <w:ind w:firstLine="482" w:firstLineChars="200"/>
              <w:rPr>
                <w:rFonts w:hint="default" w:ascii="Times New Roman" w:hAnsi="Times New Roman" w:eastAsia="宋体" w:cs="Times New Roman"/>
                <w:b/>
                <w:bCs/>
                <w:color w:val="auto"/>
                <w:sz w:val="24"/>
                <w:highlight w:val="none"/>
              </w:rPr>
            </w:pPr>
            <w:r>
              <w:rPr>
                <w:rFonts w:hint="default" w:ascii="Times New Roman" w:hAnsi="Times New Roman" w:eastAsia="宋体" w:cs="Times New Roman"/>
                <w:b/>
                <w:bCs/>
                <w:color w:val="auto"/>
                <w:sz w:val="24"/>
                <w:highlight w:val="none"/>
              </w:rPr>
              <w:t>3、声环境现状评价</w:t>
            </w:r>
          </w:p>
          <w:p w14:paraId="6AD084B3">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本次环评委托</w:t>
            </w:r>
            <w:r>
              <w:rPr>
                <w:rFonts w:hint="eastAsia"/>
                <w:color w:val="auto"/>
                <w:sz w:val="24"/>
                <w:highlight w:val="none"/>
                <w:lang w:eastAsia="zh-CN"/>
              </w:rPr>
              <w:t>湖南科比特亿美检测有限公司</w:t>
            </w:r>
            <w:r>
              <w:rPr>
                <w:rFonts w:hint="eastAsia" w:ascii="Times New Roman" w:hAnsi="Times New Roman" w:eastAsia="宋体" w:cs="Times New Roman"/>
                <w:color w:val="auto"/>
                <w:sz w:val="24"/>
                <w:highlight w:val="none"/>
              </w:rPr>
              <w:t>于2026年</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rPr>
              <w:t>月</w:t>
            </w:r>
            <w:r>
              <w:rPr>
                <w:rFonts w:hint="eastAsia" w:cs="Times New Roman"/>
                <w:color w:val="auto"/>
                <w:sz w:val="24"/>
                <w:highlight w:val="none"/>
                <w:lang w:val="en-US" w:eastAsia="zh-CN"/>
              </w:rPr>
              <w:t>17</w:t>
            </w:r>
            <w:r>
              <w:rPr>
                <w:rFonts w:hint="eastAsia" w:ascii="Times New Roman" w:hAnsi="Times New Roman" w:eastAsia="宋体" w:cs="Times New Roman"/>
                <w:color w:val="auto"/>
                <w:sz w:val="24"/>
                <w:highlight w:val="none"/>
              </w:rPr>
              <w:t>日对</w:t>
            </w:r>
            <w:r>
              <w:rPr>
                <w:rFonts w:hint="eastAsia"/>
                <w:sz w:val="24"/>
                <w:lang w:val="en-US" w:eastAsia="zh-CN"/>
              </w:rPr>
              <w:t>大富村</w:t>
            </w:r>
            <w:r>
              <w:rPr>
                <w:rFonts w:hint="eastAsia"/>
                <w:sz w:val="24"/>
                <w:lang w:eastAsia="zh-CN"/>
              </w:rPr>
              <w:t>居民点</w:t>
            </w:r>
            <w:r>
              <w:rPr>
                <w:rFonts w:hint="eastAsia" w:ascii="Times New Roman" w:hAnsi="Times New Roman" w:eastAsia="宋体" w:cs="Times New Roman"/>
                <w:color w:val="auto"/>
                <w:sz w:val="24"/>
                <w:highlight w:val="none"/>
              </w:rPr>
              <w:t>进行了一期现状监测。</w:t>
            </w:r>
          </w:p>
          <w:p w14:paraId="7F6AE2D6">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监测时间和频率：时间为1天，白天和夜晚各监测一次。</w:t>
            </w:r>
          </w:p>
          <w:p w14:paraId="47E5D49E">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评价标准：《声环境质量标准》（GB3096-2008）中2类标准。</w:t>
            </w:r>
          </w:p>
          <w:p w14:paraId="4AC0F3BB">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监测时间：2026年</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rPr>
              <w:t>月</w:t>
            </w:r>
            <w:r>
              <w:rPr>
                <w:rFonts w:hint="eastAsia" w:cs="Times New Roman"/>
                <w:color w:val="auto"/>
                <w:sz w:val="24"/>
                <w:highlight w:val="none"/>
                <w:lang w:val="en-US" w:eastAsia="zh-CN"/>
              </w:rPr>
              <w:t>17</w:t>
            </w:r>
            <w:r>
              <w:rPr>
                <w:rFonts w:hint="eastAsia" w:ascii="Times New Roman" w:hAnsi="Times New Roman" w:eastAsia="宋体" w:cs="Times New Roman"/>
                <w:color w:val="auto"/>
                <w:sz w:val="24"/>
                <w:highlight w:val="none"/>
              </w:rPr>
              <w:t>日</w:t>
            </w:r>
          </w:p>
          <w:p w14:paraId="22625114">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监测结果与评价：监测结果与分析统计情况详见表3-</w:t>
            </w:r>
            <w:r>
              <w:rPr>
                <w:rFonts w:hint="eastAsia" w:cs="Times New Roman"/>
                <w:color w:val="auto"/>
                <w:sz w:val="24"/>
                <w:highlight w:val="none"/>
                <w:lang w:val="en-US" w:eastAsia="zh-CN"/>
              </w:rPr>
              <w:t>5</w:t>
            </w:r>
            <w:r>
              <w:rPr>
                <w:rFonts w:hint="eastAsia" w:ascii="Times New Roman" w:hAnsi="Times New Roman" w:eastAsia="宋体" w:cs="Times New Roman"/>
                <w:color w:val="auto"/>
                <w:sz w:val="24"/>
                <w:highlight w:val="none"/>
              </w:rPr>
              <w:t>：</w:t>
            </w:r>
          </w:p>
          <w:p w14:paraId="730F6118">
            <w:pPr>
              <w:ind w:firstLine="422"/>
              <w:jc w:val="center"/>
              <w:rPr>
                <w:rFonts w:hint="eastAsia" w:ascii="Times New Roman" w:hAnsi="Times New Roman" w:eastAsia="宋体" w:cs="Times New Roman"/>
                <w:b/>
                <w:bCs/>
                <w:sz w:val="21"/>
                <w:szCs w:val="21"/>
                <w:highlight w:val="none"/>
                <w:u w:val="none"/>
              </w:rPr>
            </w:pPr>
            <w:r>
              <w:rPr>
                <w:rFonts w:hint="eastAsia" w:ascii="Times New Roman" w:hAnsi="Times New Roman" w:eastAsia="宋体" w:cs="Times New Roman"/>
                <w:b/>
                <w:bCs/>
                <w:sz w:val="21"/>
                <w:szCs w:val="21"/>
                <w:highlight w:val="none"/>
                <w:u w:val="none"/>
              </w:rPr>
              <w:t>表3-</w:t>
            </w:r>
            <w:r>
              <w:rPr>
                <w:rFonts w:hint="eastAsia" w:cs="Times New Roman"/>
                <w:b/>
                <w:bCs/>
                <w:sz w:val="21"/>
                <w:szCs w:val="21"/>
                <w:highlight w:val="none"/>
                <w:u w:val="none"/>
                <w:lang w:val="en-US" w:eastAsia="zh-CN"/>
              </w:rPr>
              <w:t>5</w:t>
            </w:r>
            <w:r>
              <w:rPr>
                <w:rFonts w:hint="eastAsia" w:ascii="Times New Roman" w:hAnsi="Times New Roman" w:eastAsia="宋体" w:cs="Times New Roman"/>
                <w:b/>
                <w:bCs/>
                <w:sz w:val="21"/>
                <w:szCs w:val="21"/>
                <w:highlight w:val="none"/>
                <w:u w:val="none"/>
              </w:rPr>
              <w:t xml:space="preserve"> 项目噪声监测结果     单位：dB(A)</w:t>
            </w:r>
          </w:p>
          <w:tbl>
            <w:tblPr>
              <w:tblStyle w:val="42"/>
              <w:tblW w:w="4999"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645"/>
              <w:gridCol w:w="1863"/>
              <w:gridCol w:w="1866"/>
            </w:tblGrid>
            <w:tr w14:paraId="09BA75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773" w:type="pct"/>
                  <w:vMerge w:val="restart"/>
                  <w:noWrap w:val="0"/>
                  <w:vAlign w:val="center"/>
                </w:tcPr>
                <w:p w14:paraId="5BC7B325">
                  <w:pPr>
                    <w:spacing w:before="0" w:after="0"/>
                    <w:jc w:val="center"/>
                    <w:rPr>
                      <w:rFonts w:ascii="Times New Roman" w:hAnsi="Times New Roman" w:eastAsia="宋体" w:cs="Times New Roman"/>
                      <w:sz w:val="21"/>
                      <w:szCs w:val="21"/>
                      <w:highlight w:val="none"/>
                      <w:u w:val="none"/>
                    </w:rPr>
                  </w:pPr>
                  <w:r>
                    <w:rPr>
                      <w:rFonts w:ascii="Times New Roman" w:hAnsi="Times New Roman" w:eastAsia="宋体" w:cs="Times New Roman"/>
                      <w:sz w:val="21"/>
                      <w:szCs w:val="21"/>
                      <w:highlight w:val="none"/>
                      <w:u w:val="none"/>
                    </w:rPr>
                    <w:t>测点位置</w:t>
                  </w:r>
                </w:p>
              </w:tc>
              <w:tc>
                <w:tcPr>
                  <w:tcW w:w="2226" w:type="pct"/>
                  <w:gridSpan w:val="2"/>
                  <w:noWrap w:val="0"/>
                  <w:vAlign w:val="center"/>
                </w:tcPr>
                <w:p w14:paraId="7E884D48">
                  <w:pPr>
                    <w:spacing w:before="0" w:after="0"/>
                    <w:jc w:val="center"/>
                    <w:rPr>
                      <w:rFonts w:hint="eastAsia" w:ascii="Times New Roman" w:hAnsi="Times New Roman" w:eastAsia="宋体" w:cs="Times New Roman"/>
                      <w:sz w:val="21"/>
                      <w:szCs w:val="21"/>
                      <w:highlight w:val="yellow"/>
                      <w:u w:val="none"/>
                    </w:rPr>
                  </w:pPr>
                  <w:r>
                    <w:rPr>
                      <w:rFonts w:hint="eastAsia" w:ascii="Times New Roman" w:hAnsi="Times New Roman" w:eastAsia="宋体" w:cs="Times New Roman"/>
                      <w:color w:val="auto"/>
                      <w:sz w:val="21"/>
                      <w:szCs w:val="21"/>
                      <w:highlight w:val="none"/>
                    </w:rPr>
                    <w:t>2026年</w:t>
                  </w:r>
                  <w:r>
                    <w:rPr>
                      <w:rFonts w:hint="eastAsia"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rPr>
                    <w:t>月</w:t>
                  </w:r>
                  <w:r>
                    <w:rPr>
                      <w:rFonts w:hint="eastAsia" w:cs="Times New Roman"/>
                      <w:color w:val="auto"/>
                      <w:sz w:val="21"/>
                      <w:szCs w:val="21"/>
                      <w:highlight w:val="none"/>
                      <w:lang w:val="en-US" w:eastAsia="zh-CN"/>
                    </w:rPr>
                    <w:t>17</w:t>
                  </w:r>
                  <w:r>
                    <w:rPr>
                      <w:rFonts w:hint="eastAsia" w:ascii="Times New Roman" w:hAnsi="Times New Roman" w:eastAsia="宋体" w:cs="Times New Roman"/>
                      <w:color w:val="auto"/>
                      <w:sz w:val="21"/>
                      <w:szCs w:val="21"/>
                      <w:highlight w:val="none"/>
                    </w:rPr>
                    <w:t>日</w:t>
                  </w:r>
                </w:p>
              </w:tc>
            </w:tr>
            <w:tr w14:paraId="098DE4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773" w:type="pct"/>
                  <w:vMerge w:val="continue"/>
                  <w:noWrap w:val="0"/>
                  <w:vAlign w:val="center"/>
                </w:tcPr>
                <w:p w14:paraId="74369C16">
                  <w:pPr>
                    <w:spacing w:before="0" w:after="0"/>
                    <w:jc w:val="center"/>
                    <w:rPr>
                      <w:rFonts w:ascii="Times New Roman" w:hAnsi="Times New Roman" w:eastAsia="宋体" w:cs="Times New Roman"/>
                      <w:sz w:val="21"/>
                      <w:szCs w:val="21"/>
                      <w:highlight w:val="none"/>
                      <w:u w:val="none"/>
                    </w:rPr>
                  </w:pPr>
                </w:p>
              </w:tc>
              <w:tc>
                <w:tcPr>
                  <w:tcW w:w="1112" w:type="pct"/>
                  <w:noWrap w:val="0"/>
                  <w:vAlign w:val="center"/>
                </w:tcPr>
                <w:p w14:paraId="0C3CC88D">
                  <w:pPr>
                    <w:spacing w:before="0" w:after="0"/>
                    <w:jc w:val="center"/>
                    <w:rPr>
                      <w:rFonts w:ascii="Times New Roman" w:hAnsi="Times New Roman" w:eastAsia="宋体" w:cs="Times New Roman"/>
                      <w:sz w:val="21"/>
                      <w:szCs w:val="21"/>
                      <w:highlight w:val="none"/>
                      <w:u w:val="none"/>
                      <w:lang w:val="en-US" w:eastAsia="zh-CN"/>
                    </w:rPr>
                  </w:pPr>
                  <w:r>
                    <w:rPr>
                      <w:rFonts w:ascii="Times New Roman" w:hAnsi="Times New Roman" w:eastAsia="宋体" w:cs="Times New Roman"/>
                      <w:sz w:val="21"/>
                      <w:szCs w:val="21"/>
                      <w:highlight w:val="none"/>
                      <w:u w:val="none"/>
                      <w:lang w:val="en-US" w:eastAsia="zh-CN"/>
                    </w:rPr>
                    <w:t>昼间</w:t>
                  </w:r>
                </w:p>
              </w:tc>
              <w:tc>
                <w:tcPr>
                  <w:tcW w:w="1113" w:type="pct"/>
                  <w:noWrap w:val="0"/>
                  <w:vAlign w:val="center"/>
                </w:tcPr>
                <w:p w14:paraId="0947F564">
                  <w:pPr>
                    <w:spacing w:before="0" w:after="0"/>
                    <w:jc w:val="center"/>
                    <w:rPr>
                      <w:rFonts w:ascii="Times New Roman" w:hAnsi="Times New Roman" w:eastAsia="宋体" w:cs="Times New Roman"/>
                      <w:sz w:val="21"/>
                      <w:szCs w:val="21"/>
                      <w:highlight w:val="none"/>
                      <w:u w:val="none"/>
                      <w:lang w:val="en-US" w:eastAsia="zh-CN"/>
                    </w:rPr>
                  </w:pPr>
                  <w:r>
                    <w:rPr>
                      <w:rFonts w:ascii="Times New Roman" w:hAnsi="Times New Roman" w:eastAsia="宋体" w:cs="Times New Roman"/>
                      <w:sz w:val="21"/>
                      <w:szCs w:val="21"/>
                      <w:highlight w:val="none"/>
                      <w:u w:val="none"/>
                      <w:lang w:val="en-US" w:eastAsia="zh-CN"/>
                    </w:rPr>
                    <w:t>夜间</w:t>
                  </w:r>
                </w:p>
              </w:tc>
            </w:tr>
            <w:tr w14:paraId="7FBBE0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773" w:type="pct"/>
                  <w:noWrap w:val="0"/>
                  <w:vAlign w:val="center"/>
                </w:tcPr>
                <w:p w14:paraId="0D824454">
                  <w:pPr>
                    <w:spacing w:before="0" w:after="0"/>
                    <w:jc w:val="center"/>
                    <w:rPr>
                      <w:rFonts w:hint="default"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rPr>
                    <w:t>大富村居民点</w:t>
                  </w:r>
                  <w:r>
                    <w:rPr>
                      <w:rFonts w:hint="eastAsia" w:cs="Times New Roman"/>
                      <w:sz w:val="21"/>
                      <w:szCs w:val="21"/>
                      <w:highlight w:val="none"/>
                      <w:u w:val="none"/>
                      <w:lang w:val="en-US" w:eastAsia="zh-CN"/>
                    </w:rPr>
                    <w:t>N1</w:t>
                  </w:r>
                </w:p>
              </w:tc>
              <w:tc>
                <w:tcPr>
                  <w:tcW w:w="1112" w:type="pct"/>
                  <w:noWrap w:val="0"/>
                  <w:vAlign w:val="center"/>
                </w:tcPr>
                <w:p w14:paraId="0F017829">
                  <w:pPr>
                    <w:spacing w:before="0" w:after="0"/>
                    <w:jc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50</w:t>
                  </w:r>
                </w:p>
              </w:tc>
              <w:tc>
                <w:tcPr>
                  <w:tcW w:w="1113" w:type="pct"/>
                  <w:noWrap w:val="0"/>
                  <w:vAlign w:val="center"/>
                </w:tcPr>
                <w:p w14:paraId="4BC935CA">
                  <w:pPr>
                    <w:spacing w:before="0" w:after="0"/>
                    <w:jc w:val="center"/>
                    <w:rPr>
                      <w:rFonts w:hint="eastAsia" w:ascii="Times New Roman" w:hAnsi="Times New Roman" w:eastAsia="宋体" w:cs="Times New Roman"/>
                      <w:sz w:val="21"/>
                      <w:szCs w:val="21"/>
                      <w:highlight w:val="none"/>
                      <w:u w:val="none"/>
                    </w:rPr>
                  </w:pPr>
                  <w:r>
                    <w:rPr>
                      <w:rFonts w:hint="eastAsia" w:ascii="Times New Roman" w:hAnsi="Times New Roman" w:eastAsia="宋体" w:cs="Times New Roman"/>
                      <w:sz w:val="21"/>
                      <w:szCs w:val="21"/>
                      <w:highlight w:val="none"/>
                      <w:u w:val="none"/>
                    </w:rPr>
                    <w:t>45</w:t>
                  </w:r>
                </w:p>
              </w:tc>
            </w:tr>
            <w:tr w14:paraId="70223D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2773" w:type="pct"/>
                  <w:noWrap w:val="0"/>
                  <w:vAlign w:val="center"/>
                </w:tcPr>
                <w:p w14:paraId="5F715E5A">
                  <w:pPr>
                    <w:spacing w:before="0" w:after="0"/>
                    <w:jc w:val="center"/>
                    <w:rPr>
                      <w:rFonts w:ascii="Times New Roman" w:hAnsi="Times New Roman" w:eastAsia="宋体" w:cs="Times New Roman"/>
                      <w:sz w:val="21"/>
                      <w:szCs w:val="21"/>
                      <w:highlight w:val="none"/>
                      <w:u w:val="none"/>
                    </w:rPr>
                  </w:pPr>
                  <w:r>
                    <w:rPr>
                      <w:rFonts w:hint="eastAsia" w:ascii="Times New Roman" w:hAnsi="Times New Roman" w:eastAsia="宋体" w:cs="Times New Roman"/>
                      <w:sz w:val="21"/>
                      <w:szCs w:val="21"/>
                      <w:highlight w:val="none"/>
                      <w:u w:val="none"/>
                    </w:rPr>
                    <w:t>标准限值</w:t>
                  </w:r>
                </w:p>
              </w:tc>
              <w:tc>
                <w:tcPr>
                  <w:tcW w:w="1112" w:type="pct"/>
                  <w:noWrap w:val="0"/>
                  <w:vAlign w:val="center"/>
                </w:tcPr>
                <w:p w14:paraId="77F6BF18">
                  <w:pPr>
                    <w:spacing w:before="0" w:after="0"/>
                    <w:jc w:val="center"/>
                    <w:rPr>
                      <w:rFonts w:ascii="Times New Roman" w:hAnsi="Times New Roman" w:eastAsia="宋体" w:cs="Times New Roman"/>
                      <w:sz w:val="21"/>
                      <w:szCs w:val="21"/>
                      <w:highlight w:val="none"/>
                      <w:u w:val="none"/>
                    </w:rPr>
                  </w:pPr>
                  <w:r>
                    <w:rPr>
                      <w:rFonts w:ascii="Times New Roman" w:hAnsi="Times New Roman" w:eastAsia="宋体" w:cs="Times New Roman"/>
                      <w:sz w:val="21"/>
                      <w:szCs w:val="21"/>
                      <w:highlight w:val="none"/>
                      <w:u w:val="none"/>
                    </w:rPr>
                    <w:t>60</w:t>
                  </w:r>
                </w:p>
              </w:tc>
              <w:tc>
                <w:tcPr>
                  <w:tcW w:w="1113" w:type="pct"/>
                  <w:noWrap w:val="0"/>
                  <w:vAlign w:val="center"/>
                </w:tcPr>
                <w:p w14:paraId="6CC0FD8E">
                  <w:pPr>
                    <w:spacing w:before="0" w:after="0"/>
                    <w:jc w:val="center"/>
                    <w:rPr>
                      <w:rFonts w:ascii="Times New Roman" w:hAnsi="Times New Roman" w:eastAsia="宋体" w:cs="Times New Roman"/>
                      <w:sz w:val="21"/>
                      <w:szCs w:val="21"/>
                      <w:highlight w:val="none"/>
                      <w:u w:val="none"/>
                    </w:rPr>
                  </w:pPr>
                  <w:r>
                    <w:rPr>
                      <w:rFonts w:hint="eastAsia" w:ascii="Times New Roman" w:hAnsi="Times New Roman" w:eastAsia="宋体" w:cs="Times New Roman"/>
                      <w:sz w:val="21"/>
                      <w:szCs w:val="21"/>
                      <w:highlight w:val="none"/>
                      <w:u w:val="none"/>
                    </w:rPr>
                    <w:t>5</w:t>
                  </w:r>
                  <w:r>
                    <w:rPr>
                      <w:rFonts w:ascii="Times New Roman" w:hAnsi="Times New Roman" w:eastAsia="宋体" w:cs="Times New Roman"/>
                      <w:sz w:val="21"/>
                      <w:szCs w:val="21"/>
                      <w:highlight w:val="none"/>
                      <w:u w:val="none"/>
                    </w:rPr>
                    <w:t>0</w:t>
                  </w:r>
                </w:p>
              </w:tc>
            </w:tr>
          </w:tbl>
          <w:p w14:paraId="09AEB2EB">
            <w:pPr>
              <w:spacing w:line="360" w:lineRule="auto"/>
              <w:ind w:firstLine="480" w:firstLineChars="200"/>
              <w:rPr>
                <w:rFonts w:hint="eastAsia" w:ascii="Times New Roman" w:hAnsi="Times New Roman" w:eastAsia="宋体" w:cs="Times New Roman"/>
                <w:color w:val="auto"/>
                <w:sz w:val="24"/>
                <w:highlight w:val="none"/>
              </w:rPr>
            </w:pPr>
            <w:r>
              <w:rPr>
                <w:color w:val="auto"/>
                <w:sz w:val="24"/>
                <w:highlight w:val="none"/>
              </w:rPr>
              <w:t>由上表可知，</w:t>
            </w:r>
            <w:r>
              <w:rPr>
                <w:rFonts w:hint="eastAsia"/>
                <w:color w:val="auto"/>
                <w:sz w:val="24"/>
                <w:highlight w:val="none"/>
              </w:rPr>
              <w:t>项目</w:t>
            </w:r>
            <w:r>
              <w:rPr>
                <w:rFonts w:hint="eastAsia"/>
                <w:color w:val="auto"/>
                <w:kern w:val="0"/>
                <w:sz w:val="24"/>
                <w:szCs w:val="32"/>
                <w:highlight w:val="none"/>
              </w:rPr>
              <w:t>厂界</w:t>
            </w:r>
            <w:r>
              <w:rPr>
                <w:rFonts w:hint="eastAsia"/>
                <w:color w:val="auto"/>
                <w:kern w:val="0"/>
                <w:sz w:val="24"/>
                <w:szCs w:val="32"/>
                <w:highlight w:val="none"/>
                <w:lang w:val="en-US" w:eastAsia="zh-CN"/>
              </w:rPr>
              <w:t>北</w:t>
            </w:r>
            <w:r>
              <w:rPr>
                <w:rFonts w:hint="eastAsia"/>
                <w:color w:val="auto"/>
                <w:kern w:val="0"/>
                <w:sz w:val="24"/>
                <w:szCs w:val="32"/>
                <w:highlight w:val="none"/>
              </w:rPr>
              <w:t>侧的</w:t>
            </w:r>
            <w:r>
              <w:rPr>
                <w:rFonts w:hint="eastAsia"/>
                <w:sz w:val="24"/>
                <w:lang w:val="en-US" w:eastAsia="zh-CN"/>
              </w:rPr>
              <w:t>大富村</w:t>
            </w:r>
            <w:r>
              <w:rPr>
                <w:rFonts w:hint="eastAsia"/>
                <w:sz w:val="24"/>
                <w:lang w:eastAsia="zh-CN"/>
              </w:rPr>
              <w:t>居民点</w:t>
            </w:r>
            <w:r>
              <w:rPr>
                <w:color w:val="auto"/>
                <w:sz w:val="24"/>
                <w:szCs w:val="32"/>
                <w:highlight w:val="none"/>
              </w:rPr>
              <w:t>声环境达到《声环境质量标准</w:t>
            </w:r>
            <w:r>
              <w:rPr>
                <w:rFonts w:hint="eastAsia"/>
                <w:color w:val="auto"/>
                <w:sz w:val="24"/>
                <w:szCs w:val="32"/>
                <w:highlight w:val="none"/>
              </w:rPr>
              <w:t>》</w:t>
            </w:r>
            <w:r>
              <w:rPr>
                <w:color w:val="auto"/>
                <w:sz w:val="24"/>
                <w:szCs w:val="32"/>
                <w:highlight w:val="none"/>
              </w:rPr>
              <w:t>（GB3096-2008）中2类标准</w:t>
            </w:r>
            <w:r>
              <w:rPr>
                <w:rFonts w:hint="eastAsia"/>
                <w:color w:val="auto"/>
                <w:sz w:val="24"/>
                <w:szCs w:val="32"/>
                <w:highlight w:val="none"/>
              </w:rPr>
              <w:t>，因此</w:t>
            </w:r>
            <w:r>
              <w:rPr>
                <w:color w:val="auto"/>
                <w:sz w:val="24"/>
                <w:szCs w:val="32"/>
                <w:highlight w:val="none"/>
              </w:rPr>
              <w:t>声环境状况良好。</w:t>
            </w:r>
          </w:p>
          <w:p w14:paraId="18286A01">
            <w:pPr>
              <w:spacing w:line="360" w:lineRule="auto"/>
              <w:ind w:firstLine="482" w:firstLineChars="200"/>
              <w:rPr>
                <w:rFonts w:hint="default" w:ascii="Times New Roman" w:hAnsi="Times New Roman" w:eastAsia="宋体" w:cs="Times New Roman"/>
                <w:b/>
                <w:bCs/>
                <w:color w:val="auto"/>
                <w:sz w:val="24"/>
                <w:highlight w:val="none"/>
              </w:rPr>
            </w:pPr>
            <w:r>
              <w:rPr>
                <w:rFonts w:hint="eastAsia" w:cs="Times New Roman"/>
                <w:b/>
                <w:bCs/>
                <w:color w:val="auto"/>
                <w:sz w:val="24"/>
                <w:highlight w:val="none"/>
                <w:lang w:val="en-US" w:eastAsia="zh-CN"/>
              </w:rPr>
              <w:t>4</w:t>
            </w:r>
            <w:r>
              <w:rPr>
                <w:rFonts w:hint="default" w:ascii="Times New Roman" w:hAnsi="Times New Roman" w:eastAsia="宋体" w:cs="Times New Roman"/>
                <w:b/>
                <w:bCs/>
                <w:color w:val="auto"/>
                <w:sz w:val="24"/>
                <w:highlight w:val="none"/>
              </w:rPr>
              <w:t>、地下水、土壤环境</w:t>
            </w:r>
          </w:p>
          <w:p w14:paraId="2C960E8B">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color w:val="auto"/>
                <w:sz w:val="24"/>
                <w:highlight w:val="none"/>
              </w:rPr>
              <w:t>本项目不存在土壤、地下水环境污染途径，因此，本项目环境影响报告不需要进行地下水、土壤环境现状调查</w:t>
            </w:r>
            <w:r>
              <w:rPr>
                <w:rFonts w:hint="default" w:ascii="Times New Roman" w:hAnsi="Times New Roman" w:eastAsia="宋体" w:cs="Times New Roman"/>
                <w:color w:val="auto"/>
                <w:sz w:val="24"/>
                <w:highlight w:val="none"/>
                <w:lang w:val="en-US" w:eastAsia="zh-CN"/>
              </w:rPr>
              <w:t>。</w:t>
            </w:r>
          </w:p>
          <w:p w14:paraId="16674241">
            <w:pPr>
              <w:spacing w:line="360" w:lineRule="auto"/>
              <w:ind w:firstLine="482" w:firstLineChars="200"/>
              <w:rPr>
                <w:rFonts w:hint="default" w:ascii="Times New Roman" w:hAnsi="Times New Roman" w:eastAsia="宋体" w:cs="Times New Roman"/>
                <w:b/>
                <w:bCs/>
                <w:color w:val="auto"/>
                <w:sz w:val="24"/>
                <w:highlight w:val="none"/>
              </w:rPr>
            </w:pPr>
            <w:r>
              <w:rPr>
                <w:rFonts w:hint="eastAsia" w:cs="Times New Roman"/>
                <w:b/>
                <w:bCs/>
                <w:color w:val="auto"/>
                <w:sz w:val="24"/>
                <w:highlight w:val="none"/>
                <w:lang w:val="en-US" w:eastAsia="zh-CN"/>
              </w:rPr>
              <w:t>5</w:t>
            </w:r>
            <w:r>
              <w:rPr>
                <w:rFonts w:hint="default" w:ascii="Times New Roman" w:hAnsi="Times New Roman" w:eastAsia="宋体" w:cs="Times New Roman"/>
                <w:b/>
                <w:bCs/>
                <w:color w:val="auto"/>
                <w:sz w:val="24"/>
                <w:highlight w:val="none"/>
                <w:lang w:val="en-US" w:eastAsia="zh-CN"/>
              </w:rPr>
              <w:t>、</w:t>
            </w:r>
            <w:r>
              <w:rPr>
                <w:rFonts w:hint="default" w:ascii="Times New Roman" w:hAnsi="Times New Roman" w:eastAsia="宋体" w:cs="Times New Roman"/>
                <w:b/>
                <w:bCs/>
                <w:color w:val="auto"/>
                <w:sz w:val="24"/>
                <w:highlight w:val="none"/>
              </w:rPr>
              <w:t>电磁辐射</w:t>
            </w:r>
          </w:p>
          <w:p w14:paraId="41BC353F">
            <w:pPr>
              <w:spacing w:line="360" w:lineRule="auto"/>
              <w:ind w:firstLine="480" w:firstLineChars="200"/>
              <w:rPr>
                <w:rFonts w:hint="eastAsia"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本项目不涉及电磁辐射部分，因此无需进行电磁辐射环境现状调查</w:t>
            </w:r>
            <w:r>
              <w:rPr>
                <w:rFonts w:hint="eastAsia" w:ascii="Times New Roman" w:hAnsi="Times New Roman" w:eastAsia="宋体" w:cs="Times New Roman"/>
                <w:color w:val="auto"/>
                <w:sz w:val="24"/>
                <w:highlight w:val="none"/>
              </w:rPr>
              <w:t>。</w:t>
            </w:r>
          </w:p>
          <w:p w14:paraId="5409B49D">
            <w:pPr>
              <w:spacing w:line="360" w:lineRule="auto"/>
              <w:ind w:firstLine="482" w:firstLineChars="200"/>
              <w:rPr>
                <w:rFonts w:hint="eastAsia" w:ascii="Times New Roman" w:hAnsi="Times New Roman" w:eastAsia="宋体" w:cs="Times New Roman"/>
                <w:b/>
                <w:bCs/>
                <w:color w:val="auto"/>
                <w:sz w:val="24"/>
                <w:highlight w:val="none"/>
              </w:rPr>
            </w:pPr>
            <w:r>
              <w:rPr>
                <w:rFonts w:hint="eastAsia" w:ascii="Times New Roman" w:hAnsi="Times New Roman" w:eastAsia="宋体" w:cs="Times New Roman"/>
                <w:b/>
                <w:bCs/>
                <w:color w:val="auto"/>
                <w:sz w:val="24"/>
                <w:highlight w:val="none"/>
                <w:lang w:val="en-US" w:eastAsia="zh-CN"/>
              </w:rPr>
              <w:t>6、</w:t>
            </w:r>
            <w:r>
              <w:rPr>
                <w:rFonts w:hint="eastAsia" w:ascii="Times New Roman" w:hAnsi="Times New Roman" w:eastAsia="宋体" w:cs="Times New Roman"/>
                <w:b/>
                <w:bCs/>
                <w:color w:val="auto"/>
                <w:sz w:val="24"/>
                <w:highlight w:val="none"/>
              </w:rPr>
              <w:t>生态环境质量现状</w:t>
            </w:r>
          </w:p>
          <w:p w14:paraId="186E3190">
            <w:pPr>
              <w:pStyle w:val="51"/>
              <w:spacing w:line="336" w:lineRule="auto"/>
              <w:ind w:firstLine="480" w:firstLineChars="200"/>
              <w:rPr>
                <w:rFonts w:hint="eastAsia"/>
                <w:color w:val="auto"/>
                <w:highlight w:val="none"/>
                <w:lang w:val="en-US" w:eastAsia="zh-CN"/>
              </w:rPr>
            </w:pPr>
            <w:r>
              <w:rPr>
                <w:rFonts w:hint="eastAsia"/>
                <w:color w:val="auto"/>
                <w:highlight w:val="none"/>
              </w:rPr>
              <w:t>本项目位于</w:t>
            </w:r>
            <w:r>
              <w:rPr>
                <w:rFonts w:hint="eastAsia"/>
                <w:color w:val="auto"/>
                <w:highlight w:val="none"/>
                <w:lang w:eastAsia="zh-CN"/>
              </w:rPr>
              <w:t>永州市祁阳市进宝塘镇大富村12组</w:t>
            </w:r>
            <w:r>
              <w:rPr>
                <w:rFonts w:hint="eastAsia"/>
                <w:color w:val="auto"/>
                <w:highlight w:val="none"/>
              </w:rPr>
              <w:t>，</w:t>
            </w:r>
            <w:r>
              <w:rPr>
                <w:rFonts w:hint="eastAsia"/>
                <w:color w:val="auto"/>
                <w:highlight w:val="none"/>
                <w:lang w:val="en-US" w:eastAsia="zh-CN"/>
              </w:rPr>
              <w:t>在现有厂区锅炉房</w:t>
            </w:r>
            <w:r>
              <w:rPr>
                <w:rFonts w:hint="eastAsia"/>
                <w:color w:val="auto"/>
                <w:highlight w:val="none"/>
              </w:rPr>
              <w:t>进行</w:t>
            </w:r>
            <w:r>
              <w:rPr>
                <w:rFonts w:hint="eastAsia"/>
                <w:color w:val="auto"/>
                <w:highlight w:val="none"/>
                <w:lang w:val="en-US" w:eastAsia="zh-CN"/>
              </w:rPr>
              <w:t>技改</w:t>
            </w:r>
            <w:r>
              <w:rPr>
                <w:rFonts w:hint="eastAsia"/>
                <w:color w:val="auto"/>
                <w:highlight w:val="none"/>
              </w:rPr>
              <w:t>，周边无生态环境保护目标，本项目无需进行生态环境现状调查。</w:t>
            </w:r>
          </w:p>
        </w:tc>
      </w:tr>
      <w:tr w14:paraId="4052D8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5" w:hRule="atLeast"/>
          <w:jc w:val="center"/>
        </w:trPr>
        <w:tc>
          <w:tcPr>
            <w:tcW w:w="250" w:type="pct"/>
            <w:vAlign w:val="center"/>
          </w:tcPr>
          <w:p w14:paraId="2A9273C4">
            <w:pPr>
              <w:adjustRightInd w:val="0"/>
              <w:snapToGrid w:val="0"/>
              <w:jc w:val="center"/>
              <w:rPr>
                <w:color w:val="auto"/>
                <w:kern w:val="0"/>
                <w:sz w:val="24"/>
                <w:highlight w:val="none"/>
              </w:rPr>
            </w:pPr>
            <w:r>
              <w:rPr>
                <w:color w:val="auto"/>
                <w:kern w:val="0"/>
                <w:sz w:val="24"/>
                <w:highlight w:val="none"/>
              </w:rPr>
              <w:t>环境</w:t>
            </w:r>
          </w:p>
          <w:p w14:paraId="0B877981">
            <w:pPr>
              <w:adjustRightInd w:val="0"/>
              <w:snapToGrid w:val="0"/>
              <w:jc w:val="center"/>
              <w:rPr>
                <w:color w:val="auto"/>
                <w:kern w:val="0"/>
                <w:sz w:val="24"/>
                <w:highlight w:val="none"/>
              </w:rPr>
            </w:pPr>
            <w:r>
              <w:rPr>
                <w:color w:val="auto"/>
                <w:kern w:val="0"/>
                <w:sz w:val="24"/>
                <w:highlight w:val="none"/>
              </w:rPr>
              <w:t>保护</w:t>
            </w:r>
          </w:p>
          <w:p w14:paraId="0316BAF6">
            <w:pPr>
              <w:adjustRightInd w:val="0"/>
              <w:snapToGrid w:val="0"/>
              <w:jc w:val="center"/>
              <w:rPr>
                <w:color w:val="auto"/>
                <w:kern w:val="0"/>
                <w:szCs w:val="21"/>
                <w:highlight w:val="none"/>
              </w:rPr>
            </w:pPr>
            <w:r>
              <w:rPr>
                <w:color w:val="auto"/>
                <w:kern w:val="0"/>
                <w:sz w:val="24"/>
                <w:highlight w:val="none"/>
              </w:rPr>
              <w:t>目标</w:t>
            </w:r>
          </w:p>
        </w:tc>
        <w:tc>
          <w:tcPr>
            <w:tcW w:w="4749" w:type="pct"/>
            <w:vAlign w:val="center"/>
          </w:tcPr>
          <w:p w14:paraId="02025C84">
            <w:pPr>
              <w:spacing w:line="360" w:lineRule="auto"/>
              <w:rPr>
                <w:b/>
                <w:bCs/>
                <w:color w:val="auto"/>
                <w:sz w:val="24"/>
                <w:highlight w:val="none"/>
              </w:rPr>
            </w:pPr>
            <w:r>
              <w:rPr>
                <w:b/>
                <w:bCs/>
                <w:color w:val="auto"/>
                <w:sz w:val="24"/>
                <w:highlight w:val="none"/>
              </w:rPr>
              <w:t>1、大气环境</w:t>
            </w:r>
          </w:p>
          <w:p w14:paraId="6DC3531E">
            <w:pPr>
              <w:spacing w:line="360" w:lineRule="auto"/>
              <w:ind w:firstLine="480" w:firstLineChars="200"/>
              <w:rPr>
                <w:color w:val="auto"/>
                <w:sz w:val="24"/>
                <w:highlight w:val="none"/>
              </w:rPr>
            </w:pPr>
            <w:r>
              <w:rPr>
                <w:color w:val="auto"/>
                <w:sz w:val="24"/>
                <w:highlight w:val="none"/>
              </w:rPr>
              <w:t>根据对项目所在地的实地踏勘，本项目厂界外500m范围内主要环境保护目标详见下表。</w:t>
            </w:r>
          </w:p>
          <w:p w14:paraId="4156E13D">
            <w:pPr>
              <w:jc w:val="center"/>
              <w:rPr>
                <w:b/>
                <w:color w:val="auto"/>
                <w:szCs w:val="21"/>
                <w:highlight w:val="none"/>
                <w:u w:val="none" w:color="auto"/>
              </w:rPr>
            </w:pPr>
            <w:r>
              <w:rPr>
                <w:b/>
                <w:color w:val="auto"/>
                <w:szCs w:val="21"/>
                <w:highlight w:val="none"/>
                <w:u w:val="none" w:color="auto"/>
              </w:rPr>
              <w:t>表3-</w:t>
            </w:r>
            <w:r>
              <w:rPr>
                <w:rFonts w:hint="eastAsia"/>
                <w:b/>
                <w:color w:val="auto"/>
                <w:szCs w:val="21"/>
                <w:highlight w:val="none"/>
                <w:u w:val="none" w:color="auto"/>
                <w:lang w:val="en-US" w:eastAsia="zh-CN"/>
              </w:rPr>
              <w:t xml:space="preserve">6 </w:t>
            </w:r>
            <w:r>
              <w:rPr>
                <w:b/>
                <w:color w:val="auto"/>
                <w:szCs w:val="21"/>
                <w:highlight w:val="none"/>
                <w:u w:val="none" w:color="auto"/>
              </w:rPr>
              <w:t xml:space="preserve"> 大气环境保护目标一览表</w:t>
            </w:r>
          </w:p>
          <w:tbl>
            <w:tblPr>
              <w:tblStyle w:val="42"/>
              <w:tblW w:w="841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116"/>
              <w:gridCol w:w="1050"/>
              <w:gridCol w:w="984"/>
              <w:gridCol w:w="600"/>
              <w:gridCol w:w="928"/>
              <w:gridCol w:w="722"/>
              <w:gridCol w:w="805"/>
              <w:gridCol w:w="1023"/>
              <w:gridCol w:w="1186"/>
            </w:tblGrid>
            <w:tr w14:paraId="7D355A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1116" w:type="dxa"/>
                  <w:vMerge w:val="restart"/>
                  <w:tcBorders>
                    <w:tl2br w:val="nil"/>
                    <w:tr2bl w:val="nil"/>
                  </w:tcBorders>
                  <w:vAlign w:val="center"/>
                </w:tcPr>
                <w:p w14:paraId="2C34FEA5">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名称</w:t>
                  </w:r>
                </w:p>
              </w:tc>
              <w:tc>
                <w:tcPr>
                  <w:tcW w:w="2034" w:type="dxa"/>
                  <w:gridSpan w:val="2"/>
                  <w:tcBorders>
                    <w:tl2br w:val="nil"/>
                    <w:tr2bl w:val="nil"/>
                  </w:tcBorders>
                  <w:vAlign w:val="center"/>
                </w:tcPr>
                <w:p w14:paraId="4119E5B1">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坐标</w:t>
                  </w:r>
                </w:p>
              </w:tc>
              <w:tc>
                <w:tcPr>
                  <w:tcW w:w="600" w:type="dxa"/>
                  <w:vMerge w:val="restart"/>
                  <w:tcBorders>
                    <w:tl2br w:val="nil"/>
                    <w:tr2bl w:val="nil"/>
                  </w:tcBorders>
                  <w:vAlign w:val="center"/>
                </w:tcPr>
                <w:p w14:paraId="6A556A67">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保护对象</w:t>
                  </w:r>
                </w:p>
              </w:tc>
              <w:tc>
                <w:tcPr>
                  <w:tcW w:w="928" w:type="dxa"/>
                  <w:vMerge w:val="restart"/>
                  <w:tcBorders>
                    <w:tl2br w:val="nil"/>
                    <w:tr2bl w:val="nil"/>
                  </w:tcBorders>
                  <w:vAlign w:val="center"/>
                </w:tcPr>
                <w:p w14:paraId="5CE391F1">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保护内容</w:t>
                  </w:r>
                </w:p>
              </w:tc>
              <w:tc>
                <w:tcPr>
                  <w:tcW w:w="722" w:type="dxa"/>
                  <w:vMerge w:val="restart"/>
                  <w:tcBorders>
                    <w:tl2br w:val="nil"/>
                    <w:tr2bl w:val="nil"/>
                  </w:tcBorders>
                  <w:vAlign w:val="center"/>
                </w:tcPr>
                <w:p w14:paraId="032DC100">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环境功能区</w:t>
                  </w:r>
                </w:p>
              </w:tc>
              <w:tc>
                <w:tcPr>
                  <w:tcW w:w="805" w:type="dxa"/>
                  <w:vMerge w:val="restart"/>
                  <w:tcBorders>
                    <w:tl2br w:val="nil"/>
                    <w:tr2bl w:val="nil"/>
                  </w:tcBorders>
                  <w:vAlign w:val="center"/>
                </w:tcPr>
                <w:p w14:paraId="5D20F48B">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相对厂址方位</w:t>
                  </w:r>
                </w:p>
              </w:tc>
              <w:tc>
                <w:tcPr>
                  <w:tcW w:w="1023" w:type="dxa"/>
                  <w:vMerge w:val="restart"/>
                  <w:tcBorders>
                    <w:tl2br w:val="nil"/>
                    <w:tr2bl w:val="nil"/>
                  </w:tcBorders>
                  <w:vAlign w:val="center"/>
                </w:tcPr>
                <w:p w14:paraId="33F1BC17">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相对厂界距离/m</w:t>
                  </w:r>
                </w:p>
              </w:tc>
              <w:tc>
                <w:tcPr>
                  <w:tcW w:w="1186" w:type="dxa"/>
                  <w:vMerge w:val="restart"/>
                  <w:tcBorders>
                    <w:tl2br w:val="nil"/>
                    <w:tr2bl w:val="nil"/>
                  </w:tcBorders>
                  <w:vAlign w:val="center"/>
                </w:tcPr>
                <w:p w14:paraId="5CCDBEBE">
                  <w:pPr>
                    <w:pStyle w:val="94"/>
                    <w:rPr>
                      <w:rFonts w:hint="eastAsia" w:ascii="Times New Roman" w:hAnsi="Times New Roman" w:eastAsia="宋体" w:cs="Times New Roman"/>
                      <w:b/>
                      <w:bCs/>
                      <w:color w:val="auto"/>
                      <w:highlight w:val="none"/>
                      <w:u w:val="none" w:color="auto"/>
                      <w:lang w:eastAsia="zh-CN"/>
                    </w:rPr>
                  </w:pPr>
                  <w:r>
                    <w:rPr>
                      <w:rFonts w:hint="eastAsia" w:ascii="Times New Roman" w:hAnsi="Times New Roman" w:cs="Times New Roman"/>
                      <w:b/>
                      <w:bCs/>
                      <w:color w:val="auto"/>
                      <w:highlight w:val="none"/>
                      <w:u w:val="none" w:color="auto"/>
                      <w:lang w:eastAsia="zh-CN"/>
                    </w:rPr>
                    <w:t>保护级别</w:t>
                  </w:r>
                </w:p>
              </w:tc>
            </w:tr>
            <w:tr w14:paraId="74D323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vMerge w:val="continue"/>
                  <w:tcBorders>
                    <w:tl2br w:val="nil"/>
                    <w:tr2bl w:val="nil"/>
                  </w:tcBorders>
                  <w:vAlign w:val="center"/>
                </w:tcPr>
                <w:p w14:paraId="1119AF07">
                  <w:pPr>
                    <w:jc w:val="center"/>
                    <w:rPr>
                      <w:color w:val="auto"/>
                      <w:sz w:val="2"/>
                      <w:szCs w:val="2"/>
                      <w:highlight w:val="none"/>
                      <w:u w:val="none" w:color="auto"/>
                    </w:rPr>
                  </w:pPr>
                </w:p>
              </w:tc>
              <w:tc>
                <w:tcPr>
                  <w:tcW w:w="1050" w:type="dxa"/>
                  <w:tcBorders>
                    <w:tl2br w:val="nil"/>
                    <w:tr2bl w:val="nil"/>
                  </w:tcBorders>
                  <w:vAlign w:val="center"/>
                </w:tcPr>
                <w:p w14:paraId="1590AD1A">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经度</w:t>
                  </w:r>
                </w:p>
              </w:tc>
              <w:tc>
                <w:tcPr>
                  <w:tcW w:w="984" w:type="dxa"/>
                  <w:tcBorders>
                    <w:tl2br w:val="nil"/>
                    <w:tr2bl w:val="nil"/>
                  </w:tcBorders>
                  <w:vAlign w:val="center"/>
                </w:tcPr>
                <w:p w14:paraId="40B1E434">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纬度</w:t>
                  </w:r>
                </w:p>
              </w:tc>
              <w:tc>
                <w:tcPr>
                  <w:tcW w:w="600" w:type="dxa"/>
                  <w:vMerge w:val="continue"/>
                  <w:tcBorders>
                    <w:tl2br w:val="nil"/>
                    <w:tr2bl w:val="nil"/>
                  </w:tcBorders>
                  <w:vAlign w:val="center"/>
                </w:tcPr>
                <w:p w14:paraId="420FDE3E">
                  <w:pPr>
                    <w:jc w:val="center"/>
                    <w:rPr>
                      <w:color w:val="auto"/>
                      <w:sz w:val="2"/>
                      <w:szCs w:val="2"/>
                      <w:highlight w:val="none"/>
                      <w:u w:val="none" w:color="auto"/>
                    </w:rPr>
                  </w:pPr>
                </w:p>
              </w:tc>
              <w:tc>
                <w:tcPr>
                  <w:tcW w:w="928" w:type="dxa"/>
                  <w:vMerge w:val="continue"/>
                  <w:tcBorders>
                    <w:tl2br w:val="nil"/>
                    <w:tr2bl w:val="nil"/>
                  </w:tcBorders>
                  <w:vAlign w:val="center"/>
                </w:tcPr>
                <w:p w14:paraId="5D510050">
                  <w:pPr>
                    <w:jc w:val="center"/>
                    <w:rPr>
                      <w:color w:val="auto"/>
                      <w:sz w:val="2"/>
                      <w:szCs w:val="2"/>
                      <w:highlight w:val="none"/>
                      <w:u w:val="none" w:color="auto"/>
                    </w:rPr>
                  </w:pPr>
                </w:p>
              </w:tc>
              <w:tc>
                <w:tcPr>
                  <w:tcW w:w="722" w:type="dxa"/>
                  <w:vMerge w:val="continue"/>
                  <w:tcBorders>
                    <w:tl2br w:val="nil"/>
                    <w:tr2bl w:val="nil"/>
                  </w:tcBorders>
                  <w:vAlign w:val="center"/>
                </w:tcPr>
                <w:p w14:paraId="66E9F09E">
                  <w:pPr>
                    <w:jc w:val="center"/>
                    <w:rPr>
                      <w:color w:val="auto"/>
                      <w:sz w:val="2"/>
                      <w:szCs w:val="2"/>
                      <w:highlight w:val="none"/>
                      <w:u w:val="none" w:color="auto"/>
                    </w:rPr>
                  </w:pPr>
                </w:p>
              </w:tc>
              <w:tc>
                <w:tcPr>
                  <w:tcW w:w="805" w:type="dxa"/>
                  <w:vMerge w:val="continue"/>
                  <w:tcBorders>
                    <w:tl2br w:val="nil"/>
                    <w:tr2bl w:val="nil"/>
                  </w:tcBorders>
                  <w:vAlign w:val="center"/>
                </w:tcPr>
                <w:p w14:paraId="146F533C">
                  <w:pPr>
                    <w:jc w:val="center"/>
                    <w:rPr>
                      <w:color w:val="auto"/>
                      <w:sz w:val="2"/>
                      <w:szCs w:val="2"/>
                      <w:highlight w:val="none"/>
                      <w:u w:val="none" w:color="auto"/>
                    </w:rPr>
                  </w:pPr>
                </w:p>
              </w:tc>
              <w:tc>
                <w:tcPr>
                  <w:tcW w:w="1023" w:type="dxa"/>
                  <w:vMerge w:val="continue"/>
                  <w:tcBorders>
                    <w:tl2br w:val="nil"/>
                    <w:tr2bl w:val="nil"/>
                  </w:tcBorders>
                  <w:vAlign w:val="center"/>
                </w:tcPr>
                <w:p w14:paraId="0CDB36F0">
                  <w:pPr>
                    <w:jc w:val="center"/>
                    <w:rPr>
                      <w:color w:val="auto"/>
                      <w:sz w:val="2"/>
                      <w:szCs w:val="2"/>
                      <w:highlight w:val="none"/>
                      <w:u w:val="none" w:color="auto"/>
                    </w:rPr>
                  </w:pPr>
                </w:p>
              </w:tc>
              <w:tc>
                <w:tcPr>
                  <w:tcW w:w="1186" w:type="dxa"/>
                  <w:vMerge w:val="continue"/>
                  <w:tcBorders>
                    <w:tl2br w:val="nil"/>
                    <w:tr2bl w:val="nil"/>
                  </w:tcBorders>
                  <w:vAlign w:val="center"/>
                </w:tcPr>
                <w:p w14:paraId="5A3345AE">
                  <w:pPr>
                    <w:jc w:val="center"/>
                    <w:rPr>
                      <w:color w:val="auto"/>
                      <w:sz w:val="2"/>
                      <w:szCs w:val="2"/>
                      <w:highlight w:val="none"/>
                      <w:u w:val="none" w:color="auto"/>
                    </w:rPr>
                  </w:pPr>
                </w:p>
              </w:tc>
            </w:tr>
            <w:tr w14:paraId="25F15A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shd w:val="clear" w:color="auto" w:fill="auto"/>
                  <w:vAlign w:val="center"/>
                </w:tcPr>
                <w:p w14:paraId="498E3D2F">
                  <w:pPr>
                    <w:snapToGrid w:val="0"/>
                    <w:jc w:val="center"/>
                    <w:rPr>
                      <w:rFonts w:hint="default" w:ascii="Times New Roman" w:hAnsi="Times New Roman" w:eastAsia="宋体" w:cs="Times New Roman"/>
                      <w:kern w:val="2"/>
                      <w:sz w:val="21"/>
                      <w:szCs w:val="21"/>
                      <w:u w:val="none" w:color="auto"/>
                      <w:lang w:val="en-US" w:eastAsia="zh-CN" w:bidi="ar-SA"/>
                    </w:rPr>
                  </w:pPr>
                  <w:r>
                    <w:rPr>
                      <w:rFonts w:hint="eastAsia" w:ascii="Times New Roman" w:hAnsi="Times New Roman"/>
                      <w:sz w:val="21"/>
                      <w:szCs w:val="21"/>
                      <w:u w:val="none" w:color="auto"/>
                    </w:rPr>
                    <w:t>大富村居民点</w:t>
                  </w:r>
                </w:p>
              </w:tc>
              <w:tc>
                <w:tcPr>
                  <w:tcW w:w="1050" w:type="dxa"/>
                  <w:tcBorders>
                    <w:tl2br w:val="nil"/>
                    <w:tr2bl w:val="nil"/>
                  </w:tcBorders>
                  <w:vAlign w:val="center"/>
                </w:tcPr>
                <w:p w14:paraId="22C4A447">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112.123633</w:t>
                  </w:r>
                </w:p>
              </w:tc>
              <w:tc>
                <w:tcPr>
                  <w:tcW w:w="984" w:type="dxa"/>
                  <w:tcBorders>
                    <w:tl2br w:val="nil"/>
                    <w:tr2bl w:val="nil"/>
                  </w:tcBorders>
                  <w:vAlign w:val="center"/>
                </w:tcPr>
                <w:p w14:paraId="3659A222">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26.384971</w:t>
                  </w:r>
                </w:p>
              </w:tc>
              <w:tc>
                <w:tcPr>
                  <w:tcW w:w="600" w:type="dxa"/>
                  <w:tcBorders>
                    <w:tl2br w:val="nil"/>
                    <w:tr2bl w:val="nil"/>
                  </w:tcBorders>
                  <w:vAlign w:val="center"/>
                </w:tcPr>
                <w:p w14:paraId="333A12C7">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17B9721A">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10</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0ECE847A">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5FCB2673">
                  <w:pPr>
                    <w:pStyle w:val="94"/>
                    <w:rPr>
                      <w:rFonts w:ascii="Times New Roman" w:hAnsi="Times New Roman" w:cs="Times New Roman"/>
                      <w:color w:val="auto"/>
                      <w:highlight w:val="none"/>
                      <w:u w:val="none" w:color="auto"/>
                    </w:rPr>
                  </w:pPr>
                  <w:r>
                    <w:rPr>
                      <w:rFonts w:hint="eastAsia" w:ascii="Times New Roman" w:hAnsi="Times New Roman" w:cs="Times New Roman"/>
                      <w:color w:val="auto"/>
                      <w:highlight w:val="none"/>
                      <w:u w:val="none" w:color="auto"/>
                      <w:lang w:eastAsia="zh-CN"/>
                    </w:rPr>
                    <w:t>北</w:t>
                  </w:r>
                </w:p>
              </w:tc>
              <w:tc>
                <w:tcPr>
                  <w:tcW w:w="1023" w:type="dxa"/>
                  <w:tcBorders>
                    <w:tl2br w:val="nil"/>
                    <w:tr2bl w:val="nil"/>
                  </w:tcBorders>
                  <w:vAlign w:val="center"/>
                </w:tcPr>
                <w:p w14:paraId="3696A132">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45</w:t>
                  </w:r>
                </w:p>
              </w:tc>
              <w:tc>
                <w:tcPr>
                  <w:tcW w:w="1186" w:type="dxa"/>
                  <w:vMerge w:val="restart"/>
                  <w:tcBorders>
                    <w:tl2br w:val="nil"/>
                    <w:tr2bl w:val="nil"/>
                  </w:tcBorders>
                  <w:vAlign w:val="center"/>
                </w:tcPr>
                <w:p w14:paraId="1AAD3331">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color w:val="auto"/>
                      <w:szCs w:val="21"/>
                      <w:highlight w:val="none"/>
                      <w:u w:val="none" w:color="auto"/>
                    </w:rPr>
                    <w:t>《环境空气质量标准》(</w:t>
                  </w:r>
                  <w:r>
                    <w:rPr>
                      <w:rFonts w:hint="eastAsia"/>
                      <w:color w:val="auto"/>
                      <w:szCs w:val="21"/>
                      <w:highlight w:val="none"/>
                      <w:u w:val="none" w:color="auto"/>
                      <w:lang w:eastAsia="zh-CN"/>
                    </w:rPr>
                    <w:t>GB3095-2026</w:t>
                  </w:r>
                  <w:r>
                    <w:rPr>
                      <w:color w:val="auto"/>
                      <w:szCs w:val="21"/>
                      <w:highlight w:val="none"/>
                      <w:u w:val="none" w:color="auto"/>
                    </w:rPr>
                    <w:t>)</w:t>
                  </w:r>
                  <w:r>
                    <w:rPr>
                      <w:rFonts w:hint="eastAsia"/>
                      <w:bCs/>
                      <w:color w:val="auto"/>
                      <w:szCs w:val="21"/>
                      <w:highlight w:val="none"/>
                      <w:u w:val="none" w:color="auto"/>
                    </w:rPr>
                    <w:t>中</w:t>
                  </w:r>
                  <w:r>
                    <w:rPr>
                      <w:bCs/>
                      <w:color w:val="auto"/>
                      <w:szCs w:val="21"/>
                      <w:highlight w:val="none"/>
                      <w:u w:val="none" w:color="auto"/>
                    </w:rPr>
                    <w:t>二级</w:t>
                  </w:r>
                  <w:r>
                    <w:rPr>
                      <w:rFonts w:hint="eastAsia"/>
                      <w:bCs/>
                      <w:color w:val="auto"/>
                      <w:szCs w:val="21"/>
                      <w:highlight w:val="none"/>
                      <w:u w:val="none" w:color="auto"/>
                    </w:rPr>
                    <w:t>标准</w:t>
                  </w:r>
                </w:p>
              </w:tc>
            </w:tr>
            <w:tr w14:paraId="695824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shd w:val="clear" w:color="auto" w:fill="auto"/>
                  <w:vAlign w:val="center"/>
                </w:tcPr>
                <w:p w14:paraId="1477AE3F">
                  <w:pPr>
                    <w:snapToGrid w:val="0"/>
                    <w:jc w:val="center"/>
                    <w:rPr>
                      <w:rFonts w:hint="default" w:ascii="Times New Roman" w:hAnsi="Times New Roman" w:eastAsia="宋体" w:cs="Times New Roman"/>
                      <w:kern w:val="2"/>
                      <w:sz w:val="21"/>
                      <w:szCs w:val="21"/>
                      <w:u w:val="none" w:color="auto"/>
                      <w:lang w:val="en-US" w:eastAsia="zh-CN" w:bidi="ar-SA"/>
                    </w:rPr>
                  </w:pPr>
                  <w:r>
                    <w:rPr>
                      <w:rFonts w:hint="eastAsia" w:ascii="Times New Roman" w:hAnsi="Times New Roman"/>
                      <w:sz w:val="21"/>
                      <w:szCs w:val="21"/>
                      <w:u w:val="none" w:color="auto"/>
                    </w:rPr>
                    <w:t>对门院子居民点</w:t>
                  </w:r>
                </w:p>
              </w:tc>
              <w:tc>
                <w:tcPr>
                  <w:tcW w:w="1050" w:type="dxa"/>
                  <w:tcBorders>
                    <w:tl2br w:val="nil"/>
                    <w:tr2bl w:val="nil"/>
                  </w:tcBorders>
                  <w:vAlign w:val="center"/>
                </w:tcPr>
                <w:p w14:paraId="4B26E151">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112.124917</w:t>
                  </w:r>
                </w:p>
              </w:tc>
              <w:tc>
                <w:tcPr>
                  <w:tcW w:w="984" w:type="dxa"/>
                  <w:tcBorders>
                    <w:tl2br w:val="nil"/>
                    <w:tr2bl w:val="nil"/>
                  </w:tcBorders>
                  <w:vAlign w:val="center"/>
                </w:tcPr>
                <w:p w14:paraId="313B0212">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26.386584</w:t>
                  </w:r>
                </w:p>
              </w:tc>
              <w:tc>
                <w:tcPr>
                  <w:tcW w:w="600" w:type="dxa"/>
                  <w:tcBorders>
                    <w:tl2br w:val="nil"/>
                    <w:tr2bl w:val="nil"/>
                  </w:tcBorders>
                  <w:vAlign w:val="center"/>
                </w:tcPr>
                <w:p w14:paraId="724F8A40">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06C1F941">
                  <w:pPr>
                    <w:pStyle w:val="94"/>
                    <w:rPr>
                      <w:rFonts w:hint="default" w:ascii="Times New Roman" w:hAnsi="Times New Roman" w:eastAsia="宋体" w:cs="Times New Roman"/>
                      <w:color w:val="auto"/>
                      <w:highlight w:val="none"/>
                      <w:u w:val="none" w:color="auto"/>
                      <w:lang w:val="en-US" w:eastAsia="zh-CN"/>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20</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7A9E4876">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1ADBCE80">
                  <w:pPr>
                    <w:pStyle w:val="94"/>
                    <w:rPr>
                      <w:rFonts w:hint="eastAsia" w:ascii="Times New Roman" w:hAnsi="Times New Roman" w:cs="Times New Roman"/>
                      <w:color w:val="auto"/>
                      <w:highlight w:val="none"/>
                      <w:u w:val="none" w:color="auto"/>
                      <w:lang w:eastAsia="zh-CN"/>
                    </w:rPr>
                  </w:pPr>
                  <w:r>
                    <w:rPr>
                      <w:rFonts w:hint="eastAsia" w:ascii="Times New Roman" w:hAnsi="Times New Roman" w:cs="Times New Roman"/>
                      <w:color w:val="auto"/>
                      <w:highlight w:val="none"/>
                      <w:u w:val="none" w:color="auto"/>
                      <w:lang w:val="en-US" w:eastAsia="zh-CN"/>
                    </w:rPr>
                    <w:t>东北</w:t>
                  </w:r>
                </w:p>
              </w:tc>
              <w:tc>
                <w:tcPr>
                  <w:tcW w:w="1023" w:type="dxa"/>
                  <w:tcBorders>
                    <w:tl2br w:val="nil"/>
                    <w:tr2bl w:val="nil"/>
                  </w:tcBorders>
                  <w:vAlign w:val="center"/>
                </w:tcPr>
                <w:p w14:paraId="2D5400AC">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280</w:t>
                  </w:r>
                </w:p>
              </w:tc>
              <w:tc>
                <w:tcPr>
                  <w:tcW w:w="1186" w:type="dxa"/>
                  <w:vMerge w:val="continue"/>
                  <w:tcBorders>
                    <w:tl2br w:val="nil"/>
                    <w:tr2bl w:val="nil"/>
                  </w:tcBorders>
                  <w:vAlign w:val="center"/>
                </w:tcPr>
                <w:p w14:paraId="1BDA08FD">
                  <w:pPr>
                    <w:jc w:val="center"/>
                    <w:rPr>
                      <w:rFonts w:hint="default" w:ascii="Times New Roman" w:hAnsi="Times New Roman" w:eastAsia="宋体" w:cs="Times New Roman"/>
                      <w:color w:val="auto"/>
                      <w:szCs w:val="21"/>
                      <w:highlight w:val="none"/>
                      <w:u w:val="none" w:color="auto"/>
                    </w:rPr>
                  </w:pPr>
                </w:p>
              </w:tc>
            </w:tr>
            <w:tr w14:paraId="2E4E08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shd w:val="clear" w:color="auto" w:fill="auto"/>
                  <w:vAlign w:val="center"/>
                </w:tcPr>
                <w:p w14:paraId="7B4151C7">
                  <w:pPr>
                    <w:snapToGrid w:val="0"/>
                    <w:jc w:val="center"/>
                    <w:rPr>
                      <w:rFonts w:hint="default" w:ascii="Times New Roman" w:hAnsi="Times New Roman" w:eastAsia="宋体" w:cs="Times New Roman"/>
                      <w:kern w:val="2"/>
                      <w:sz w:val="21"/>
                      <w:szCs w:val="21"/>
                      <w:u w:val="none" w:color="auto"/>
                      <w:lang w:val="en-US" w:eastAsia="zh-CN" w:bidi="ar-SA"/>
                    </w:rPr>
                  </w:pPr>
                  <w:r>
                    <w:rPr>
                      <w:rFonts w:hint="eastAsia" w:ascii="Times New Roman" w:hAnsi="Times New Roman"/>
                      <w:sz w:val="21"/>
                      <w:szCs w:val="21"/>
                      <w:u w:val="none" w:color="auto"/>
                    </w:rPr>
                    <w:t>双家塘居民点</w:t>
                  </w:r>
                </w:p>
              </w:tc>
              <w:tc>
                <w:tcPr>
                  <w:tcW w:w="1050" w:type="dxa"/>
                  <w:tcBorders>
                    <w:tl2br w:val="nil"/>
                    <w:tr2bl w:val="nil"/>
                  </w:tcBorders>
                  <w:vAlign w:val="center"/>
                </w:tcPr>
                <w:p w14:paraId="512F0616">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112.122661</w:t>
                  </w:r>
                </w:p>
              </w:tc>
              <w:tc>
                <w:tcPr>
                  <w:tcW w:w="984" w:type="dxa"/>
                  <w:tcBorders>
                    <w:tl2br w:val="nil"/>
                    <w:tr2bl w:val="nil"/>
                  </w:tcBorders>
                  <w:vAlign w:val="center"/>
                </w:tcPr>
                <w:p w14:paraId="747A1219">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26.388349</w:t>
                  </w:r>
                </w:p>
              </w:tc>
              <w:tc>
                <w:tcPr>
                  <w:tcW w:w="600" w:type="dxa"/>
                  <w:tcBorders>
                    <w:tl2br w:val="nil"/>
                    <w:tr2bl w:val="nil"/>
                  </w:tcBorders>
                  <w:vAlign w:val="center"/>
                </w:tcPr>
                <w:p w14:paraId="5C645772">
                  <w:pPr>
                    <w:pStyle w:val="94"/>
                    <w:rPr>
                      <w:rFonts w:hint="eastAsia" w:ascii="Times New Roman" w:hAnsi="Times New Roman" w:eastAsia="宋体" w:cs="Times New Roman"/>
                      <w:color w:val="auto"/>
                      <w:highlight w:val="none"/>
                      <w:u w:val="none" w:color="auto"/>
                      <w:lang w:eastAsia="zh-CN"/>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353EAFCA">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8</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243C048A">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747A35B0">
                  <w:pPr>
                    <w:pStyle w:val="94"/>
                    <w:rPr>
                      <w:rFonts w:hint="eastAsia" w:ascii="Times New Roman" w:hAnsi="Times New Roman" w:eastAsia="宋体" w:cs="Times New Roman"/>
                      <w:color w:val="auto"/>
                      <w:szCs w:val="22"/>
                      <w:highlight w:val="none"/>
                      <w:u w:val="none" w:color="auto"/>
                      <w:lang w:eastAsia="zh-CN"/>
                    </w:rPr>
                  </w:pPr>
                  <w:r>
                    <w:rPr>
                      <w:rFonts w:hint="eastAsia" w:ascii="Times New Roman" w:hAnsi="Times New Roman" w:cs="Times New Roman"/>
                      <w:color w:val="auto"/>
                      <w:highlight w:val="none"/>
                      <w:u w:val="none" w:color="auto"/>
                      <w:lang w:eastAsia="zh-CN"/>
                    </w:rPr>
                    <w:t>北</w:t>
                  </w:r>
                </w:p>
              </w:tc>
              <w:tc>
                <w:tcPr>
                  <w:tcW w:w="1023" w:type="dxa"/>
                  <w:tcBorders>
                    <w:tl2br w:val="nil"/>
                    <w:tr2bl w:val="nil"/>
                  </w:tcBorders>
                  <w:vAlign w:val="center"/>
                </w:tcPr>
                <w:p w14:paraId="1864CA09">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420</w:t>
                  </w:r>
                </w:p>
              </w:tc>
              <w:tc>
                <w:tcPr>
                  <w:tcW w:w="1186" w:type="dxa"/>
                  <w:vMerge w:val="continue"/>
                  <w:tcBorders>
                    <w:tl2br w:val="nil"/>
                    <w:tr2bl w:val="nil"/>
                  </w:tcBorders>
                  <w:vAlign w:val="center"/>
                </w:tcPr>
                <w:p w14:paraId="66036C0F">
                  <w:pPr>
                    <w:pStyle w:val="94"/>
                    <w:rPr>
                      <w:rFonts w:hint="eastAsia" w:ascii="Times New Roman" w:hAnsi="Times New Roman" w:cs="Times New Roman"/>
                      <w:color w:val="auto"/>
                      <w:highlight w:val="none"/>
                      <w:u w:val="none" w:color="auto"/>
                      <w:lang w:val="en-US" w:eastAsia="zh-CN"/>
                    </w:rPr>
                  </w:pPr>
                </w:p>
              </w:tc>
            </w:tr>
            <w:tr w14:paraId="4DC9D3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shd w:val="clear" w:color="auto" w:fill="auto"/>
                  <w:vAlign w:val="center"/>
                </w:tcPr>
                <w:p w14:paraId="1E5DF419">
                  <w:pPr>
                    <w:snapToGrid w:val="0"/>
                    <w:jc w:val="center"/>
                    <w:rPr>
                      <w:rFonts w:hint="eastAsia" w:ascii="Times New Roman" w:hAnsi="Times New Roman" w:eastAsia="宋体" w:cs="Times New Roman"/>
                      <w:kern w:val="2"/>
                      <w:sz w:val="21"/>
                      <w:szCs w:val="21"/>
                      <w:u w:val="none" w:color="auto"/>
                      <w:lang w:val="en-US" w:eastAsia="zh-CN" w:bidi="ar-SA"/>
                    </w:rPr>
                  </w:pPr>
                  <w:r>
                    <w:rPr>
                      <w:rFonts w:hint="eastAsia" w:ascii="Times New Roman" w:hAnsi="Times New Roman"/>
                      <w:sz w:val="21"/>
                      <w:szCs w:val="21"/>
                      <w:u w:val="none" w:color="auto"/>
                    </w:rPr>
                    <w:t>下旺冲居民点</w:t>
                  </w:r>
                </w:p>
              </w:tc>
              <w:tc>
                <w:tcPr>
                  <w:tcW w:w="1050" w:type="dxa"/>
                  <w:tcBorders>
                    <w:tl2br w:val="nil"/>
                    <w:tr2bl w:val="nil"/>
                  </w:tcBorders>
                  <w:vAlign w:val="center"/>
                </w:tcPr>
                <w:p w14:paraId="0C90DC20">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112.118240</w:t>
                  </w:r>
                </w:p>
              </w:tc>
              <w:tc>
                <w:tcPr>
                  <w:tcW w:w="984" w:type="dxa"/>
                  <w:tcBorders>
                    <w:tl2br w:val="nil"/>
                    <w:tr2bl w:val="nil"/>
                  </w:tcBorders>
                  <w:vAlign w:val="center"/>
                </w:tcPr>
                <w:p w14:paraId="566D7B45">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26.386008</w:t>
                  </w:r>
                </w:p>
              </w:tc>
              <w:tc>
                <w:tcPr>
                  <w:tcW w:w="600" w:type="dxa"/>
                  <w:tcBorders>
                    <w:tl2br w:val="nil"/>
                    <w:tr2bl w:val="nil"/>
                  </w:tcBorders>
                  <w:vAlign w:val="center"/>
                </w:tcPr>
                <w:p w14:paraId="219FF1D6">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3EA37BEC">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10</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722BA689">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0CC1577A">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西北</w:t>
                  </w:r>
                </w:p>
              </w:tc>
              <w:tc>
                <w:tcPr>
                  <w:tcW w:w="1023" w:type="dxa"/>
                  <w:tcBorders>
                    <w:tl2br w:val="nil"/>
                    <w:tr2bl w:val="nil"/>
                  </w:tcBorders>
                  <w:vAlign w:val="center"/>
                </w:tcPr>
                <w:p w14:paraId="36E629BA">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480</w:t>
                  </w:r>
                </w:p>
              </w:tc>
              <w:tc>
                <w:tcPr>
                  <w:tcW w:w="1186" w:type="dxa"/>
                  <w:vMerge w:val="continue"/>
                  <w:tcBorders>
                    <w:tl2br w:val="nil"/>
                    <w:tr2bl w:val="nil"/>
                  </w:tcBorders>
                  <w:vAlign w:val="center"/>
                </w:tcPr>
                <w:p w14:paraId="31671ED5">
                  <w:pPr>
                    <w:pStyle w:val="94"/>
                    <w:rPr>
                      <w:rFonts w:hint="eastAsia" w:ascii="Times New Roman" w:hAnsi="Times New Roman" w:cs="Times New Roman"/>
                      <w:color w:val="auto"/>
                      <w:highlight w:val="none"/>
                      <w:u w:val="none" w:color="auto"/>
                      <w:lang w:val="en-US" w:eastAsia="zh-CN"/>
                    </w:rPr>
                  </w:pPr>
                </w:p>
              </w:tc>
            </w:tr>
            <w:tr w14:paraId="26646BA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vAlign w:val="center"/>
                </w:tcPr>
                <w:p w14:paraId="60C7C3B3">
                  <w:pPr>
                    <w:pStyle w:val="94"/>
                    <w:rPr>
                      <w:rFonts w:hint="eastAsia" w:ascii="Times New Roman" w:hAnsi="Times New Roman" w:cs="Times New Roman"/>
                      <w:color w:val="auto"/>
                      <w:highlight w:val="none"/>
                      <w:u w:val="none" w:color="auto"/>
                      <w:lang w:val="en-US" w:eastAsia="zh-CN"/>
                    </w:rPr>
                  </w:pPr>
                  <w:r>
                    <w:rPr>
                      <w:rFonts w:hint="eastAsia" w:ascii="Times New Roman" w:hAnsi="Times New Roman"/>
                      <w:sz w:val="21"/>
                      <w:szCs w:val="21"/>
                      <w:u w:val="none" w:color="auto"/>
                    </w:rPr>
                    <w:t>九</w:t>
                  </w:r>
                  <w:r>
                    <w:rPr>
                      <w:rFonts w:hint="eastAsia" w:ascii="Times New Roman" w:hAnsi="Times New Roman"/>
                      <w:sz w:val="21"/>
                      <w:szCs w:val="21"/>
                      <w:u w:val="none" w:color="auto"/>
                      <w:lang w:val="en-US" w:eastAsia="zh-CN"/>
                    </w:rPr>
                    <w:t>卢</w:t>
                  </w:r>
                  <w:r>
                    <w:rPr>
                      <w:rFonts w:hint="eastAsia" w:ascii="Times New Roman" w:hAnsi="Times New Roman"/>
                      <w:sz w:val="21"/>
                      <w:szCs w:val="21"/>
                      <w:u w:val="none" w:color="auto"/>
                    </w:rPr>
                    <w:t>冲居民点</w:t>
                  </w:r>
                </w:p>
              </w:tc>
              <w:tc>
                <w:tcPr>
                  <w:tcW w:w="1050" w:type="dxa"/>
                  <w:tcBorders>
                    <w:tl2br w:val="nil"/>
                    <w:tr2bl w:val="nil"/>
                  </w:tcBorders>
                  <w:vAlign w:val="center"/>
                </w:tcPr>
                <w:p w14:paraId="17D8D71D">
                  <w:pPr>
                    <w:pStyle w:val="94"/>
                    <w:rPr>
                      <w:rFonts w:hint="eastAsia"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112.120737</w:t>
                  </w:r>
                </w:p>
              </w:tc>
              <w:tc>
                <w:tcPr>
                  <w:tcW w:w="984" w:type="dxa"/>
                  <w:tcBorders>
                    <w:tl2br w:val="nil"/>
                    <w:tr2bl w:val="nil"/>
                  </w:tcBorders>
                  <w:vAlign w:val="center"/>
                </w:tcPr>
                <w:p w14:paraId="0A1B8B6C">
                  <w:pPr>
                    <w:pStyle w:val="94"/>
                    <w:rPr>
                      <w:rFonts w:hint="eastAsia"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26.381798</w:t>
                  </w:r>
                </w:p>
              </w:tc>
              <w:tc>
                <w:tcPr>
                  <w:tcW w:w="600" w:type="dxa"/>
                  <w:tcBorders>
                    <w:tl2br w:val="nil"/>
                    <w:tr2bl w:val="nil"/>
                  </w:tcBorders>
                  <w:vAlign w:val="center"/>
                </w:tcPr>
                <w:p w14:paraId="72FA95D9">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7E86ACBE">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20</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5F930829">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47D1F6BE">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西南</w:t>
                  </w:r>
                </w:p>
              </w:tc>
              <w:tc>
                <w:tcPr>
                  <w:tcW w:w="1023" w:type="dxa"/>
                  <w:tcBorders>
                    <w:tl2br w:val="nil"/>
                    <w:tr2bl w:val="nil"/>
                  </w:tcBorders>
                  <w:vAlign w:val="center"/>
                </w:tcPr>
                <w:p w14:paraId="1CE7BA82">
                  <w:pPr>
                    <w:pStyle w:val="94"/>
                    <w:rPr>
                      <w:rFonts w:hint="eastAsia"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270</w:t>
                  </w:r>
                </w:p>
              </w:tc>
              <w:tc>
                <w:tcPr>
                  <w:tcW w:w="1186" w:type="dxa"/>
                  <w:vMerge w:val="continue"/>
                  <w:tcBorders>
                    <w:tl2br w:val="nil"/>
                    <w:tr2bl w:val="nil"/>
                  </w:tcBorders>
                  <w:vAlign w:val="center"/>
                </w:tcPr>
                <w:p w14:paraId="1DC7676F">
                  <w:pPr>
                    <w:pStyle w:val="94"/>
                    <w:rPr>
                      <w:rFonts w:hint="eastAsia" w:ascii="Times New Roman" w:hAnsi="Times New Roman" w:cs="Times New Roman"/>
                      <w:color w:val="auto"/>
                      <w:highlight w:val="none"/>
                      <w:u w:val="none" w:color="auto"/>
                      <w:lang w:val="en-US" w:eastAsia="zh-CN"/>
                    </w:rPr>
                  </w:pPr>
                </w:p>
              </w:tc>
            </w:tr>
            <w:tr w14:paraId="0D7DC5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shd w:val="clear" w:color="auto" w:fill="auto"/>
                  <w:vAlign w:val="center"/>
                </w:tcPr>
                <w:p w14:paraId="6BD3EDB6">
                  <w:pPr>
                    <w:pStyle w:val="94"/>
                    <w:rPr>
                      <w:rFonts w:hint="eastAsia" w:ascii="Times New Roman" w:hAnsi="Times New Roman" w:eastAsia="宋体" w:cs="Times New Roman"/>
                      <w:color w:val="auto"/>
                      <w:kern w:val="2"/>
                      <w:sz w:val="21"/>
                      <w:szCs w:val="24"/>
                      <w:highlight w:val="none"/>
                      <w:u w:val="none" w:color="auto"/>
                      <w:lang w:val="en-US" w:eastAsia="zh-CN" w:bidi="zh-CN"/>
                    </w:rPr>
                  </w:pPr>
                  <w:r>
                    <w:rPr>
                      <w:rFonts w:hint="eastAsia" w:ascii="Times New Roman" w:hAnsi="Times New Roman"/>
                      <w:sz w:val="21"/>
                      <w:szCs w:val="21"/>
                      <w:u w:val="none" w:color="auto"/>
                    </w:rPr>
                    <w:t>唐家屋居民点</w:t>
                  </w:r>
                </w:p>
              </w:tc>
              <w:tc>
                <w:tcPr>
                  <w:tcW w:w="1050" w:type="dxa"/>
                  <w:tcBorders>
                    <w:tl2br w:val="nil"/>
                    <w:tr2bl w:val="nil"/>
                  </w:tcBorders>
                  <w:vAlign w:val="center"/>
                </w:tcPr>
                <w:p w14:paraId="046A8E1C">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112.119719</w:t>
                  </w:r>
                </w:p>
              </w:tc>
              <w:tc>
                <w:tcPr>
                  <w:tcW w:w="984" w:type="dxa"/>
                  <w:tcBorders>
                    <w:tl2br w:val="nil"/>
                    <w:tr2bl w:val="nil"/>
                  </w:tcBorders>
                  <w:vAlign w:val="center"/>
                </w:tcPr>
                <w:p w14:paraId="1E6E43B0">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26.382428</w:t>
                  </w:r>
                </w:p>
              </w:tc>
              <w:tc>
                <w:tcPr>
                  <w:tcW w:w="600" w:type="dxa"/>
                  <w:tcBorders>
                    <w:tl2br w:val="nil"/>
                    <w:tr2bl w:val="nil"/>
                  </w:tcBorders>
                  <w:vAlign w:val="center"/>
                </w:tcPr>
                <w:p w14:paraId="18971F60">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54A47F41">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10</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3D5ED124">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00246E80">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西南</w:t>
                  </w:r>
                </w:p>
              </w:tc>
              <w:tc>
                <w:tcPr>
                  <w:tcW w:w="1023" w:type="dxa"/>
                  <w:tcBorders>
                    <w:tl2br w:val="nil"/>
                    <w:tr2bl w:val="nil"/>
                  </w:tcBorders>
                  <w:vAlign w:val="center"/>
                </w:tcPr>
                <w:p w14:paraId="07DEFA2D">
                  <w:pPr>
                    <w:pStyle w:val="94"/>
                    <w:rPr>
                      <w:rFonts w:hint="default" w:ascii="Times New Roman" w:hAnsi="Times New Roman"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330</w:t>
                  </w:r>
                </w:p>
              </w:tc>
              <w:tc>
                <w:tcPr>
                  <w:tcW w:w="1186" w:type="dxa"/>
                  <w:vMerge w:val="continue"/>
                  <w:tcBorders>
                    <w:tl2br w:val="nil"/>
                    <w:tr2bl w:val="nil"/>
                  </w:tcBorders>
                  <w:vAlign w:val="center"/>
                </w:tcPr>
                <w:p w14:paraId="588E23F9">
                  <w:pPr>
                    <w:pStyle w:val="94"/>
                    <w:rPr>
                      <w:rFonts w:hint="eastAsia" w:ascii="Times New Roman" w:hAnsi="Times New Roman" w:cs="Times New Roman"/>
                      <w:color w:val="auto"/>
                      <w:highlight w:val="none"/>
                      <w:u w:val="none" w:color="auto"/>
                      <w:lang w:val="en-US" w:eastAsia="zh-CN"/>
                    </w:rPr>
                  </w:pPr>
                </w:p>
              </w:tc>
            </w:tr>
          </w:tbl>
          <w:p w14:paraId="1B724251">
            <w:pPr>
              <w:spacing w:line="360" w:lineRule="auto"/>
              <w:rPr>
                <w:b/>
                <w:bCs/>
                <w:color w:val="auto"/>
                <w:sz w:val="24"/>
                <w:highlight w:val="none"/>
              </w:rPr>
            </w:pPr>
            <w:r>
              <w:rPr>
                <w:b/>
                <w:bCs/>
                <w:color w:val="auto"/>
                <w:sz w:val="24"/>
                <w:highlight w:val="none"/>
              </w:rPr>
              <w:t>2、声环境</w:t>
            </w:r>
          </w:p>
          <w:p w14:paraId="103E6229">
            <w:pPr>
              <w:spacing w:line="360" w:lineRule="auto"/>
              <w:ind w:firstLine="480" w:firstLineChars="200"/>
              <w:rPr>
                <w:color w:val="auto"/>
                <w:sz w:val="24"/>
                <w:highlight w:val="none"/>
              </w:rPr>
            </w:pPr>
            <w:r>
              <w:rPr>
                <w:color w:val="auto"/>
                <w:sz w:val="24"/>
                <w:highlight w:val="none"/>
              </w:rPr>
              <w:t>根据对项目所在地的实地踏勘，本项目厂界外50m范围内</w:t>
            </w:r>
            <w:r>
              <w:rPr>
                <w:rFonts w:hint="eastAsia"/>
                <w:color w:val="auto"/>
                <w:sz w:val="24"/>
                <w:highlight w:val="none"/>
                <w:lang w:eastAsia="zh-CN"/>
              </w:rPr>
              <w:t>声</w:t>
            </w:r>
            <w:r>
              <w:rPr>
                <w:color w:val="auto"/>
                <w:sz w:val="24"/>
                <w:highlight w:val="none"/>
              </w:rPr>
              <w:t>环境保护目标</w:t>
            </w:r>
            <w:r>
              <w:rPr>
                <w:rFonts w:hint="eastAsia"/>
                <w:color w:val="auto"/>
                <w:sz w:val="24"/>
                <w:highlight w:val="none"/>
                <w:lang w:val="en-US" w:eastAsia="zh-CN"/>
              </w:rPr>
              <w:t>见下表</w:t>
            </w:r>
            <w:r>
              <w:rPr>
                <w:color w:val="auto"/>
                <w:sz w:val="24"/>
                <w:highlight w:val="none"/>
              </w:rPr>
              <w:t>。</w:t>
            </w:r>
          </w:p>
          <w:p w14:paraId="30C879F8">
            <w:pPr>
              <w:jc w:val="center"/>
              <w:rPr>
                <w:b/>
                <w:color w:val="auto"/>
                <w:szCs w:val="21"/>
                <w:highlight w:val="none"/>
                <w:u w:val="none" w:color="auto"/>
              </w:rPr>
            </w:pPr>
            <w:r>
              <w:rPr>
                <w:b/>
                <w:color w:val="auto"/>
                <w:szCs w:val="21"/>
                <w:highlight w:val="none"/>
                <w:u w:val="none" w:color="auto"/>
              </w:rPr>
              <w:t>表3-</w:t>
            </w:r>
            <w:r>
              <w:rPr>
                <w:rFonts w:hint="eastAsia"/>
                <w:b/>
                <w:color w:val="auto"/>
                <w:szCs w:val="21"/>
                <w:highlight w:val="none"/>
                <w:u w:val="none" w:color="auto"/>
                <w:lang w:val="en-US" w:eastAsia="zh-CN"/>
              </w:rPr>
              <w:t xml:space="preserve">7 </w:t>
            </w:r>
            <w:r>
              <w:rPr>
                <w:b/>
                <w:color w:val="auto"/>
                <w:szCs w:val="21"/>
                <w:highlight w:val="none"/>
                <w:u w:val="none" w:color="auto"/>
              </w:rPr>
              <w:t xml:space="preserve"> </w:t>
            </w:r>
            <w:r>
              <w:rPr>
                <w:rFonts w:hint="eastAsia"/>
                <w:b/>
                <w:color w:val="auto"/>
                <w:szCs w:val="21"/>
                <w:highlight w:val="none"/>
                <w:u w:val="none" w:color="auto"/>
                <w:lang w:val="en-US" w:eastAsia="zh-CN"/>
              </w:rPr>
              <w:t>声</w:t>
            </w:r>
            <w:r>
              <w:rPr>
                <w:b/>
                <w:color w:val="auto"/>
                <w:szCs w:val="21"/>
                <w:highlight w:val="none"/>
                <w:u w:val="none" w:color="auto"/>
              </w:rPr>
              <w:t>环境保护目标一览表</w:t>
            </w:r>
          </w:p>
          <w:tbl>
            <w:tblPr>
              <w:tblStyle w:val="42"/>
              <w:tblW w:w="841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116"/>
              <w:gridCol w:w="1050"/>
              <w:gridCol w:w="984"/>
              <w:gridCol w:w="600"/>
              <w:gridCol w:w="928"/>
              <w:gridCol w:w="722"/>
              <w:gridCol w:w="805"/>
              <w:gridCol w:w="1023"/>
              <w:gridCol w:w="1186"/>
            </w:tblGrid>
            <w:tr w14:paraId="5FEECC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blHeader/>
                <w:jc w:val="center"/>
              </w:trPr>
              <w:tc>
                <w:tcPr>
                  <w:tcW w:w="1116" w:type="dxa"/>
                  <w:vMerge w:val="restart"/>
                  <w:tcBorders>
                    <w:tl2br w:val="nil"/>
                    <w:tr2bl w:val="nil"/>
                  </w:tcBorders>
                  <w:vAlign w:val="center"/>
                </w:tcPr>
                <w:p w14:paraId="590D6446">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名称</w:t>
                  </w:r>
                </w:p>
              </w:tc>
              <w:tc>
                <w:tcPr>
                  <w:tcW w:w="2034" w:type="dxa"/>
                  <w:gridSpan w:val="2"/>
                  <w:tcBorders>
                    <w:tl2br w:val="nil"/>
                    <w:tr2bl w:val="nil"/>
                  </w:tcBorders>
                  <w:vAlign w:val="center"/>
                </w:tcPr>
                <w:p w14:paraId="2509C47E">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坐标</w:t>
                  </w:r>
                </w:p>
              </w:tc>
              <w:tc>
                <w:tcPr>
                  <w:tcW w:w="600" w:type="dxa"/>
                  <w:vMerge w:val="restart"/>
                  <w:tcBorders>
                    <w:tl2br w:val="nil"/>
                    <w:tr2bl w:val="nil"/>
                  </w:tcBorders>
                  <w:vAlign w:val="center"/>
                </w:tcPr>
                <w:p w14:paraId="210A6E23">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保护对象</w:t>
                  </w:r>
                </w:p>
              </w:tc>
              <w:tc>
                <w:tcPr>
                  <w:tcW w:w="928" w:type="dxa"/>
                  <w:vMerge w:val="restart"/>
                  <w:tcBorders>
                    <w:tl2br w:val="nil"/>
                    <w:tr2bl w:val="nil"/>
                  </w:tcBorders>
                  <w:vAlign w:val="center"/>
                </w:tcPr>
                <w:p w14:paraId="63272AF0">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保护内容</w:t>
                  </w:r>
                </w:p>
              </w:tc>
              <w:tc>
                <w:tcPr>
                  <w:tcW w:w="722" w:type="dxa"/>
                  <w:vMerge w:val="restart"/>
                  <w:tcBorders>
                    <w:tl2br w:val="nil"/>
                    <w:tr2bl w:val="nil"/>
                  </w:tcBorders>
                  <w:vAlign w:val="center"/>
                </w:tcPr>
                <w:p w14:paraId="740AE9CB">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环境功能区</w:t>
                  </w:r>
                </w:p>
              </w:tc>
              <w:tc>
                <w:tcPr>
                  <w:tcW w:w="805" w:type="dxa"/>
                  <w:vMerge w:val="restart"/>
                  <w:tcBorders>
                    <w:tl2br w:val="nil"/>
                    <w:tr2bl w:val="nil"/>
                  </w:tcBorders>
                  <w:vAlign w:val="center"/>
                </w:tcPr>
                <w:p w14:paraId="65CB392C">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相对厂址方位</w:t>
                  </w:r>
                </w:p>
              </w:tc>
              <w:tc>
                <w:tcPr>
                  <w:tcW w:w="1023" w:type="dxa"/>
                  <w:vMerge w:val="restart"/>
                  <w:tcBorders>
                    <w:tl2br w:val="nil"/>
                    <w:tr2bl w:val="nil"/>
                  </w:tcBorders>
                  <w:vAlign w:val="center"/>
                </w:tcPr>
                <w:p w14:paraId="50CFD07A">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相对厂界距离/m</w:t>
                  </w:r>
                </w:p>
              </w:tc>
              <w:tc>
                <w:tcPr>
                  <w:tcW w:w="1186" w:type="dxa"/>
                  <w:vMerge w:val="restart"/>
                  <w:tcBorders>
                    <w:tl2br w:val="nil"/>
                    <w:tr2bl w:val="nil"/>
                  </w:tcBorders>
                  <w:vAlign w:val="center"/>
                </w:tcPr>
                <w:p w14:paraId="7A68E10D">
                  <w:pPr>
                    <w:pStyle w:val="94"/>
                    <w:rPr>
                      <w:rFonts w:hint="eastAsia" w:ascii="Times New Roman" w:hAnsi="Times New Roman" w:eastAsia="宋体" w:cs="Times New Roman"/>
                      <w:b/>
                      <w:bCs/>
                      <w:color w:val="auto"/>
                      <w:highlight w:val="none"/>
                      <w:u w:val="none" w:color="auto"/>
                      <w:lang w:eastAsia="zh-CN"/>
                    </w:rPr>
                  </w:pPr>
                  <w:r>
                    <w:rPr>
                      <w:rFonts w:hint="eastAsia" w:ascii="Times New Roman" w:hAnsi="Times New Roman" w:cs="Times New Roman"/>
                      <w:b/>
                      <w:bCs/>
                      <w:color w:val="auto"/>
                      <w:highlight w:val="none"/>
                      <w:u w:val="none" w:color="auto"/>
                      <w:lang w:eastAsia="zh-CN"/>
                    </w:rPr>
                    <w:t>保护级别</w:t>
                  </w:r>
                </w:p>
              </w:tc>
            </w:tr>
            <w:tr w14:paraId="326EE0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vMerge w:val="continue"/>
                  <w:tcBorders>
                    <w:tl2br w:val="nil"/>
                    <w:tr2bl w:val="nil"/>
                  </w:tcBorders>
                  <w:vAlign w:val="center"/>
                </w:tcPr>
                <w:p w14:paraId="399B6B8C">
                  <w:pPr>
                    <w:jc w:val="center"/>
                    <w:rPr>
                      <w:color w:val="auto"/>
                      <w:sz w:val="2"/>
                      <w:szCs w:val="2"/>
                      <w:highlight w:val="none"/>
                      <w:u w:val="none" w:color="auto"/>
                    </w:rPr>
                  </w:pPr>
                </w:p>
              </w:tc>
              <w:tc>
                <w:tcPr>
                  <w:tcW w:w="1050" w:type="dxa"/>
                  <w:tcBorders>
                    <w:tl2br w:val="nil"/>
                    <w:tr2bl w:val="nil"/>
                  </w:tcBorders>
                  <w:vAlign w:val="center"/>
                </w:tcPr>
                <w:p w14:paraId="52C6FBB0">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经度</w:t>
                  </w:r>
                </w:p>
              </w:tc>
              <w:tc>
                <w:tcPr>
                  <w:tcW w:w="984" w:type="dxa"/>
                  <w:tcBorders>
                    <w:tl2br w:val="nil"/>
                    <w:tr2bl w:val="nil"/>
                  </w:tcBorders>
                  <w:vAlign w:val="center"/>
                </w:tcPr>
                <w:p w14:paraId="5569394E">
                  <w:pPr>
                    <w:pStyle w:val="94"/>
                    <w:rPr>
                      <w:rFonts w:ascii="Times New Roman" w:hAnsi="Times New Roman" w:cs="Times New Roman"/>
                      <w:b/>
                      <w:bCs/>
                      <w:color w:val="auto"/>
                      <w:highlight w:val="none"/>
                      <w:u w:val="none" w:color="auto"/>
                    </w:rPr>
                  </w:pPr>
                  <w:r>
                    <w:rPr>
                      <w:rFonts w:ascii="Times New Roman" w:hAnsi="Times New Roman" w:cs="Times New Roman"/>
                      <w:b/>
                      <w:bCs/>
                      <w:color w:val="auto"/>
                      <w:highlight w:val="none"/>
                      <w:u w:val="none" w:color="auto"/>
                    </w:rPr>
                    <w:t>纬度</w:t>
                  </w:r>
                </w:p>
              </w:tc>
              <w:tc>
                <w:tcPr>
                  <w:tcW w:w="600" w:type="dxa"/>
                  <w:vMerge w:val="continue"/>
                  <w:tcBorders>
                    <w:tl2br w:val="nil"/>
                    <w:tr2bl w:val="nil"/>
                  </w:tcBorders>
                  <w:vAlign w:val="center"/>
                </w:tcPr>
                <w:p w14:paraId="1D513238">
                  <w:pPr>
                    <w:jc w:val="center"/>
                    <w:rPr>
                      <w:color w:val="auto"/>
                      <w:sz w:val="2"/>
                      <w:szCs w:val="2"/>
                      <w:highlight w:val="none"/>
                      <w:u w:val="none" w:color="auto"/>
                    </w:rPr>
                  </w:pPr>
                </w:p>
              </w:tc>
              <w:tc>
                <w:tcPr>
                  <w:tcW w:w="928" w:type="dxa"/>
                  <w:vMerge w:val="continue"/>
                  <w:tcBorders>
                    <w:tl2br w:val="nil"/>
                    <w:tr2bl w:val="nil"/>
                  </w:tcBorders>
                  <w:vAlign w:val="center"/>
                </w:tcPr>
                <w:p w14:paraId="718BD804">
                  <w:pPr>
                    <w:jc w:val="center"/>
                    <w:rPr>
                      <w:color w:val="auto"/>
                      <w:sz w:val="2"/>
                      <w:szCs w:val="2"/>
                      <w:highlight w:val="none"/>
                      <w:u w:val="none" w:color="auto"/>
                    </w:rPr>
                  </w:pPr>
                </w:p>
              </w:tc>
              <w:tc>
                <w:tcPr>
                  <w:tcW w:w="722" w:type="dxa"/>
                  <w:vMerge w:val="continue"/>
                  <w:tcBorders>
                    <w:tl2br w:val="nil"/>
                    <w:tr2bl w:val="nil"/>
                  </w:tcBorders>
                  <w:vAlign w:val="center"/>
                </w:tcPr>
                <w:p w14:paraId="46290003">
                  <w:pPr>
                    <w:jc w:val="center"/>
                    <w:rPr>
                      <w:color w:val="auto"/>
                      <w:sz w:val="2"/>
                      <w:szCs w:val="2"/>
                      <w:highlight w:val="none"/>
                      <w:u w:val="none" w:color="auto"/>
                    </w:rPr>
                  </w:pPr>
                </w:p>
              </w:tc>
              <w:tc>
                <w:tcPr>
                  <w:tcW w:w="805" w:type="dxa"/>
                  <w:vMerge w:val="continue"/>
                  <w:tcBorders>
                    <w:tl2br w:val="nil"/>
                    <w:tr2bl w:val="nil"/>
                  </w:tcBorders>
                  <w:vAlign w:val="center"/>
                </w:tcPr>
                <w:p w14:paraId="0A9D6774">
                  <w:pPr>
                    <w:jc w:val="center"/>
                    <w:rPr>
                      <w:color w:val="auto"/>
                      <w:sz w:val="2"/>
                      <w:szCs w:val="2"/>
                      <w:highlight w:val="none"/>
                      <w:u w:val="none" w:color="auto"/>
                    </w:rPr>
                  </w:pPr>
                </w:p>
              </w:tc>
              <w:tc>
                <w:tcPr>
                  <w:tcW w:w="1023" w:type="dxa"/>
                  <w:vMerge w:val="continue"/>
                  <w:tcBorders>
                    <w:tl2br w:val="nil"/>
                    <w:tr2bl w:val="nil"/>
                  </w:tcBorders>
                  <w:vAlign w:val="center"/>
                </w:tcPr>
                <w:p w14:paraId="2A6DC465">
                  <w:pPr>
                    <w:jc w:val="center"/>
                    <w:rPr>
                      <w:color w:val="auto"/>
                      <w:sz w:val="2"/>
                      <w:szCs w:val="2"/>
                      <w:highlight w:val="none"/>
                      <w:u w:val="none" w:color="auto"/>
                    </w:rPr>
                  </w:pPr>
                </w:p>
              </w:tc>
              <w:tc>
                <w:tcPr>
                  <w:tcW w:w="1186" w:type="dxa"/>
                  <w:vMerge w:val="continue"/>
                  <w:tcBorders>
                    <w:tl2br w:val="nil"/>
                    <w:tr2bl w:val="nil"/>
                  </w:tcBorders>
                  <w:vAlign w:val="center"/>
                </w:tcPr>
                <w:p w14:paraId="260270B5">
                  <w:pPr>
                    <w:jc w:val="center"/>
                    <w:rPr>
                      <w:color w:val="auto"/>
                      <w:sz w:val="2"/>
                      <w:szCs w:val="2"/>
                      <w:highlight w:val="none"/>
                      <w:u w:val="none" w:color="auto"/>
                    </w:rPr>
                  </w:pPr>
                </w:p>
              </w:tc>
            </w:tr>
            <w:tr w14:paraId="435D37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16" w:type="dxa"/>
                  <w:tcBorders>
                    <w:tl2br w:val="nil"/>
                    <w:tr2bl w:val="nil"/>
                  </w:tcBorders>
                  <w:shd w:val="clear" w:color="auto" w:fill="auto"/>
                  <w:vAlign w:val="center"/>
                </w:tcPr>
                <w:p w14:paraId="3854A228">
                  <w:pPr>
                    <w:snapToGrid w:val="0"/>
                    <w:jc w:val="center"/>
                    <w:rPr>
                      <w:rFonts w:hint="default" w:ascii="Times New Roman" w:hAnsi="Times New Roman" w:eastAsia="宋体" w:cs="Times New Roman"/>
                      <w:kern w:val="2"/>
                      <w:sz w:val="21"/>
                      <w:szCs w:val="21"/>
                      <w:u w:val="none" w:color="auto"/>
                      <w:lang w:val="en-US" w:eastAsia="zh-CN" w:bidi="ar-SA"/>
                    </w:rPr>
                  </w:pPr>
                  <w:r>
                    <w:rPr>
                      <w:rFonts w:hint="eastAsia" w:ascii="Times New Roman" w:hAnsi="Times New Roman"/>
                      <w:sz w:val="21"/>
                      <w:szCs w:val="21"/>
                      <w:u w:val="none" w:color="auto"/>
                    </w:rPr>
                    <w:t>大富村居民点</w:t>
                  </w:r>
                  <w:r>
                    <w:rPr>
                      <w:rFonts w:ascii="Times New Roman" w:hAnsi="Times New Roman"/>
                      <w:sz w:val="21"/>
                      <w:szCs w:val="21"/>
                      <w:u w:val="none" w:color="auto"/>
                    </w:rPr>
                    <w:t>1</w:t>
                  </w:r>
                </w:p>
              </w:tc>
              <w:tc>
                <w:tcPr>
                  <w:tcW w:w="1050" w:type="dxa"/>
                  <w:tcBorders>
                    <w:tl2br w:val="nil"/>
                    <w:tr2bl w:val="nil"/>
                  </w:tcBorders>
                  <w:vAlign w:val="center"/>
                </w:tcPr>
                <w:p w14:paraId="5DBB1D7C">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112.123068</w:t>
                  </w:r>
                </w:p>
              </w:tc>
              <w:tc>
                <w:tcPr>
                  <w:tcW w:w="984" w:type="dxa"/>
                  <w:tcBorders>
                    <w:tl2br w:val="nil"/>
                    <w:tr2bl w:val="nil"/>
                  </w:tcBorders>
                  <w:vAlign w:val="center"/>
                </w:tcPr>
                <w:p w14:paraId="585D3C3C">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26.385395</w:t>
                  </w:r>
                </w:p>
              </w:tc>
              <w:tc>
                <w:tcPr>
                  <w:tcW w:w="600" w:type="dxa"/>
                  <w:tcBorders>
                    <w:tl2br w:val="nil"/>
                    <w:tr2bl w:val="nil"/>
                  </w:tcBorders>
                  <w:vAlign w:val="center"/>
                </w:tcPr>
                <w:p w14:paraId="0F61328F">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居民</w:t>
                  </w:r>
                </w:p>
              </w:tc>
              <w:tc>
                <w:tcPr>
                  <w:tcW w:w="928" w:type="dxa"/>
                  <w:tcBorders>
                    <w:tl2br w:val="nil"/>
                    <w:tr2bl w:val="nil"/>
                  </w:tcBorders>
                  <w:vAlign w:val="center"/>
                </w:tcPr>
                <w:p w14:paraId="7F5330A1">
                  <w:pPr>
                    <w:pStyle w:val="94"/>
                    <w:rPr>
                      <w:rFonts w:ascii="Times New Roman" w:hAnsi="Times New Roman" w:cs="Times New Roman"/>
                      <w:color w:val="auto"/>
                      <w:highlight w:val="none"/>
                      <w:u w:val="none" w:color="auto"/>
                    </w:rPr>
                  </w:pPr>
                  <w:r>
                    <w:rPr>
                      <w:rFonts w:ascii="Times New Roman" w:hAnsi="Times New Roman" w:cs="Times New Roman"/>
                      <w:color w:val="auto"/>
                      <w:highlight w:val="none"/>
                      <w:u w:val="none" w:color="auto"/>
                    </w:rPr>
                    <w:t>约</w:t>
                  </w:r>
                  <w:r>
                    <w:rPr>
                      <w:rFonts w:hint="eastAsia" w:ascii="Times New Roman" w:hAnsi="Times New Roman" w:cs="Times New Roman"/>
                      <w:color w:val="auto"/>
                      <w:highlight w:val="none"/>
                      <w:u w:val="none" w:color="auto"/>
                      <w:lang w:val="en-US" w:eastAsia="zh-CN"/>
                    </w:rPr>
                    <w:t>10</w:t>
                  </w:r>
                  <w:r>
                    <w:rPr>
                      <w:rFonts w:ascii="Times New Roman" w:hAnsi="Times New Roman" w:cs="Times New Roman"/>
                      <w:color w:val="auto"/>
                      <w:highlight w:val="none"/>
                      <w:u w:val="none" w:color="auto"/>
                    </w:rPr>
                    <w:t>户</w:t>
                  </w:r>
                </w:p>
              </w:tc>
              <w:tc>
                <w:tcPr>
                  <w:tcW w:w="722" w:type="dxa"/>
                  <w:tcBorders>
                    <w:tl2br w:val="nil"/>
                    <w:tr2bl w:val="nil"/>
                  </w:tcBorders>
                  <w:vAlign w:val="center"/>
                </w:tcPr>
                <w:p w14:paraId="08E1C00C">
                  <w:pPr>
                    <w:pStyle w:val="94"/>
                    <w:rPr>
                      <w:rFonts w:ascii="Times New Roman" w:hAnsi="Times New Roman" w:cs="Times New Roman"/>
                      <w:color w:val="auto"/>
                      <w:szCs w:val="22"/>
                      <w:highlight w:val="none"/>
                      <w:u w:val="none" w:color="auto"/>
                    </w:rPr>
                  </w:pPr>
                  <w:r>
                    <w:rPr>
                      <w:rFonts w:ascii="Times New Roman" w:hAnsi="Times New Roman" w:cs="Times New Roman"/>
                      <w:color w:val="auto"/>
                      <w:szCs w:val="22"/>
                      <w:highlight w:val="none"/>
                      <w:u w:val="none" w:color="auto"/>
                    </w:rPr>
                    <w:t>二类区</w:t>
                  </w:r>
                </w:p>
              </w:tc>
              <w:tc>
                <w:tcPr>
                  <w:tcW w:w="805" w:type="dxa"/>
                  <w:tcBorders>
                    <w:tl2br w:val="nil"/>
                    <w:tr2bl w:val="nil"/>
                  </w:tcBorders>
                  <w:vAlign w:val="center"/>
                </w:tcPr>
                <w:p w14:paraId="6A00560E">
                  <w:pPr>
                    <w:pStyle w:val="94"/>
                    <w:rPr>
                      <w:rFonts w:ascii="Times New Roman" w:hAnsi="Times New Roman" w:cs="Times New Roman"/>
                      <w:color w:val="auto"/>
                      <w:highlight w:val="none"/>
                      <w:u w:val="none" w:color="auto"/>
                    </w:rPr>
                  </w:pPr>
                  <w:r>
                    <w:rPr>
                      <w:rFonts w:hint="eastAsia" w:ascii="Times New Roman" w:hAnsi="Times New Roman" w:cs="Times New Roman"/>
                      <w:color w:val="auto"/>
                      <w:highlight w:val="none"/>
                      <w:u w:val="none" w:color="auto"/>
                      <w:lang w:val="en-US" w:eastAsia="zh-CN"/>
                    </w:rPr>
                    <w:t>东</w:t>
                  </w:r>
                  <w:r>
                    <w:rPr>
                      <w:rFonts w:hint="eastAsia" w:ascii="Times New Roman" w:hAnsi="Times New Roman" w:cs="Times New Roman"/>
                      <w:color w:val="auto"/>
                      <w:highlight w:val="none"/>
                      <w:u w:val="none" w:color="auto"/>
                      <w:lang w:eastAsia="zh-CN"/>
                    </w:rPr>
                    <w:t>北</w:t>
                  </w:r>
                </w:p>
              </w:tc>
              <w:tc>
                <w:tcPr>
                  <w:tcW w:w="1023" w:type="dxa"/>
                  <w:tcBorders>
                    <w:tl2br w:val="nil"/>
                    <w:tr2bl w:val="nil"/>
                  </w:tcBorders>
                  <w:vAlign w:val="center"/>
                </w:tcPr>
                <w:p w14:paraId="7EF66338">
                  <w:pPr>
                    <w:pStyle w:val="94"/>
                    <w:rPr>
                      <w:rFonts w:hint="default" w:ascii="Times New Roman" w:hAnsi="Times New Roman" w:eastAsia="宋体" w:cs="Times New Roman"/>
                      <w:color w:val="auto"/>
                      <w:highlight w:val="none"/>
                      <w:u w:val="none" w:color="auto"/>
                      <w:lang w:val="en-US" w:eastAsia="zh-CN"/>
                    </w:rPr>
                  </w:pPr>
                  <w:r>
                    <w:rPr>
                      <w:rFonts w:hint="eastAsia" w:ascii="Times New Roman" w:hAnsi="Times New Roman" w:cs="Times New Roman"/>
                      <w:color w:val="auto"/>
                      <w:highlight w:val="none"/>
                      <w:u w:val="none" w:color="auto"/>
                      <w:lang w:val="en-US" w:eastAsia="zh-CN"/>
                    </w:rPr>
                    <w:t>45</w:t>
                  </w:r>
                </w:p>
              </w:tc>
              <w:tc>
                <w:tcPr>
                  <w:tcW w:w="1186" w:type="dxa"/>
                  <w:tcBorders>
                    <w:tl2br w:val="nil"/>
                    <w:tr2bl w:val="nil"/>
                  </w:tcBorders>
                  <w:vAlign w:val="center"/>
                </w:tcPr>
                <w:p w14:paraId="54AE85CB">
                  <w:pPr>
                    <w:jc w:val="center"/>
                    <w:rPr>
                      <w:rFonts w:hint="eastAsia" w:ascii="Times New Roman" w:hAnsi="Times New Roman" w:eastAsia="宋体" w:cs="Times New Roman"/>
                      <w:color w:val="auto"/>
                      <w:kern w:val="2"/>
                      <w:sz w:val="21"/>
                      <w:szCs w:val="21"/>
                      <w:highlight w:val="none"/>
                      <w:u w:val="none" w:color="auto"/>
                      <w:lang w:val="en-US" w:eastAsia="zh-CN" w:bidi="ar-SA"/>
                    </w:rPr>
                  </w:pPr>
                  <w:r>
                    <w:rPr>
                      <w:rFonts w:hint="eastAsia"/>
                      <w:sz w:val="21"/>
                      <w:szCs w:val="21"/>
                    </w:rPr>
                    <w:t>《声环境质量标准》（GB3096-2008）中2类标准</w:t>
                  </w:r>
                </w:p>
              </w:tc>
            </w:tr>
          </w:tbl>
          <w:p w14:paraId="668629CB">
            <w:pPr>
              <w:shd w:val="clear" w:color="auto" w:fill="FFFFFF"/>
              <w:spacing w:line="360" w:lineRule="auto"/>
              <w:rPr>
                <w:b/>
                <w:color w:val="auto"/>
                <w:szCs w:val="21"/>
                <w:highlight w:val="none"/>
              </w:rPr>
            </w:pPr>
            <w:r>
              <w:rPr>
                <w:b/>
                <w:bCs/>
                <w:color w:val="auto"/>
                <w:sz w:val="24"/>
                <w:highlight w:val="none"/>
              </w:rPr>
              <w:t>3、</w:t>
            </w:r>
            <w:r>
              <w:rPr>
                <w:rFonts w:hint="eastAsia"/>
                <w:b/>
                <w:bCs/>
                <w:color w:val="auto"/>
                <w:sz w:val="24"/>
                <w:highlight w:val="none"/>
              </w:rPr>
              <w:t>其他</w:t>
            </w:r>
            <w:r>
              <w:rPr>
                <w:b/>
                <w:bCs/>
                <w:color w:val="auto"/>
                <w:sz w:val="24"/>
                <w:highlight w:val="none"/>
              </w:rPr>
              <w:t>环境</w:t>
            </w:r>
          </w:p>
          <w:p w14:paraId="394310D8">
            <w:pPr>
              <w:pStyle w:val="8"/>
              <w:rPr>
                <w:rFonts w:eastAsia="宋体"/>
                <w:b/>
                <w:color w:val="auto"/>
                <w:highlight w:val="none"/>
              </w:rPr>
            </w:pPr>
            <w:r>
              <w:rPr>
                <w:rFonts w:hint="eastAsia" w:eastAsia="宋体"/>
                <w:b/>
                <w:color w:val="auto"/>
                <w:highlight w:val="none"/>
              </w:rPr>
              <w:t>表3-</w:t>
            </w:r>
            <w:r>
              <w:rPr>
                <w:rFonts w:hint="eastAsia" w:eastAsia="宋体"/>
                <w:b/>
                <w:color w:val="auto"/>
                <w:highlight w:val="none"/>
                <w:lang w:val="en-US" w:eastAsia="zh-CN"/>
              </w:rPr>
              <w:t>8</w:t>
            </w:r>
            <w:r>
              <w:rPr>
                <w:rFonts w:eastAsia="宋体"/>
                <w:b/>
                <w:color w:val="auto"/>
                <w:highlight w:val="none"/>
              </w:rPr>
              <w:t xml:space="preserve">  </w:t>
            </w:r>
            <w:r>
              <w:rPr>
                <w:rFonts w:hint="eastAsia" w:eastAsia="宋体"/>
                <w:b/>
                <w:color w:val="auto"/>
                <w:highlight w:val="none"/>
              </w:rPr>
              <w:t>其他环境保护目标一览表</w:t>
            </w:r>
          </w:p>
          <w:tbl>
            <w:tblPr>
              <w:tblStyle w:val="42"/>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79"/>
              <w:gridCol w:w="1496"/>
              <w:gridCol w:w="1317"/>
              <w:gridCol w:w="1502"/>
              <w:gridCol w:w="2960"/>
            </w:tblGrid>
            <w:tr w14:paraId="1FA61F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pct"/>
                  <w:tcBorders>
                    <w:tl2br w:val="nil"/>
                    <w:tr2bl w:val="nil"/>
                  </w:tcBorders>
                  <w:vAlign w:val="center"/>
                </w:tcPr>
                <w:p w14:paraId="7A017033">
                  <w:pPr>
                    <w:contextualSpacing/>
                    <w:jc w:val="center"/>
                    <w:rPr>
                      <w:rFonts w:hint="eastAsia" w:ascii="Times New Roman" w:hAnsi="Times New Roman" w:eastAsia="宋体" w:cs="Times New Roman"/>
                      <w:b/>
                      <w:bCs/>
                      <w:color w:val="auto"/>
                      <w:spacing w:val="0"/>
                      <w:kern w:val="2"/>
                      <w:sz w:val="21"/>
                      <w:szCs w:val="21"/>
                      <w:highlight w:val="none"/>
                      <w:u w:val="none"/>
                      <w:lang w:val="en-US" w:eastAsia="en-US"/>
                    </w:rPr>
                  </w:pPr>
                  <w:r>
                    <w:rPr>
                      <w:rFonts w:hint="eastAsia" w:ascii="Times New Roman" w:hAnsi="Times New Roman" w:eastAsia="宋体" w:cs="Times New Roman"/>
                      <w:b/>
                      <w:bCs/>
                      <w:color w:val="auto"/>
                      <w:spacing w:val="0"/>
                      <w:kern w:val="2"/>
                      <w:sz w:val="21"/>
                      <w:szCs w:val="21"/>
                      <w:highlight w:val="none"/>
                      <w:u w:val="none"/>
                      <w:lang w:val="en-US" w:eastAsia="en-US"/>
                    </w:rPr>
                    <w:t>项目</w:t>
                  </w:r>
                </w:p>
              </w:tc>
              <w:tc>
                <w:tcPr>
                  <w:tcW w:w="895" w:type="pct"/>
                  <w:tcBorders>
                    <w:tl2br w:val="nil"/>
                    <w:tr2bl w:val="nil"/>
                  </w:tcBorders>
                  <w:vAlign w:val="center"/>
                </w:tcPr>
                <w:p w14:paraId="30C9052F">
                  <w:pPr>
                    <w:contextualSpacing/>
                    <w:jc w:val="center"/>
                    <w:rPr>
                      <w:rFonts w:hint="eastAsia" w:ascii="Times New Roman" w:hAnsi="Times New Roman" w:eastAsia="宋体" w:cs="Times New Roman"/>
                      <w:b/>
                      <w:bCs/>
                      <w:color w:val="auto"/>
                      <w:spacing w:val="0"/>
                      <w:kern w:val="2"/>
                      <w:sz w:val="21"/>
                      <w:szCs w:val="21"/>
                      <w:highlight w:val="none"/>
                      <w:u w:val="none"/>
                      <w:lang w:val="en-US" w:eastAsia="en-US"/>
                    </w:rPr>
                  </w:pPr>
                  <w:r>
                    <w:rPr>
                      <w:rFonts w:hint="eastAsia" w:ascii="Times New Roman" w:hAnsi="Times New Roman" w:eastAsia="宋体" w:cs="Times New Roman"/>
                      <w:b/>
                      <w:bCs/>
                      <w:color w:val="auto"/>
                      <w:spacing w:val="0"/>
                      <w:kern w:val="2"/>
                      <w:sz w:val="21"/>
                      <w:szCs w:val="21"/>
                      <w:highlight w:val="none"/>
                      <w:u w:val="none"/>
                      <w:lang w:val="en-US" w:eastAsia="en-US"/>
                    </w:rPr>
                    <w:t>环境保护目标</w:t>
                  </w:r>
                </w:p>
              </w:tc>
              <w:tc>
                <w:tcPr>
                  <w:tcW w:w="788" w:type="pct"/>
                  <w:tcBorders>
                    <w:tl2br w:val="nil"/>
                    <w:tr2bl w:val="nil"/>
                  </w:tcBorders>
                  <w:vAlign w:val="center"/>
                </w:tcPr>
                <w:p w14:paraId="0D689975">
                  <w:pPr>
                    <w:contextualSpacing/>
                    <w:jc w:val="center"/>
                    <w:rPr>
                      <w:rFonts w:hint="eastAsia" w:ascii="Times New Roman" w:hAnsi="Times New Roman" w:eastAsia="宋体" w:cs="Times New Roman"/>
                      <w:b/>
                      <w:bCs/>
                      <w:color w:val="auto"/>
                      <w:spacing w:val="0"/>
                      <w:kern w:val="2"/>
                      <w:sz w:val="21"/>
                      <w:szCs w:val="21"/>
                      <w:highlight w:val="none"/>
                      <w:u w:val="none"/>
                      <w:lang w:val="en-US" w:eastAsia="en-US"/>
                    </w:rPr>
                  </w:pPr>
                  <w:r>
                    <w:rPr>
                      <w:rFonts w:hint="eastAsia" w:ascii="Times New Roman" w:hAnsi="Times New Roman" w:eastAsia="宋体" w:cs="Times New Roman"/>
                      <w:b/>
                      <w:bCs/>
                      <w:color w:val="auto"/>
                      <w:spacing w:val="0"/>
                      <w:kern w:val="2"/>
                      <w:sz w:val="21"/>
                      <w:szCs w:val="21"/>
                      <w:highlight w:val="none"/>
                      <w:u w:val="none"/>
                      <w:lang w:val="en-US" w:eastAsia="en-US"/>
                    </w:rPr>
                    <w:t>相对厂界方位、距离/m</w:t>
                  </w:r>
                </w:p>
              </w:tc>
              <w:tc>
                <w:tcPr>
                  <w:tcW w:w="899" w:type="pct"/>
                  <w:tcBorders>
                    <w:tl2br w:val="nil"/>
                    <w:tr2bl w:val="nil"/>
                  </w:tcBorders>
                  <w:vAlign w:val="center"/>
                </w:tcPr>
                <w:p w14:paraId="62B48FE3">
                  <w:pPr>
                    <w:contextualSpacing/>
                    <w:jc w:val="center"/>
                    <w:rPr>
                      <w:rFonts w:hint="eastAsia" w:ascii="Times New Roman" w:hAnsi="Times New Roman" w:eastAsia="宋体" w:cs="Times New Roman"/>
                      <w:b/>
                      <w:bCs/>
                      <w:color w:val="auto"/>
                      <w:spacing w:val="0"/>
                      <w:kern w:val="2"/>
                      <w:sz w:val="21"/>
                      <w:szCs w:val="21"/>
                      <w:highlight w:val="none"/>
                      <w:u w:val="none"/>
                      <w:lang w:val="en-US" w:eastAsia="en-US"/>
                    </w:rPr>
                  </w:pPr>
                  <w:r>
                    <w:rPr>
                      <w:rFonts w:hint="eastAsia" w:ascii="Times New Roman" w:hAnsi="Times New Roman" w:eastAsia="宋体" w:cs="Times New Roman"/>
                      <w:b/>
                      <w:bCs/>
                      <w:color w:val="auto"/>
                      <w:spacing w:val="0"/>
                      <w:kern w:val="2"/>
                      <w:sz w:val="21"/>
                      <w:szCs w:val="21"/>
                      <w:highlight w:val="none"/>
                      <w:u w:val="none"/>
                      <w:lang w:val="en-US" w:eastAsia="en-US"/>
                    </w:rPr>
                    <w:t>功能及规模</w:t>
                  </w:r>
                </w:p>
              </w:tc>
              <w:tc>
                <w:tcPr>
                  <w:tcW w:w="1770" w:type="pct"/>
                  <w:tcBorders>
                    <w:tl2br w:val="nil"/>
                    <w:tr2bl w:val="nil"/>
                  </w:tcBorders>
                  <w:vAlign w:val="center"/>
                </w:tcPr>
                <w:p w14:paraId="1DEABD70">
                  <w:pPr>
                    <w:contextualSpacing/>
                    <w:jc w:val="center"/>
                    <w:rPr>
                      <w:rFonts w:hint="eastAsia" w:ascii="Times New Roman" w:hAnsi="Times New Roman" w:eastAsia="宋体" w:cs="Times New Roman"/>
                      <w:b/>
                      <w:bCs/>
                      <w:color w:val="auto"/>
                      <w:spacing w:val="0"/>
                      <w:kern w:val="2"/>
                      <w:sz w:val="21"/>
                      <w:szCs w:val="21"/>
                      <w:highlight w:val="none"/>
                      <w:u w:val="none"/>
                      <w:lang w:val="en-US" w:eastAsia="en-US"/>
                    </w:rPr>
                  </w:pPr>
                  <w:r>
                    <w:rPr>
                      <w:rFonts w:hint="eastAsia" w:ascii="Times New Roman" w:hAnsi="Times New Roman" w:eastAsia="宋体" w:cs="Times New Roman"/>
                      <w:b/>
                      <w:bCs/>
                      <w:color w:val="auto"/>
                      <w:spacing w:val="0"/>
                      <w:kern w:val="2"/>
                      <w:sz w:val="21"/>
                      <w:szCs w:val="21"/>
                      <w:highlight w:val="none"/>
                      <w:u w:val="none"/>
                      <w:lang w:val="en-US" w:eastAsia="en-US"/>
                    </w:rPr>
                    <w:t>保护级别</w:t>
                  </w:r>
                </w:p>
              </w:tc>
            </w:tr>
            <w:tr w14:paraId="029443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pct"/>
                  <w:tcBorders>
                    <w:tl2br w:val="nil"/>
                    <w:tr2bl w:val="nil"/>
                  </w:tcBorders>
                  <w:vAlign w:val="center"/>
                </w:tcPr>
                <w:p w14:paraId="0CFAD509">
                  <w:pPr>
                    <w:contextualSpacing/>
                    <w:jc w:val="center"/>
                    <w:rPr>
                      <w:rFonts w:hint="eastAsia" w:ascii="Times New Roman" w:hAnsi="Times New Roman" w:eastAsia="宋体" w:cs="Times New Roman"/>
                      <w:bCs w:val="0"/>
                      <w:color w:val="auto"/>
                      <w:spacing w:val="0"/>
                      <w:kern w:val="2"/>
                      <w:sz w:val="21"/>
                      <w:szCs w:val="21"/>
                      <w:highlight w:val="none"/>
                      <w:u w:val="none"/>
                      <w:lang w:val="en-US" w:eastAsia="en-US"/>
                    </w:rPr>
                  </w:pPr>
                  <w:r>
                    <w:rPr>
                      <w:rFonts w:hint="eastAsia" w:ascii="Times New Roman" w:hAnsi="Times New Roman" w:eastAsia="宋体" w:cs="Times New Roman"/>
                      <w:bCs w:val="0"/>
                      <w:color w:val="auto"/>
                      <w:spacing w:val="0"/>
                      <w:kern w:val="2"/>
                      <w:sz w:val="21"/>
                      <w:szCs w:val="21"/>
                      <w:highlight w:val="none"/>
                      <w:u w:val="none"/>
                      <w:lang w:val="en-US" w:eastAsia="en-US"/>
                    </w:rPr>
                    <w:t>水环境</w:t>
                  </w:r>
                </w:p>
              </w:tc>
              <w:tc>
                <w:tcPr>
                  <w:tcW w:w="895" w:type="pct"/>
                  <w:tcBorders>
                    <w:tl2br w:val="nil"/>
                    <w:tr2bl w:val="nil"/>
                  </w:tcBorders>
                  <w:vAlign w:val="center"/>
                </w:tcPr>
                <w:p w14:paraId="43D126D0">
                  <w:pPr>
                    <w:contextualSpacing/>
                    <w:jc w:val="center"/>
                    <w:rPr>
                      <w:rFonts w:hint="eastAsia" w:cs="Times New Roman"/>
                      <w:bCs w:val="0"/>
                      <w:color w:val="auto"/>
                      <w:spacing w:val="0"/>
                      <w:kern w:val="2"/>
                      <w:sz w:val="21"/>
                      <w:szCs w:val="21"/>
                      <w:highlight w:val="none"/>
                      <w:u w:val="none"/>
                      <w:lang w:val="en-US" w:eastAsia="zh-CN"/>
                    </w:rPr>
                  </w:pPr>
                  <w:r>
                    <w:rPr>
                      <w:rFonts w:hint="eastAsia"/>
                      <w:sz w:val="21"/>
                      <w:szCs w:val="21"/>
                      <w:u w:val="none"/>
                    </w:rPr>
                    <w:t>无名水库</w:t>
                  </w:r>
                </w:p>
              </w:tc>
              <w:tc>
                <w:tcPr>
                  <w:tcW w:w="788" w:type="pct"/>
                  <w:tcBorders>
                    <w:tl2br w:val="nil"/>
                    <w:tr2bl w:val="nil"/>
                  </w:tcBorders>
                  <w:vAlign w:val="center"/>
                </w:tcPr>
                <w:p w14:paraId="369AE76F">
                  <w:pPr>
                    <w:contextualSpacing/>
                    <w:jc w:val="center"/>
                    <w:rPr>
                      <w:rFonts w:hint="default" w:cs="Times New Roman"/>
                      <w:bCs w:val="0"/>
                      <w:color w:val="auto"/>
                      <w:spacing w:val="0"/>
                      <w:kern w:val="2"/>
                      <w:sz w:val="21"/>
                      <w:szCs w:val="21"/>
                      <w:highlight w:val="none"/>
                      <w:u w:val="none"/>
                      <w:lang w:val="en-US" w:eastAsia="zh-CN"/>
                    </w:rPr>
                  </w:pPr>
                  <w:r>
                    <w:rPr>
                      <w:rFonts w:hint="eastAsia" w:cs="Times New Roman"/>
                      <w:bCs w:val="0"/>
                      <w:color w:val="auto"/>
                      <w:spacing w:val="0"/>
                      <w:kern w:val="2"/>
                      <w:sz w:val="21"/>
                      <w:szCs w:val="21"/>
                      <w:highlight w:val="none"/>
                      <w:u w:val="none"/>
                      <w:lang w:val="en-US" w:eastAsia="zh-CN"/>
                    </w:rPr>
                    <w:t>东，约260m</w:t>
                  </w:r>
                </w:p>
              </w:tc>
              <w:tc>
                <w:tcPr>
                  <w:tcW w:w="899" w:type="pct"/>
                  <w:tcBorders>
                    <w:tl2br w:val="nil"/>
                    <w:tr2bl w:val="nil"/>
                  </w:tcBorders>
                  <w:vAlign w:val="center"/>
                </w:tcPr>
                <w:p w14:paraId="14BFD8CE">
                  <w:pPr>
                    <w:contextualSpacing/>
                    <w:jc w:val="center"/>
                    <w:rPr>
                      <w:rFonts w:hint="eastAsia" w:ascii="Times New Roman" w:hAnsi="Times New Roman" w:eastAsia="宋体" w:cs="Times New Roman"/>
                      <w:bCs w:val="0"/>
                      <w:color w:val="auto"/>
                      <w:spacing w:val="0"/>
                      <w:kern w:val="2"/>
                      <w:sz w:val="21"/>
                      <w:szCs w:val="21"/>
                      <w:highlight w:val="none"/>
                      <w:u w:val="none"/>
                      <w:lang w:val="en-US" w:eastAsia="zh-CN"/>
                    </w:rPr>
                  </w:pPr>
                  <w:r>
                    <w:rPr>
                      <w:rFonts w:hint="eastAsia"/>
                      <w:sz w:val="21"/>
                      <w:szCs w:val="21"/>
                      <w:u w:val="none"/>
                    </w:rPr>
                    <w:t>农业用水</w:t>
                  </w:r>
                </w:p>
              </w:tc>
              <w:tc>
                <w:tcPr>
                  <w:tcW w:w="1770" w:type="pct"/>
                  <w:tcBorders>
                    <w:tl2br w:val="nil"/>
                    <w:tr2bl w:val="nil"/>
                  </w:tcBorders>
                  <w:vAlign w:val="center"/>
                </w:tcPr>
                <w:p w14:paraId="05D3D5EF">
                  <w:pPr>
                    <w:contextualSpacing/>
                    <w:jc w:val="center"/>
                    <w:rPr>
                      <w:rFonts w:hint="default" w:ascii="Times New Roman" w:hAnsi="Times New Roman" w:eastAsia="宋体" w:cs="Times New Roman"/>
                      <w:bCs w:val="0"/>
                      <w:color w:val="auto"/>
                      <w:spacing w:val="0"/>
                      <w:kern w:val="2"/>
                      <w:sz w:val="21"/>
                      <w:szCs w:val="21"/>
                      <w:highlight w:val="none"/>
                      <w:u w:val="none"/>
                      <w:lang w:val="en-US" w:eastAsia="zh-CN"/>
                    </w:rPr>
                  </w:pPr>
                  <w:r>
                    <w:rPr>
                      <w:rFonts w:hint="default" w:ascii="Times New Roman" w:hAnsi="Times New Roman" w:eastAsia="宋体" w:cs="Times New Roman"/>
                      <w:bCs w:val="0"/>
                      <w:color w:val="auto"/>
                      <w:spacing w:val="0"/>
                      <w:kern w:val="2"/>
                      <w:sz w:val="21"/>
                      <w:szCs w:val="21"/>
                      <w:highlight w:val="none"/>
                      <w:u w:val="none"/>
                      <w:lang w:val="en-US" w:eastAsia="zh-CN"/>
                    </w:rPr>
                    <w:t>《地表水环境质量标准》（GB3838-2002）Ⅲ类标准</w:t>
                  </w:r>
                </w:p>
              </w:tc>
            </w:tr>
            <w:tr w14:paraId="21D161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pct"/>
                  <w:tcBorders>
                    <w:tl2br w:val="nil"/>
                    <w:tr2bl w:val="nil"/>
                  </w:tcBorders>
                  <w:vAlign w:val="center"/>
                </w:tcPr>
                <w:p w14:paraId="12BF2B85">
                  <w:pPr>
                    <w:contextualSpacing/>
                    <w:jc w:val="center"/>
                    <w:rPr>
                      <w:rFonts w:hint="eastAsia" w:ascii="Times New Roman" w:hAnsi="Times New Roman" w:eastAsia="宋体" w:cs="Times New Roman"/>
                      <w:bCs w:val="0"/>
                      <w:color w:val="auto"/>
                      <w:spacing w:val="0"/>
                      <w:kern w:val="2"/>
                      <w:sz w:val="21"/>
                      <w:szCs w:val="21"/>
                      <w:highlight w:val="none"/>
                      <w:u w:val="none"/>
                      <w:lang w:val="en-US" w:eastAsia="en-US"/>
                    </w:rPr>
                  </w:pPr>
                  <w:r>
                    <w:rPr>
                      <w:rFonts w:hint="eastAsia" w:ascii="Times New Roman" w:hAnsi="Times New Roman" w:eastAsia="宋体" w:cs="Times New Roman"/>
                      <w:bCs w:val="0"/>
                      <w:color w:val="auto"/>
                      <w:spacing w:val="0"/>
                      <w:kern w:val="2"/>
                      <w:sz w:val="21"/>
                      <w:szCs w:val="21"/>
                      <w:highlight w:val="none"/>
                      <w:u w:val="none"/>
                      <w:lang w:val="en-US" w:eastAsia="en-US"/>
                    </w:rPr>
                    <w:t>地下水</w:t>
                  </w:r>
                </w:p>
              </w:tc>
              <w:tc>
                <w:tcPr>
                  <w:tcW w:w="4353" w:type="pct"/>
                  <w:gridSpan w:val="4"/>
                  <w:tcBorders>
                    <w:tl2br w:val="nil"/>
                    <w:tr2bl w:val="nil"/>
                  </w:tcBorders>
                  <w:vAlign w:val="center"/>
                </w:tcPr>
                <w:p w14:paraId="43FBFD07">
                  <w:pPr>
                    <w:contextualSpacing/>
                    <w:jc w:val="center"/>
                    <w:rPr>
                      <w:rFonts w:hint="default" w:ascii="Times New Roman" w:hAnsi="Times New Roman" w:eastAsia="宋体" w:cs="Times New Roman"/>
                      <w:bCs w:val="0"/>
                      <w:color w:val="auto"/>
                      <w:spacing w:val="0"/>
                      <w:kern w:val="2"/>
                      <w:sz w:val="21"/>
                      <w:szCs w:val="21"/>
                      <w:highlight w:val="none"/>
                      <w:u w:val="none"/>
                      <w:lang w:val="en-US" w:eastAsia="zh-CN"/>
                    </w:rPr>
                  </w:pPr>
                  <w:r>
                    <w:rPr>
                      <w:rFonts w:hint="default" w:ascii="Times New Roman" w:hAnsi="Times New Roman" w:eastAsia="宋体" w:cs="Times New Roman"/>
                      <w:bCs w:val="0"/>
                      <w:color w:val="auto"/>
                      <w:spacing w:val="0"/>
                      <w:kern w:val="2"/>
                      <w:sz w:val="21"/>
                      <w:szCs w:val="21"/>
                      <w:highlight w:val="none"/>
                      <w:u w:val="none"/>
                      <w:lang w:val="en-US" w:eastAsia="zh-CN"/>
                    </w:rPr>
                    <w:t>厂界外500米范围内的无地下水集中式饮用水水源和热水、矿泉水、温泉等特殊地下水资源</w:t>
                  </w:r>
                </w:p>
              </w:tc>
            </w:tr>
            <w:tr w14:paraId="36CC5D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6" w:type="pct"/>
                  <w:tcBorders>
                    <w:tl2br w:val="nil"/>
                    <w:tr2bl w:val="nil"/>
                  </w:tcBorders>
                  <w:vAlign w:val="center"/>
                </w:tcPr>
                <w:p w14:paraId="136C43C7">
                  <w:pPr>
                    <w:contextualSpacing/>
                    <w:jc w:val="center"/>
                    <w:rPr>
                      <w:rFonts w:hint="eastAsia" w:ascii="Times New Roman" w:hAnsi="Times New Roman" w:eastAsia="宋体" w:cs="Times New Roman"/>
                      <w:bCs w:val="0"/>
                      <w:color w:val="auto"/>
                      <w:spacing w:val="0"/>
                      <w:kern w:val="2"/>
                      <w:sz w:val="21"/>
                      <w:szCs w:val="21"/>
                      <w:highlight w:val="none"/>
                      <w:u w:val="none"/>
                      <w:lang w:val="en-US" w:eastAsia="en-US"/>
                    </w:rPr>
                  </w:pPr>
                  <w:r>
                    <w:rPr>
                      <w:rFonts w:hint="eastAsia" w:ascii="Times New Roman" w:hAnsi="Times New Roman" w:eastAsia="宋体" w:cs="Times New Roman"/>
                      <w:bCs w:val="0"/>
                      <w:color w:val="auto"/>
                      <w:spacing w:val="0"/>
                      <w:kern w:val="2"/>
                      <w:sz w:val="21"/>
                      <w:szCs w:val="21"/>
                      <w:highlight w:val="none"/>
                      <w:u w:val="none"/>
                      <w:lang w:val="en-US" w:eastAsia="en-US"/>
                    </w:rPr>
                    <w:t>生态环境</w:t>
                  </w:r>
                </w:p>
              </w:tc>
              <w:tc>
                <w:tcPr>
                  <w:tcW w:w="4353" w:type="pct"/>
                  <w:gridSpan w:val="4"/>
                  <w:tcBorders>
                    <w:tl2br w:val="nil"/>
                    <w:tr2bl w:val="nil"/>
                  </w:tcBorders>
                  <w:vAlign w:val="center"/>
                </w:tcPr>
                <w:p w14:paraId="44A7608C">
                  <w:pPr>
                    <w:contextualSpacing/>
                    <w:jc w:val="center"/>
                    <w:rPr>
                      <w:rFonts w:hint="default" w:ascii="Times New Roman" w:hAnsi="Times New Roman" w:eastAsia="宋体" w:cs="Times New Roman"/>
                      <w:bCs w:val="0"/>
                      <w:color w:val="auto"/>
                      <w:spacing w:val="0"/>
                      <w:kern w:val="2"/>
                      <w:sz w:val="21"/>
                      <w:szCs w:val="21"/>
                      <w:highlight w:val="none"/>
                      <w:u w:val="none"/>
                      <w:lang w:val="en-US" w:eastAsia="zh-CN"/>
                    </w:rPr>
                  </w:pPr>
                  <w:r>
                    <w:rPr>
                      <w:rFonts w:hint="default" w:ascii="Times New Roman" w:hAnsi="Times New Roman" w:eastAsia="宋体" w:cs="Times New Roman"/>
                      <w:bCs w:val="0"/>
                      <w:color w:val="auto"/>
                      <w:spacing w:val="0"/>
                      <w:kern w:val="2"/>
                      <w:sz w:val="21"/>
                      <w:szCs w:val="21"/>
                      <w:highlight w:val="none"/>
                      <w:u w:val="none"/>
                      <w:lang w:val="en-US" w:eastAsia="zh-CN"/>
                    </w:rPr>
                    <w:t>项目用地范围内无生态环境保护目标</w:t>
                  </w:r>
                </w:p>
              </w:tc>
            </w:tr>
          </w:tbl>
          <w:p w14:paraId="53680DEB">
            <w:pPr>
              <w:shd w:val="clear" w:color="auto" w:fill="FFFFFF"/>
              <w:spacing w:line="360" w:lineRule="auto"/>
              <w:ind w:firstLine="480" w:firstLineChars="200"/>
              <w:rPr>
                <w:color w:val="auto"/>
                <w:sz w:val="24"/>
                <w:highlight w:val="none"/>
              </w:rPr>
            </w:pPr>
          </w:p>
        </w:tc>
      </w:tr>
      <w:tr w14:paraId="6C2B9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1" w:hRule="atLeast"/>
          <w:jc w:val="center"/>
        </w:trPr>
        <w:tc>
          <w:tcPr>
            <w:tcW w:w="250" w:type="pct"/>
            <w:tcMar>
              <w:left w:w="28" w:type="dxa"/>
              <w:right w:w="28" w:type="dxa"/>
            </w:tcMar>
            <w:vAlign w:val="center"/>
          </w:tcPr>
          <w:p w14:paraId="12A4B89D">
            <w:pPr>
              <w:adjustRightInd w:val="0"/>
              <w:snapToGrid w:val="0"/>
              <w:jc w:val="center"/>
              <w:rPr>
                <w:color w:val="auto"/>
                <w:kern w:val="0"/>
                <w:szCs w:val="21"/>
                <w:highlight w:val="none"/>
              </w:rPr>
            </w:pPr>
            <w:r>
              <w:rPr>
                <w:rFonts w:hint="eastAsia"/>
                <w:color w:val="auto"/>
                <w:kern w:val="0"/>
                <w:sz w:val="24"/>
                <w:highlight w:val="none"/>
              </w:rPr>
              <w:t>污染物排放控制标准</w:t>
            </w:r>
          </w:p>
        </w:tc>
        <w:tc>
          <w:tcPr>
            <w:tcW w:w="4749" w:type="pct"/>
          </w:tcPr>
          <w:p w14:paraId="36DEF0CC">
            <w:pPr>
              <w:spacing w:line="360" w:lineRule="auto"/>
              <w:rPr>
                <w:b/>
                <w:color w:val="auto"/>
                <w:sz w:val="24"/>
                <w:highlight w:val="none"/>
              </w:rPr>
            </w:pPr>
            <w:r>
              <w:rPr>
                <w:b/>
                <w:color w:val="auto"/>
                <w:sz w:val="24"/>
                <w:highlight w:val="none"/>
              </w:rPr>
              <w:t>1、污水排放标准</w:t>
            </w:r>
          </w:p>
          <w:p w14:paraId="5BFF32AE">
            <w:pPr>
              <w:spacing w:line="360" w:lineRule="auto"/>
              <w:ind w:firstLine="480" w:firstLineChars="200"/>
              <w:jc w:val="both"/>
              <w:rPr>
                <w:rFonts w:hint="eastAsia" w:ascii="Times New Roman" w:hAnsi="Times New Roman" w:cs="Times New Roman"/>
                <w:color w:val="auto"/>
                <w:sz w:val="24"/>
                <w:szCs w:val="21"/>
                <w:highlight w:val="none"/>
                <w:u w:val="single"/>
                <w:lang w:val="en-US" w:eastAsia="zh-CN"/>
              </w:rPr>
            </w:pPr>
            <w:r>
              <w:rPr>
                <w:rFonts w:hint="eastAsia" w:ascii="Times New Roman" w:hAnsi="Times New Roman" w:cs="Times New Roman"/>
                <w:color w:val="auto"/>
                <w:sz w:val="24"/>
                <w:szCs w:val="21"/>
                <w:highlight w:val="none"/>
                <w:u w:val="none"/>
                <w:lang w:val="en-US" w:eastAsia="zh-CN"/>
              </w:rPr>
              <w:t>生活污水、设备清洗产生的清洗废水、地面清洗产生的清洗废水经沉淀池、化粪池处理后达到《污水综合排放标准》 （GB8978-1996）中的三级标准</w:t>
            </w:r>
            <w:r>
              <w:rPr>
                <w:rFonts w:hint="eastAsia" w:cs="Times New Roman"/>
                <w:color w:val="auto"/>
                <w:sz w:val="24"/>
                <w:szCs w:val="21"/>
                <w:highlight w:val="none"/>
                <w:u w:val="none"/>
                <w:lang w:val="en-US" w:eastAsia="zh-CN"/>
              </w:rPr>
              <w:t>，运至祁阳鹏鹞水务有限公司白竹污水处理厂</w:t>
            </w:r>
            <w:r>
              <w:rPr>
                <w:rFonts w:hint="eastAsia" w:ascii="Times New Roman" w:hAnsi="Times New Roman" w:cs="Times New Roman"/>
                <w:color w:val="auto"/>
                <w:sz w:val="24"/>
                <w:szCs w:val="21"/>
                <w:highlight w:val="none"/>
                <w:u w:val="none"/>
                <w:lang w:val="en-US" w:eastAsia="zh-CN"/>
              </w:rPr>
              <w:t>处理达到《城镇污水处理厂污染物排放标准》中一级A标准；锅炉循环水、水膜除尘废水循环使用，不外排。</w:t>
            </w:r>
          </w:p>
          <w:p w14:paraId="1CAAA717">
            <w:pPr>
              <w:jc w:val="center"/>
              <w:rPr>
                <w:b/>
                <w:color w:val="auto"/>
                <w:szCs w:val="21"/>
                <w:highlight w:val="none"/>
              </w:rPr>
            </w:pPr>
            <w:r>
              <w:rPr>
                <w:b/>
                <w:color w:val="auto"/>
                <w:szCs w:val="21"/>
                <w:highlight w:val="none"/>
              </w:rPr>
              <w:t>表3-</w:t>
            </w:r>
            <w:r>
              <w:rPr>
                <w:rFonts w:hint="eastAsia"/>
                <w:b/>
                <w:color w:val="auto"/>
                <w:szCs w:val="21"/>
                <w:highlight w:val="none"/>
                <w:lang w:val="en-US" w:eastAsia="zh-CN"/>
              </w:rPr>
              <w:t>9</w:t>
            </w:r>
            <w:r>
              <w:rPr>
                <w:rFonts w:hint="eastAsia"/>
                <w:b/>
                <w:color w:val="auto"/>
                <w:szCs w:val="21"/>
                <w:highlight w:val="none"/>
              </w:rPr>
              <w:t xml:space="preserve"> </w:t>
            </w:r>
            <w:r>
              <w:rPr>
                <w:b/>
                <w:color w:val="auto"/>
                <w:szCs w:val="21"/>
                <w:highlight w:val="none"/>
              </w:rPr>
              <w:t>《污水综合排放标准》</w:t>
            </w:r>
            <w:r>
              <w:rPr>
                <w:rFonts w:hint="eastAsia"/>
                <w:b/>
                <w:color w:val="auto"/>
                <w:szCs w:val="21"/>
                <w:highlight w:val="none"/>
                <w:lang w:eastAsia="zh-CN"/>
              </w:rPr>
              <w:t>(</w:t>
            </w:r>
            <w:r>
              <w:rPr>
                <w:b/>
                <w:color w:val="auto"/>
                <w:szCs w:val="21"/>
                <w:highlight w:val="none"/>
              </w:rPr>
              <w:t>GB8978-1996</w:t>
            </w:r>
            <w:r>
              <w:rPr>
                <w:rFonts w:hint="eastAsia"/>
                <w:b/>
                <w:color w:val="auto"/>
                <w:szCs w:val="21"/>
                <w:highlight w:val="none"/>
                <w:lang w:eastAsia="zh-CN"/>
              </w:rPr>
              <w:t>)</w:t>
            </w:r>
            <w:r>
              <w:rPr>
                <w:b/>
                <w:color w:val="auto"/>
                <w:szCs w:val="21"/>
                <w:highlight w:val="none"/>
              </w:rPr>
              <w:t>三级标准</w:t>
            </w:r>
            <w:r>
              <w:rPr>
                <w:rFonts w:hint="eastAsia"/>
                <w:b/>
                <w:color w:val="auto"/>
                <w:szCs w:val="21"/>
                <w:highlight w:val="none"/>
              </w:rPr>
              <w:t xml:space="preserve">  </w:t>
            </w:r>
            <w:r>
              <w:rPr>
                <w:b/>
                <w:color w:val="auto"/>
                <w:szCs w:val="21"/>
                <w:highlight w:val="none"/>
              </w:rPr>
              <w:t>单位</w:t>
            </w:r>
            <w:r>
              <w:rPr>
                <w:rFonts w:hint="eastAsia"/>
                <w:b/>
                <w:color w:val="auto"/>
                <w:szCs w:val="21"/>
                <w:highlight w:val="none"/>
              </w:rPr>
              <w:t>：</w:t>
            </w:r>
            <w:r>
              <w:rPr>
                <w:b/>
                <w:color w:val="auto"/>
                <w:szCs w:val="21"/>
                <w:highlight w:val="none"/>
              </w:rPr>
              <w:t>mg/L</w:t>
            </w:r>
          </w:p>
          <w:tbl>
            <w:tblPr>
              <w:tblStyle w:val="4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534"/>
              <w:gridCol w:w="923"/>
              <w:gridCol w:w="978"/>
              <w:gridCol w:w="1079"/>
              <w:gridCol w:w="928"/>
              <w:gridCol w:w="917"/>
            </w:tblGrid>
            <w:tr w14:paraId="217A28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3" w:type="pct"/>
                  <w:tcBorders>
                    <w:tl2br w:val="nil"/>
                    <w:tr2bl w:val="nil"/>
                  </w:tcBorders>
                  <w:noWrap w:val="0"/>
                  <w:vAlign w:val="center"/>
                </w:tcPr>
                <w:p w14:paraId="302ECED5">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 xml:space="preserve">标准名称 </w:t>
                  </w:r>
                </w:p>
              </w:tc>
              <w:tc>
                <w:tcPr>
                  <w:tcW w:w="552" w:type="pct"/>
                  <w:tcBorders>
                    <w:tl2br w:val="nil"/>
                    <w:tr2bl w:val="nil"/>
                  </w:tcBorders>
                  <w:noWrap w:val="0"/>
                  <w:vAlign w:val="center"/>
                </w:tcPr>
                <w:p w14:paraId="5D3A9122">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pH</w:t>
                  </w:r>
                </w:p>
              </w:tc>
              <w:tc>
                <w:tcPr>
                  <w:tcW w:w="585" w:type="pct"/>
                  <w:tcBorders>
                    <w:tl2br w:val="nil"/>
                    <w:tr2bl w:val="nil"/>
                  </w:tcBorders>
                  <w:noWrap w:val="0"/>
                  <w:vAlign w:val="center"/>
                </w:tcPr>
                <w:p w14:paraId="4A8A6327">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COD</w:t>
                  </w:r>
                </w:p>
              </w:tc>
              <w:tc>
                <w:tcPr>
                  <w:tcW w:w="645" w:type="pct"/>
                  <w:tcBorders>
                    <w:tl2br w:val="nil"/>
                    <w:tr2bl w:val="nil"/>
                  </w:tcBorders>
                  <w:noWrap w:val="0"/>
                  <w:vAlign w:val="center"/>
                </w:tcPr>
                <w:p w14:paraId="70189F33">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BOD</w:t>
                  </w:r>
                  <w:r>
                    <w:rPr>
                      <w:rFonts w:ascii="Times New Roman" w:hAnsi="Times New Roman" w:eastAsia="宋体" w:cs="Times New Roman"/>
                      <w:color w:val="auto"/>
                      <w:sz w:val="21"/>
                      <w:szCs w:val="21"/>
                      <w:highlight w:val="none"/>
                      <w:u w:val="none" w:color="auto"/>
                      <w:vertAlign w:val="subscript"/>
                    </w:rPr>
                    <w:t>5</w:t>
                  </w:r>
                </w:p>
              </w:tc>
              <w:tc>
                <w:tcPr>
                  <w:tcW w:w="555" w:type="pct"/>
                  <w:tcBorders>
                    <w:tl2br w:val="nil"/>
                    <w:tr2bl w:val="nil"/>
                  </w:tcBorders>
                  <w:noWrap w:val="0"/>
                  <w:vAlign w:val="center"/>
                </w:tcPr>
                <w:p w14:paraId="4304BF3D">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SS</w:t>
                  </w:r>
                </w:p>
              </w:tc>
              <w:tc>
                <w:tcPr>
                  <w:tcW w:w="548" w:type="pct"/>
                  <w:tcBorders>
                    <w:tl2br w:val="nil"/>
                    <w:tr2bl w:val="nil"/>
                  </w:tcBorders>
                  <w:noWrap w:val="0"/>
                  <w:vAlign w:val="center"/>
                </w:tcPr>
                <w:p w14:paraId="33C2C67D">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氨氮</w:t>
                  </w:r>
                </w:p>
              </w:tc>
            </w:tr>
            <w:tr w14:paraId="4DE09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3" w:type="pct"/>
                  <w:tcBorders>
                    <w:tl2br w:val="nil"/>
                    <w:tr2bl w:val="nil"/>
                  </w:tcBorders>
                  <w:noWrap w:val="0"/>
                  <w:vAlign w:val="center"/>
                </w:tcPr>
                <w:p w14:paraId="7AA0D479">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《污水综合排放标准》</w:t>
                  </w:r>
                </w:p>
                <w:p w14:paraId="14DA4B0E">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sz w:val="21"/>
                      <w:szCs w:val="21"/>
                      <w:highlight w:val="none"/>
                      <w:u w:val="none" w:color="auto"/>
                      <w:lang w:eastAsia="zh-CN"/>
                    </w:rPr>
                    <w:t>(</w:t>
                  </w:r>
                  <w:r>
                    <w:rPr>
                      <w:rFonts w:ascii="Times New Roman" w:hAnsi="Times New Roman" w:eastAsia="宋体" w:cs="Times New Roman"/>
                      <w:color w:val="auto"/>
                      <w:sz w:val="21"/>
                      <w:szCs w:val="21"/>
                      <w:highlight w:val="none"/>
                      <w:u w:val="none" w:color="auto"/>
                    </w:rPr>
                    <w:t>GB8978-1996</w:t>
                  </w:r>
                  <w:r>
                    <w:rPr>
                      <w:rFonts w:hint="default" w:ascii="Times New Roman" w:hAnsi="Times New Roman" w:eastAsia="宋体" w:cs="Times New Roman"/>
                      <w:color w:val="auto"/>
                      <w:sz w:val="21"/>
                      <w:szCs w:val="21"/>
                      <w:highlight w:val="none"/>
                      <w:u w:val="none" w:color="auto"/>
                      <w:lang w:eastAsia="zh-CN"/>
                    </w:rPr>
                    <w:t>)</w:t>
                  </w:r>
                  <w:r>
                    <w:rPr>
                      <w:rFonts w:ascii="Times New Roman" w:hAnsi="Times New Roman" w:eastAsia="宋体" w:cs="Times New Roman"/>
                      <w:color w:val="auto"/>
                      <w:sz w:val="21"/>
                      <w:szCs w:val="21"/>
                      <w:highlight w:val="none"/>
                      <w:u w:val="none" w:color="auto"/>
                    </w:rPr>
                    <w:t>三级标准</w:t>
                  </w:r>
                </w:p>
              </w:tc>
              <w:tc>
                <w:tcPr>
                  <w:tcW w:w="552" w:type="pct"/>
                  <w:tcBorders>
                    <w:tl2br w:val="nil"/>
                    <w:tr2bl w:val="nil"/>
                  </w:tcBorders>
                  <w:noWrap w:val="0"/>
                  <w:vAlign w:val="center"/>
                </w:tcPr>
                <w:p w14:paraId="583A1E56">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6-9</w:t>
                  </w:r>
                </w:p>
              </w:tc>
              <w:tc>
                <w:tcPr>
                  <w:tcW w:w="585" w:type="pct"/>
                  <w:tcBorders>
                    <w:tl2br w:val="nil"/>
                    <w:tr2bl w:val="nil"/>
                  </w:tcBorders>
                  <w:noWrap w:val="0"/>
                  <w:vAlign w:val="center"/>
                </w:tcPr>
                <w:p w14:paraId="06FBB51B">
                  <w:pPr>
                    <w:spacing w:beforeLines="0" w:line="240" w:lineRule="auto"/>
                    <w:jc w:val="center"/>
                    <w:rPr>
                      <w:rFonts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highlight w:val="none"/>
                      <w:u w:val="none" w:color="auto"/>
                    </w:rPr>
                    <w:t>500</w:t>
                  </w:r>
                </w:p>
              </w:tc>
              <w:tc>
                <w:tcPr>
                  <w:tcW w:w="645" w:type="pct"/>
                  <w:tcBorders>
                    <w:tl2br w:val="nil"/>
                    <w:tr2bl w:val="nil"/>
                  </w:tcBorders>
                  <w:noWrap w:val="0"/>
                  <w:vAlign w:val="center"/>
                </w:tcPr>
                <w:p w14:paraId="788C82A0">
                  <w:pPr>
                    <w:spacing w:beforeLines="0" w:line="240" w:lineRule="auto"/>
                    <w:jc w:val="center"/>
                    <w:rPr>
                      <w:rFonts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highlight w:val="none"/>
                      <w:u w:val="none" w:color="auto"/>
                    </w:rPr>
                    <w:t>300</w:t>
                  </w:r>
                </w:p>
              </w:tc>
              <w:tc>
                <w:tcPr>
                  <w:tcW w:w="555" w:type="pct"/>
                  <w:tcBorders>
                    <w:tl2br w:val="nil"/>
                    <w:tr2bl w:val="nil"/>
                  </w:tcBorders>
                  <w:noWrap w:val="0"/>
                  <w:vAlign w:val="center"/>
                </w:tcPr>
                <w:p w14:paraId="36B68494">
                  <w:pPr>
                    <w:spacing w:beforeLines="0" w:line="240" w:lineRule="auto"/>
                    <w:jc w:val="center"/>
                    <w:rPr>
                      <w:rFonts w:ascii="Times New Roman" w:hAnsi="Times New Roman" w:eastAsia="宋体" w:cs="Times New Roman"/>
                      <w:color w:val="auto"/>
                      <w:sz w:val="21"/>
                      <w:szCs w:val="21"/>
                      <w:highlight w:val="none"/>
                      <w:u w:val="none" w:color="auto"/>
                    </w:rPr>
                  </w:pPr>
                  <w:r>
                    <w:rPr>
                      <w:rFonts w:hint="default" w:ascii="Times New Roman" w:hAnsi="Times New Roman" w:eastAsia="宋体" w:cs="Times New Roman"/>
                      <w:color w:val="auto"/>
                      <w:highlight w:val="none"/>
                      <w:u w:val="none" w:color="auto"/>
                    </w:rPr>
                    <w:t>400</w:t>
                  </w:r>
                </w:p>
              </w:tc>
              <w:tc>
                <w:tcPr>
                  <w:tcW w:w="548" w:type="pct"/>
                  <w:tcBorders>
                    <w:tl2br w:val="nil"/>
                    <w:tr2bl w:val="nil"/>
                  </w:tcBorders>
                  <w:noWrap w:val="0"/>
                  <w:vAlign w:val="center"/>
                </w:tcPr>
                <w:p w14:paraId="7FB5E6BB">
                  <w:pPr>
                    <w:spacing w:beforeLines="0" w:line="240" w:lineRule="auto"/>
                    <w:jc w:val="center"/>
                    <w:rPr>
                      <w:rFonts w:hint="eastAsia" w:ascii="Times New Roman" w:hAnsi="Times New Roman" w:eastAsia="宋体" w:cs="Times New Roman"/>
                      <w:color w:val="auto"/>
                      <w:sz w:val="21"/>
                      <w:szCs w:val="21"/>
                      <w:highlight w:val="none"/>
                      <w:u w:val="none" w:color="auto"/>
                      <w:lang w:eastAsia="zh-CN"/>
                    </w:rPr>
                  </w:pPr>
                  <w:r>
                    <w:rPr>
                      <w:rFonts w:hint="eastAsia" w:cs="Times New Roman"/>
                      <w:color w:val="auto"/>
                      <w:highlight w:val="none"/>
                      <w:u w:val="none" w:color="auto"/>
                      <w:lang w:val="en-US" w:eastAsia="zh-CN"/>
                    </w:rPr>
                    <w:t>—</w:t>
                  </w:r>
                </w:p>
              </w:tc>
            </w:tr>
            <w:tr w14:paraId="419151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113" w:type="pct"/>
                  <w:tcBorders>
                    <w:tl2br w:val="nil"/>
                    <w:tr2bl w:val="nil"/>
                  </w:tcBorders>
                  <w:noWrap w:val="0"/>
                  <w:vAlign w:val="center"/>
                </w:tcPr>
                <w:p w14:paraId="47410080">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eastAsia="zh-CN"/>
                    </w:rPr>
                  </w:pPr>
                  <w:r>
                    <w:rPr>
                      <w:rFonts w:hint="default" w:ascii="Times New Roman" w:hAnsi="Times New Roman" w:eastAsia="宋体" w:cs="Times New Roman"/>
                      <w:color w:val="auto"/>
                      <w:sz w:val="21"/>
                      <w:szCs w:val="21"/>
                      <w:highlight w:val="none"/>
                      <w:u w:val="none" w:color="auto"/>
                      <w:lang w:eastAsia="zh-CN"/>
                    </w:rPr>
                    <w:t>城镇污水处理厂污染物排放标准一级A标准</w:t>
                  </w:r>
                </w:p>
              </w:tc>
              <w:tc>
                <w:tcPr>
                  <w:tcW w:w="552" w:type="pct"/>
                  <w:tcBorders>
                    <w:tl2br w:val="nil"/>
                    <w:tr2bl w:val="nil"/>
                  </w:tcBorders>
                  <w:noWrap w:val="0"/>
                  <w:vAlign w:val="center"/>
                </w:tcPr>
                <w:p w14:paraId="4BDC1175">
                  <w:pPr>
                    <w:pStyle w:val="79"/>
                    <w:adjustRightInd/>
                    <w:snapToGrid/>
                    <w:spacing w:before="0" w:beforeLines="0" w:after="0" w:line="240" w:lineRule="auto"/>
                    <w:ind w:right="0" w:firstLine="0" w:firstLineChars="0"/>
                    <w:rPr>
                      <w:rFonts w:ascii="Times New Roman" w:hAnsi="Times New Roman" w:eastAsia="宋体" w:cs="Times New Roman"/>
                      <w:color w:val="auto"/>
                      <w:sz w:val="21"/>
                      <w:szCs w:val="21"/>
                      <w:highlight w:val="none"/>
                      <w:u w:val="none" w:color="auto"/>
                    </w:rPr>
                  </w:pPr>
                  <w:r>
                    <w:rPr>
                      <w:rFonts w:ascii="Times New Roman" w:hAnsi="Times New Roman" w:eastAsia="宋体" w:cs="Times New Roman"/>
                      <w:color w:val="auto"/>
                      <w:sz w:val="21"/>
                      <w:szCs w:val="21"/>
                      <w:highlight w:val="none"/>
                      <w:u w:val="none" w:color="auto"/>
                    </w:rPr>
                    <w:t>6-9</w:t>
                  </w:r>
                </w:p>
              </w:tc>
              <w:tc>
                <w:tcPr>
                  <w:tcW w:w="585" w:type="pct"/>
                  <w:tcBorders>
                    <w:tl2br w:val="nil"/>
                    <w:tr2bl w:val="nil"/>
                  </w:tcBorders>
                  <w:noWrap w:val="0"/>
                  <w:vAlign w:val="center"/>
                </w:tcPr>
                <w:p w14:paraId="3E82565B">
                  <w:pPr>
                    <w:spacing w:beforeLines="0" w:line="240" w:lineRule="auto"/>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50</w:t>
                  </w:r>
                </w:p>
              </w:tc>
              <w:tc>
                <w:tcPr>
                  <w:tcW w:w="645" w:type="pct"/>
                  <w:tcBorders>
                    <w:tl2br w:val="nil"/>
                    <w:tr2bl w:val="nil"/>
                  </w:tcBorders>
                  <w:noWrap w:val="0"/>
                  <w:vAlign w:val="center"/>
                </w:tcPr>
                <w:p w14:paraId="3F2D893F">
                  <w:pPr>
                    <w:spacing w:beforeLines="0" w:line="240" w:lineRule="auto"/>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10</w:t>
                  </w:r>
                </w:p>
              </w:tc>
              <w:tc>
                <w:tcPr>
                  <w:tcW w:w="555" w:type="pct"/>
                  <w:tcBorders>
                    <w:tl2br w:val="nil"/>
                    <w:tr2bl w:val="nil"/>
                  </w:tcBorders>
                  <w:noWrap w:val="0"/>
                  <w:vAlign w:val="center"/>
                </w:tcPr>
                <w:p w14:paraId="3DBD231D">
                  <w:pPr>
                    <w:spacing w:beforeLines="0" w:line="240" w:lineRule="auto"/>
                    <w:jc w:val="center"/>
                    <w:rPr>
                      <w:rFonts w:hint="default" w:ascii="Times New Roman" w:hAnsi="Times New Roman" w:eastAsia="宋体" w:cs="Times New Roman"/>
                      <w:color w:val="auto"/>
                      <w:highlight w:val="none"/>
                      <w:u w:val="none" w:color="auto"/>
                      <w:lang w:val="en-US" w:eastAsia="zh-CN"/>
                    </w:rPr>
                  </w:pPr>
                  <w:r>
                    <w:rPr>
                      <w:rFonts w:hint="eastAsia" w:cs="Times New Roman"/>
                      <w:color w:val="auto"/>
                      <w:highlight w:val="none"/>
                      <w:u w:val="none" w:color="auto"/>
                      <w:lang w:val="en-US" w:eastAsia="zh-CN"/>
                    </w:rPr>
                    <w:t>10</w:t>
                  </w:r>
                </w:p>
              </w:tc>
              <w:tc>
                <w:tcPr>
                  <w:tcW w:w="548" w:type="pct"/>
                  <w:tcBorders>
                    <w:tl2br w:val="nil"/>
                    <w:tr2bl w:val="nil"/>
                  </w:tcBorders>
                  <w:noWrap w:val="0"/>
                  <w:vAlign w:val="center"/>
                </w:tcPr>
                <w:p w14:paraId="7CDA896A">
                  <w:pPr>
                    <w:spacing w:beforeLines="0" w:line="240" w:lineRule="auto"/>
                    <w:jc w:val="center"/>
                    <w:rPr>
                      <w:rFonts w:hint="default" w:cs="Times New Roman"/>
                      <w:color w:val="auto"/>
                      <w:highlight w:val="none"/>
                      <w:u w:val="none" w:color="auto"/>
                      <w:lang w:val="en-US" w:eastAsia="zh-CN"/>
                    </w:rPr>
                  </w:pPr>
                  <w:r>
                    <w:rPr>
                      <w:rFonts w:hint="default" w:cs="Times New Roman"/>
                      <w:color w:val="auto"/>
                      <w:highlight w:val="none"/>
                      <w:u w:val="none" w:color="auto"/>
                      <w:lang w:val="en-US" w:eastAsia="zh-CN"/>
                    </w:rPr>
                    <w:t>5（8）</w:t>
                  </w:r>
                </w:p>
              </w:tc>
            </w:tr>
          </w:tbl>
          <w:p w14:paraId="045453F9">
            <w:pPr>
              <w:spacing w:line="360" w:lineRule="auto"/>
              <w:rPr>
                <w:b/>
                <w:color w:val="auto"/>
                <w:sz w:val="24"/>
                <w:highlight w:val="none"/>
              </w:rPr>
            </w:pPr>
            <w:r>
              <w:rPr>
                <w:b/>
                <w:color w:val="auto"/>
                <w:sz w:val="24"/>
                <w:highlight w:val="none"/>
              </w:rPr>
              <w:t>2、废气排放标准</w:t>
            </w:r>
          </w:p>
          <w:p w14:paraId="1C511A50">
            <w:pPr>
              <w:spacing w:line="360" w:lineRule="auto"/>
              <w:ind w:firstLine="480" w:firstLineChars="200"/>
              <w:jc w:val="both"/>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项目锅炉使用</w:t>
            </w:r>
            <w:r>
              <w:rPr>
                <w:rFonts w:hint="eastAsia" w:cs="Times New Roman"/>
                <w:color w:val="auto"/>
                <w:kern w:val="0"/>
                <w:sz w:val="24"/>
                <w:szCs w:val="24"/>
                <w:highlight w:val="none"/>
                <w:lang w:val="en-US" w:eastAsia="zh-CN" w:bidi="ar"/>
              </w:rPr>
              <w:t>成型生物质燃料</w:t>
            </w:r>
            <w:r>
              <w:rPr>
                <w:rFonts w:hint="default" w:ascii="Times New Roman" w:hAnsi="Times New Roman" w:eastAsia="宋体" w:cs="Times New Roman"/>
                <w:color w:val="auto"/>
                <w:kern w:val="0"/>
                <w:sz w:val="24"/>
                <w:szCs w:val="24"/>
                <w:highlight w:val="none"/>
                <w:lang w:val="en-US" w:eastAsia="zh-CN" w:bidi="ar"/>
              </w:rPr>
              <w:t>作为燃料，其废气污染物排放执行《锅炉大气污染物排放标准》（GB13271-2014）中表2规定的新建燃煤锅炉大气污染物排放浓度限值</w:t>
            </w:r>
            <w:r>
              <w:rPr>
                <w:rFonts w:hint="eastAsia" w:cs="Times New Roman"/>
                <w:color w:val="auto"/>
                <w:kern w:val="0"/>
                <w:sz w:val="24"/>
                <w:szCs w:val="24"/>
                <w:highlight w:val="none"/>
                <w:lang w:val="en-US" w:eastAsia="zh-CN" w:bidi="ar"/>
              </w:rPr>
              <w:t>；非甲烷总烃执行《大气污染物综合排放标准》（GB16297-1996）表2排放浓度限值。</w:t>
            </w:r>
          </w:p>
          <w:p w14:paraId="186064D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项目废气排放限值详见表</w:t>
            </w:r>
            <w:r>
              <w:rPr>
                <w:rFonts w:hint="eastAsia" w:ascii="Times New Roman" w:hAnsi="Times New Roman" w:eastAsia="宋体" w:cs="Times New Roman"/>
                <w:color w:val="auto"/>
                <w:kern w:val="0"/>
                <w:sz w:val="24"/>
                <w:szCs w:val="24"/>
                <w:highlight w:val="none"/>
                <w:lang w:val="en-US" w:eastAsia="zh-CN" w:bidi="ar"/>
              </w:rPr>
              <w:t>3</w:t>
            </w:r>
            <w:r>
              <w:rPr>
                <w:rFonts w:hint="eastAsia" w:cs="Times New Roman"/>
                <w:color w:val="auto"/>
                <w:kern w:val="0"/>
                <w:sz w:val="24"/>
                <w:szCs w:val="24"/>
                <w:highlight w:val="none"/>
                <w:lang w:val="en-US" w:eastAsia="zh-CN" w:bidi="ar"/>
              </w:rPr>
              <w:t>-10</w:t>
            </w:r>
            <w:r>
              <w:rPr>
                <w:rFonts w:hint="default" w:ascii="Times New Roman" w:hAnsi="Times New Roman" w:eastAsia="宋体" w:cs="Times New Roman"/>
                <w:color w:val="auto"/>
                <w:kern w:val="0"/>
                <w:sz w:val="24"/>
                <w:szCs w:val="24"/>
                <w:highlight w:val="none"/>
                <w:lang w:val="en-US" w:eastAsia="zh-CN" w:bidi="ar"/>
              </w:rPr>
              <w:t>。</w:t>
            </w:r>
          </w:p>
          <w:p w14:paraId="07B35C0C">
            <w:pPr>
              <w:jc w:val="center"/>
              <w:rPr>
                <w:rFonts w:hint="default" w:ascii="Times New Roman" w:hAnsi="Times New Roman" w:cs="Times New Roman"/>
                <w:b/>
                <w:color w:val="auto"/>
                <w:szCs w:val="21"/>
                <w:highlight w:val="none"/>
              </w:rPr>
            </w:pPr>
            <w:r>
              <w:rPr>
                <w:b/>
                <w:color w:val="auto"/>
                <w:szCs w:val="21"/>
                <w:highlight w:val="none"/>
              </w:rPr>
              <w:t>表3-</w:t>
            </w:r>
            <w:r>
              <w:rPr>
                <w:rFonts w:hint="eastAsia"/>
                <w:b/>
                <w:color w:val="auto"/>
                <w:szCs w:val="21"/>
                <w:highlight w:val="none"/>
                <w:lang w:val="en-US" w:eastAsia="zh-CN"/>
              </w:rPr>
              <w:t>10</w:t>
            </w:r>
            <w:r>
              <w:rPr>
                <w:b/>
                <w:color w:val="auto"/>
                <w:szCs w:val="21"/>
                <w:highlight w:val="none"/>
              </w:rPr>
              <w:t xml:space="preserve">  </w:t>
            </w:r>
            <w:r>
              <w:rPr>
                <w:rFonts w:hint="default" w:ascii="Times New Roman" w:hAnsi="Times New Roman" w:cs="Times New Roman"/>
                <w:b/>
                <w:color w:val="auto"/>
                <w:szCs w:val="21"/>
                <w:highlight w:val="none"/>
              </w:rPr>
              <w:t>大气</w:t>
            </w:r>
            <w:r>
              <w:rPr>
                <w:rFonts w:hint="eastAsia" w:ascii="Times New Roman" w:hAnsi="Times New Roman" w:cs="Times New Roman"/>
                <w:b/>
                <w:color w:val="auto"/>
                <w:szCs w:val="21"/>
                <w:highlight w:val="none"/>
                <w:lang w:eastAsia="zh-CN"/>
              </w:rPr>
              <w:t>有组织</w:t>
            </w:r>
            <w:r>
              <w:rPr>
                <w:rFonts w:hint="default" w:ascii="Times New Roman" w:hAnsi="Times New Roman" w:cs="Times New Roman"/>
                <w:b/>
                <w:color w:val="auto"/>
                <w:szCs w:val="21"/>
                <w:highlight w:val="none"/>
              </w:rPr>
              <w:t>排放标准限值</w:t>
            </w:r>
          </w:p>
          <w:tbl>
            <w:tblPr>
              <w:tblStyle w:val="156"/>
              <w:tblW w:w="8401" w:type="dxa"/>
              <w:tblInd w:w="-1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51"/>
              <w:gridCol w:w="1457"/>
              <w:gridCol w:w="2951"/>
              <w:gridCol w:w="2242"/>
            </w:tblGrid>
            <w:tr w14:paraId="6800F2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1042" w:type="pct"/>
                  <w:tcBorders>
                    <w:tl2br w:val="nil"/>
                    <w:tr2bl w:val="nil"/>
                  </w:tcBorders>
                  <w:vAlign w:val="center"/>
                </w:tcPr>
                <w:p w14:paraId="37B1E425">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ascii="Times New Roman" w:hAnsi="Times New Roman" w:eastAsia="宋体" w:cs="Times New Roman"/>
                      <w:color w:val="auto"/>
                      <w:sz w:val="21"/>
                      <w:szCs w:val="21"/>
                      <w:highlight w:val="none"/>
                      <w:u w:val="none" w:color="auto"/>
                      <w:lang w:val="en-US" w:eastAsia="zh-CN"/>
                    </w:rPr>
                    <w:t>执行标准</w:t>
                  </w:r>
                </w:p>
              </w:tc>
              <w:tc>
                <w:tcPr>
                  <w:tcW w:w="867" w:type="pct"/>
                  <w:tcBorders>
                    <w:tl2br w:val="nil"/>
                    <w:tr2bl w:val="nil"/>
                  </w:tcBorders>
                  <w:vAlign w:val="center"/>
                </w:tcPr>
                <w:p w14:paraId="2135A49C">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废气类型</w:t>
                  </w:r>
                </w:p>
              </w:tc>
              <w:tc>
                <w:tcPr>
                  <w:tcW w:w="1756" w:type="pct"/>
                  <w:tcBorders>
                    <w:tl2br w:val="nil"/>
                    <w:tr2bl w:val="nil"/>
                  </w:tcBorders>
                  <w:vAlign w:val="center"/>
                </w:tcPr>
                <w:p w14:paraId="2945FC77">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污染物</w:t>
                  </w:r>
                </w:p>
              </w:tc>
              <w:tc>
                <w:tcPr>
                  <w:tcW w:w="1333" w:type="pct"/>
                  <w:tcBorders>
                    <w:tl2br w:val="nil"/>
                    <w:tr2bl w:val="nil"/>
                  </w:tcBorders>
                  <w:vAlign w:val="center"/>
                </w:tcPr>
                <w:p w14:paraId="37AFD78F">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排放限值（mg/m</w:t>
                  </w:r>
                  <w:r>
                    <w:rPr>
                      <w:rFonts w:hint="default" w:ascii="Times New Roman" w:hAnsi="Times New Roman" w:eastAsia="宋体" w:cs="Times New Roman"/>
                      <w:color w:val="auto"/>
                      <w:sz w:val="21"/>
                      <w:szCs w:val="21"/>
                      <w:highlight w:val="none"/>
                      <w:u w:val="none" w:color="auto"/>
                      <w:vertAlign w:val="superscript"/>
                      <w:lang w:val="en-US" w:eastAsia="zh-CN"/>
                    </w:rPr>
                    <w:t>3</w:t>
                  </w:r>
                  <w:r>
                    <w:rPr>
                      <w:rFonts w:hint="default" w:ascii="Times New Roman" w:hAnsi="Times New Roman" w:eastAsia="宋体" w:cs="Times New Roman"/>
                      <w:color w:val="auto"/>
                      <w:sz w:val="21"/>
                      <w:szCs w:val="21"/>
                      <w:highlight w:val="none"/>
                      <w:u w:val="none" w:color="auto"/>
                      <w:lang w:val="en-US" w:eastAsia="zh-CN"/>
                    </w:rPr>
                    <w:t>）</w:t>
                  </w:r>
                </w:p>
              </w:tc>
            </w:tr>
            <w:tr w14:paraId="0D6AB2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042" w:type="pct"/>
                  <w:vMerge w:val="restart"/>
                  <w:tcBorders>
                    <w:tl2br w:val="nil"/>
                    <w:tr2bl w:val="nil"/>
                  </w:tcBorders>
                  <w:vAlign w:val="center"/>
                </w:tcPr>
                <w:p w14:paraId="6832560C">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《锅炉大气污染物排放标准》（GB13271-2014）</w:t>
                  </w:r>
                </w:p>
              </w:tc>
              <w:tc>
                <w:tcPr>
                  <w:tcW w:w="867" w:type="pct"/>
                  <w:vMerge w:val="restart"/>
                  <w:tcBorders>
                    <w:tl2br w:val="nil"/>
                    <w:tr2bl w:val="nil"/>
                  </w:tcBorders>
                  <w:vAlign w:val="center"/>
                </w:tcPr>
                <w:p w14:paraId="37953A60">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燃煤锅炉废气</w:t>
                  </w:r>
                </w:p>
              </w:tc>
              <w:tc>
                <w:tcPr>
                  <w:tcW w:w="1756" w:type="pct"/>
                  <w:tcBorders>
                    <w:tl2br w:val="nil"/>
                    <w:tr2bl w:val="nil"/>
                  </w:tcBorders>
                  <w:vAlign w:val="center"/>
                </w:tcPr>
                <w:p w14:paraId="18E4D18F">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SO</w:t>
                  </w:r>
                  <w:r>
                    <w:rPr>
                      <w:rFonts w:hint="default" w:ascii="Times New Roman" w:hAnsi="Times New Roman" w:eastAsia="宋体" w:cs="Times New Roman"/>
                      <w:color w:val="auto"/>
                      <w:sz w:val="21"/>
                      <w:szCs w:val="21"/>
                      <w:highlight w:val="none"/>
                      <w:u w:val="none" w:color="auto"/>
                      <w:vertAlign w:val="subscript"/>
                      <w:lang w:val="en-US" w:eastAsia="zh-CN"/>
                    </w:rPr>
                    <w:t>2</w:t>
                  </w:r>
                </w:p>
              </w:tc>
              <w:tc>
                <w:tcPr>
                  <w:tcW w:w="1333" w:type="pct"/>
                  <w:tcBorders>
                    <w:tl2br w:val="nil"/>
                    <w:tr2bl w:val="nil"/>
                  </w:tcBorders>
                  <w:vAlign w:val="center"/>
                </w:tcPr>
                <w:p w14:paraId="4355756D">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300</w:t>
                  </w:r>
                </w:p>
              </w:tc>
            </w:tr>
            <w:tr w14:paraId="069AFB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1042" w:type="pct"/>
                  <w:vMerge w:val="continue"/>
                  <w:tcBorders>
                    <w:tl2br w:val="nil"/>
                    <w:tr2bl w:val="nil"/>
                  </w:tcBorders>
                  <w:vAlign w:val="center"/>
                </w:tcPr>
                <w:p w14:paraId="6C443207">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867" w:type="pct"/>
                  <w:vMerge w:val="continue"/>
                  <w:tcBorders>
                    <w:tl2br w:val="nil"/>
                    <w:tr2bl w:val="nil"/>
                  </w:tcBorders>
                  <w:vAlign w:val="center"/>
                </w:tcPr>
                <w:p w14:paraId="79BAC380">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1756" w:type="pct"/>
                  <w:tcBorders>
                    <w:tl2br w:val="nil"/>
                    <w:tr2bl w:val="nil"/>
                  </w:tcBorders>
                  <w:vAlign w:val="center"/>
                </w:tcPr>
                <w:p w14:paraId="1013D743">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NOx</w:t>
                  </w:r>
                </w:p>
              </w:tc>
              <w:tc>
                <w:tcPr>
                  <w:tcW w:w="1333" w:type="pct"/>
                  <w:tcBorders>
                    <w:tl2br w:val="nil"/>
                    <w:tr2bl w:val="nil"/>
                  </w:tcBorders>
                  <w:vAlign w:val="center"/>
                </w:tcPr>
                <w:p w14:paraId="6AB581B2">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300</w:t>
                  </w:r>
                </w:p>
              </w:tc>
            </w:tr>
            <w:tr w14:paraId="7CC785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42" w:type="pct"/>
                  <w:vMerge w:val="continue"/>
                  <w:tcBorders>
                    <w:tl2br w:val="nil"/>
                    <w:tr2bl w:val="nil"/>
                  </w:tcBorders>
                  <w:vAlign w:val="center"/>
                </w:tcPr>
                <w:p w14:paraId="2975AD50">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867" w:type="pct"/>
                  <w:vMerge w:val="continue"/>
                  <w:tcBorders>
                    <w:tl2br w:val="nil"/>
                    <w:tr2bl w:val="nil"/>
                  </w:tcBorders>
                  <w:vAlign w:val="center"/>
                </w:tcPr>
                <w:p w14:paraId="44F2D5EC">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1756" w:type="pct"/>
                  <w:tcBorders>
                    <w:tl2br w:val="nil"/>
                    <w:tr2bl w:val="nil"/>
                  </w:tcBorders>
                  <w:vAlign w:val="center"/>
                </w:tcPr>
                <w:p w14:paraId="36678158">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颗粒物</w:t>
                  </w:r>
                </w:p>
              </w:tc>
              <w:tc>
                <w:tcPr>
                  <w:tcW w:w="1333" w:type="pct"/>
                  <w:tcBorders>
                    <w:tl2br w:val="nil"/>
                    <w:tr2bl w:val="nil"/>
                  </w:tcBorders>
                  <w:vAlign w:val="center"/>
                </w:tcPr>
                <w:p w14:paraId="436CE68C">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50</w:t>
                  </w:r>
                </w:p>
              </w:tc>
            </w:tr>
            <w:tr w14:paraId="171F07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1" w:hRule="atLeast"/>
              </w:trPr>
              <w:tc>
                <w:tcPr>
                  <w:tcW w:w="1042" w:type="pct"/>
                  <w:vMerge w:val="continue"/>
                  <w:tcBorders>
                    <w:tl2br w:val="nil"/>
                    <w:tr2bl w:val="nil"/>
                  </w:tcBorders>
                  <w:vAlign w:val="center"/>
                </w:tcPr>
                <w:p w14:paraId="59C40D95">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867" w:type="pct"/>
                  <w:vMerge w:val="continue"/>
                  <w:tcBorders>
                    <w:tl2br w:val="nil"/>
                    <w:tr2bl w:val="nil"/>
                  </w:tcBorders>
                  <w:vAlign w:val="center"/>
                </w:tcPr>
                <w:p w14:paraId="1ADAC3E0">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1756" w:type="pct"/>
                  <w:tcBorders>
                    <w:tl2br w:val="nil"/>
                    <w:tr2bl w:val="nil"/>
                  </w:tcBorders>
                  <w:vAlign w:val="center"/>
                </w:tcPr>
                <w:p w14:paraId="5E6A08AB">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汞及其化合物</w:t>
                  </w:r>
                </w:p>
              </w:tc>
              <w:tc>
                <w:tcPr>
                  <w:tcW w:w="1333" w:type="pct"/>
                  <w:tcBorders>
                    <w:tl2br w:val="nil"/>
                    <w:tr2bl w:val="nil"/>
                  </w:tcBorders>
                  <w:vAlign w:val="center"/>
                </w:tcPr>
                <w:p w14:paraId="13DA0C24">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0.05</w:t>
                  </w:r>
                </w:p>
              </w:tc>
            </w:tr>
            <w:tr w14:paraId="4F2CC1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042" w:type="pct"/>
                  <w:vMerge w:val="continue"/>
                  <w:tcBorders>
                    <w:tl2br w:val="nil"/>
                    <w:tr2bl w:val="nil"/>
                  </w:tcBorders>
                  <w:vAlign w:val="center"/>
                </w:tcPr>
                <w:p w14:paraId="47A59095">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867" w:type="pct"/>
                  <w:vMerge w:val="continue"/>
                  <w:tcBorders>
                    <w:tl2br w:val="nil"/>
                    <w:tr2bl w:val="nil"/>
                  </w:tcBorders>
                  <w:vAlign w:val="center"/>
                </w:tcPr>
                <w:p w14:paraId="70D847DE">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p>
              </w:tc>
              <w:tc>
                <w:tcPr>
                  <w:tcW w:w="1756" w:type="pct"/>
                  <w:tcBorders>
                    <w:tl2br w:val="nil"/>
                    <w:tr2bl w:val="nil"/>
                  </w:tcBorders>
                  <w:vAlign w:val="center"/>
                </w:tcPr>
                <w:p w14:paraId="2853D420">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烟气黑度（林格曼黑度，级）</w:t>
                  </w:r>
                </w:p>
              </w:tc>
              <w:tc>
                <w:tcPr>
                  <w:tcW w:w="1333" w:type="pct"/>
                  <w:tcBorders>
                    <w:tl2br w:val="nil"/>
                    <w:tr2bl w:val="nil"/>
                  </w:tcBorders>
                  <w:vAlign w:val="center"/>
                </w:tcPr>
                <w:p w14:paraId="5F018B2F">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≤1</w:t>
                  </w:r>
                </w:p>
              </w:tc>
            </w:tr>
            <w:tr w14:paraId="07876E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7" w:hRule="atLeast"/>
              </w:trPr>
              <w:tc>
                <w:tcPr>
                  <w:tcW w:w="1042" w:type="pct"/>
                  <w:tcBorders>
                    <w:tl2br w:val="nil"/>
                    <w:tr2bl w:val="nil"/>
                  </w:tcBorders>
                  <w:vAlign w:val="center"/>
                </w:tcPr>
                <w:p w14:paraId="49CB0D65">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default" w:ascii="Times New Roman" w:hAnsi="Times New Roman" w:eastAsia="宋体" w:cs="Times New Roman"/>
                      <w:color w:val="auto"/>
                      <w:sz w:val="21"/>
                      <w:szCs w:val="21"/>
                      <w:highlight w:val="none"/>
                      <w:u w:val="none" w:color="auto"/>
                      <w:lang w:val="en-US" w:eastAsia="zh-CN"/>
                    </w:rPr>
                    <w:t>《大气污染物综合排放标准》（GB16297-1996）</w:t>
                  </w:r>
                </w:p>
              </w:tc>
              <w:tc>
                <w:tcPr>
                  <w:tcW w:w="867" w:type="pct"/>
                  <w:tcBorders>
                    <w:tl2br w:val="nil"/>
                    <w:tr2bl w:val="nil"/>
                  </w:tcBorders>
                  <w:vAlign w:val="center"/>
                </w:tcPr>
                <w:p w14:paraId="0F38F1C5">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溶剂废气</w:t>
                  </w:r>
                </w:p>
              </w:tc>
              <w:tc>
                <w:tcPr>
                  <w:tcW w:w="1756" w:type="pct"/>
                  <w:tcBorders>
                    <w:tl2br w:val="nil"/>
                    <w:tr2bl w:val="nil"/>
                  </w:tcBorders>
                  <w:vAlign w:val="center"/>
                </w:tcPr>
                <w:p w14:paraId="1335F83F">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非甲烷总烃</w:t>
                  </w:r>
                </w:p>
              </w:tc>
              <w:tc>
                <w:tcPr>
                  <w:tcW w:w="1333" w:type="pct"/>
                  <w:tcBorders>
                    <w:tl2br w:val="nil"/>
                    <w:tr2bl w:val="nil"/>
                  </w:tcBorders>
                  <w:vAlign w:val="center"/>
                </w:tcPr>
                <w:p w14:paraId="46553E27">
                  <w:pPr>
                    <w:pStyle w:val="79"/>
                    <w:adjustRightInd/>
                    <w:snapToGrid/>
                    <w:spacing w:before="0" w:beforeLines="0" w:after="0" w:line="240" w:lineRule="auto"/>
                    <w:ind w:right="0" w:firstLine="0" w:firstLineChars="0"/>
                    <w:rPr>
                      <w:rFonts w:hint="default" w:ascii="Times New Roman" w:hAnsi="Times New Roman" w:eastAsia="宋体" w:cs="Times New Roman"/>
                      <w:color w:val="auto"/>
                      <w:sz w:val="21"/>
                      <w:szCs w:val="21"/>
                      <w:highlight w:val="none"/>
                      <w:u w:val="none" w:color="auto"/>
                      <w:lang w:val="en-US" w:eastAsia="zh-CN"/>
                    </w:rPr>
                  </w:pPr>
                  <w:r>
                    <w:rPr>
                      <w:rFonts w:hint="eastAsia" w:cs="Times New Roman"/>
                      <w:color w:val="auto"/>
                      <w:sz w:val="21"/>
                      <w:szCs w:val="21"/>
                      <w:highlight w:val="none"/>
                      <w:u w:val="none" w:color="auto"/>
                      <w:lang w:val="en-US" w:eastAsia="zh-CN"/>
                    </w:rPr>
                    <w:t>120</w:t>
                  </w:r>
                </w:p>
              </w:tc>
            </w:tr>
          </w:tbl>
          <w:p w14:paraId="1993A7F0">
            <w:pPr>
              <w:jc w:val="center"/>
              <w:rPr>
                <w:rFonts w:hint="default" w:ascii="Times New Roman" w:hAnsi="Times New Roman" w:cs="Times New Roman"/>
                <w:b/>
                <w:color w:val="auto"/>
                <w:szCs w:val="21"/>
                <w:highlight w:val="none"/>
              </w:rPr>
            </w:pPr>
          </w:p>
          <w:p w14:paraId="4C23C19F">
            <w:pPr>
              <w:spacing w:line="360" w:lineRule="auto"/>
              <w:rPr>
                <w:b/>
                <w:color w:val="auto"/>
                <w:sz w:val="24"/>
                <w:highlight w:val="none"/>
              </w:rPr>
            </w:pPr>
            <w:r>
              <w:rPr>
                <w:b/>
                <w:color w:val="auto"/>
                <w:sz w:val="24"/>
                <w:highlight w:val="none"/>
              </w:rPr>
              <w:t>3、噪声排放标准</w:t>
            </w:r>
          </w:p>
          <w:p w14:paraId="43B0CDC1">
            <w:pPr>
              <w:spacing w:line="360" w:lineRule="auto"/>
              <w:ind w:firstLine="480" w:firstLineChars="200"/>
              <w:rPr>
                <w:color w:val="auto"/>
                <w:sz w:val="24"/>
                <w:highlight w:val="none"/>
              </w:rPr>
            </w:pPr>
            <w:r>
              <w:rPr>
                <w:color w:val="auto"/>
                <w:sz w:val="24"/>
                <w:highlight w:val="none"/>
              </w:rPr>
              <w:t>本项目营运期厂界噪声执行《工业企业厂界环境噪声排放标准》（GB12348-2008）中的</w:t>
            </w:r>
            <w:r>
              <w:rPr>
                <w:rFonts w:hint="eastAsia"/>
                <w:color w:val="auto"/>
                <w:sz w:val="24"/>
                <w:highlight w:val="none"/>
                <w:lang w:val="en-US" w:eastAsia="zh-CN"/>
              </w:rPr>
              <w:t>2</w:t>
            </w:r>
            <w:r>
              <w:rPr>
                <w:color w:val="auto"/>
                <w:sz w:val="24"/>
                <w:highlight w:val="none"/>
              </w:rPr>
              <w:t>类标准。</w:t>
            </w:r>
          </w:p>
          <w:p w14:paraId="7B1175EC">
            <w:pPr>
              <w:jc w:val="center"/>
              <w:rPr>
                <w:b/>
                <w:color w:val="auto"/>
                <w:szCs w:val="21"/>
                <w:highlight w:val="none"/>
              </w:rPr>
            </w:pPr>
            <w:r>
              <w:rPr>
                <w:b/>
                <w:color w:val="auto"/>
                <w:szCs w:val="21"/>
                <w:highlight w:val="none"/>
              </w:rPr>
              <w:t>表3-</w:t>
            </w:r>
            <w:r>
              <w:rPr>
                <w:rFonts w:hint="eastAsia"/>
                <w:b/>
                <w:color w:val="auto"/>
                <w:szCs w:val="21"/>
                <w:highlight w:val="none"/>
                <w:lang w:val="en-US" w:eastAsia="zh-CN"/>
              </w:rPr>
              <w:t>11</w:t>
            </w:r>
            <w:r>
              <w:rPr>
                <w:b/>
                <w:color w:val="auto"/>
                <w:szCs w:val="21"/>
                <w:highlight w:val="none"/>
              </w:rPr>
              <w:t xml:space="preserve"> </w:t>
            </w:r>
            <w:r>
              <w:rPr>
                <w:rFonts w:hint="eastAsia"/>
                <w:b/>
                <w:color w:val="auto"/>
                <w:szCs w:val="21"/>
                <w:highlight w:val="none"/>
                <w:lang w:val="en-US" w:eastAsia="zh-CN"/>
              </w:rPr>
              <w:t xml:space="preserve"> </w:t>
            </w:r>
            <w:r>
              <w:rPr>
                <w:b/>
                <w:color w:val="auto"/>
                <w:szCs w:val="21"/>
                <w:highlight w:val="none"/>
              </w:rPr>
              <w:t>噪声排放标准（GB12348-2008）  单位：dB（A）</w:t>
            </w:r>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764"/>
              <w:gridCol w:w="1756"/>
              <w:gridCol w:w="1420"/>
              <w:gridCol w:w="1422"/>
            </w:tblGrid>
            <w:tr w14:paraId="28950C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50" w:type="pct"/>
                  <w:vMerge w:val="restart"/>
                  <w:tcBorders>
                    <w:tl2br w:val="nil"/>
                    <w:tr2bl w:val="nil"/>
                  </w:tcBorders>
                  <w:vAlign w:val="center"/>
                </w:tcPr>
                <w:p w14:paraId="77E0CC1C">
                  <w:pPr>
                    <w:adjustRightInd w:val="0"/>
                    <w:snapToGrid w:val="0"/>
                    <w:jc w:val="center"/>
                    <w:rPr>
                      <w:b/>
                      <w:bCs/>
                      <w:color w:val="auto"/>
                      <w:szCs w:val="21"/>
                      <w:highlight w:val="none"/>
                    </w:rPr>
                  </w:pPr>
                  <w:r>
                    <w:rPr>
                      <w:b/>
                      <w:bCs/>
                      <w:color w:val="auto"/>
                      <w:szCs w:val="21"/>
                      <w:highlight w:val="none"/>
                    </w:rPr>
                    <w:t>标准号</w:t>
                  </w:r>
                </w:p>
              </w:tc>
              <w:tc>
                <w:tcPr>
                  <w:tcW w:w="1050" w:type="pct"/>
                  <w:vMerge w:val="restart"/>
                  <w:tcBorders>
                    <w:tl2br w:val="nil"/>
                    <w:tr2bl w:val="nil"/>
                  </w:tcBorders>
                  <w:vAlign w:val="center"/>
                </w:tcPr>
                <w:p w14:paraId="2348A563">
                  <w:pPr>
                    <w:adjustRightInd w:val="0"/>
                    <w:snapToGrid w:val="0"/>
                    <w:jc w:val="center"/>
                    <w:rPr>
                      <w:b/>
                      <w:bCs/>
                      <w:color w:val="auto"/>
                      <w:szCs w:val="21"/>
                      <w:highlight w:val="none"/>
                    </w:rPr>
                  </w:pPr>
                  <w:r>
                    <w:rPr>
                      <w:b/>
                      <w:bCs/>
                      <w:color w:val="auto"/>
                      <w:szCs w:val="21"/>
                      <w:highlight w:val="none"/>
                    </w:rPr>
                    <w:t>类别</w:t>
                  </w:r>
                </w:p>
              </w:tc>
              <w:tc>
                <w:tcPr>
                  <w:tcW w:w="1699" w:type="pct"/>
                  <w:gridSpan w:val="2"/>
                  <w:tcBorders>
                    <w:tl2br w:val="nil"/>
                    <w:tr2bl w:val="nil"/>
                  </w:tcBorders>
                  <w:vAlign w:val="center"/>
                </w:tcPr>
                <w:p w14:paraId="3C51CDB8">
                  <w:pPr>
                    <w:adjustRightInd w:val="0"/>
                    <w:snapToGrid w:val="0"/>
                    <w:jc w:val="center"/>
                    <w:rPr>
                      <w:b/>
                      <w:bCs/>
                      <w:color w:val="auto"/>
                      <w:szCs w:val="21"/>
                      <w:highlight w:val="none"/>
                    </w:rPr>
                  </w:pPr>
                  <w:r>
                    <w:rPr>
                      <w:b/>
                      <w:bCs/>
                      <w:color w:val="auto"/>
                      <w:szCs w:val="21"/>
                      <w:highlight w:val="none"/>
                    </w:rPr>
                    <w:t>排放标准</w:t>
                  </w:r>
                </w:p>
              </w:tc>
            </w:tr>
            <w:tr w14:paraId="02AB8C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50" w:type="pct"/>
                  <w:vMerge w:val="continue"/>
                  <w:tcBorders>
                    <w:tl2br w:val="nil"/>
                    <w:tr2bl w:val="nil"/>
                  </w:tcBorders>
                  <w:vAlign w:val="center"/>
                </w:tcPr>
                <w:p w14:paraId="488A00EA">
                  <w:pPr>
                    <w:adjustRightInd w:val="0"/>
                    <w:snapToGrid w:val="0"/>
                    <w:jc w:val="center"/>
                    <w:rPr>
                      <w:b/>
                      <w:bCs/>
                      <w:color w:val="auto"/>
                      <w:szCs w:val="21"/>
                      <w:highlight w:val="none"/>
                    </w:rPr>
                  </w:pPr>
                </w:p>
              </w:tc>
              <w:tc>
                <w:tcPr>
                  <w:tcW w:w="1050" w:type="pct"/>
                  <w:vMerge w:val="continue"/>
                  <w:tcBorders>
                    <w:tl2br w:val="nil"/>
                    <w:tr2bl w:val="nil"/>
                  </w:tcBorders>
                  <w:vAlign w:val="center"/>
                </w:tcPr>
                <w:p w14:paraId="7C9E0B39">
                  <w:pPr>
                    <w:adjustRightInd w:val="0"/>
                    <w:snapToGrid w:val="0"/>
                    <w:jc w:val="center"/>
                    <w:rPr>
                      <w:b/>
                      <w:bCs/>
                      <w:color w:val="auto"/>
                      <w:szCs w:val="21"/>
                      <w:highlight w:val="none"/>
                    </w:rPr>
                  </w:pPr>
                </w:p>
              </w:tc>
              <w:tc>
                <w:tcPr>
                  <w:tcW w:w="849" w:type="pct"/>
                  <w:tcBorders>
                    <w:tl2br w:val="nil"/>
                    <w:tr2bl w:val="nil"/>
                  </w:tcBorders>
                  <w:vAlign w:val="center"/>
                </w:tcPr>
                <w:p w14:paraId="0E9788C8">
                  <w:pPr>
                    <w:adjustRightInd w:val="0"/>
                    <w:snapToGrid w:val="0"/>
                    <w:jc w:val="center"/>
                    <w:rPr>
                      <w:b/>
                      <w:bCs/>
                      <w:color w:val="auto"/>
                      <w:szCs w:val="21"/>
                      <w:highlight w:val="none"/>
                    </w:rPr>
                  </w:pPr>
                  <w:r>
                    <w:rPr>
                      <w:rFonts w:hint="eastAsia"/>
                      <w:b/>
                      <w:bCs/>
                      <w:color w:val="auto"/>
                      <w:szCs w:val="21"/>
                      <w:highlight w:val="none"/>
                    </w:rPr>
                    <w:t>昼间</w:t>
                  </w:r>
                </w:p>
              </w:tc>
              <w:tc>
                <w:tcPr>
                  <w:tcW w:w="849" w:type="pct"/>
                  <w:tcBorders>
                    <w:tl2br w:val="nil"/>
                    <w:tr2bl w:val="nil"/>
                  </w:tcBorders>
                  <w:vAlign w:val="center"/>
                </w:tcPr>
                <w:p w14:paraId="6A44CD4E">
                  <w:pPr>
                    <w:adjustRightInd w:val="0"/>
                    <w:snapToGrid w:val="0"/>
                    <w:jc w:val="center"/>
                    <w:rPr>
                      <w:b/>
                      <w:bCs/>
                      <w:color w:val="auto"/>
                      <w:szCs w:val="21"/>
                      <w:highlight w:val="none"/>
                    </w:rPr>
                  </w:pPr>
                  <w:r>
                    <w:rPr>
                      <w:rFonts w:hint="eastAsia"/>
                      <w:b/>
                      <w:bCs/>
                      <w:color w:val="auto"/>
                      <w:szCs w:val="21"/>
                      <w:highlight w:val="none"/>
                    </w:rPr>
                    <w:t>夜</w:t>
                  </w:r>
                  <w:r>
                    <w:rPr>
                      <w:b/>
                      <w:bCs/>
                      <w:color w:val="auto"/>
                      <w:szCs w:val="21"/>
                      <w:highlight w:val="none"/>
                    </w:rPr>
                    <w:t>间</w:t>
                  </w:r>
                </w:p>
              </w:tc>
            </w:tr>
            <w:tr w14:paraId="62C8D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50" w:type="pct"/>
                  <w:tcBorders>
                    <w:tl2br w:val="nil"/>
                    <w:tr2bl w:val="nil"/>
                  </w:tcBorders>
                  <w:vAlign w:val="center"/>
                </w:tcPr>
                <w:p w14:paraId="408DF5B4">
                  <w:pPr>
                    <w:pStyle w:val="8"/>
                    <w:keepNext w:val="0"/>
                    <w:keepLines w:val="0"/>
                    <w:pageBreakBefore w:val="0"/>
                    <w:widowControl/>
                    <w:kinsoku/>
                    <w:wordWrap/>
                    <w:overflowPunct/>
                    <w:topLinePunct w:val="0"/>
                    <w:autoSpaceDE/>
                    <w:autoSpaceDN/>
                    <w:bidi w:val="0"/>
                    <w:adjustRightInd w:val="0"/>
                    <w:snapToGrid w:val="0"/>
                    <w:ind w:firstLine="0"/>
                    <w:textAlignment w:val="auto"/>
                    <w:rPr>
                      <w:rFonts w:eastAsia="宋体"/>
                      <w:color w:val="auto"/>
                      <w:highlight w:val="none"/>
                    </w:rPr>
                  </w:pPr>
                  <w:r>
                    <w:rPr>
                      <w:rFonts w:eastAsia="宋体"/>
                      <w:color w:val="auto"/>
                      <w:highlight w:val="none"/>
                    </w:rPr>
                    <w:t>工业企业厂界噪声排放标准（GB12348-2008）</w:t>
                  </w:r>
                </w:p>
              </w:tc>
              <w:tc>
                <w:tcPr>
                  <w:tcW w:w="1050" w:type="pct"/>
                  <w:tcBorders>
                    <w:tl2br w:val="nil"/>
                    <w:tr2bl w:val="nil"/>
                  </w:tcBorders>
                  <w:vAlign w:val="center"/>
                </w:tcPr>
                <w:p w14:paraId="4664781F">
                  <w:pPr>
                    <w:adjustRightInd w:val="0"/>
                    <w:snapToGrid w:val="0"/>
                    <w:jc w:val="center"/>
                    <w:rPr>
                      <w:color w:val="auto"/>
                      <w:szCs w:val="21"/>
                      <w:highlight w:val="none"/>
                    </w:rPr>
                  </w:pPr>
                  <w:r>
                    <w:rPr>
                      <w:rFonts w:hint="eastAsia"/>
                      <w:color w:val="auto"/>
                      <w:szCs w:val="21"/>
                      <w:highlight w:val="none"/>
                      <w:lang w:val="en-US" w:eastAsia="zh-CN"/>
                    </w:rPr>
                    <w:t>2</w:t>
                  </w:r>
                  <w:r>
                    <w:rPr>
                      <w:rFonts w:hint="eastAsia"/>
                      <w:color w:val="auto"/>
                      <w:szCs w:val="21"/>
                      <w:highlight w:val="none"/>
                    </w:rPr>
                    <w:t>类</w:t>
                  </w:r>
                </w:p>
              </w:tc>
              <w:tc>
                <w:tcPr>
                  <w:tcW w:w="849" w:type="pct"/>
                  <w:tcBorders>
                    <w:tl2br w:val="nil"/>
                    <w:tr2bl w:val="nil"/>
                  </w:tcBorders>
                  <w:vAlign w:val="center"/>
                </w:tcPr>
                <w:p w14:paraId="4F4526DF">
                  <w:pPr>
                    <w:adjustRightInd w:val="0"/>
                    <w:snapToGrid w:val="0"/>
                    <w:jc w:val="center"/>
                    <w:rPr>
                      <w:rFonts w:hint="eastAsia" w:eastAsia="宋体"/>
                      <w:color w:val="auto"/>
                      <w:szCs w:val="21"/>
                      <w:highlight w:val="none"/>
                      <w:lang w:eastAsia="zh-CN"/>
                    </w:rPr>
                  </w:pPr>
                  <w:r>
                    <w:rPr>
                      <w:rFonts w:hint="eastAsia"/>
                      <w:color w:val="auto"/>
                      <w:szCs w:val="21"/>
                      <w:highlight w:val="none"/>
                    </w:rPr>
                    <w:t>6</w:t>
                  </w:r>
                  <w:r>
                    <w:rPr>
                      <w:rFonts w:hint="eastAsia"/>
                      <w:color w:val="auto"/>
                      <w:szCs w:val="21"/>
                      <w:highlight w:val="none"/>
                      <w:lang w:val="en-US" w:eastAsia="zh-CN"/>
                    </w:rPr>
                    <w:t>0</w:t>
                  </w:r>
                </w:p>
              </w:tc>
              <w:tc>
                <w:tcPr>
                  <w:tcW w:w="849" w:type="pct"/>
                  <w:tcBorders>
                    <w:tl2br w:val="nil"/>
                    <w:tr2bl w:val="nil"/>
                  </w:tcBorders>
                  <w:vAlign w:val="center"/>
                </w:tcPr>
                <w:p w14:paraId="6A0AB4EA">
                  <w:pPr>
                    <w:adjustRightInd w:val="0"/>
                    <w:snapToGrid w:val="0"/>
                    <w:jc w:val="center"/>
                    <w:rPr>
                      <w:rFonts w:hint="eastAsia" w:eastAsia="宋体"/>
                      <w:color w:val="auto"/>
                      <w:szCs w:val="21"/>
                      <w:highlight w:val="none"/>
                      <w:lang w:eastAsia="zh-CN"/>
                    </w:rPr>
                  </w:pPr>
                  <w:r>
                    <w:rPr>
                      <w:color w:val="auto"/>
                      <w:szCs w:val="21"/>
                      <w:highlight w:val="none"/>
                    </w:rPr>
                    <w:t>5</w:t>
                  </w:r>
                  <w:r>
                    <w:rPr>
                      <w:rFonts w:hint="eastAsia"/>
                      <w:color w:val="auto"/>
                      <w:szCs w:val="21"/>
                      <w:highlight w:val="none"/>
                      <w:lang w:val="en-US" w:eastAsia="zh-CN"/>
                    </w:rPr>
                    <w:t>0</w:t>
                  </w:r>
                </w:p>
              </w:tc>
            </w:tr>
          </w:tbl>
          <w:p w14:paraId="55784A13">
            <w:pPr>
              <w:spacing w:line="360" w:lineRule="auto"/>
              <w:rPr>
                <w:b/>
                <w:color w:val="auto"/>
                <w:sz w:val="24"/>
                <w:highlight w:val="none"/>
              </w:rPr>
            </w:pPr>
            <w:r>
              <w:rPr>
                <w:b/>
                <w:color w:val="auto"/>
                <w:sz w:val="24"/>
                <w:highlight w:val="none"/>
              </w:rPr>
              <w:t>4、固废排放标准</w:t>
            </w:r>
          </w:p>
          <w:p w14:paraId="09FC7BC2">
            <w:pPr>
              <w:spacing w:line="360" w:lineRule="auto"/>
              <w:ind w:firstLine="480" w:firstLineChars="200"/>
              <w:rPr>
                <w:rFonts w:hint="eastAsia"/>
                <w:color w:val="auto"/>
                <w:sz w:val="24"/>
                <w:highlight w:val="none"/>
              </w:rPr>
            </w:pPr>
            <w:r>
              <w:rPr>
                <w:rFonts w:hint="eastAsia"/>
                <w:color w:val="auto"/>
                <w:sz w:val="24"/>
                <w:highlight w:val="none"/>
              </w:rPr>
              <w:t>一般固体废物执行《一般工业固体废物贮存和填埋污染控制标准》(</w:t>
            </w:r>
            <w:r>
              <w:rPr>
                <w:color w:val="auto"/>
                <w:sz w:val="24"/>
                <w:highlight w:val="none"/>
              </w:rPr>
              <w:t>GB18599-2020</w:t>
            </w:r>
            <w:r>
              <w:rPr>
                <w:rFonts w:hint="eastAsia"/>
                <w:color w:val="auto"/>
                <w:sz w:val="24"/>
                <w:highlight w:val="none"/>
              </w:rPr>
              <w:t>)；危险废物贮存执行《危险废物贮存污染控制标准》</w:t>
            </w:r>
            <w:r>
              <w:rPr>
                <w:rFonts w:hint="eastAsia"/>
                <w:color w:val="auto"/>
                <w:sz w:val="24"/>
                <w:highlight w:val="none"/>
                <w:lang w:eastAsia="zh-CN"/>
              </w:rPr>
              <w:t>(</w:t>
            </w:r>
            <w:r>
              <w:rPr>
                <w:rFonts w:hint="eastAsia"/>
                <w:color w:val="auto"/>
                <w:sz w:val="24"/>
                <w:highlight w:val="none"/>
              </w:rPr>
              <w:t>GB18597-2023</w:t>
            </w:r>
            <w:r>
              <w:rPr>
                <w:rFonts w:hint="eastAsia"/>
                <w:color w:val="auto"/>
                <w:sz w:val="24"/>
                <w:highlight w:val="none"/>
                <w:lang w:eastAsia="zh-CN"/>
              </w:rPr>
              <w:t>)</w:t>
            </w:r>
            <w:r>
              <w:rPr>
                <w:rFonts w:hint="eastAsia"/>
                <w:color w:val="auto"/>
                <w:sz w:val="24"/>
                <w:highlight w:val="none"/>
              </w:rPr>
              <w:t>中有关规定；生活垃圾委托环卫部门处理。</w:t>
            </w:r>
          </w:p>
        </w:tc>
      </w:tr>
      <w:tr w14:paraId="7CF10D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190" w:hRule="atLeast"/>
          <w:jc w:val="center"/>
        </w:trPr>
        <w:tc>
          <w:tcPr>
            <w:tcW w:w="250" w:type="pct"/>
            <w:shd w:val="clear" w:color="auto" w:fill="auto"/>
            <w:tcMar>
              <w:left w:w="28" w:type="dxa"/>
              <w:right w:w="28" w:type="dxa"/>
            </w:tcMar>
            <w:vAlign w:val="center"/>
          </w:tcPr>
          <w:p w14:paraId="7A325B3E">
            <w:pPr>
              <w:adjustRightInd w:val="0"/>
              <w:snapToGrid w:val="0"/>
              <w:jc w:val="center"/>
              <w:rPr>
                <w:color w:val="auto"/>
                <w:kern w:val="0"/>
                <w:sz w:val="24"/>
                <w:highlight w:val="none"/>
              </w:rPr>
            </w:pPr>
            <w:r>
              <w:rPr>
                <w:color w:val="auto"/>
                <w:kern w:val="0"/>
                <w:sz w:val="24"/>
                <w:highlight w:val="none"/>
              </w:rPr>
              <w:t>总量</w:t>
            </w:r>
          </w:p>
          <w:p w14:paraId="40F37B68">
            <w:pPr>
              <w:adjustRightInd w:val="0"/>
              <w:snapToGrid w:val="0"/>
              <w:jc w:val="center"/>
              <w:rPr>
                <w:color w:val="auto"/>
                <w:kern w:val="0"/>
                <w:sz w:val="24"/>
                <w:highlight w:val="none"/>
              </w:rPr>
            </w:pPr>
            <w:r>
              <w:rPr>
                <w:color w:val="auto"/>
                <w:kern w:val="0"/>
                <w:sz w:val="24"/>
                <w:highlight w:val="none"/>
              </w:rPr>
              <w:t>控制</w:t>
            </w:r>
          </w:p>
          <w:p w14:paraId="5EF864B0">
            <w:pPr>
              <w:adjustRightInd w:val="0"/>
              <w:snapToGrid w:val="0"/>
              <w:jc w:val="center"/>
              <w:rPr>
                <w:rFonts w:hint="eastAsia" w:ascii="Times New Roman" w:hAnsi="Times New Roman" w:eastAsia="宋体" w:cs="Times New Roman"/>
                <w:color w:val="auto"/>
                <w:kern w:val="0"/>
                <w:sz w:val="21"/>
                <w:szCs w:val="21"/>
                <w:highlight w:val="none"/>
                <w:lang w:val="en-US" w:eastAsia="zh-CN" w:bidi="ar-SA"/>
              </w:rPr>
            </w:pPr>
            <w:r>
              <w:rPr>
                <w:color w:val="auto"/>
                <w:kern w:val="0"/>
                <w:sz w:val="24"/>
                <w:highlight w:val="none"/>
              </w:rPr>
              <w:t>指标</w:t>
            </w:r>
          </w:p>
        </w:tc>
        <w:tc>
          <w:tcPr>
            <w:tcW w:w="4749" w:type="pct"/>
            <w:shd w:val="clear" w:color="auto" w:fill="auto"/>
            <w:vAlign w:val="center"/>
          </w:tcPr>
          <w:p w14:paraId="685644C1">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color w:val="auto"/>
                <w:sz w:val="24"/>
                <w:highlight w:val="none"/>
                <w:u w:val="none"/>
              </w:rPr>
            </w:pPr>
            <w:r>
              <w:rPr>
                <w:rFonts w:hint="eastAsia"/>
                <w:color w:val="auto"/>
                <w:sz w:val="24"/>
                <w:highlight w:val="none"/>
                <w:u w:val="none"/>
              </w:rPr>
              <w:t>根据国家总量控制的精神，全省主要对SO</w:t>
            </w:r>
            <w:r>
              <w:rPr>
                <w:rFonts w:hint="eastAsia"/>
                <w:color w:val="auto"/>
                <w:sz w:val="24"/>
                <w:highlight w:val="none"/>
                <w:u w:val="none"/>
                <w:vertAlign w:val="subscript"/>
              </w:rPr>
              <w:t>2</w:t>
            </w:r>
            <w:r>
              <w:rPr>
                <w:rFonts w:hint="eastAsia"/>
                <w:color w:val="auto"/>
                <w:sz w:val="24"/>
                <w:highlight w:val="none"/>
                <w:u w:val="none"/>
              </w:rPr>
              <w:t>、NO</w:t>
            </w:r>
            <w:r>
              <w:rPr>
                <w:rFonts w:hint="eastAsia"/>
                <w:color w:val="auto"/>
                <w:sz w:val="24"/>
                <w:highlight w:val="none"/>
                <w:u w:val="none"/>
                <w:vertAlign w:val="subscript"/>
              </w:rPr>
              <w:t>X</w:t>
            </w:r>
            <w:r>
              <w:rPr>
                <w:rFonts w:hint="eastAsia"/>
                <w:color w:val="auto"/>
                <w:sz w:val="24"/>
                <w:highlight w:val="none"/>
                <w:u w:val="none"/>
              </w:rPr>
              <w:t>、COD</w:t>
            </w:r>
            <w:r>
              <w:rPr>
                <w:rFonts w:hint="eastAsia"/>
                <w:color w:val="auto"/>
                <w:sz w:val="24"/>
                <w:highlight w:val="none"/>
                <w:u w:val="none"/>
                <w:lang w:eastAsia="zh-CN"/>
              </w:rPr>
              <w:t>、</w:t>
            </w:r>
            <w:r>
              <w:rPr>
                <w:rFonts w:hint="eastAsia"/>
                <w:color w:val="auto"/>
                <w:sz w:val="24"/>
                <w:highlight w:val="none"/>
                <w:u w:val="none"/>
              </w:rPr>
              <w:t>氨氮</w:t>
            </w:r>
            <w:r>
              <w:rPr>
                <w:rFonts w:hint="eastAsia"/>
                <w:color w:val="auto"/>
                <w:sz w:val="24"/>
                <w:highlight w:val="none"/>
                <w:u w:val="none"/>
                <w:lang w:val="en-US" w:eastAsia="zh-CN"/>
              </w:rPr>
              <w:t>等重点污染物</w:t>
            </w:r>
            <w:r>
              <w:rPr>
                <w:rFonts w:hint="eastAsia"/>
                <w:color w:val="auto"/>
                <w:sz w:val="24"/>
                <w:highlight w:val="none"/>
                <w:u w:val="none"/>
              </w:rPr>
              <w:t>实行总量控制。</w:t>
            </w:r>
            <w:r>
              <w:rPr>
                <w:rFonts w:hint="eastAsia"/>
                <w:color w:val="auto"/>
                <w:sz w:val="24"/>
                <w:highlight w:val="none"/>
                <w:u w:val="none"/>
                <w:lang w:val="en-US" w:eastAsia="zh-CN"/>
              </w:rPr>
              <w:t>本项目生产废水、锅炉排污水经处理后回用于生产，不外排；生活污水排污城镇污水处理厂处理，无需单独申请总量控制指标。</w:t>
            </w:r>
            <w:r>
              <w:rPr>
                <w:rFonts w:hint="eastAsia"/>
                <w:color w:val="auto"/>
                <w:sz w:val="24"/>
                <w:highlight w:val="none"/>
                <w:u w:val="none"/>
              </w:rPr>
              <w:t>结合企业实际产生及排污情况</w:t>
            </w:r>
            <w:r>
              <w:rPr>
                <w:rFonts w:hint="eastAsia"/>
                <w:color w:val="auto"/>
                <w:sz w:val="24"/>
                <w:highlight w:val="none"/>
                <w:u w:val="none"/>
                <w:lang w:eastAsia="zh-CN"/>
              </w:rPr>
              <w:t>，</w:t>
            </w:r>
            <w:r>
              <w:rPr>
                <w:rFonts w:hint="eastAsia"/>
                <w:color w:val="auto"/>
                <w:sz w:val="24"/>
                <w:highlight w:val="none"/>
                <w:u w:val="none"/>
              </w:rPr>
              <w:t>本项目设置总量控制指标</w:t>
            </w:r>
            <w:r>
              <w:rPr>
                <w:rFonts w:hint="eastAsia"/>
                <w:color w:val="auto"/>
                <w:sz w:val="24"/>
                <w:highlight w:val="none"/>
                <w:u w:val="none"/>
                <w:lang w:val="en-US" w:eastAsia="zh-CN"/>
              </w:rPr>
              <w:t>主要为</w:t>
            </w:r>
            <w:r>
              <w:rPr>
                <w:rFonts w:hint="eastAsia"/>
                <w:color w:val="auto"/>
                <w:sz w:val="24"/>
                <w:highlight w:val="none"/>
                <w:u w:val="none"/>
              </w:rPr>
              <w:t>SO</w:t>
            </w:r>
            <w:r>
              <w:rPr>
                <w:rFonts w:hint="eastAsia"/>
                <w:color w:val="auto"/>
                <w:sz w:val="24"/>
                <w:highlight w:val="none"/>
                <w:u w:val="none"/>
                <w:vertAlign w:val="subscript"/>
              </w:rPr>
              <w:t>2</w:t>
            </w:r>
            <w:r>
              <w:rPr>
                <w:rFonts w:hint="eastAsia"/>
                <w:color w:val="auto"/>
                <w:sz w:val="24"/>
                <w:highlight w:val="none"/>
                <w:u w:val="none"/>
              </w:rPr>
              <w:t>、NO</w:t>
            </w:r>
            <w:r>
              <w:rPr>
                <w:rFonts w:hint="eastAsia"/>
                <w:color w:val="auto"/>
                <w:sz w:val="24"/>
                <w:highlight w:val="none"/>
                <w:u w:val="none"/>
                <w:vertAlign w:val="subscript"/>
              </w:rPr>
              <w:t>X</w:t>
            </w:r>
            <w:r>
              <w:rPr>
                <w:rFonts w:hint="eastAsia"/>
                <w:color w:val="auto"/>
                <w:sz w:val="24"/>
                <w:highlight w:val="none"/>
                <w:u w:val="none"/>
                <w:vertAlign w:val="baseline"/>
                <w:lang w:eastAsia="zh-CN"/>
              </w:rPr>
              <w:t>，</w:t>
            </w:r>
            <w:r>
              <w:rPr>
                <w:rFonts w:hint="eastAsia" w:cs="Times New Roman"/>
                <w:b w:val="0"/>
                <w:bCs w:val="0"/>
                <w:color w:val="auto"/>
                <w:sz w:val="24"/>
                <w:szCs w:val="24"/>
                <w:highlight w:val="none"/>
                <w:u w:val="none" w:color="auto"/>
                <w:lang w:val="en-US" w:eastAsia="zh-CN"/>
              </w:rPr>
              <w:t>计算如下</w:t>
            </w:r>
            <w:r>
              <w:rPr>
                <w:rFonts w:hint="eastAsia"/>
                <w:color w:val="auto"/>
                <w:sz w:val="24"/>
                <w:highlight w:val="none"/>
                <w:u w:val="none"/>
              </w:rPr>
              <w:t>。</w:t>
            </w:r>
          </w:p>
          <w:p w14:paraId="7ECEB0FF">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eastAsia="宋体"/>
                <w:b w:val="0"/>
                <w:bCs w:val="0"/>
                <w:color w:val="auto"/>
                <w:sz w:val="24"/>
                <w:highlight w:val="none"/>
                <w:u w:val="none" w:color="auto"/>
                <w:lang w:val="en-US" w:eastAsia="zh-CN"/>
              </w:rPr>
            </w:pPr>
            <w:r>
              <w:rPr>
                <w:rFonts w:hint="eastAsia"/>
                <w:b w:val="0"/>
                <w:bCs w:val="0"/>
                <w:color w:val="auto"/>
                <w:sz w:val="24"/>
                <w:highlight w:val="none"/>
                <w:u w:val="none" w:color="auto"/>
                <w:lang w:eastAsia="zh-CN"/>
              </w:rPr>
              <w:t>（</w:t>
            </w:r>
            <w:r>
              <w:rPr>
                <w:rFonts w:hint="eastAsia"/>
                <w:b w:val="0"/>
                <w:bCs w:val="0"/>
                <w:color w:val="auto"/>
                <w:sz w:val="24"/>
                <w:highlight w:val="none"/>
                <w:u w:val="none" w:color="auto"/>
                <w:lang w:val="en-US" w:eastAsia="zh-CN"/>
              </w:rPr>
              <w:t>1</w:t>
            </w:r>
            <w:r>
              <w:rPr>
                <w:rFonts w:hint="eastAsia"/>
                <w:b w:val="0"/>
                <w:bCs w:val="0"/>
                <w:color w:val="auto"/>
                <w:sz w:val="24"/>
                <w:highlight w:val="none"/>
                <w:u w:val="none" w:color="auto"/>
                <w:lang w:eastAsia="zh-CN"/>
              </w:rPr>
              <w:t>）</w:t>
            </w:r>
            <w:r>
              <w:rPr>
                <w:rFonts w:hint="eastAsia"/>
                <w:b w:val="0"/>
                <w:bCs w:val="0"/>
                <w:color w:val="auto"/>
                <w:sz w:val="24"/>
                <w:highlight w:val="none"/>
                <w:u w:val="none" w:color="auto"/>
                <w:lang w:val="en-US" w:eastAsia="zh-CN"/>
              </w:rPr>
              <w:t>废气量</w:t>
            </w:r>
          </w:p>
          <w:p w14:paraId="4214B782">
            <w:pPr>
              <w:keepNext w:val="0"/>
              <w:keepLines w:val="0"/>
              <w:pageBreakBefore w:val="0"/>
              <w:widowControl w:val="0"/>
              <w:tabs>
                <w:tab w:val="left" w:pos="4620"/>
              </w:tabs>
              <w:kinsoku/>
              <w:wordWrap/>
              <w:overflowPunct/>
              <w:topLinePunct w:val="0"/>
              <w:autoSpaceDE/>
              <w:autoSpaceDN/>
              <w:bidi w:val="0"/>
              <w:snapToGrid/>
              <w:spacing w:line="520" w:lineRule="exact"/>
              <w:ind w:firstLine="480"/>
              <w:textAlignment w:val="auto"/>
              <w:rPr>
                <w:color w:val="auto"/>
                <w:sz w:val="24"/>
                <w:highlight w:val="none"/>
                <w:u w:val="none" w:color="auto"/>
              </w:rPr>
            </w:pPr>
            <w:r>
              <w:rPr>
                <w:rFonts w:hint="eastAsia"/>
                <w:color w:val="auto"/>
                <w:sz w:val="24"/>
                <w:highlight w:val="none"/>
                <w:u w:val="none" w:color="auto"/>
                <w:lang w:val="en-US" w:eastAsia="zh-CN"/>
              </w:rPr>
              <w:t>技改</w:t>
            </w:r>
            <w:r>
              <w:rPr>
                <w:rFonts w:hint="eastAsia"/>
                <w:color w:val="auto"/>
                <w:sz w:val="24"/>
                <w:highlight w:val="none"/>
                <w:u w:val="none" w:color="auto"/>
              </w:rPr>
              <w:t>项目设置1台</w:t>
            </w:r>
            <w:r>
              <w:rPr>
                <w:rFonts w:hint="eastAsia"/>
                <w:color w:val="auto"/>
                <w:sz w:val="24"/>
                <w:highlight w:val="none"/>
                <w:u w:val="none" w:color="auto"/>
                <w:lang w:val="en-US" w:eastAsia="zh-CN"/>
              </w:rPr>
              <w:t>2.1t/h</w:t>
            </w:r>
            <w:r>
              <w:rPr>
                <w:rFonts w:hint="eastAsia"/>
                <w:color w:val="auto"/>
                <w:sz w:val="24"/>
                <w:highlight w:val="none"/>
                <w:u w:val="none" w:color="auto"/>
              </w:rPr>
              <w:t>的生物质燃料蒸汽锅炉，</w:t>
            </w:r>
            <w:r>
              <w:rPr>
                <w:rFonts w:hint="eastAsia" w:ascii="Times New Roman" w:hAnsi="Times New Roman" w:cs="Times New Roman"/>
                <w:color w:val="auto"/>
                <w:spacing w:val="0"/>
                <w:sz w:val="24"/>
                <w:szCs w:val="24"/>
                <w:highlight w:val="none"/>
                <w:u w:val="none" w:color="auto"/>
              </w:rPr>
              <w:t>根据生产线需要的</w:t>
            </w:r>
            <w:r>
              <w:rPr>
                <w:rFonts w:hint="eastAsia" w:ascii="Times New Roman" w:hAnsi="Times New Roman" w:eastAsia="宋体" w:cs="Times New Roman"/>
                <w:color w:val="auto"/>
                <w:spacing w:val="0"/>
                <w:sz w:val="24"/>
                <w:szCs w:val="24"/>
                <w:highlight w:val="none"/>
                <w:u w:val="none" w:color="auto"/>
              </w:rPr>
              <w:t>蒸汽量</w:t>
            </w:r>
            <w:r>
              <w:rPr>
                <w:rFonts w:hint="eastAsia" w:ascii="Times New Roman" w:hAnsi="Times New Roman" w:cs="Times New Roman"/>
                <w:color w:val="auto"/>
                <w:spacing w:val="0"/>
                <w:sz w:val="24"/>
                <w:szCs w:val="24"/>
                <w:highlight w:val="none"/>
                <w:u w:val="none" w:color="auto"/>
              </w:rPr>
              <w:t>为</w:t>
            </w:r>
            <w:r>
              <w:rPr>
                <w:rFonts w:hint="eastAsia" w:cs="Times New Roman"/>
                <w:color w:val="auto"/>
                <w:spacing w:val="0"/>
                <w:sz w:val="24"/>
                <w:szCs w:val="24"/>
                <w:highlight w:val="none"/>
                <w:u w:val="none" w:color="auto"/>
                <w:lang w:val="en-US" w:eastAsia="zh-CN"/>
              </w:rPr>
              <w:t>18</w:t>
            </w:r>
            <w:r>
              <w:rPr>
                <w:rFonts w:hint="eastAsia" w:ascii="Times New Roman" w:hAnsi="Times New Roman" w:cs="Times New Roman"/>
                <w:color w:val="auto"/>
                <w:spacing w:val="0"/>
                <w:sz w:val="24"/>
                <w:szCs w:val="24"/>
                <w:highlight w:val="none"/>
                <w:u w:val="none" w:color="auto"/>
                <w:lang w:val="en-US" w:eastAsia="zh-CN"/>
              </w:rPr>
              <w:t>00</w:t>
            </w:r>
            <w:r>
              <w:rPr>
                <w:rFonts w:hint="eastAsia" w:ascii="Times New Roman" w:hAnsi="Times New Roman" w:eastAsia="宋体" w:cs="Times New Roman"/>
                <w:color w:val="auto"/>
                <w:spacing w:val="0"/>
                <w:sz w:val="24"/>
                <w:szCs w:val="24"/>
                <w:highlight w:val="none"/>
                <w:u w:val="none" w:color="auto"/>
              </w:rPr>
              <w:t>吨</w:t>
            </w:r>
            <w:r>
              <w:rPr>
                <w:rFonts w:hint="eastAsia" w:cs="Times New Roman"/>
                <w:color w:val="auto"/>
                <w:spacing w:val="0"/>
                <w:sz w:val="24"/>
                <w:szCs w:val="24"/>
                <w:highlight w:val="none"/>
                <w:u w:val="none" w:color="auto"/>
                <w:lang w:val="en-US" w:eastAsia="zh-CN"/>
              </w:rPr>
              <w:t>/年</w:t>
            </w:r>
            <w:r>
              <w:rPr>
                <w:rFonts w:hint="eastAsia" w:ascii="Times New Roman" w:hAnsi="Times New Roman" w:cs="Times New Roman"/>
                <w:color w:val="auto"/>
                <w:spacing w:val="0"/>
                <w:sz w:val="24"/>
                <w:szCs w:val="24"/>
                <w:highlight w:val="none"/>
                <w:u w:val="none" w:color="auto"/>
              </w:rPr>
              <w:t>，</w:t>
            </w:r>
            <w:r>
              <w:rPr>
                <w:rFonts w:hint="eastAsia" w:ascii="Times New Roman" w:hAnsi="Times New Roman" w:eastAsia="宋体" w:cs="Times New Roman"/>
                <w:color w:val="auto"/>
                <w:spacing w:val="0"/>
                <w:sz w:val="24"/>
                <w:szCs w:val="24"/>
                <w:highlight w:val="none"/>
                <w:u w:val="none" w:color="auto"/>
              </w:rPr>
              <w:t>蒸汽锅炉</w:t>
            </w:r>
            <w:r>
              <w:rPr>
                <w:rFonts w:hint="eastAsia"/>
                <w:color w:val="auto"/>
                <w:sz w:val="24"/>
                <w:highlight w:val="none"/>
                <w:u w:val="none" w:color="auto"/>
              </w:rPr>
              <w:t>年运行时间为</w:t>
            </w:r>
            <w:r>
              <w:rPr>
                <w:rFonts w:hint="eastAsia"/>
                <w:color w:val="auto"/>
                <w:sz w:val="24"/>
                <w:highlight w:val="none"/>
                <w:u w:val="none" w:color="auto"/>
                <w:lang w:val="en-US" w:eastAsia="zh-CN"/>
              </w:rPr>
              <w:t>858</w:t>
            </w:r>
            <w:r>
              <w:rPr>
                <w:rFonts w:hint="eastAsia"/>
                <w:color w:val="auto"/>
                <w:sz w:val="24"/>
                <w:highlight w:val="none"/>
                <w:u w:val="none" w:color="auto"/>
              </w:rPr>
              <w:t>h</w:t>
            </w:r>
            <w:r>
              <w:rPr>
                <w:rFonts w:hint="eastAsia" w:ascii="Times New Roman" w:hAnsi="Times New Roman" w:eastAsia="宋体" w:cs="Times New Roman"/>
                <w:color w:val="auto"/>
                <w:spacing w:val="0"/>
                <w:sz w:val="24"/>
                <w:szCs w:val="24"/>
                <w:highlight w:val="none"/>
                <w:u w:val="none" w:color="auto"/>
              </w:rPr>
              <w:t>。</w:t>
            </w:r>
          </w:p>
          <w:p w14:paraId="24AC97C2">
            <w:pPr>
              <w:keepNext w:val="0"/>
              <w:keepLines w:val="0"/>
              <w:pageBreakBefore w:val="0"/>
              <w:widowControl w:val="0"/>
              <w:kinsoku/>
              <w:wordWrap/>
              <w:overflowPunct/>
              <w:topLinePunct w:val="0"/>
              <w:autoSpaceDE/>
              <w:autoSpaceDN/>
              <w:bidi w:val="0"/>
              <w:snapToGrid/>
              <w:spacing w:line="520" w:lineRule="exact"/>
              <w:ind w:firstLine="480"/>
              <w:textAlignment w:val="auto"/>
              <w:rPr>
                <w:rFonts w:hint="eastAsia"/>
                <w:color w:val="auto"/>
                <w:sz w:val="24"/>
                <w:highlight w:val="none"/>
                <w:u w:val="none" w:color="auto"/>
              </w:rPr>
            </w:pPr>
            <w:r>
              <w:rPr>
                <w:rFonts w:hint="eastAsia"/>
                <w:color w:val="auto"/>
                <w:sz w:val="24"/>
                <w:highlight w:val="none"/>
                <w:u w:val="none" w:color="auto"/>
              </w:rPr>
              <w:t>本项目锅炉燃料消耗量为</w:t>
            </w:r>
            <w:r>
              <w:rPr>
                <w:rFonts w:hint="eastAsia"/>
                <w:color w:val="auto"/>
                <w:sz w:val="24"/>
                <w:highlight w:val="none"/>
                <w:u w:val="none" w:color="auto"/>
                <w:lang w:val="en-US" w:eastAsia="zh-CN"/>
              </w:rPr>
              <w:t>260</w:t>
            </w:r>
            <w:r>
              <w:rPr>
                <w:rFonts w:hint="eastAsia"/>
                <w:color w:val="auto"/>
                <w:sz w:val="24"/>
                <w:highlight w:val="none"/>
                <w:u w:val="none" w:color="auto"/>
              </w:rPr>
              <w:t>t</w:t>
            </w:r>
            <w:r>
              <w:rPr>
                <w:rFonts w:hint="eastAsia"/>
                <w:color w:val="auto"/>
                <w:sz w:val="24"/>
                <w:highlight w:val="none"/>
                <w:u w:val="none" w:color="auto"/>
                <w:lang w:val="en-US" w:eastAsia="zh-CN"/>
              </w:rPr>
              <w:t>/</w:t>
            </w:r>
            <w:r>
              <w:rPr>
                <w:rFonts w:hint="eastAsia"/>
                <w:color w:val="auto"/>
                <w:sz w:val="24"/>
                <w:highlight w:val="none"/>
                <w:u w:val="none" w:color="auto"/>
              </w:rPr>
              <w:t>a</w:t>
            </w:r>
            <w:r>
              <w:rPr>
                <w:rFonts w:hint="eastAsia"/>
                <w:color w:val="auto"/>
                <w:sz w:val="24"/>
                <w:highlight w:val="none"/>
                <w:u w:val="none" w:color="auto"/>
                <w:lang w:eastAsia="zh-CN"/>
              </w:rPr>
              <w:t>，</w:t>
            </w:r>
            <w:r>
              <w:rPr>
                <w:rFonts w:hint="default" w:ascii="Times New Roman" w:hAnsi="Times New Roman" w:cs="Times New Roman"/>
                <w:b w:val="0"/>
                <w:bCs w:val="0"/>
                <w:color w:val="auto"/>
                <w:sz w:val="24"/>
                <w:szCs w:val="24"/>
                <w:highlight w:val="none"/>
                <w:u w:val="none" w:color="auto"/>
                <w:lang w:val="en-US" w:eastAsia="zh-CN"/>
              </w:rPr>
              <w:t>根据《第二次全国污染源普查工业污染源产排污系数手册》（试用版）4430工业锅炉（热力生产和供应行业）产排污系数表可知，</w:t>
            </w:r>
            <w:r>
              <w:rPr>
                <w:rFonts w:hint="eastAsia" w:ascii="Times New Roman" w:hAnsi="Times New Roman" w:cs="Times New Roman"/>
                <w:b w:val="0"/>
                <w:bCs w:val="0"/>
                <w:color w:val="auto"/>
                <w:sz w:val="24"/>
                <w:szCs w:val="24"/>
                <w:highlight w:val="none"/>
                <w:u w:val="none" w:color="auto"/>
                <w:lang w:val="en-US" w:eastAsia="zh-CN"/>
              </w:rPr>
              <w:t>燃生物质</w:t>
            </w:r>
            <w:r>
              <w:rPr>
                <w:rFonts w:hint="default" w:ascii="Times New Roman" w:hAnsi="Times New Roman" w:cs="Times New Roman"/>
                <w:b w:val="0"/>
                <w:bCs w:val="0"/>
                <w:color w:val="auto"/>
                <w:sz w:val="24"/>
                <w:szCs w:val="24"/>
                <w:highlight w:val="none"/>
                <w:u w:val="none" w:color="auto"/>
                <w:lang w:val="en-US" w:eastAsia="zh-CN"/>
              </w:rPr>
              <w:t>工业锅炉废气量为</w:t>
            </w:r>
            <w:r>
              <w:rPr>
                <w:rFonts w:hint="eastAsia" w:ascii="Times New Roman" w:hAnsi="Times New Roman" w:cs="Times New Roman"/>
                <w:b w:val="0"/>
                <w:bCs w:val="0"/>
                <w:color w:val="auto"/>
                <w:sz w:val="24"/>
                <w:szCs w:val="24"/>
                <w:highlight w:val="none"/>
                <w:u w:val="none" w:color="auto"/>
                <w:lang w:val="en-US" w:eastAsia="zh-CN"/>
              </w:rPr>
              <w:t>6240</w:t>
            </w:r>
            <w:r>
              <w:rPr>
                <w:rFonts w:hint="default" w:ascii="Times New Roman" w:hAnsi="Times New Roman" w:cs="Times New Roman"/>
                <w:b w:val="0"/>
                <w:bCs w:val="0"/>
                <w:color w:val="auto"/>
                <w:sz w:val="24"/>
                <w:szCs w:val="24"/>
                <w:highlight w:val="none"/>
                <w:u w:val="none" w:color="auto"/>
                <w:lang w:val="en-US" w:eastAsia="zh-CN"/>
              </w:rPr>
              <w:t>千克/吨-原料</w:t>
            </w:r>
            <w:r>
              <w:rPr>
                <w:rFonts w:hint="eastAsia" w:ascii="Times New Roman" w:hAnsi="Times New Roman" w:cs="Times New Roman"/>
                <w:b w:val="0"/>
                <w:bCs w:val="0"/>
                <w:color w:val="auto"/>
                <w:sz w:val="24"/>
                <w:szCs w:val="24"/>
                <w:highlight w:val="none"/>
                <w:u w:val="none" w:color="auto"/>
                <w:lang w:val="en-US" w:eastAsia="zh-CN"/>
              </w:rPr>
              <w:t>，烟气排放量为6240×</w:t>
            </w:r>
            <w:r>
              <w:rPr>
                <w:rFonts w:hint="eastAsia" w:cs="Times New Roman"/>
                <w:b w:val="0"/>
                <w:bCs w:val="0"/>
                <w:color w:val="auto"/>
                <w:sz w:val="24"/>
                <w:szCs w:val="24"/>
                <w:highlight w:val="none"/>
                <w:u w:val="none" w:color="auto"/>
                <w:lang w:val="en-US" w:eastAsia="zh-CN"/>
              </w:rPr>
              <w:t>260</w:t>
            </w:r>
            <w:r>
              <w:rPr>
                <w:rFonts w:hint="eastAsia" w:ascii="Times New Roman" w:hAnsi="Times New Roman" w:cs="Times New Roman"/>
                <w:b w:val="0"/>
                <w:bCs w:val="0"/>
                <w:color w:val="auto"/>
                <w:sz w:val="24"/>
                <w:szCs w:val="24"/>
                <w:highlight w:val="none"/>
                <w:u w:val="none" w:color="auto"/>
                <w:lang w:val="en-US" w:eastAsia="zh-CN"/>
              </w:rPr>
              <w:t>=</w:t>
            </w:r>
            <w:r>
              <w:rPr>
                <w:rFonts w:hint="eastAsia" w:cs="Times New Roman"/>
                <w:b w:val="0"/>
                <w:bCs w:val="0"/>
                <w:color w:val="auto"/>
                <w:sz w:val="24"/>
                <w:szCs w:val="24"/>
                <w:highlight w:val="none"/>
                <w:u w:val="none" w:color="auto"/>
                <w:lang w:val="en-US" w:eastAsia="zh-CN"/>
              </w:rPr>
              <w:t>1622400</w:t>
            </w:r>
            <w:r>
              <w:rPr>
                <w:rFonts w:hint="default" w:ascii="Times New Roman" w:hAnsi="Times New Roman" w:cs="Times New Roman"/>
                <w:b w:val="0"/>
                <w:bCs w:val="0"/>
                <w:color w:val="auto"/>
                <w:sz w:val="24"/>
                <w:szCs w:val="24"/>
                <w:highlight w:val="none"/>
                <w:u w:val="none" w:color="auto"/>
                <w:lang w:val="en-US" w:eastAsia="zh-CN"/>
              </w:rPr>
              <w:t>m</w:t>
            </w:r>
            <w:r>
              <w:rPr>
                <w:rFonts w:hint="default" w:ascii="Times New Roman" w:hAnsi="Times New Roman" w:cs="Times New Roman"/>
                <w:b w:val="0"/>
                <w:bCs w:val="0"/>
                <w:color w:val="auto"/>
                <w:sz w:val="24"/>
                <w:szCs w:val="24"/>
                <w:highlight w:val="none"/>
                <w:u w:val="none" w:color="auto"/>
                <w:vertAlign w:val="superscript"/>
                <w:lang w:val="en-US" w:eastAsia="zh-CN"/>
              </w:rPr>
              <w:t>3</w:t>
            </w:r>
            <w:r>
              <w:rPr>
                <w:rFonts w:hint="default" w:ascii="Times New Roman" w:hAnsi="Times New Roman" w:cs="Times New Roman"/>
                <w:b w:val="0"/>
                <w:bCs w:val="0"/>
                <w:color w:val="auto"/>
                <w:sz w:val="24"/>
                <w:szCs w:val="24"/>
                <w:highlight w:val="none"/>
                <w:u w:val="none" w:color="auto"/>
                <w:lang w:val="en-US" w:eastAsia="zh-CN"/>
              </w:rPr>
              <w:t>/a</w:t>
            </w:r>
            <w:r>
              <w:rPr>
                <w:rFonts w:hint="eastAsia" w:cs="Times New Roman"/>
                <w:b w:val="0"/>
                <w:bCs w:val="0"/>
                <w:color w:val="auto"/>
                <w:sz w:val="24"/>
                <w:szCs w:val="24"/>
                <w:highlight w:val="none"/>
                <w:u w:val="none" w:color="auto"/>
                <w:lang w:val="en-US" w:eastAsia="zh-CN"/>
              </w:rPr>
              <w:t>。</w:t>
            </w:r>
          </w:p>
          <w:p w14:paraId="07190491">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cs="Times New Roman"/>
                <w:b w:val="0"/>
                <w:bCs w:val="0"/>
                <w:color w:val="auto"/>
                <w:sz w:val="24"/>
                <w:szCs w:val="24"/>
                <w:highlight w:val="none"/>
                <w:u w:val="none" w:color="auto"/>
                <w:lang w:val="en-US" w:eastAsia="zh-CN"/>
              </w:rPr>
            </w:pPr>
            <w:r>
              <w:rPr>
                <w:rFonts w:hint="eastAsia" w:cs="Times New Roman"/>
                <w:b w:val="0"/>
                <w:bCs w:val="0"/>
                <w:color w:val="auto"/>
                <w:sz w:val="24"/>
                <w:szCs w:val="24"/>
                <w:highlight w:val="none"/>
                <w:u w:val="none" w:color="auto"/>
                <w:lang w:val="en-US" w:eastAsia="zh-CN"/>
              </w:rPr>
              <w:t>（2）按排放标准计算污染物排放限值</w:t>
            </w:r>
          </w:p>
          <w:p w14:paraId="766F7286">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ascii="Times New Roman" w:hAnsi="Times New Roman" w:cs="Times New Roman"/>
                <w:b w:val="0"/>
                <w:bCs w:val="0"/>
                <w:color w:val="auto"/>
                <w:sz w:val="24"/>
                <w:szCs w:val="24"/>
                <w:highlight w:val="none"/>
                <w:u w:val="none" w:color="auto"/>
                <w:lang w:val="en-US" w:eastAsia="zh-CN"/>
              </w:rPr>
            </w:pPr>
            <w:r>
              <w:rPr>
                <w:rFonts w:hint="eastAsia" w:cs="Times New Roman"/>
                <w:b w:val="0"/>
                <w:bCs w:val="0"/>
                <w:color w:val="auto"/>
                <w:sz w:val="24"/>
                <w:szCs w:val="24"/>
                <w:highlight w:val="none"/>
                <w:u w:val="none" w:color="auto"/>
                <w:lang w:val="en-US" w:eastAsia="zh-CN"/>
              </w:rPr>
              <w:t>技改项目</w:t>
            </w:r>
            <w:r>
              <w:rPr>
                <w:rFonts w:hint="eastAsia"/>
                <w:color w:val="auto"/>
                <w:sz w:val="24"/>
                <w:highlight w:val="none"/>
                <w:u w:val="none" w:color="auto"/>
                <w:lang w:val="en-US" w:eastAsia="zh-CN"/>
              </w:rPr>
              <w:t>2.1t/h</w:t>
            </w:r>
            <w:r>
              <w:rPr>
                <w:rFonts w:hint="eastAsia" w:cs="Times New Roman"/>
                <w:b w:val="0"/>
                <w:bCs w:val="0"/>
                <w:color w:val="auto"/>
                <w:sz w:val="24"/>
                <w:szCs w:val="24"/>
                <w:highlight w:val="none"/>
                <w:u w:val="none" w:color="auto"/>
                <w:lang w:val="en-US" w:eastAsia="zh-CN"/>
              </w:rPr>
              <w:t>锅炉</w:t>
            </w:r>
            <w:r>
              <w:rPr>
                <w:rFonts w:hint="default" w:ascii="Times New Roman" w:hAnsi="Times New Roman" w:cs="Times New Roman"/>
                <w:b w:val="0"/>
                <w:bCs w:val="0"/>
                <w:color w:val="auto"/>
                <w:sz w:val="24"/>
                <w:szCs w:val="24"/>
                <w:highlight w:val="none"/>
                <w:u w:val="none" w:color="auto"/>
                <w:lang w:val="en-US" w:eastAsia="zh-CN"/>
              </w:rPr>
              <w:t>烟气SO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default" w:ascii="Times New Roman" w:hAnsi="Times New Roman" w:cs="Times New Roman"/>
                <w:b w:val="0"/>
                <w:bCs w:val="0"/>
                <w:color w:val="auto"/>
                <w:sz w:val="24"/>
                <w:szCs w:val="24"/>
                <w:highlight w:val="none"/>
                <w:u w:val="none" w:color="auto"/>
                <w:lang w:val="en-US" w:eastAsia="zh-CN"/>
              </w:rPr>
              <w:t>及NOx排放参照执行《锅炉大气污染物排放标准》（GB13271-2014)</w:t>
            </w:r>
            <w:r>
              <w:rPr>
                <w:rFonts w:hint="default" w:ascii="Times New Roman" w:hAnsi="Times New Roman" w:eastAsia="宋体" w:cs="Times New Roman"/>
                <w:color w:val="auto"/>
                <w:kern w:val="0"/>
                <w:sz w:val="24"/>
                <w:szCs w:val="24"/>
                <w:highlight w:val="none"/>
                <w:u w:val="none" w:color="auto"/>
                <w:lang w:val="en-US" w:eastAsia="zh-CN" w:bidi="ar"/>
              </w:rPr>
              <w:t>中表2规定的新建燃煤锅炉大气污染物排放浓度限值</w:t>
            </w:r>
            <w:r>
              <w:rPr>
                <w:rFonts w:hint="default" w:ascii="Times New Roman" w:hAnsi="Times New Roman" w:cs="Times New Roman"/>
                <w:b w:val="0"/>
                <w:bCs w:val="0"/>
                <w:color w:val="auto"/>
                <w:sz w:val="24"/>
                <w:szCs w:val="24"/>
                <w:highlight w:val="none"/>
                <w:u w:val="none" w:color="auto"/>
                <w:lang w:val="en-US" w:eastAsia="zh-CN"/>
              </w:rPr>
              <w:t>，即SO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default" w:ascii="Times New Roman" w:hAnsi="Times New Roman" w:cs="Times New Roman"/>
                <w:b w:val="0"/>
                <w:bCs w:val="0"/>
                <w:color w:val="auto"/>
                <w:sz w:val="24"/>
                <w:szCs w:val="24"/>
                <w:highlight w:val="none"/>
                <w:u w:val="none" w:color="auto"/>
                <w:lang w:val="en-US" w:eastAsia="zh-CN"/>
              </w:rPr>
              <w:t>及NOx排放浓度限值分别为300mg/m</w:t>
            </w:r>
            <w:r>
              <w:rPr>
                <w:rFonts w:hint="default" w:ascii="Times New Roman" w:hAnsi="Times New Roman" w:cs="Times New Roman"/>
                <w:b w:val="0"/>
                <w:bCs w:val="0"/>
                <w:color w:val="auto"/>
                <w:sz w:val="24"/>
                <w:szCs w:val="24"/>
                <w:highlight w:val="none"/>
                <w:u w:val="none" w:color="auto"/>
                <w:vertAlign w:val="superscript"/>
                <w:lang w:val="en-US" w:eastAsia="zh-CN"/>
              </w:rPr>
              <w:t>3</w:t>
            </w:r>
            <w:r>
              <w:rPr>
                <w:rFonts w:hint="default" w:ascii="Times New Roman" w:hAnsi="Times New Roman" w:cs="Times New Roman"/>
                <w:b w:val="0"/>
                <w:bCs w:val="0"/>
                <w:color w:val="auto"/>
                <w:sz w:val="24"/>
                <w:szCs w:val="24"/>
                <w:highlight w:val="none"/>
                <w:u w:val="none" w:color="auto"/>
                <w:lang w:val="en-US" w:eastAsia="zh-CN"/>
              </w:rPr>
              <w:t>、300mg/m</w:t>
            </w:r>
            <w:r>
              <w:rPr>
                <w:rFonts w:hint="default" w:ascii="Times New Roman" w:hAnsi="Times New Roman" w:cs="Times New Roman"/>
                <w:b w:val="0"/>
                <w:bCs w:val="0"/>
                <w:color w:val="auto"/>
                <w:sz w:val="24"/>
                <w:szCs w:val="24"/>
                <w:highlight w:val="none"/>
                <w:u w:val="none" w:color="auto"/>
                <w:vertAlign w:val="superscript"/>
                <w:lang w:val="en-US" w:eastAsia="zh-CN"/>
              </w:rPr>
              <w:t>3</w:t>
            </w:r>
            <w:r>
              <w:rPr>
                <w:rFonts w:hint="default" w:ascii="Times New Roman" w:hAnsi="Times New Roman" w:cs="Times New Roman"/>
                <w:b w:val="0"/>
                <w:bCs w:val="0"/>
                <w:color w:val="auto"/>
                <w:sz w:val="24"/>
                <w:szCs w:val="24"/>
                <w:highlight w:val="none"/>
                <w:u w:val="none" w:color="auto"/>
                <w:lang w:val="en-US" w:eastAsia="zh-CN"/>
              </w:rPr>
              <w:t>，由此计算得到</w:t>
            </w:r>
            <w:r>
              <w:rPr>
                <w:rFonts w:hint="eastAsia" w:cs="Times New Roman"/>
                <w:b w:val="0"/>
                <w:bCs w:val="0"/>
                <w:color w:val="auto"/>
                <w:sz w:val="24"/>
                <w:szCs w:val="24"/>
                <w:highlight w:val="none"/>
                <w:u w:val="none" w:color="auto"/>
                <w:lang w:val="en-US" w:eastAsia="zh-CN"/>
              </w:rPr>
              <w:t>锅炉</w:t>
            </w:r>
            <w:r>
              <w:rPr>
                <w:rFonts w:hint="default" w:ascii="Times New Roman" w:hAnsi="Times New Roman" w:cs="Times New Roman"/>
                <w:b w:val="0"/>
                <w:bCs w:val="0"/>
                <w:color w:val="auto"/>
                <w:sz w:val="24"/>
                <w:szCs w:val="24"/>
                <w:highlight w:val="none"/>
                <w:u w:val="none" w:color="auto"/>
                <w:lang w:val="en-US" w:eastAsia="zh-CN"/>
              </w:rPr>
              <w:t>废气污染物SO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default" w:ascii="Times New Roman" w:hAnsi="Times New Roman" w:cs="Times New Roman"/>
                <w:b w:val="0"/>
                <w:bCs w:val="0"/>
                <w:color w:val="auto"/>
                <w:sz w:val="24"/>
                <w:szCs w:val="24"/>
                <w:highlight w:val="none"/>
                <w:u w:val="none" w:color="auto"/>
                <w:lang w:val="en-US" w:eastAsia="zh-CN"/>
              </w:rPr>
              <w:t>及NOx</w:t>
            </w:r>
            <w:r>
              <w:rPr>
                <w:rFonts w:hint="eastAsia" w:cs="Times New Roman"/>
                <w:b w:val="0"/>
                <w:bCs w:val="0"/>
                <w:color w:val="auto"/>
                <w:sz w:val="24"/>
                <w:szCs w:val="24"/>
                <w:highlight w:val="none"/>
                <w:u w:val="none" w:color="auto"/>
                <w:lang w:val="en-US" w:eastAsia="zh-CN"/>
              </w:rPr>
              <w:t>总量控制指标</w:t>
            </w:r>
            <w:r>
              <w:rPr>
                <w:rFonts w:hint="default" w:ascii="Times New Roman" w:hAnsi="Times New Roman" w:cs="Times New Roman"/>
                <w:b w:val="0"/>
                <w:bCs w:val="0"/>
                <w:color w:val="auto"/>
                <w:sz w:val="24"/>
                <w:szCs w:val="24"/>
                <w:highlight w:val="none"/>
                <w:u w:val="none" w:color="auto"/>
                <w:lang w:val="en-US" w:eastAsia="zh-CN"/>
              </w:rPr>
              <w:t>。计算过程如下。</w:t>
            </w:r>
          </w:p>
          <w:p w14:paraId="676DB776">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ascii="Times New Roman" w:hAnsi="Times New Roman" w:cs="Times New Roman"/>
                <w:b w:val="0"/>
                <w:bCs w:val="0"/>
                <w:color w:val="auto"/>
                <w:sz w:val="24"/>
                <w:szCs w:val="24"/>
                <w:highlight w:val="none"/>
                <w:u w:val="none" w:color="auto"/>
                <w:lang w:val="en-US" w:eastAsia="zh-CN"/>
              </w:rPr>
            </w:pPr>
            <w:r>
              <w:rPr>
                <w:rFonts w:hint="default" w:ascii="Times New Roman" w:hAnsi="Times New Roman" w:cs="Times New Roman"/>
                <w:b w:val="0"/>
                <w:bCs w:val="0"/>
                <w:color w:val="auto"/>
                <w:sz w:val="24"/>
                <w:szCs w:val="24"/>
                <w:highlight w:val="none"/>
                <w:u w:val="none" w:color="auto"/>
                <w:lang w:val="en-US" w:eastAsia="zh-CN"/>
              </w:rPr>
              <w:t>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default" w:ascii="Times New Roman" w:hAnsi="Times New Roman" w:cs="Times New Roman"/>
                <w:b w:val="0"/>
                <w:bCs w:val="0"/>
                <w:color w:val="auto"/>
                <w:sz w:val="24"/>
                <w:szCs w:val="24"/>
                <w:highlight w:val="none"/>
                <w:u w:val="none" w:color="auto"/>
                <w:lang w:val="en-US" w:eastAsia="zh-CN"/>
              </w:rPr>
              <w:t>排放</w:t>
            </w:r>
            <w:r>
              <w:rPr>
                <w:rFonts w:hint="eastAsia" w:cs="Times New Roman"/>
                <w:b w:val="0"/>
                <w:bCs w:val="0"/>
                <w:color w:val="auto"/>
                <w:sz w:val="24"/>
                <w:szCs w:val="24"/>
                <w:highlight w:val="none"/>
                <w:u w:val="none" w:color="auto"/>
                <w:lang w:val="en-US" w:eastAsia="zh-CN"/>
              </w:rPr>
              <w:t>量</w:t>
            </w:r>
            <w:r>
              <w:rPr>
                <w:rFonts w:hint="default" w:ascii="Times New Roman" w:hAnsi="Times New Roman" w:cs="Times New Roman"/>
                <w:b w:val="0"/>
                <w:bCs w:val="0"/>
                <w:color w:val="auto"/>
                <w:sz w:val="24"/>
                <w:szCs w:val="24"/>
                <w:highlight w:val="none"/>
                <w:u w:val="none" w:color="auto"/>
                <w:lang w:val="en-US" w:eastAsia="zh-CN"/>
              </w:rPr>
              <w:t>=烟气量×SO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default" w:ascii="Times New Roman" w:hAnsi="Times New Roman" w:cs="Times New Roman"/>
                <w:b w:val="0"/>
                <w:bCs w:val="0"/>
                <w:color w:val="auto"/>
                <w:sz w:val="24"/>
                <w:szCs w:val="24"/>
                <w:highlight w:val="none"/>
                <w:u w:val="none" w:color="auto"/>
                <w:lang w:val="en-US" w:eastAsia="zh-CN"/>
              </w:rPr>
              <w:t>排放浓度限值=</w:t>
            </w:r>
            <w:r>
              <w:rPr>
                <w:rFonts w:hint="eastAsia" w:cs="Times New Roman"/>
                <w:b w:val="0"/>
                <w:bCs w:val="0"/>
                <w:color w:val="auto"/>
                <w:sz w:val="24"/>
                <w:szCs w:val="24"/>
                <w:highlight w:val="none"/>
                <w:u w:val="none" w:color="auto"/>
                <w:lang w:val="en-US" w:eastAsia="zh-CN"/>
              </w:rPr>
              <w:t>1622400</w:t>
            </w:r>
            <w:r>
              <w:rPr>
                <w:rFonts w:hint="default" w:ascii="Times New Roman" w:hAnsi="Times New Roman" w:cs="Times New Roman"/>
                <w:b w:val="0"/>
                <w:bCs w:val="0"/>
                <w:color w:val="auto"/>
                <w:sz w:val="24"/>
                <w:szCs w:val="24"/>
                <w:highlight w:val="none"/>
                <w:u w:val="none" w:color="auto"/>
                <w:lang w:val="en-US" w:eastAsia="zh-CN"/>
              </w:rPr>
              <w:t>×300×10</w:t>
            </w:r>
            <w:r>
              <w:rPr>
                <w:rFonts w:hint="default" w:ascii="Times New Roman" w:hAnsi="Times New Roman" w:cs="Times New Roman"/>
                <w:b w:val="0"/>
                <w:bCs w:val="0"/>
                <w:color w:val="auto"/>
                <w:sz w:val="24"/>
                <w:szCs w:val="24"/>
                <w:highlight w:val="none"/>
                <w:u w:val="none" w:color="auto"/>
                <w:vertAlign w:val="superscript"/>
                <w:lang w:val="en-US" w:eastAsia="zh-CN"/>
              </w:rPr>
              <w:t>-9</w:t>
            </w:r>
            <w:r>
              <w:rPr>
                <w:rFonts w:hint="default" w:ascii="Times New Roman" w:hAnsi="Times New Roman" w:cs="Times New Roman"/>
                <w:b w:val="0"/>
                <w:bCs w:val="0"/>
                <w:color w:val="auto"/>
                <w:sz w:val="24"/>
                <w:szCs w:val="24"/>
                <w:highlight w:val="none"/>
                <w:u w:val="none" w:color="auto"/>
                <w:lang w:val="en-US" w:eastAsia="zh-CN"/>
              </w:rPr>
              <w:t>=</w:t>
            </w:r>
            <w:r>
              <w:rPr>
                <w:rFonts w:hint="eastAsia" w:cs="Times New Roman"/>
                <w:b w:val="0"/>
                <w:bCs w:val="0"/>
                <w:color w:val="auto"/>
                <w:sz w:val="24"/>
                <w:szCs w:val="24"/>
                <w:highlight w:val="none"/>
                <w:u w:val="none" w:color="auto"/>
                <w:lang w:val="en-US" w:eastAsia="zh-CN"/>
              </w:rPr>
              <w:t>0.49</w:t>
            </w:r>
            <w:r>
              <w:rPr>
                <w:rFonts w:hint="default" w:ascii="Times New Roman" w:hAnsi="Times New Roman" w:cs="Times New Roman"/>
                <w:b w:val="0"/>
                <w:bCs w:val="0"/>
                <w:color w:val="auto"/>
                <w:sz w:val="24"/>
                <w:szCs w:val="24"/>
                <w:highlight w:val="none"/>
                <w:u w:val="none" w:color="auto"/>
                <w:lang w:val="en-US" w:eastAsia="zh-CN"/>
              </w:rPr>
              <w:t>t/a；</w:t>
            </w:r>
          </w:p>
          <w:p w14:paraId="59472D15">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ascii="Times New Roman" w:hAnsi="Times New Roman" w:cs="Times New Roman"/>
                <w:b w:val="0"/>
                <w:bCs w:val="0"/>
                <w:color w:val="auto"/>
                <w:sz w:val="24"/>
                <w:szCs w:val="24"/>
                <w:highlight w:val="none"/>
                <w:u w:val="none" w:color="auto"/>
                <w:lang w:val="en-US" w:eastAsia="zh-CN"/>
              </w:rPr>
            </w:pPr>
            <w:r>
              <w:rPr>
                <w:rFonts w:hint="default" w:ascii="Times New Roman" w:hAnsi="Times New Roman" w:cs="Times New Roman"/>
                <w:b w:val="0"/>
                <w:bCs w:val="0"/>
                <w:color w:val="auto"/>
                <w:sz w:val="24"/>
                <w:szCs w:val="24"/>
                <w:highlight w:val="none"/>
                <w:u w:val="none" w:color="auto"/>
                <w:lang w:val="en-US" w:eastAsia="zh-CN"/>
              </w:rPr>
              <w:t>NOx排放</w:t>
            </w:r>
            <w:r>
              <w:rPr>
                <w:rFonts w:hint="eastAsia" w:cs="Times New Roman"/>
                <w:b w:val="0"/>
                <w:bCs w:val="0"/>
                <w:color w:val="auto"/>
                <w:sz w:val="24"/>
                <w:szCs w:val="24"/>
                <w:highlight w:val="none"/>
                <w:u w:val="none" w:color="auto"/>
                <w:lang w:val="en-US" w:eastAsia="zh-CN"/>
              </w:rPr>
              <w:t>量</w:t>
            </w:r>
            <w:r>
              <w:rPr>
                <w:rFonts w:hint="default" w:ascii="Times New Roman" w:hAnsi="Times New Roman" w:cs="Times New Roman"/>
                <w:b w:val="0"/>
                <w:bCs w:val="0"/>
                <w:color w:val="auto"/>
                <w:sz w:val="24"/>
                <w:szCs w:val="24"/>
                <w:highlight w:val="none"/>
                <w:u w:val="none" w:color="auto"/>
                <w:lang w:val="en-US" w:eastAsia="zh-CN"/>
              </w:rPr>
              <w:t>=烟气量×NOx排放浓度限值=</w:t>
            </w:r>
            <w:r>
              <w:rPr>
                <w:rFonts w:hint="eastAsia" w:cs="Times New Roman"/>
                <w:b w:val="0"/>
                <w:bCs w:val="0"/>
                <w:color w:val="auto"/>
                <w:sz w:val="24"/>
                <w:szCs w:val="24"/>
                <w:highlight w:val="none"/>
                <w:u w:val="none" w:color="auto"/>
                <w:lang w:val="en-US" w:eastAsia="zh-CN"/>
              </w:rPr>
              <w:t>1622400</w:t>
            </w:r>
            <w:r>
              <w:rPr>
                <w:rFonts w:hint="default" w:ascii="Times New Roman" w:hAnsi="Times New Roman" w:cs="Times New Roman"/>
                <w:b w:val="0"/>
                <w:bCs w:val="0"/>
                <w:color w:val="auto"/>
                <w:sz w:val="24"/>
                <w:szCs w:val="24"/>
                <w:highlight w:val="none"/>
                <w:u w:val="none" w:color="auto"/>
                <w:lang w:val="en-US" w:eastAsia="zh-CN"/>
              </w:rPr>
              <w:t>×300×10</w:t>
            </w:r>
            <w:r>
              <w:rPr>
                <w:rFonts w:hint="default" w:ascii="Times New Roman" w:hAnsi="Times New Roman" w:cs="Times New Roman"/>
                <w:b w:val="0"/>
                <w:bCs w:val="0"/>
                <w:color w:val="auto"/>
                <w:sz w:val="24"/>
                <w:szCs w:val="24"/>
                <w:highlight w:val="none"/>
                <w:u w:val="none" w:color="auto"/>
                <w:vertAlign w:val="superscript"/>
                <w:lang w:val="en-US" w:eastAsia="zh-CN"/>
              </w:rPr>
              <w:t>-9</w:t>
            </w:r>
            <w:r>
              <w:rPr>
                <w:rFonts w:hint="default" w:ascii="Times New Roman" w:hAnsi="Times New Roman" w:cs="Times New Roman"/>
                <w:b w:val="0"/>
                <w:bCs w:val="0"/>
                <w:color w:val="auto"/>
                <w:sz w:val="24"/>
                <w:szCs w:val="24"/>
                <w:highlight w:val="none"/>
                <w:u w:val="none" w:color="auto"/>
                <w:lang w:val="en-US" w:eastAsia="zh-CN"/>
              </w:rPr>
              <w:t>=</w:t>
            </w:r>
            <w:r>
              <w:rPr>
                <w:rFonts w:hint="eastAsia" w:cs="Times New Roman"/>
                <w:b w:val="0"/>
                <w:bCs w:val="0"/>
                <w:color w:val="auto"/>
                <w:sz w:val="24"/>
                <w:szCs w:val="24"/>
                <w:highlight w:val="none"/>
                <w:u w:val="none" w:color="auto"/>
                <w:lang w:val="en-US" w:eastAsia="zh-CN"/>
              </w:rPr>
              <w:t>0.49</w:t>
            </w:r>
            <w:r>
              <w:rPr>
                <w:rFonts w:hint="default" w:ascii="Times New Roman" w:hAnsi="Times New Roman" w:cs="Times New Roman"/>
                <w:b w:val="0"/>
                <w:bCs w:val="0"/>
                <w:color w:val="auto"/>
                <w:sz w:val="24"/>
                <w:szCs w:val="24"/>
                <w:highlight w:val="none"/>
                <w:u w:val="none" w:color="auto"/>
                <w:lang w:val="en-US" w:eastAsia="zh-CN"/>
              </w:rPr>
              <w:t>t/a。</w:t>
            </w:r>
          </w:p>
          <w:p w14:paraId="59FCDD27">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default" w:ascii="Times New Roman" w:hAnsi="Times New Roman" w:cs="Times New Roman"/>
                <w:b w:val="0"/>
                <w:bCs w:val="0"/>
                <w:color w:val="auto"/>
                <w:sz w:val="24"/>
                <w:szCs w:val="24"/>
                <w:highlight w:val="none"/>
                <w:u w:val="none" w:color="auto"/>
                <w:lang w:val="en-US" w:eastAsia="zh-CN"/>
              </w:rPr>
            </w:pPr>
            <w:r>
              <w:rPr>
                <w:rFonts w:hint="eastAsia" w:ascii="Times New Roman" w:hAnsi="Times New Roman" w:cs="Times New Roman"/>
                <w:b w:val="0"/>
                <w:bCs w:val="0"/>
                <w:color w:val="auto"/>
                <w:sz w:val="24"/>
                <w:szCs w:val="24"/>
                <w:highlight w:val="none"/>
                <w:u w:val="none" w:color="auto"/>
                <w:lang w:val="en-US" w:eastAsia="zh-CN"/>
              </w:rPr>
              <w:t>（2）按产污系数计算</w:t>
            </w:r>
            <w:r>
              <w:rPr>
                <w:rFonts w:hint="eastAsia" w:cs="Times New Roman"/>
                <w:b w:val="0"/>
                <w:bCs w:val="0"/>
                <w:color w:val="auto"/>
                <w:sz w:val="24"/>
                <w:szCs w:val="24"/>
                <w:highlight w:val="none"/>
                <w:u w:val="none" w:color="auto"/>
                <w:lang w:val="en-US" w:eastAsia="zh-CN"/>
              </w:rPr>
              <w:t>污染物产生量和排放量</w:t>
            </w:r>
          </w:p>
          <w:p w14:paraId="5A24DB21">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hint="eastAsia" w:ascii="Times New Roman" w:hAnsi="Times New Roman" w:cs="Times New Roman"/>
                <w:b w:val="0"/>
                <w:bCs w:val="0"/>
                <w:color w:val="auto"/>
                <w:sz w:val="24"/>
                <w:szCs w:val="24"/>
                <w:highlight w:val="none"/>
                <w:u w:val="none" w:color="auto"/>
                <w:lang w:val="en-US" w:eastAsia="zh-CN"/>
              </w:rPr>
            </w:pPr>
            <w:r>
              <w:rPr>
                <w:rFonts w:hint="eastAsia" w:ascii="Times New Roman" w:hAnsi="Times New Roman" w:cs="Times New Roman"/>
                <w:b w:val="0"/>
                <w:bCs w:val="0"/>
                <w:color w:val="auto"/>
                <w:sz w:val="24"/>
                <w:szCs w:val="24"/>
                <w:highlight w:val="none"/>
                <w:u w:val="none" w:color="auto"/>
                <w:lang w:val="en-US" w:eastAsia="zh-CN"/>
              </w:rPr>
              <w:t>本项目</w:t>
            </w:r>
            <w:r>
              <w:rPr>
                <w:rFonts w:hint="default" w:ascii="Times New Roman" w:hAnsi="Times New Roman" w:cs="Times New Roman"/>
                <w:b w:val="0"/>
                <w:bCs w:val="0"/>
                <w:color w:val="auto"/>
                <w:sz w:val="24"/>
                <w:szCs w:val="24"/>
                <w:highlight w:val="none"/>
                <w:u w:val="none" w:color="auto"/>
                <w:lang w:val="en-US" w:eastAsia="zh-CN"/>
              </w:rPr>
              <w:t>生物质颗粒消耗量</w:t>
            </w:r>
            <w:r>
              <w:rPr>
                <w:rFonts w:hint="eastAsia" w:cs="Times New Roman"/>
                <w:b w:val="0"/>
                <w:bCs w:val="0"/>
                <w:color w:val="auto"/>
                <w:sz w:val="24"/>
                <w:szCs w:val="24"/>
                <w:highlight w:val="none"/>
                <w:u w:val="none" w:color="auto"/>
                <w:lang w:val="en-US" w:eastAsia="zh-CN"/>
              </w:rPr>
              <w:t>260</w:t>
            </w:r>
            <w:r>
              <w:rPr>
                <w:rFonts w:hint="default" w:ascii="Times New Roman" w:hAnsi="Times New Roman" w:cs="Times New Roman"/>
                <w:b w:val="0"/>
                <w:bCs w:val="0"/>
                <w:color w:val="auto"/>
                <w:sz w:val="24"/>
                <w:szCs w:val="24"/>
                <w:highlight w:val="none"/>
                <w:u w:val="none" w:color="auto"/>
                <w:lang w:val="en-US" w:eastAsia="zh-CN"/>
              </w:rPr>
              <w:t>t/a</w:t>
            </w:r>
            <w:r>
              <w:rPr>
                <w:rFonts w:hint="eastAsia" w:ascii="Times New Roman" w:hAnsi="Times New Roman" w:cs="Times New Roman"/>
                <w:b w:val="0"/>
                <w:bCs w:val="0"/>
                <w:color w:val="auto"/>
                <w:sz w:val="24"/>
                <w:szCs w:val="24"/>
                <w:highlight w:val="none"/>
                <w:u w:val="none" w:color="auto"/>
                <w:lang w:val="en-US" w:eastAsia="zh-CN"/>
              </w:rPr>
              <w:t>，</w:t>
            </w:r>
            <w:r>
              <w:rPr>
                <w:rFonts w:hint="default" w:ascii="Times New Roman" w:hAnsi="Times New Roman" w:cs="Times New Roman"/>
                <w:b w:val="0"/>
                <w:bCs w:val="0"/>
                <w:color w:val="auto"/>
                <w:sz w:val="24"/>
                <w:szCs w:val="24"/>
                <w:highlight w:val="none"/>
                <w:u w:val="none" w:color="auto"/>
                <w:lang w:val="en-US" w:eastAsia="zh-CN"/>
              </w:rPr>
              <w:t>根据《第二次全国污染源普查工业污染源产排污系数手册》（试用版）4430工业锅炉（热力生产和供应行业）产排污系数表可知，</w:t>
            </w:r>
            <w:r>
              <w:rPr>
                <w:rFonts w:hint="eastAsia" w:ascii="Times New Roman" w:hAnsi="Times New Roman" w:cs="Times New Roman"/>
                <w:b w:val="0"/>
                <w:bCs w:val="0"/>
                <w:color w:val="auto"/>
                <w:sz w:val="24"/>
                <w:szCs w:val="24"/>
                <w:highlight w:val="none"/>
                <w:u w:val="none" w:color="auto"/>
                <w:lang w:val="en-US" w:eastAsia="zh-CN"/>
              </w:rPr>
              <w:t>烟气排放量为6240×</w:t>
            </w:r>
            <w:r>
              <w:rPr>
                <w:rFonts w:hint="eastAsia" w:cs="Times New Roman"/>
                <w:b w:val="0"/>
                <w:bCs w:val="0"/>
                <w:color w:val="auto"/>
                <w:sz w:val="24"/>
                <w:szCs w:val="24"/>
                <w:highlight w:val="none"/>
                <w:u w:val="none" w:color="auto"/>
                <w:lang w:val="en-US" w:eastAsia="zh-CN"/>
              </w:rPr>
              <w:t>260</w:t>
            </w:r>
            <w:r>
              <w:rPr>
                <w:rFonts w:hint="eastAsia" w:ascii="Times New Roman" w:hAnsi="Times New Roman" w:cs="Times New Roman"/>
                <w:b w:val="0"/>
                <w:bCs w:val="0"/>
                <w:color w:val="auto"/>
                <w:sz w:val="24"/>
                <w:szCs w:val="24"/>
                <w:highlight w:val="none"/>
                <w:u w:val="none" w:color="auto"/>
                <w:lang w:val="en-US" w:eastAsia="zh-CN"/>
              </w:rPr>
              <w:t>=</w:t>
            </w:r>
            <w:r>
              <w:rPr>
                <w:rFonts w:hint="eastAsia" w:cs="Times New Roman"/>
                <w:b w:val="0"/>
                <w:bCs w:val="0"/>
                <w:color w:val="auto"/>
                <w:sz w:val="24"/>
                <w:szCs w:val="24"/>
                <w:highlight w:val="none"/>
                <w:u w:val="none" w:color="auto"/>
                <w:lang w:val="en-US" w:eastAsia="zh-CN"/>
              </w:rPr>
              <w:t>1622400</w:t>
            </w:r>
            <w:r>
              <w:rPr>
                <w:rFonts w:hint="default" w:ascii="Times New Roman" w:hAnsi="Times New Roman" w:cs="Times New Roman"/>
                <w:b w:val="0"/>
                <w:bCs w:val="0"/>
                <w:color w:val="auto"/>
                <w:sz w:val="24"/>
                <w:szCs w:val="24"/>
                <w:highlight w:val="none"/>
                <w:u w:val="none" w:color="auto"/>
                <w:lang w:val="en-US" w:eastAsia="zh-CN"/>
              </w:rPr>
              <w:t>m</w:t>
            </w:r>
            <w:r>
              <w:rPr>
                <w:rFonts w:hint="default" w:ascii="Times New Roman" w:hAnsi="Times New Roman" w:cs="Times New Roman"/>
                <w:b w:val="0"/>
                <w:bCs w:val="0"/>
                <w:color w:val="auto"/>
                <w:sz w:val="24"/>
                <w:szCs w:val="24"/>
                <w:highlight w:val="none"/>
                <w:u w:val="none" w:color="auto"/>
                <w:vertAlign w:val="superscript"/>
                <w:lang w:val="en-US" w:eastAsia="zh-CN"/>
              </w:rPr>
              <w:t>3</w:t>
            </w:r>
            <w:r>
              <w:rPr>
                <w:rFonts w:hint="default" w:ascii="Times New Roman" w:hAnsi="Times New Roman" w:cs="Times New Roman"/>
                <w:b w:val="0"/>
                <w:bCs w:val="0"/>
                <w:color w:val="auto"/>
                <w:sz w:val="24"/>
                <w:szCs w:val="24"/>
                <w:highlight w:val="none"/>
                <w:u w:val="none" w:color="auto"/>
                <w:lang w:val="en-US" w:eastAsia="zh-CN"/>
              </w:rPr>
              <w:t>/a</w:t>
            </w:r>
            <w:r>
              <w:rPr>
                <w:rFonts w:hint="eastAsia" w:ascii="Times New Roman" w:hAnsi="Times New Roman" w:cs="Times New Roman"/>
                <w:b w:val="0"/>
                <w:bCs w:val="0"/>
                <w:color w:val="auto"/>
                <w:sz w:val="24"/>
                <w:szCs w:val="24"/>
                <w:highlight w:val="none"/>
                <w:u w:val="none" w:color="auto"/>
                <w:lang w:val="en-US" w:eastAsia="zh-CN"/>
              </w:rPr>
              <w:t>。计算如下。</w:t>
            </w:r>
          </w:p>
          <w:p w14:paraId="6AE66D84">
            <w:pPr>
              <w:snapToGrid w:val="0"/>
              <w:jc w:val="center"/>
              <w:rPr>
                <w:b/>
                <w:bCs/>
                <w:snapToGrid w:val="0"/>
                <w:color w:val="auto"/>
                <w:kern w:val="0"/>
                <w:highlight w:val="none"/>
                <w:u w:val="none" w:color="auto"/>
              </w:rPr>
            </w:pPr>
          </w:p>
          <w:p w14:paraId="247C1E95">
            <w:pPr>
              <w:snapToGrid w:val="0"/>
              <w:jc w:val="center"/>
              <w:rPr>
                <w:b/>
                <w:bCs/>
                <w:snapToGrid w:val="0"/>
                <w:color w:val="auto"/>
                <w:kern w:val="0"/>
                <w:highlight w:val="none"/>
                <w:u w:val="none" w:color="auto"/>
              </w:rPr>
            </w:pPr>
          </w:p>
          <w:p w14:paraId="51C6DBED">
            <w:pPr>
              <w:snapToGrid w:val="0"/>
              <w:jc w:val="center"/>
              <w:rPr>
                <w:b/>
                <w:bCs/>
                <w:snapToGrid w:val="0"/>
                <w:color w:val="auto"/>
                <w:kern w:val="0"/>
                <w:highlight w:val="none"/>
                <w:u w:val="none" w:color="auto"/>
              </w:rPr>
            </w:pPr>
            <w:r>
              <w:rPr>
                <w:b/>
                <w:bCs/>
                <w:snapToGrid w:val="0"/>
                <w:color w:val="auto"/>
                <w:kern w:val="0"/>
                <w:highlight w:val="none"/>
                <w:u w:val="none" w:color="auto"/>
              </w:rPr>
              <w:t>表</w:t>
            </w:r>
            <w:r>
              <w:rPr>
                <w:rFonts w:hint="eastAsia"/>
                <w:b/>
                <w:bCs/>
                <w:snapToGrid w:val="0"/>
                <w:color w:val="auto"/>
                <w:kern w:val="0"/>
                <w:highlight w:val="none"/>
                <w:u w:val="none" w:color="auto"/>
                <w:lang w:val="en-US" w:eastAsia="zh-CN"/>
              </w:rPr>
              <w:t xml:space="preserve">3-12  </w:t>
            </w:r>
            <w:r>
              <w:rPr>
                <w:b/>
                <w:bCs/>
                <w:snapToGrid w:val="0"/>
                <w:color w:val="auto"/>
                <w:kern w:val="0"/>
                <w:highlight w:val="none"/>
                <w:u w:val="none" w:color="auto"/>
              </w:rPr>
              <w:t>锅炉废气污染物产排情况一览表</w:t>
            </w:r>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1" w:type="dxa"/>
                <w:bottom w:w="0" w:type="dxa"/>
                <w:right w:w="11" w:type="dxa"/>
              </w:tblCellMar>
            </w:tblPr>
            <w:tblGrid>
              <w:gridCol w:w="568"/>
              <w:gridCol w:w="723"/>
              <w:gridCol w:w="1140"/>
              <w:gridCol w:w="1085"/>
              <w:gridCol w:w="898"/>
              <w:gridCol w:w="851"/>
              <w:gridCol w:w="696"/>
              <w:gridCol w:w="1452"/>
              <w:gridCol w:w="949"/>
            </w:tblGrid>
            <w:tr w14:paraId="417806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568" w:type="dxa"/>
                  <w:vMerge w:val="restart"/>
                  <w:tcBorders>
                    <w:tl2br w:val="nil"/>
                    <w:tr2bl w:val="nil"/>
                  </w:tcBorders>
                  <w:noWrap w:val="0"/>
                  <w:vAlign w:val="center"/>
                </w:tcPr>
                <w:p w14:paraId="1694A2C4">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污染源</w:t>
                  </w:r>
                </w:p>
              </w:tc>
              <w:tc>
                <w:tcPr>
                  <w:tcW w:w="723" w:type="dxa"/>
                  <w:vMerge w:val="restart"/>
                  <w:tcBorders>
                    <w:tl2br w:val="nil"/>
                    <w:tr2bl w:val="nil"/>
                  </w:tcBorders>
                  <w:noWrap w:val="0"/>
                  <w:vAlign w:val="center"/>
                </w:tcPr>
                <w:p w14:paraId="3A12CB43">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污染物</w:t>
                  </w:r>
                </w:p>
              </w:tc>
              <w:tc>
                <w:tcPr>
                  <w:tcW w:w="1140" w:type="dxa"/>
                  <w:vMerge w:val="restart"/>
                  <w:tcBorders>
                    <w:tl2br w:val="nil"/>
                    <w:tr2bl w:val="nil"/>
                  </w:tcBorders>
                  <w:noWrap w:val="0"/>
                  <w:vAlign w:val="center"/>
                </w:tcPr>
                <w:p w14:paraId="5CBFA7F7">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产污系数</w:t>
                  </w:r>
                </w:p>
              </w:tc>
              <w:tc>
                <w:tcPr>
                  <w:tcW w:w="1983" w:type="dxa"/>
                  <w:gridSpan w:val="2"/>
                  <w:tcBorders>
                    <w:tl2br w:val="nil"/>
                    <w:tr2bl w:val="nil"/>
                  </w:tcBorders>
                  <w:noWrap w:val="0"/>
                  <w:vAlign w:val="center"/>
                </w:tcPr>
                <w:p w14:paraId="685415F3">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产生情况</w:t>
                  </w:r>
                </w:p>
              </w:tc>
              <w:tc>
                <w:tcPr>
                  <w:tcW w:w="851" w:type="dxa"/>
                  <w:vMerge w:val="restart"/>
                  <w:tcBorders>
                    <w:tl2br w:val="nil"/>
                    <w:tr2bl w:val="nil"/>
                  </w:tcBorders>
                  <w:noWrap w:val="0"/>
                  <w:vAlign w:val="center"/>
                </w:tcPr>
                <w:p w14:paraId="137D9880">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采取的措施</w:t>
                  </w:r>
                </w:p>
              </w:tc>
              <w:tc>
                <w:tcPr>
                  <w:tcW w:w="696" w:type="dxa"/>
                  <w:vMerge w:val="restart"/>
                  <w:tcBorders>
                    <w:tl2br w:val="nil"/>
                    <w:tr2bl w:val="nil"/>
                  </w:tcBorders>
                  <w:noWrap w:val="0"/>
                  <w:vAlign w:val="center"/>
                </w:tcPr>
                <w:p w14:paraId="6956D32B">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处理效率</w:t>
                  </w:r>
                </w:p>
              </w:tc>
              <w:tc>
                <w:tcPr>
                  <w:tcW w:w="2400" w:type="dxa"/>
                  <w:gridSpan w:val="2"/>
                  <w:tcBorders>
                    <w:tl2br w:val="nil"/>
                    <w:tr2bl w:val="nil"/>
                  </w:tcBorders>
                  <w:noWrap w:val="0"/>
                  <w:vAlign w:val="center"/>
                </w:tcPr>
                <w:p w14:paraId="7CD6BE02">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排放情况</w:t>
                  </w:r>
                </w:p>
              </w:tc>
            </w:tr>
            <w:tr w14:paraId="33C4E9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568" w:type="dxa"/>
                  <w:vMerge w:val="continue"/>
                  <w:tcBorders>
                    <w:tl2br w:val="nil"/>
                    <w:tr2bl w:val="nil"/>
                  </w:tcBorders>
                  <w:noWrap w:val="0"/>
                  <w:vAlign w:val="center"/>
                </w:tcPr>
                <w:p w14:paraId="2EE9FF27">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723" w:type="dxa"/>
                  <w:vMerge w:val="continue"/>
                  <w:tcBorders>
                    <w:tl2br w:val="nil"/>
                    <w:tr2bl w:val="nil"/>
                  </w:tcBorders>
                  <w:noWrap w:val="0"/>
                  <w:vAlign w:val="center"/>
                </w:tcPr>
                <w:p w14:paraId="05DD27D6">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1140" w:type="dxa"/>
                  <w:vMerge w:val="continue"/>
                  <w:tcBorders>
                    <w:tl2br w:val="nil"/>
                    <w:tr2bl w:val="nil"/>
                  </w:tcBorders>
                  <w:noWrap w:val="0"/>
                  <w:vAlign w:val="center"/>
                </w:tcPr>
                <w:p w14:paraId="4AA16B76">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1085" w:type="dxa"/>
                  <w:tcBorders>
                    <w:tl2br w:val="nil"/>
                    <w:tr2bl w:val="nil"/>
                  </w:tcBorders>
                  <w:noWrap w:val="0"/>
                  <w:vAlign w:val="center"/>
                </w:tcPr>
                <w:p w14:paraId="75CED1B1">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产生浓度mg/m</w:t>
                  </w:r>
                  <w:r>
                    <w:rPr>
                      <w:rFonts w:hint="default" w:ascii="Times New Roman" w:hAnsi="Times New Roman" w:eastAsia="宋体" w:cs="Times New Roman"/>
                      <w:color w:val="auto"/>
                      <w:szCs w:val="21"/>
                      <w:highlight w:val="none"/>
                      <w:u w:val="none"/>
                      <w:vertAlign w:val="superscript"/>
                    </w:rPr>
                    <w:t>3</w:t>
                  </w:r>
                </w:p>
              </w:tc>
              <w:tc>
                <w:tcPr>
                  <w:tcW w:w="898" w:type="dxa"/>
                  <w:tcBorders>
                    <w:tl2br w:val="nil"/>
                    <w:tr2bl w:val="nil"/>
                  </w:tcBorders>
                  <w:noWrap w:val="0"/>
                  <w:vAlign w:val="center"/>
                </w:tcPr>
                <w:p w14:paraId="4E3C318A">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产生量</w:t>
                  </w:r>
                  <w:r>
                    <w:rPr>
                      <w:rFonts w:hint="eastAsia" w:ascii="Times New Roman" w:hAnsi="Times New Roman" w:eastAsia="宋体" w:cs="Times New Roman"/>
                      <w:color w:val="auto"/>
                      <w:szCs w:val="21"/>
                      <w:highlight w:val="none"/>
                      <w:u w:val="none"/>
                    </w:rPr>
                    <w:t>t</w:t>
                  </w:r>
                  <w:r>
                    <w:rPr>
                      <w:rFonts w:hint="default" w:ascii="Times New Roman" w:hAnsi="Times New Roman" w:eastAsia="宋体" w:cs="Times New Roman"/>
                      <w:color w:val="auto"/>
                      <w:szCs w:val="21"/>
                      <w:highlight w:val="none"/>
                      <w:u w:val="none"/>
                    </w:rPr>
                    <w:t>/a</w:t>
                  </w:r>
                </w:p>
              </w:tc>
              <w:tc>
                <w:tcPr>
                  <w:tcW w:w="851" w:type="dxa"/>
                  <w:vMerge w:val="continue"/>
                  <w:tcBorders>
                    <w:tl2br w:val="nil"/>
                    <w:tr2bl w:val="nil"/>
                  </w:tcBorders>
                  <w:noWrap w:val="0"/>
                  <w:vAlign w:val="center"/>
                </w:tcPr>
                <w:p w14:paraId="7EE1BD1F">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696" w:type="dxa"/>
                  <w:vMerge w:val="continue"/>
                  <w:tcBorders>
                    <w:tl2br w:val="nil"/>
                    <w:tr2bl w:val="nil"/>
                  </w:tcBorders>
                  <w:noWrap w:val="0"/>
                  <w:vAlign w:val="center"/>
                </w:tcPr>
                <w:p w14:paraId="6AF9587A">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1452" w:type="dxa"/>
                  <w:tcBorders>
                    <w:tl2br w:val="nil"/>
                    <w:tr2bl w:val="nil"/>
                  </w:tcBorders>
                  <w:noWrap w:val="0"/>
                  <w:vAlign w:val="center"/>
                </w:tcPr>
                <w:p w14:paraId="70A4D2CB">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排放浓度mg/m</w:t>
                  </w:r>
                  <w:r>
                    <w:rPr>
                      <w:rFonts w:hint="default" w:ascii="Times New Roman" w:hAnsi="Times New Roman" w:eastAsia="宋体" w:cs="Times New Roman"/>
                      <w:color w:val="auto"/>
                      <w:szCs w:val="21"/>
                      <w:highlight w:val="none"/>
                      <w:u w:val="none"/>
                      <w:vertAlign w:val="superscript"/>
                    </w:rPr>
                    <w:t>3</w:t>
                  </w:r>
                </w:p>
              </w:tc>
              <w:tc>
                <w:tcPr>
                  <w:tcW w:w="948" w:type="dxa"/>
                  <w:tcBorders>
                    <w:tl2br w:val="nil"/>
                    <w:tr2bl w:val="nil"/>
                  </w:tcBorders>
                  <w:noWrap w:val="0"/>
                  <w:vAlign w:val="center"/>
                </w:tcPr>
                <w:p w14:paraId="5566B2FF">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排放量</w:t>
                  </w:r>
                  <w:r>
                    <w:rPr>
                      <w:rFonts w:hint="eastAsia" w:ascii="Times New Roman" w:hAnsi="Times New Roman" w:eastAsia="宋体" w:cs="Times New Roman"/>
                      <w:color w:val="auto"/>
                      <w:szCs w:val="21"/>
                      <w:highlight w:val="none"/>
                      <w:u w:val="none"/>
                    </w:rPr>
                    <w:t>t</w:t>
                  </w:r>
                  <w:r>
                    <w:rPr>
                      <w:rFonts w:hint="default" w:ascii="Times New Roman" w:hAnsi="Times New Roman" w:eastAsia="宋体" w:cs="Times New Roman"/>
                      <w:color w:val="auto"/>
                      <w:szCs w:val="21"/>
                      <w:highlight w:val="none"/>
                      <w:u w:val="none"/>
                    </w:rPr>
                    <w:t>/a</w:t>
                  </w:r>
                </w:p>
              </w:tc>
            </w:tr>
            <w:tr w14:paraId="783F67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568" w:type="dxa"/>
                  <w:vMerge w:val="restart"/>
                  <w:tcBorders>
                    <w:tl2br w:val="nil"/>
                    <w:tr2bl w:val="nil"/>
                  </w:tcBorders>
                  <w:noWrap w:val="0"/>
                  <w:vAlign w:val="center"/>
                </w:tcPr>
                <w:p w14:paraId="224A73AD">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锅炉废气</w:t>
                  </w:r>
                </w:p>
              </w:tc>
              <w:tc>
                <w:tcPr>
                  <w:tcW w:w="723" w:type="dxa"/>
                  <w:tcBorders>
                    <w:tl2br w:val="nil"/>
                    <w:tr2bl w:val="nil"/>
                  </w:tcBorders>
                  <w:noWrap w:val="0"/>
                  <w:vAlign w:val="center"/>
                </w:tcPr>
                <w:p w14:paraId="72377DB8">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废气量</w:t>
                  </w:r>
                </w:p>
              </w:tc>
              <w:tc>
                <w:tcPr>
                  <w:tcW w:w="1140" w:type="dxa"/>
                  <w:tcBorders>
                    <w:tl2br w:val="nil"/>
                    <w:tr2bl w:val="nil"/>
                  </w:tcBorders>
                  <w:noWrap w:val="0"/>
                  <w:vAlign w:val="center"/>
                </w:tcPr>
                <w:p w14:paraId="67C5E1A8">
                  <w:pPr>
                    <w:pStyle w:val="8"/>
                    <w:tabs>
                      <w:tab w:val="left" w:pos="1021"/>
                    </w:tabs>
                    <w:ind w:firstLine="0" w:firstLineChars="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6240标立方米/</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1983" w:type="dxa"/>
                  <w:gridSpan w:val="2"/>
                  <w:tcBorders>
                    <w:tl2br w:val="nil"/>
                    <w:tr2bl w:val="nil"/>
                  </w:tcBorders>
                  <w:noWrap w:val="0"/>
                  <w:vAlign w:val="center"/>
                </w:tcPr>
                <w:p w14:paraId="034AA5E7">
                  <w:pPr>
                    <w:pStyle w:val="8"/>
                    <w:tabs>
                      <w:tab w:val="left" w:pos="1021"/>
                    </w:tabs>
                    <w:ind w:firstLine="0"/>
                    <w:jc w:val="center"/>
                    <w:rPr>
                      <w:rFonts w:hint="eastAsia" w:eastAsia="宋体" w:cs="Times New Roman"/>
                      <w:i w:val="0"/>
                      <w:iCs w:val="0"/>
                      <w:color w:val="auto"/>
                      <w:kern w:val="0"/>
                      <w:sz w:val="21"/>
                      <w:szCs w:val="21"/>
                      <w:highlight w:val="none"/>
                      <w:u w:val="none"/>
                      <w:lang w:val="en-US" w:eastAsia="zh-CN" w:bidi="ar"/>
                    </w:rPr>
                  </w:pPr>
                  <w:r>
                    <w:rPr>
                      <w:rFonts w:hint="eastAsia" w:eastAsia="宋体" w:cs="Times New Roman"/>
                      <w:i w:val="0"/>
                      <w:iCs w:val="0"/>
                      <w:color w:val="auto"/>
                      <w:kern w:val="0"/>
                      <w:sz w:val="21"/>
                      <w:szCs w:val="21"/>
                      <w:highlight w:val="none"/>
                      <w:u w:val="none"/>
                      <w:lang w:val="en-US" w:eastAsia="zh-CN" w:bidi="ar"/>
                    </w:rPr>
                    <w:t>1622400</w:t>
                  </w:r>
                  <w:r>
                    <w:rPr>
                      <w:rFonts w:hint="default" w:ascii="Times New Roman" w:hAnsi="Times New Roman" w:eastAsia="宋体" w:cs="Times New Roman"/>
                      <w:color w:val="auto"/>
                      <w:szCs w:val="21"/>
                      <w:highlight w:val="none"/>
                      <w:u w:val="none"/>
                    </w:rPr>
                    <w:t>m</w:t>
                  </w:r>
                  <w:r>
                    <w:rPr>
                      <w:rFonts w:hint="default" w:ascii="Times New Roman" w:hAnsi="Times New Roman" w:eastAsia="宋体" w:cs="Times New Roman"/>
                      <w:color w:val="auto"/>
                      <w:szCs w:val="21"/>
                      <w:highlight w:val="none"/>
                      <w:u w:val="none"/>
                      <w:vertAlign w:val="superscript"/>
                    </w:rPr>
                    <w:t>3</w:t>
                  </w:r>
                  <w:r>
                    <w:rPr>
                      <w:rFonts w:hint="default" w:ascii="Times New Roman" w:hAnsi="Times New Roman" w:eastAsia="宋体" w:cs="Times New Roman"/>
                      <w:color w:val="auto"/>
                      <w:szCs w:val="21"/>
                      <w:highlight w:val="none"/>
                      <w:u w:val="none"/>
                    </w:rPr>
                    <w:t>/a</w:t>
                  </w:r>
                </w:p>
              </w:tc>
              <w:tc>
                <w:tcPr>
                  <w:tcW w:w="851" w:type="dxa"/>
                  <w:vMerge w:val="restart"/>
                  <w:tcBorders>
                    <w:tl2br w:val="nil"/>
                    <w:tr2bl w:val="nil"/>
                  </w:tcBorders>
                  <w:noWrap w:val="0"/>
                  <w:vAlign w:val="center"/>
                </w:tcPr>
                <w:p w14:paraId="1455EB46">
                  <w:pPr>
                    <w:pStyle w:val="8"/>
                    <w:tabs>
                      <w:tab w:val="left" w:pos="1021"/>
                    </w:tabs>
                    <w:ind w:firstLine="0"/>
                    <w:jc w:val="center"/>
                    <w:rPr>
                      <w:rFonts w:hint="eastAsia" w:ascii="Times New Roman" w:hAnsi="Times New Roman" w:eastAsia="宋体" w:cs="Times New Roman"/>
                      <w:color w:val="auto"/>
                      <w:szCs w:val="21"/>
                      <w:highlight w:val="none"/>
                      <w:u w:val="none"/>
                      <w:lang w:eastAsia="zh-CN"/>
                    </w:rPr>
                  </w:pPr>
                  <w:r>
                    <w:rPr>
                      <w:rFonts w:hint="eastAsia" w:eastAsia="宋体" w:cs="Times New Roman"/>
                      <w:color w:val="auto"/>
                      <w:szCs w:val="21"/>
                      <w:highlight w:val="none"/>
                      <w:u w:val="none"/>
                      <w:lang w:val="en-US" w:eastAsia="zh-CN"/>
                    </w:rPr>
                    <w:t>两级</w:t>
                  </w:r>
                  <w:r>
                    <w:rPr>
                      <w:rFonts w:hint="eastAsia" w:eastAsia="宋体" w:cs="Times New Roman"/>
                      <w:color w:val="auto"/>
                      <w:szCs w:val="21"/>
                      <w:highlight w:val="none"/>
                      <w:u w:val="none"/>
                      <w:lang w:eastAsia="zh-CN"/>
                    </w:rPr>
                    <w:t>水膜除尘</w:t>
                  </w:r>
                </w:p>
              </w:tc>
              <w:tc>
                <w:tcPr>
                  <w:tcW w:w="696" w:type="dxa"/>
                  <w:tcBorders>
                    <w:tl2br w:val="nil"/>
                    <w:tr2bl w:val="nil"/>
                  </w:tcBorders>
                  <w:noWrap w:val="0"/>
                  <w:vAlign w:val="center"/>
                </w:tcPr>
                <w:p w14:paraId="3A95394C">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w:t>
                  </w:r>
                </w:p>
              </w:tc>
              <w:tc>
                <w:tcPr>
                  <w:tcW w:w="2400" w:type="dxa"/>
                  <w:gridSpan w:val="2"/>
                  <w:tcBorders>
                    <w:tl2br w:val="nil"/>
                    <w:tr2bl w:val="nil"/>
                  </w:tcBorders>
                  <w:noWrap w:val="0"/>
                  <w:vAlign w:val="center"/>
                </w:tcPr>
                <w:p w14:paraId="3C9F78F4">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eastAsia" w:eastAsia="宋体" w:cs="Times New Roman"/>
                      <w:i w:val="0"/>
                      <w:iCs w:val="0"/>
                      <w:color w:val="auto"/>
                      <w:kern w:val="0"/>
                      <w:sz w:val="21"/>
                      <w:szCs w:val="21"/>
                      <w:highlight w:val="none"/>
                      <w:u w:val="none"/>
                      <w:lang w:val="en-US" w:eastAsia="zh-CN" w:bidi="ar"/>
                    </w:rPr>
                    <w:t>1622400</w:t>
                  </w:r>
                  <w:r>
                    <w:rPr>
                      <w:rFonts w:hint="default" w:ascii="Times New Roman" w:hAnsi="Times New Roman" w:eastAsia="宋体" w:cs="Times New Roman"/>
                      <w:color w:val="auto"/>
                      <w:szCs w:val="21"/>
                      <w:highlight w:val="none"/>
                      <w:u w:val="none"/>
                    </w:rPr>
                    <w:t>m</w:t>
                  </w:r>
                  <w:r>
                    <w:rPr>
                      <w:rFonts w:hint="default" w:ascii="Times New Roman" w:hAnsi="Times New Roman" w:eastAsia="宋体" w:cs="Times New Roman"/>
                      <w:color w:val="auto"/>
                      <w:szCs w:val="21"/>
                      <w:highlight w:val="none"/>
                      <w:u w:val="none"/>
                      <w:vertAlign w:val="superscript"/>
                    </w:rPr>
                    <w:t>3</w:t>
                  </w:r>
                  <w:r>
                    <w:rPr>
                      <w:rFonts w:hint="default" w:ascii="Times New Roman" w:hAnsi="Times New Roman" w:eastAsia="宋体" w:cs="Times New Roman"/>
                      <w:color w:val="auto"/>
                      <w:szCs w:val="21"/>
                      <w:highlight w:val="none"/>
                      <w:u w:val="none"/>
                    </w:rPr>
                    <w:t>/a</w:t>
                  </w:r>
                </w:p>
              </w:tc>
            </w:tr>
            <w:tr w14:paraId="36F32D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29" w:hRule="atLeast"/>
                <w:jc w:val="center"/>
              </w:trPr>
              <w:tc>
                <w:tcPr>
                  <w:tcW w:w="568" w:type="dxa"/>
                  <w:vMerge w:val="continue"/>
                  <w:tcBorders>
                    <w:tl2br w:val="nil"/>
                    <w:tr2bl w:val="nil"/>
                  </w:tcBorders>
                  <w:noWrap w:val="0"/>
                  <w:vAlign w:val="center"/>
                </w:tcPr>
                <w:p w14:paraId="2540F4D4">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723" w:type="dxa"/>
                  <w:tcBorders>
                    <w:tl2br w:val="nil"/>
                    <w:tr2bl w:val="nil"/>
                  </w:tcBorders>
                  <w:noWrap w:val="0"/>
                  <w:vAlign w:val="center"/>
                </w:tcPr>
                <w:p w14:paraId="6C66CC61">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SO</w:t>
                  </w:r>
                  <w:r>
                    <w:rPr>
                      <w:rFonts w:hint="default" w:ascii="Times New Roman" w:hAnsi="Times New Roman" w:eastAsia="宋体" w:cs="Times New Roman"/>
                      <w:color w:val="auto"/>
                      <w:szCs w:val="21"/>
                      <w:highlight w:val="none"/>
                      <w:u w:val="none"/>
                      <w:vertAlign w:val="subscript"/>
                    </w:rPr>
                    <w:t>2</w:t>
                  </w:r>
                </w:p>
              </w:tc>
              <w:tc>
                <w:tcPr>
                  <w:tcW w:w="1140" w:type="dxa"/>
                  <w:tcBorders>
                    <w:tl2br w:val="nil"/>
                    <w:tr2bl w:val="nil"/>
                  </w:tcBorders>
                  <w:noWrap w:val="0"/>
                  <w:vAlign w:val="center"/>
                </w:tcPr>
                <w:p w14:paraId="0BEDE94A">
                  <w:pPr>
                    <w:pStyle w:val="8"/>
                    <w:tabs>
                      <w:tab w:val="left" w:pos="1021"/>
                    </w:tabs>
                    <w:ind w:firstLine="0" w:firstLineChars="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17S千克/</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1085" w:type="dxa"/>
                  <w:tcBorders>
                    <w:tl2br w:val="nil"/>
                    <w:tr2bl w:val="nil"/>
                  </w:tcBorders>
                  <w:shd w:val="clear" w:color="auto" w:fill="auto"/>
                  <w:noWrap w:val="0"/>
                  <w:vAlign w:val="center"/>
                </w:tcPr>
                <w:p w14:paraId="55004598">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54.24</w:t>
                  </w:r>
                </w:p>
              </w:tc>
              <w:tc>
                <w:tcPr>
                  <w:tcW w:w="898" w:type="dxa"/>
                  <w:tcBorders>
                    <w:tl2br w:val="nil"/>
                    <w:tr2bl w:val="nil"/>
                  </w:tcBorders>
                  <w:noWrap w:val="0"/>
                  <w:vAlign w:val="center"/>
                </w:tcPr>
                <w:p w14:paraId="4BE939B1">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c>
                <w:tcPr>
                  <w:tcW w:w="851" w:type="dxa"/>
                  <w:vMerge w:val="continue"/>
                  <w:tcBorders>
                    <w:tl2br w:val="nil"/>
                    <w:tr2bl w:val="nil"/>
                  </w:tcBorders>
                  <w:noWrap w:val="0"/>
                  <w:vAlign w:val="center"/>
                </w:tcPr>
                <w:p w14:paraId="0A301A10">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696" w:type="dxa"/>
                  <w:tcBorders>
                    <w:tl2br w:val="nil"/>
                    <w:tr2bl w:val="nil"/>
                  </w:tcBorders>
                  <w:noWrap w:val="0"/>
                  <w:vAlign w:val="center"/>
                </w:tcPr>
                <w:p w14:paraId="5D542B18">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w:t>
                  </w:r>
                </w:p>
              </w:tc>
              <w:tc>
                <w:tcPr>
                  <w:tcW w:w="1452" w:type="dxa"/>
                  <w:tcBorders>
                    <w:tl2br w:val="nil"/>
                    <w:tr2bl w:val="nil"/>
                  </w:tcBorders>
                  <w:noWrap w:val="0"/>
                  <w:vAlign w:val="center"/>
                </w:tcPr>
                <w:p w14:paraId="57EF742A">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54.24</w:t>
                  </w:r>
                </w:p>
              </w:tc>
              <w:tc>
                <w:tcPr>
                  <w:tcW w:w="948" w:type="dxa"/>
                  <w:tcBorders>
                    <w:tl2br w:val="nil"/>
                    <w:tr2bl w:val="nil"/>
                  </w:tcBorders>
                  <w:noWrap w:val="0"/>
                  <w:vAlign w:val="center"/>
                </w:tcPr>
                <w:p w14:paraId="6FB2261D">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r>
            <w:tr w14:paraId="7F3CD4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9" w:hRule="atLeast"/>
                <w:jc w:val="center"/>
              </w:trPr>
              <w:tc>
                <w:tcPr>
                  <w:tcW w:w="568" w:type="dxa"/>
                  <w:vMerge w:val="continue"/>
                  <w:tcBorders>
                    <w:tl2br w:val="nil"/>
                    <w:tr2bl w:val="nil"/>
                  </w:tcBorders>
                  <w:noWrap w:val="0"/>
                  <w:vAlign w:val="center"/>
                </w:tcPr>
                <w:p w14:paraId="7DF0B6DC">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723" w:type="dxa"/>
                  <w:tcBorders>
                    <w:tl2br w:val="nil"/>
                    <w:tr2bl w:val="nil"/>
                  </w:tcBorders>
                  <w:noWrap w:val="0"/>
                  <w:vAlign w:val="center"/>
                </w:tcPr>
                <w:p w14:paraId="21DD1B08">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NOx</w:t>
                  </w:r>
                </w:p>
              </w:tc>
              <w:tc>
                <w:tcPr>
                  <w:tcW w:w="1140" w:type="dxa"/>
                  <w:tcBorders>
                    <w:tl2br w:val="nil"/>
                    <w:tr2bl w:val="nil"/>
                  </w:tcBorders>
                  <w:noWrap w:val="0"/>
                  <w:vAlign w:val="center"/>
                </w:tcPr>
                <w:p w14:paraId="625B17A0">
                  <w:pPr>
                    <w:pStyle w:val="8"/>
                    <w:tabs>
                      <w:tab w:val="left" w:pos="1021"/>
                    </w:tabs>
                    <w:ind w:firstLine="0" w:firstLineChars="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1.02千克/</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1085" w:type="dxa"/>
                  <w:tcBorders>
                    <w:tl2br w:val="nil"/>
                    <w:tr2bl w:val="nil"/>
                  </w:tcBorders>
                  <w:shd w:val="clear" w:color="auto" w:fill="auto"/>
                  <w:noWrap w:val="0"/>
                  <w:vAlign w:val="center"/>
                </w:tcPr>
                <w:p w14:paraId="63F9788B">
                  <w:pPr>
                    <w:keepNext w:val="0"/>
                    <w:keepLines w:val="0"/>
                    <w:widowControl/>
                    <w:suppressLineNumbers w:val="0"/>
                    <w:jc w:val="center"/>
                    <w:textAlignment w:val="center"/>
                    <w:rPr>
                      <w:rFonts w:hint="default" w:ascii="Times New Roman" w:hAnsi="Times New Roman" w:eastAsia="宋体" w:cs="Times New Roman"/>
                      <w:color w:val="auto"/>
                      <w:kern w:val="2"/>
                      <w:sz w:val="21"/>
                      <w:szCs w:val="21"/>
                      <w:highlight w:val="none"/>
                      <w:u w:val="none"/>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163.3</w:t>
                  </w:r>
                  <w:r>
                    <w:rPr>
                      <w:rFonts w:hint="eastAsia"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898" w:type="dxa"/>
                  <w:tcBorders>
                    <w:tl2br w:val="nil"/>
                    <w:tr2bl w:val="nil"/>
                  </w:tcBorders>
                  <w:noWrap w:val="0"/>
                  <w:vAlign w:val="center"/>
                </w:tcPr>
                <w:p w14:paraId="34643B19">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c>
                <w:tcPr>
                  <w:tcW w:w="851" w:type="dxa"/>
                  <w:vMerge w:val="continue"/>
                  <w:tcBorders>
                    <w:tl2br w:val="nil"/>
                    <w:tr2bl w:val="nil"/>
                  </w:tcBorders>
                  <w:noWrap w:val="0"/>
                  <w:vAlign w:val="center"/>
                </w:tcPr>
                <w:p w14:paraId="5D911C1A">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696" w:type="dxa"/>
                  <w:tcBorders>
                    <w:tl2br w:val="nil"/>
                    <w:tr2bl w:val="nil"/>
                  </w:tcBorders>
                  <w:noWrap w:val="0"/>
                  <w:vAlign w:val="center"/>
                </w:tcPr>
                <w:p w14:paraId="2ACF3BA6">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w:t>
                  </w:r>
                </w:p>
              </w:tc>
              <w:tc>
                <w:tcPr>
                  <w:tcW w:w="1452" w:type="dxa"/>
                  <w:tcBorders>
                    <w:tl2br w:val="nil"/>
                    <w:tr2bl w:val="nil"/>
                  </w:tcBorders>
                  <w:noWrap w:val="0"/>
                  <w:vAlign w:val="center"/>
                </w:tcPr>
                <w:p w14:paraId="48CE1F6E">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163.3</w:t>
                  </w:r>
                  <w:r>
                    <w:rPr>
                      <w:rFonts w:hint="eastAsia" w:cs="Times New Roman"/>
                      <w:i w:val="0"/>
                      <w:iCs w:val="0"/>
                      <w:color w:val="000000"/>
                      <w:kern w:val="0"/>
                      <w:sz w:val="21"/>
                      <w:szCs w:val="21"/>
                      <w:u w:val="none"/>
                      <w:lang w:val="en-US" w:eastAsia="zh-CN" w:bidi="ar"/>
                    </w:rPr>
                    <w:t>4</w:t>
                  </w:r>
                  <w:r>
                    <w:rPr>
                      <w:rFonts w:hint="default" w:ascii="Times New Roman" w:hAnsi="Times New Roman" w:eastAsia="宋体" w:cs="Times New Roman"/>
                      <w:i w:val="0"/>
                      <w:iCs w:val="0"/>
                      <w:color w:val="000000"/>
                      <w:kern w:val="0"/>
                      <w:sz w:val="21"/>
                      <w:szCs w:val="21"/>
                      <w:u w:val="none"/>
                      <w:lang w:val="en-US" w:eastAsia="zh-CN" w:bidi="ar"/>
                    </w:rPr>
                    <w:t xml:space="preserve"> </w:t>
                  </w:r>
                </w:p>
              </w:tc>
              <w:tc>
                <w:tcPr>
                  <w:tcW w:w="948" w:type="dxa"/>
                  <w:tcBorders>
                    <w:tl2br w:val="nil"/>
                    <w:tr2bl w:val="nil"/>
                  </w:tcBorders>
                  <w:noWrap w:val="0"/>
                  <w:vAlign w:val="center"/>
                </w:tcPr>
                <w:p w14:paraId="3B630F50">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r>
          </w:tbl>
          <w:p w14:paraId="0480AB9C">
            <w:pPr>
              <w:numPr>
                <w:ilvl w:val="0"/>
                <w:numId w:val="2"/>
              </w:numPr>
              <w:adjustRightInd w:val="0"/>
              <w:spacing w:line="360" w:lineRule="auto"/>
              <w:ind w:firstLine="480" w:firstLineChars="200"/>
              <w:rPr>
                <w:rFonts w:hint="eastAsia" w:cs="Times New Roman"/>
                <w:b w:val="0"/>
                <w:bCs w:val="0"/>
                <w:color w:val="auto"/>
                <w:sz w:val="24"/>
                <w:szCs w:val="24"/>
                <w:highlight w:val="none"/>
                <w:u w:val="none" w:color="auto"/>
                <w:lang w:val="en-US" w:eastAsia="zh-CN"/>
              </w:rPr>
            </w:pPr>
            <w:r>
              <w:rPr>
                <w:rFonts w:hint="eastAsia" w:cs="Times New Roman"/>
                <w:b w:val="0"/>
                <w:bCs w:val="0"/>
                <w:color w:val="auto"/>
                <w:sz w:val="24"/>
                <w:szCs w:val="24"/>
                <w:highlight w:val="none"/>
                <w:u w:val="none" w:color="auto"/>
                <w:lang w:val="en-US" w:eastAsia="zh-CN"/>
              </w:rPr>
              <w:t>总量控制指标</w:t>
            </w:r>
          </w:p>
          <w:p w14:paraId="5B6EAE37">
            <w:pPr>
              <w:numPr>
                <w:ilvl w:val="0"/>
                <w:numId w:val="0"/>
              </w:numPr>
              <w:adjustRightInd w:val="0"/>
              <w:spacing w:line="360" w:lineRule="auto"/>
              <w:ind w:firstLine="480" w:firstLineChars="200"/>
              <w:rPr>
                <w:rFonts w:hint="default" w:ascii="Times New Roman" w:hAnsi="Times New Roman" w:cs="Times New Roman"/>
                <w:b w:val="0"/>
                <w:bCs w:val="0"/>
                <w:color w:val="auto"/>
                <w:sz w:val="24"/>
                <w:szCs w:val="24"/>
                <w:highlight w:val="none"/>
                <w:u w:val="none" w:color="auto"/>
                <w:lang w:val="en-US" w:eastAsia="zh-CN"/>
              </w:rPr>
            </w:pPr>
            <w:r>
              <w:rPr>
                <w:rFonts w:hint="eastAsia" w:cs="Times New Roman"/>
                <w:b w:val="0"/>
                <w:bCs w:val="0"/>
                <w:color w:val="auto"/>
                <w:sz w:val="24"/>
                <w:szCs w:val="24"/>
                <w:highlight w:val="none"/>
                <w:u w:val="none" w:color="auto"/>
                <w:lang w:val="en-US" w:eastAsia="zh-CN"/>
              </w:rPr>
              <w:t>综上，技改</w:t>
            </w:r>
            <w:r>
              <w:rPr>
                <w:rFonts w:hint="eastAsia" w:ascii="Times New Roman" w:hAnsi="Times New Roman" w:cs="Times New Roman"/>
                <w:b w:val="0"/>
                <w:bCs w:val="0"/>
                <w:color w:val="auto"/>
                <w:sz w:val="24"/>
                <w:szCs w:val="24"/>
                <w:highlight w:val="none"/>
                <w:u w:val="none" w:color="auto"/>
                <w:lang w:val="en-US" w:eastAsia="zh-CN"/>
              </w:rPr>
              <w:t>项目生物质燃料锅炉</w:t>
            </w:r>
            <w:r>
              <w:rPr>
                <w:rFonts w:hint="default" w:ascii="Times New Roman" w:hAnsi="Times New Roman" w:cs="Times New Roman"/>
                <w:b w:val="0"/>
                <w:bCs w:val="0"/>
                <w:color w:val="auto"/>
                <w:sz w:val="24"/>
                <w:szCs w:val="24"/>
                <w:highlight w:val="none"/>
                <w:u w:val="none" w:color="auto"/>
                <w:lang w:val="en-US" w:eastAsia="zh-CN"/>
              </w:rPr>
              <w:t>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eastAsia" w:cs="Times New Roman"/>
                <w:b w:val="0"/>
                <w:bCs w:val="0"/>
                <w:color w:val="auto"/>
                <w:sz w:val="24"/>
                <w:szCs w:val="24"/>
                <w:highlight w:val="none"/>
                <w:u w:val="none" w:color="auto"/>
                <w:vertAlign w:val="subscript"/>
                <w:lang w:val="en-US" w:eastAsia="zh-CN"/>
              </w:rPr>
              <w:t>、</w:t>
            </w:r>
            <w:r>
              <w:rPr>
                <w:rFonts w:hint="default" w:ascii="Times New Roman" w:hAnsi="Times New Roman" w:cs="Times New Roman"/>
                <w:b w:val="0"/>
                <w:bCs w:val="0"/>
                <w:color w:val="auto"/>
                <w:sz w:val="24"/>
                <w:szCs w:val="24"/>
                <w:highlight w:val="none"/>
                <w:u w:val="none" w:color="auto"/>
                <w:lang w:val="en-US" w:eastAsia="zh-CN"/>
              </w:rPr>
              <w:t>NOx</w:t>
            </w:r>
            <w:r>
              <w:rPr>
                <w:rFonts w:hint="eastAsia" w:cs="Times New Roman"/>
                <w:b w:val="0"/>
                <w:bCs w:val="0"/>
                <w:color w:val="auto"/>
                <w:sz w:val="24"/>
                <w:szCs w:val="24"/>
                <w:highlight w:val="none"/>
                <w:u w:val="none" w:color="auto"/>
                <w:lang w:val="en-US" w:eastAsia="zh-CN"/>
              </w:rPr>
              <w:t>按产污系数</w:t>
            </w:r>
            <w:r>
              <w:rPr>
                <w:rFonts w:hint="eastAsia" w:ascii="Times New Roman" w:hAnsi="Times New Roman" w:cs="Times New Roman"/>
                <w:b w:val="0"/>
                <w:bCs w:val="0"/>
                <w:color w:val="auto"/>
                <w:sz w:val="24"/>
                <w:szCs w:val="24"/>
                <w:highlight w:val="none"/>
                <w:u w:val="none" w:color="auto"/>
                <w:lang w:val="en-US" w:eastAsia="zh-CN"/>
              </w:rPr>
              <w:t>的产生浓度</w:t>
            </w:r>
            <w:r>
              <w:rPr>
                <w:rFonts w:hint="eastAsia" w:cs="Times New Roman"/>
                <w:b w:val="0"/>
                <w:bCs w:val="0"/>
                <w:color w:val="auto"/>
                <w:sz w:val="24"/>
                <w:szCs w:val="24"/>
                <w:highlight w:val="none"/>
                <w:u w:val="none" w:color="auto"/>
                <w:lang w:val="en-US" w:eastAsia="zh-CN"/>
              </w:rPr>
              <w:t>和排放浓度（处理效率为0）</w:t>
            </w:r>
            <w:r>
              <w:rPr>
                <w:rFonts w:hint="eastAsia" w:ascii="Times New Roman" w:hAnsi="Times New Roman" w:cs="Times New Roman"/>
                <w:b w:val="0"/>
                <w:bCs w:val="0"/>
                <w:color w:val="auto"/>
                <w:sz w:val="24"/>
                <w:szCs w:val="24"/>
                <w:highlight w:val="none"/>
                <w:u w:val="none" w:color="auto"/>
                <w:lang w:val="en-US" w:eastAsia="zh-CN"/>
              </w:rPr>
              <w:t>比</w:t>
            </w:r>
            <w:r>
              <w:rPr>
                <w:rFonts w:hint="default" w:ascii="Times New Roman" w:hAnsi="Times New Roman" w:cs="Times New Roman"/>
                <w:b w:val="0"/>
                <w:bCs w:val="0"/>
                <w:color w:val="auto"/>
                <w:sz w:val="24"/>
                <w:szCs w:val="24"/>
                <w:highlight w:val="none"/>
                <w:u w:val="none" w:color="auto"/>
                <w:lang w:val="en-US" w:eastAsia="zh-CN"/>
              </w:rPr>
              <w:t>《锅炉大气污染物排放标准》</w:t>
            </w:r>
            <w:r>
              <w:rPr>
                <w:rFonts w:hint="eastAsia" w:cs="Times New Roman"/>
                <w:b w:val="0"/>
                <w:bCs w:val="0"/>
                <w:color w:val="auto"/>
                <w:sz w:val="24"/>
                <w:szCs w:val="24"/>
                <w:highlight w:val="none"/>
                <w:u w:val="none" w:color="auto"/>
                <w:lang w:val="en-US" w:eastAsia="zh-CN"/>
              </w:rPr>
              <w:t>中相应排放限值</w:t>
            </w:r>
            <w:r>
              <w:rPr>
                <w:rFonts w:hint="eastAsia" w:ascii="Times New Roman" w:hAnsi="Times New Roman" w:cs="Times New Roman"/>
                <w:b w:val="0"/>
                <w:bCs w:val="0"/>
                <w:color w:val="auto"/>
                <w:sz w:val="24"/>
                <w:szCs w:val="24"/>
                <w:highlight w:val="none"/>
                <w:u w:val="none" w:color="auto"/>
                <w:lang w:val="en-US" w:eastAsia="zh-CN"/>
              </w:rPr>
              <w:t>低</w:t>
            </w:r>
            <w:r>
              <w:rPr>
                <w:rFonts w:hint="eastAsia" w:cs="Times New Roman"/>
                <w:b w:val="0"/>
                <w:bCs w:val="0"/>
                <w:color w:val="auto"/>
                <w:sz w:val="24"/>
                <w:szCs w:val="24"/>
                <w:highlight w:val="none"/>
                <w:u w:val="none" w:color="auto"/>
                <w:lang w:val="en-US" w:eastAsia="zh-CN"/>
              </w:rPr>
              <w:t>很多</w:t>
            </w:r>
            <w:r>
              <w:rPr>
                <w:rFonts w:hint="eastAsia" w:ascii="Times New Roman" w:hAnsi="Times New Roman" w:cs="Times New Roman"/>
                <w:b w:val="0"/>
                <w:bCs w:val="0"/>
                <w:color w:val="auto"/>
                <w:sz w:val="24"/>
                <w:szCs w:val="24"/>
                <w:highlight w:val="none"/>
                <w:u w:val="none" w:color="auto"/>
                <w:lang w:val="en-US" w:eastAsia="zh-CN"/>
              </w:rPr>
              <w:t>，</w:t>
            </w:r>
            <w:r>
              <w:rPr>
                <w:rFonts w:hint="eastAsia" w:cs="Times New Roman"/>
                <w:b w:val="0"/>
                <w:bCs w:val="0"/>
                <w:color w:val="auto"/>
                <w:sz w:val="24"/>
                <w:szCs w:val="24"/>
                <w:highlight w:val="none"/>
                <w:u w:val="none" w:color="auto"/>
                <w:lang w:val="en-US" w:eastAsia="zh-CN"/>
              </w:rPr>
              <w:t>核算排放量比按排放标准计算排放限值小很多，本评价建议以核算排放量作为总量控制指标，本项目已取得</w:t>
            </w:r>
            <w:r>
              <w:rPr>
                <w:rFonts w:hint="eastAsia" w:ascii="Times New Roman" w:hAnsi="Times New Roman" w:cs="Times New Roman"/>
                <w:b w:val="0"/>
                <w:bCs w:val="0"/>
                <w:color w:val="auto"/>
                <w:sz w:val="24"/>
                <w:szCs w:val="24"/>
                <w:highlight w:val="none"/>
                <w:u w:val="none" w:color="auto"/>
                <w:lang w:val="en-US" w:eastAsia="zh-CN"/>
              </w:rPr>
              <w:t>总量控制指标</w:t>
            </w:r>
            <w:r>
              <w:rPr>
                <w:rFonts w:hint="default" w:ascii="Times New Roman" w:hAnsi="Times New Roman" w:cs="Times New Roman"/>
                <w:b w:val="0"/>
                <w:bCs w:val="0"/>
                <w:color w:val="auto"/>
                <w:sz w:val="24"/>
                <w:szCs w:val="24"/>
                <w:highlight w:val="none"/>
                <w:u w:val="none" w:color="auto"/>
                <w:lang w:val="en-US" w:eastAsia="zh-CN"/>
              </w:rPr>
              <w:t>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eastAsia" w:cs="Times New Roman"/>
                <w:b w:val="0"/>
                <w:bCs w:val="0"/>
                <w:color w:val="auto"/>
                <w:sz w:val="24"/>
                <w:szCs w:val="24"/>
                <w:highlight w:val="none"/>
                <w:u w:val="none" w:color="auto"/>
                <w:lang w:val="en-US" w:eastAsia="zh-CN"/>
              </w:rPr>
              <w:t>0.09</w:t>
            </w:r>
            <w:r>
              <w:rPr>
                <w:rFonts w:hint="eastAsia" w:ascii="Times New Roman" w:hAnsi="Times New Roman" w:eastAsia="宋体" w:cs="Times New Roman"/>
                <w:color w:val="auto"/>
                <w:sz w:val="24"/>
                <w:szCs w:val="24"/>
                <w:highlight w:val="none"/>
                <w:u w:val="none" w:color="auto"/>
              </w:rPr>
              <w:t>t</w:t>
            </w:r>
            <w:r>
              <w:rPr>
                <w:rFonts w:hint="default" w:ascii="Times New Roman" w:hAnsi="Times New Roman" w:eastAsia="宋体" w:cs="Times New Roman"/>
                <w:color w:val="auto"/>
                <w:sz w:val="24"/>
                <w:szCs w:val="24"/>
                <w:highlight w:val="none"/>
                <w:u w:val="none" w:color="auto"/>
              </w:rPr>
              <w:t>/a</w:t>
            </w:r>
            <w:r>
              <w:rPr>
                <w:rFonts w:hint="eastAsia" w:cs="Times New Roman"/>
                <w:i w:val="0"/>
                <w:iCs w:val="0"/>
                <w:color w:val="auto"/>
                <w:kern w:val="0"/>
                <w:sz w:val="24"/>
                <w:szCs w:val="24"/>
                <w:highlight w:val="none"/>
                <w:u w:val="none" w:color="auto"/>
                <w:lang w:val="en-US" w:eastAsia="zh-CN" w:bidi="ar"/>
              </w:rPr>
              <w:t>、</w:t>
            </w:r>
            <w:r>
              <w:rPr>
                <w:rFonts w:hint="default" w:ascii="Times New Roman" w:hAnsi="Times New Roman" w:cs="Times New Roman"/>
                <w:b w:val="0"/>
                <w:bCs w:val="0"/>
                <w:color w:val="auto"/>
                <w:sz w:val="24"/>
                <w:szCs w:val="24"/>
                <w:highlight w:val="none"/>
                <w:u w:val="none" w:color="auto"/>
                <w:lang w:val="en-US" w:eastAsia="zh-CN"/>
              </w:rPr>
              <w:t>NOx</w:t>
            </w:r>
            <w:r>
              <w:rPr>
                <w:rFonts w:hint="eastAsia" w:cs="Times New Roman"/>
                <w:b w:val="0"/>
                <w:bCs w:val="0"/>
                <w:color w:val="auto"/>
                <w:sz w:val="24"/>
                <w:szCs w:val="24"/>
                <w:highlight w:val="none"/>
                <w:u w:val="none" w:color="auto"/>
                <w:lang w:val="en-US" w:eastAsia="zh-CN"/>
              </w:rPr>
              <w:t>0.27</w:t>
            </w:r>
            <w:r>
              <w:rPr>
                <w:rFonts w:hint="eastAsia" w:ascii="Times New Roman" w:hAnsi="Times New Roman" w:eastAsia="宋体" w:cs="Times New Roman"/>
                <w:color w:val="auto"/>
                <w:sz w:val="24"/>
                <w:szCs w:val="24"/>
                <w:highlight w:val="none"/>
                <w:u w:val="none" w:color="auto"/>
              </w:rPr>
              <w:t>t</w:t>
            </w:r>
            <w:r>
              <w:rPr>
                <w:rFonts w:hint="default" w:ascii="Times New Roman" w:hAnsi="Times New Roman" w:eastAsia="宋体" w:cs="Times New Roman"/>
                <w:color w:val="auto"/>
                <w:sz w:val="24"/>
                <w:szCs w:val="24"/>
                <w:highlight w:val="none"/>
                <w:u w:val="none" w:color="auto"/>
              </w:rPr>
              <w:t>/a</w:t>
            </w:r>
            <w:r>
              <w:rPr>
                <w:rFonts w:hint="eastAsia" w:cs="Times New Roman"/>
                <w:color w:val="auto"/>
                <w:sz w:val="24"/>
                <w:szCs w:val="24"/>
                <w:highlight w:val="none"/>
                <w:u w:val="none" w:color="auto"/>
                <w:lang w:eastAsia="zh-CN"/>
              </w:rPr>
              <w:t>，</w:t>
            </w:r>
            <w:r>
              <w:rPr>
                <w:rFonts w:hint="eastAsia" w:cs="Times New Roman"/>
                <w:color w:val="auto"/>
                <w:sz w:val="24"/>
                <w:szCs w:val="24"/>
                <w:highlight w:val="none"/>
                <w:u w:val="none" w:color="auto"/>
                <w:lang w:val="en-US" w:eastAsia="zh-CN"/>
              </w:rPr>
              <w:t>因此本项目</w:t>
            </w:r>
            <w:r>
              <w:rPr>
                <w:rFonts w:ascii="Segoe UI" w:hAnsi="Segoe UI" w:eastAsia="Segoe UI" w:cs="Segoe UI"/>
                <w:i w:val="0"/>
                <w:iCs w:val="0"/>
                <w:caps w:val="0"/>
                <w:color w:val="0F1115"/>
                <w:spacing w:val="0"/>
                <w:sz w:val="24"/>
                <w:szCs w:val="24"/>
                <w:shd w:val="clear" w:fill="FFFFFF"/>
              </w:rPr>
              <w:t>无需新增总量</w:t>
            </w:r>
            <w:r>
              <w:rPr>
                <w:rFonts w:hint="eastAsia" w:ascii="Times New Roman" w:hAnsi="Times New Roman" w:cs="Times New Roman"/>
                <w:b w:val="0"/>
                <w:bCs w:val="0"/>
                <w:color w:val="auto"/>
                <w:sz w:val="24"/>
                <w:szCs w:val="24"/>
                <w:highlight w:val="none"/>
                <w:u w:val="none" w:color="auto"/>
                <w:lang w:val="en-US" w:eastAsia="zh-CN"/>
              </w:rPr>
              <w:t>。</w:t>
            </w:r>
          </w:p>
          <w:p w14:paraId="07DB65A2">
            <w:pPr>
              <w:jc w:val="center"/>
              <w:rPr>
                <w:rFonts w:hint="eastAsia"/>
                <w:b/>
                <w:color w:val="auto"/>
                <w:szCs w:val="21"/>
                <w:highlight w:val="none"/>
                <w:u w:val="none" w:color="auto"/>
              </w:rPr>
            </w:pPr>
            <w:r>
              <w:rPr>
                <w:b/>
                <w:color w:val="auto"/>
                <w:szCs w:val="21"/>
                <w:highlight w:val="none"/>
                <w:u w:val="none" w:color="auto"/>
              </w:rPr>
              <w:t>表3</w:t>
            </w:r>
            <w:r>
              <w:rPr>
                <w:rFonts w:hint="eastAsia"/>
                <w:b/>
                <w:color w:val="auto"/>
                <w:szCs w:val="21"/>
                <w:highlight w:val="none"/>
                <w:u w:val="none" w:color="auto"/>
              </w:rPr>
              <w:t>-</w:t>
            </w:r>
            <w:r>
              <w:rPr>
                <w:rFonts w:hint="eastAsia"/>
                <w:b/>
                <w:color w:val="auto"/>
                <w:szCs w:val="21"/>
                <w:highlight w:val="none"/>
                <w:u w:val="none" w:color="auto"/>
                <w:lang w:val="en-US" w:eastAsia="zh-CN"/>
              </w:rPr>
              <w:t xml:space="preserve">13 </w:t>
            </w:r>
            <w:r>
              <w:rPr>
                <w:b/>
                <w:color w:val="auto"/>
                <w:szCs w:val="21"/>
                <w:highlight w:val="none"/>
                <w:u w:val="none" w:color="auto"/>
              </w:rPr>
              <w:t xml:space="preserve"> </w:t>
            </w:r>
            <w:r>
              <w:rPr>
                <w:rFonts w:hint="eastAsia"/>
                <w:b/>
                <w:color w:val="auto"/>
                <w:szCs w:val="21"/>
                <w:highlight w:val="none"/>
                <w:u w:val="none" w:color="auto"/>
              </w:rPr>
              <w:t>企业污染总量控制指标一览表</w:t>
            </w:r>
          </w:p>
          <w:tbl>
            <w:tblPr>
              <w:tblStyle w:val="42"/>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98"/>
              <w:gridCol w:w="941"/>
              <w:gridCol w:w="589"/>
              <w:gridCol w:w="959"/>
              <w:gridCol w:w="775"/>
              <w:gridCol w:w="775"/>
              <w:gridCol w:w="775"/>
              <w:gridCol w:w="927"/>
              <w:gridCol w:w="771"/>
              <w:gridCol w:w="472"/>
              <w:gridCol w:w="775"/>
            </w:tblGrid>
            <w:tr w14:paraId="1E1763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8" w:type="pct"/>
                  <w:tcBorders>
                    <w:tl2br w:val="nil"/>
                    <w:tr2bl w:val="nil"/>
                  </w:tcBorders>
                  <w:noWrap w:val="0"/>
                  <w:vAlign w:val="center"/>
                </w:tcPr>
                <w:p w14:paraId="7B9E9605">
                  <w:pPr>
                    <w:pStyle w:val="159"/>
                    <w:rPr>
                      <w:bCs/>
                      <w:color w:val="auto"/>
                      <w:sz w:val="21"/>
                      <w:szCs w:val="21"/>
                      <w:highlight w:val="none"/>
                      <w:u w:val="none" w:color="auto"/>
                    </w:rPr>
                  </w:pPr>
                  <w:r>
                    <w:rPr>
                      <w:bCs/>
                      <w:color w:val="auto"/>
                      <w:sz w:val="21"/>
                      <w:szCs w:val="21"/>
                      <w:highlight w:val="none"/>
                      <w:u w:val="none" w:color="auto"/>
                    </w:rPr>
                    <w:t>类别</w:t>
                  </w:r>
                </w:p>
              </w:tc>
              <w:tc>
                <w:tcPr>
                  <w:tcW w:w="563" w:type="pct"/>
                  <w:tcBorders>
                    <w:tl2br w:val="nil"/>
                    <w:tr2bl w:val="nil"/>
                  </w:tcBorders>
                  <w:noWrap w:val="0"/>
                  <w:vAlign w:val="center"/>
                </w:tcPr>
                <w:p w14:paraId="5A72F676">
                  <w:pPr>
                    <w:pStyle w:val="159"/>
                    <w:rPr>
                      <w:bCs/>
                      <w:color w:val="auto"/>
                      <w:sz w:val="21"/>
                      <w:szCs w:val="21"/>
                      <w:highlight w:val="none"/>
                      <w:u w:val="none" w:color="auto"/>
                    </w:rPr>
                  </w:pPr>
                  <w:r>
                    <w:rPr>
                      <w:bCs/>
                      <w:color w:val="auto"/>
                      <w:sz w:val="21"/>
                      <w:szCs w:val="21"/>
                      <w:highlight w:val="none"/>
                      <w:u w:val="none" w:color="auto"/>
                    </w:rPr>
                    <w:t>项目</w:t>
                  </w:r>
                </w:p>
              </w:tc>
              <w:tc>
                <w:tcPr>
                  <w:tcW w:w="352" w:type="pct"/>
                  <w:tcBorders>
                    <w:tl2br w:val="nil"/>
                    <w:tr2bl w:val="nil"/>
                  </w:tcBorders>
                  <w:noWrap w:val="0"/>
                  <w:vAlign w:val="center"/>
                </w:tcPr>
                <w:p w14:paraId="0824530A">
                  <w:pPr>
                    <w:pStyle w:val="159"/>
                    <w:rPr>
                      <w:bCs/>
                      <w:color w:val="auto"/>
                      <w:sz w:val="21"/>
                      <w:szCs w:val="21"/>
                      <w:highlight w:val="none"/>
                      <w:u w:val="none" w:color="auto"/>
                    </w:rPr>
                  </w:pPr>
                  <w:r>
                    <w:rPr>
                      <w:bCs/>
                      <w:color w:val="auto"/>
                      <w:sz w:val="21"/>
                      <w:szCs w:val="21"/>
                      <w:highlight w:val="none"/>
                      <w:u w:val="none" w:color="auto"/>
                    </w:rPr>
                    <w:t>单位</w:t>
                  </w:r>
                </w:p>
              </w:tc>
              <w:tc>
                <w:tcPr>
                  <w:tcW w:w="573" w:type="pct"/>
                  <w:tcBorders>
                    <w:tl2br w:val="nil"/>
                    <w:tr2bl w:val="nil"/>
                  </w:tcBorders>
                  <w:noWrap w:val="0"/>
                  <w:vAlign w:val="center"/>
                </w:tcPr>
                <w:p w14:paraId="6B3E3045">
                  <w:pPr>
                    <w:pStyle w:val="159"/>
                    <w:rPr>
                      <w:bCs/>
                      <w:color w:val="auto"/>
                      <w:sz w:val="21"/>
                      <w:szCs w:val="21"/>
                      <w:highlight w:val="none"/>
                      <w:u w:val="none" w:color="auto"/>
                    </w:rPr>
                  </w:pPr>
                  <w:r>
                    <w:rPr>
                      <w:bCs/>
                      <w:color w:val="auto"/>
                      <w:sz w:val="21"/>
                      <w:szCs w:val="21"/>
                      <w:highlight w:val="none"/>
                      <w:u w:val="none" w:color="auto"/>
                    </w:rPr>
                    <w:t>现有工程排放量</w:t>
                  </w:r>
                </w:p>
              </w:tc>
              <w:tc>
                <w:tcPr>
                  <w:tcW w:w="463" w:type="pct"/>
                  <w:tcBorders>
                    <w:tl2br w:val="nil"/>
                    <w:tr2bl w:val="nil"/>
                  </w:tcBorders>
                  <w:noWrap w:val="0"/>
                  <w:vAlign w:val="center"/>
                </w:tcPr>
                <w:p w14:paraId="581648FA">
                  <w:pPr>
                    <w:pStyle w:val="159"/>
                    <w:rPr>
                      <w:bCs/>
                      <w:color w:val="auto"/>
                      <w:sz w:val="21"/>
                      <w:szCs w:val="21"/>
                      <w:highlight w:val="none"/>
                      <w:u w:val="none" w:color="auto"/>
                    </w:rPr>
                  </w:pPr>
                  <w:r>
                    <w:rPr>
                      <w:rFonts w:hint="eastAsia"/>
                      <w:bCs/>
                      <w:color w:val="auto"/>
                      <w:sz w:val="21"/>
                      <w:szCs w:val="21"/>
                      <w:highlight w:val="none"/>
                      <w:u w:val="none" w:color="auto"/>
                    </w:rPr>
                    <w:t>本次</w:t>
                  </w:r>
                  <w:r>
                    <w:rPr>
                      <w:rFonts w:hint="eastAsia"/>
                      <w:bCs/>
                      <w:color w:val="auto"/>
                      <w:sz w:val="21"/>
                      <w:szCs w:val="21"/>
                      <w:highlight w:val="none"/>
                      <w:u w:val="none" w:color="auto"/>
                      <w:lang w:eastAsia="zh-CN"/>
                    </w:rPr>
                    <w:t>技改</w:t>
                  </w:r>
                  <w:r>
                    <w:rPr>
                      <w:rFonts w:hint="eastAsia"/>
                      <w:bCs/>
                      <w:color w:val="auto"/>
                      <w:sz w:val="21"/>
                      <w:szCs w:val="21"/>
                      <w:highlight w:val="none"/>
                      <w:u w:val="none" w:color="auto"/>
                    </w:rPr>
                    <w:t>排放量</w:t>
                  </w:r>
                </w:p>
              </w:tc>
              <w:tc>
                <w:tcPr>
                  <w:tcW w:w="463" w:type="pct"/>
                  <w:tcBorders>
                    <w:tl2br w:val="nil"/>
                    <w:tr2bl w:val="nil"/>
                  </w:tcBorders>
                  <w:noWrap w:val="0"/>
                  <w:vAlign w:val="center"/>
                </w:tcPr>
                <w:p w14:paraId="746FE1F2">
                  <w:pPr>
                    <w:pStyle w:val="159"/>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以新带老削减量</w:t>
                  </w:r>
                </w:p>
              </w:tc>
              <w:tc>
                <w:tcPr>
                  <w:tcW w:w="463" w:type="pct"/>
                  <w:tcBorders>
                    <w:tl2br w:val="nil"/>
                    <w:tr2bl w:val="nil"/>
                  </w:tcBorders>
                  <w:noWrap w:val="0"/>
                  <w:vAlign w:val="center"/>
                </w:tcPr>
                <w:p w14:paraId="5D8D4DF2">
                  <w:pPr>
                    <w:pStyle w:val="159"/>
                    <w:rPr>
                      <w:rFonts w:ascii="Times New Roman" w:hAnsi="Times New Roman" w:eastAsia="宋体" w:cs="Times New Roman"/>
                      <w:bCs/>
                      <w:color w:val="auto"/>
                      <w:sz w:val="21"/>
                      <w:szCs w:val="21"/>
                      <w:highlight w:val="none"/>
                      <w:u w:val="none" w:color="auto"/>
                    </w:rPr>
                  </w:pPr>
                  <w:r>
                    <w:rPr>
                      <w:rFonts w:hint="eastAsia" w:cs="Times New Roman"/>
                      <w:bCs/>
                      <w:color w:val="auto"/>
                      <w:sz w:val="21"/>
                      <w:szCs w:val="21"/>
                      <w:highlight w:val="none"/>
                      <w:u w:val="none" w:color="auto"/>
                      <w:lang w:eastAsia="zh-CN"/>
                    </w:rPr>
                    <w:t>技改</w:t>
                  </w:r>
                  <w:r>
                    <w:rPr>
                      <w:rFonts w:ascii="Times New Roman" w:hAnsi="Times New Roman" w:eastAsia="宋体" w:cs="Times New Roman"/>
                      <w:bCs/>
                      <w:color w:val="auto"/>
                      <w:sz w:val="21"/>
                      <w:szCs w:val="21"/>
                      <w:highlight w:val="none"/>
                      <w:u w:val="none" w:color="auto"/>
                    </w:rPr>
                    <w:t>后全</w:t>
                  </w:r>
                  <w:r>
                    <w:rPr>
                      <w:rFonts w:hint="eastAsia" w:ascii="Times New Roman" w:hAnsi="Times New Roman" w:eastAsia="宋体" w:cs="Times New Roman"/>
                      <w:bCs/>
                      <w:color w:val="auto"/>
                      <w:sz w:val="21"/>
                      <w:szCs w:val="21"/>
                      <w:highlight w:val="none"/>
                      <w:u w:val="none" w:color="auto"/>
                      <w:lang w:eastAsia="zh-CN"/>
                    </w:rPr>
                    <w:t>厂</w:t>
                  </w:r>
                  <w:r>
                    <w:rPr>
                      <w:rFonts w:ascii="Times New Roman" w:hAnsi="Times New Roman" w:eastAsia="宋体" w:cs="Times New Roman"/>
                      <w:bCs/>
                      <w:color w:val="auto"/>
                      <w:sz w:val="21"/>
                      <w:szCs w:val="21"/>
                      <w:highlight w:val="none"/>
                      <w:u w:val="none" w:color="auto"/>
                    </w:rPr>
                    <w:t>排放量</w:t>
                  </w:r>
                </w:p>
              </w:tc>
              <w:tc>
                <w:tcPr>
                  <w:tcW w:w="554" w:type="pct"/>
                  <w:tcBorders>
                    <w:tl2br w:val="nil"/>
                    <w:tr2bl w:val="nil"/>
                  </w:tcBorders>
                  <w:noWrap w:val="0"/>
                  <w:vAlign w:val="center"/>
                </w:tcPr>
                <w:p w14:paraId="473BCB43">
                  <w:pPr>
                    <w:pStyle w:val="159"/>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按排放标准计算排放限值</w:t>
                  </w:r>
                </w:p>
              </w:tc>
              <w:tc>
                <w:tcPr>
                  <w:tcW w:w="461" w:type="pct"/>
                  <w:tcBorders>
                    <w:tl2br w:val="nil"/>
                    <w:tr2bl w:val="nil"/>
                  </w:tcBorders>
                  <w:noWrap w:val="0"/>
                  <w:vAlign w:val="center"/>
                </w:tcPr>
                <w:p w14:paraId="69AE3ABA">
                  <w:pPr>
                    <w:pStyle w:val="159"/>
                    <w:rPr>
                      <w:rFonts w:hint="default"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本项目总量控制指标</w:t>
                  </w:r>
                </w:p>
              </w:tc>
              <w:tc>
                <w:tcPr>
                  <w:tcW w:w="282" w:type="pct"/>
                  <w:tcBorders>
                    <w:tl2br w:val="nil"/>
                    <w:tr2bl w:val="nil"/>
                  </w:tcBorders>
                  <w:noWrap w:val="0"/>
                  <w:vAlign w:val="center"/>
                </w:tcPr>
                <w:p w14:paraId="4C729C7F">
                  <w:pPr>
                    <w:pStyle w:val="159"/>
                    <w:rPr>
                      <w:rFonts w:ascii="Times New Roman" w:hAnsi="Times New Roman" w:eastAsia="宋体" w:cs="Times New Roman"/>
                      <w:bCs/>
                      <w:color w:val="auto"/>
                      <w:sz w:val="21"/>
                      <w:szCs w:val="21"/>
                      <w:highlight w:val="none"/>
                      <w:u w:val="none" w:color="auto"/>
                    </w:rPr>
                  </w:pPr>
                  <w:r>
                    <w:rPr>
                      <w:rFonts w:hint="eastAsia" w:ascii="Times New Roman" w:hAnsi="Times New Roman" w:eastAsia="宋体" w:cs="Times New Roman"/>
                      <w:bCs/>
                      <w:color w:val="auto"/>
                      <w:sz w:val="21"/>
                      <w:szCs w:val="21"/>
                      <w:highlight w:val="none"/>
                      <w:u w:val="none" w:color="auto"/>
                    </w:rPr>
                    <w:t>已取得总量</w:t>
                  </w:r>
                </w:p>
              </w:tc>
              <w:tc>
                <w:tcPr>
                  <w:tcW w:w="463" w:type="pct"/>
                  <w:tcBorders>
                    <w:tl2br w:val="nil"/>
                    <w:tr2bl w:val="nil"/>
                  </w:tcBorders>
                  <w:noWrap w:val="0"/>
                  <w:vAlign w:val="center"/>
                </w:tcPr>
                <w:p w14:paraId="7A20D419">
                  <w:pPr>
                    <w:pStyle w:val="159"/>
                    <w:rPr>
                      <w:rFonts w:ascii="Times New Roman" w:hAnsi="Times New Roman" w:eastAsia="宋体" w:cs="Times New Roman"/>
                      <w:bCs/>
                      <w:color w:val="auto"/>
                      <w:sz w:val="21"/>
                      <w:szCs w:val="21"/>
                      <w:highlight w:val="none"/>
                      <w:u w:val="none" w:color="auto"/>
                    </w:rPr>
                  </w:pPr>
                  <w:r>
                    <w:rPr>
                      <w:rFonts w:ascii="Times New Roman" w:hAnsi="Times New Roman" w:eastAsia="宋体" w:cs="Times New Roman"/>
                      <w:bCs/>
                      <w:color w:val="auto"/>
                      <w:sz w:val="21"/>
                      <w:szCs w:val="21"/>
                      <w:highlight w:val="none"/>
                      <w:u w:val="none" w:color="auto"/>
                    </w:rPr>
                    <w:t>建议</w:t>
                  </w:r>
                  <w:r>
                    <w:rPr>
                      <w:rFonts w:hint="eastAsia" w:ascii="Times New Roman" w:hAnsi="Times New Roman" w:eastAsia="宋体" w:cs="Times New Roman"/>
                      <w:bCs/>
                      <w:color w:val="auto"/>
                      <w:sz w:val="21"/>
                      <w:szCs w:val="21"/>
                      <w:highlight w:val="none"/>
                      <w:u w:val="none" w:color="auto"/>
                      <w:lang w:eastAsia="zh-CN"/>
                    </w:rPr>
                    <w:t>申请</w:t>
                  </w:r>
                  <w:r>
                    <w:rPr>
                      <w:rFonts w:ascii="Times New Roman" w:hAnsi="Times New Roman" w:eastAsia="宋体" w:cs="Times New Roman"/>
                      <w:bCs/>
                      <w:color w:val="auto"/>
                      <w:sz w:val="21"/>
                      <w:szCs w:val="21"/>
                      <w:highlight w:val="none"/>
                      <w:u w:val="none" w:color="auto"/>
                    </w:rPr>
                    <w:t>总量指标</w:t>
                  </w:r>
                </w:p>
              </w:tc>
            </w:tr>
            <w:tr w14:paraId="42DB1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8" w:type="pct"/>
                  <w:vMerge w:val="restart"/>
                  <w:tcBorders>
                    <w:tl2br w:val="nil"/>
                    <w:tr2bl w:val="nil"/>
                  </w:tcBorders>
                  <w:noWrap w:val="0"/>
                  <w:vAlign w:val="center"/>
                </w:tcPr>
                <w:p w14:paraId="6E030FF0">
                  <w:pPr>
                    <w:wordWrap w:val="0"/>
                    <w:spacing w:line="360" w:lineRule="auto"/>
                    <w:jc w:val="center"/>
                    <w:rPr>
                      <w:rFonts w:hint="eastAsia" w:ascii="宋体" w:hAnsi="宋体" w:cs="宋体"/>
                      <w:color w:val="auto"/>
                      <w:sz w:val="21"/>
                      <w:szCs w:val="21"/>
                      <w:highlight w:val="none"/>
                      <w:u w:val="none" w:color="auto"/>
                    </w:rPr>
                  </w:pPr>
                  <w:r>
                    <w:rPr>
                      <w:rFonts w:hint="eastAsia" w:ascii="宋体" w:hAnsi="宋体" w:cs="宋体"/>
                      <w:color w:val="auto"/>
                      <w:sz w:val="21"/>
                      <w:szCs w:val="21"/>
                      <w:highlight w:val="none"/>
                      <w:u w:val="none" w:color="auto"/>
                    </w:rPr>
                    <w:t>废气</w:t>
                  </w:r>
                </w:p>
              </w:tc>
              <w:tc>
                <w:tcPr>
                  <w:tcW w:w="563" w:type="pct"/>
                  <w:tcBorders>
                    <w:tl2br w:val="nil"/>
                    <w:tr2bl w:val="nil"/>
                  </w:tcBorders>
                  <w:noWrap w:val="0"/>
                  <w:vAlign w:val="center"/>
                </w:tcPr>
                <w:p w14:paraId="247F6D90">
                  <w:pPr>
                    <w:pStyle w:val="159"/>
                    <w:rPr>
                      <w:rFonts w:hint="eastAsia"/>
                      <w:bCs/>
                      <w:color w:val="auto"/>
                      <w:sz w:val="21"/>
                      <w:szCs w:val="21"/>
                      <w:highlight w:val="none"/>
                      <w:u w:val="none" w:color="auto"/>
                    </w:rPr>
                  </w:pPr>
                  <w:r>
                    <w:rPr>
                      <w:bCs/>
                      <w:color w:val="auto"/>
                      <w:sz w:val="21"/>
                      <w:szCs w:val="21"/>
                      <w:highlight w:val="none"/>
                      <w:u w:val="none" w:color="auto"/>
                    </w:rPr>
                    <w:t>二氧化硫</w:t>
                  </w:r>
                </w:p>
              </w:tc>
              <w:tc>
                <w:tcPr>
                  <w:tcW w:w="352" w:type="pct"/>
                  <w:tcBorders>
                    <w:tl2br w:val="nil"/>
                    <w:tr2bl w:val="nil"/>
                  </w:tcBorders>
                  <w:noWrap w:val="0"/>
                  <w:vAlign w:val="center"/>
                </w:tcPr>
                <w:p w14:paraId="6686349E">
                  <w:pPr>
                    <w:pStyle w:val="159"/>
                    <w:rPr>
                      <w:rFonts w:hint="eastAsia" w:ascii="Times New Roman" w:hAnsi="Times New Roman" w:eastAsia="宋体" w:cs="Times New Roman"/>
                      <w:bCs/>
                      <w:color w:val="auto"/>
                      <w:sz w:val="21"/>
                      <w:szCs w:val="21"/>
                      <w:highlight w:val="none"/>
                      <w:u w:val="none" w:color="auto"/>
                    </w:rPr>
                  </w:pPr>
                  <w:r>
                    <w:rPr>
                      <w:rFonts w:hint="eastAsia" w:ascii="Times New Roman" w:hAnsi="Times New Roman" w:eastAsia="宋体" w:cs="Times New Roman"/>
                      <w:bCs/>
                      <w:color w:val="auto"/>
                      <w:sz w:val="21"/>
                      <w:szCs w:val="21"/>
                      <w:highlight w:val="none"/>
                      <w:u w:val="none" w:color="auto"/>
                    </w:rPr>
                    <w:t>t/a</w:t>
                  </w:r>
                </w:p>
              </w:tc>
              <w:tc>
                <w:tcPr>
                  <w:tcW w:w="573" w:type="pct"/>
                  <w:tcBorders>
                    <w:tl2br w:val="nil"/>
                    <w:tr2bl w:val="nil"/>
                  </w:tcBorders>
                  <w:noWrap w:val="0"/>
                  <w:vAlign w:val="center"/>
                </w:tcPr>
                <w:p w14:paraId="2596A8C2">
                  <w:pPr>
                    <w:pStyle w:val="159"/>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0.088</w:t>
                  </w:r>
                </w:p>
              </w:tc>
              <w:tc>
                <w:tcPr>
                  <w:tcW w:w="463" w:type="pct"/>
                  <w:tcBorders>
                    <w:tl2br w:val="nil"/>
                    <w:tr2bl w:val="nil"/>
                  </w:tcBorders>
                  <w:shd w:val="clear" w:color="auto" w:fill="auto"/>
                  <w:noWrap w:val="0"/>
                  <w:vAlign w:val="center"/>
                </w:tcPr>
                <w:p w14:paraId="2A57247F">
                  <w:pPr>
                    <w:pStyle w:val="159"/>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0.088</w:t>
                  </w:r>
                </w:p>
              </w:tc>
              <w:tc>
                <w:tcPr>
                  <w:tcW w:w="463" w:type="pct"/>
                  <w:tcBorders>
                    <w:tl2br w:val="nil"/>
                    <w:tr2bl w:val="nil"/>
                  </w:tcBorders>
                  <w:noWrap w:val="0"/>
                  <w:vAlign w:val="center"/>
                </w:tcPr>
                <w:p w14:paraId="321FC7C0">
                  <w:pPr>
                    <w:pStyle w:val="159"/>
                    <w:rPr>
                      <w:rFonts w:hint="eastAsia"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0.088</w:t>
                  </w:r>
                </w:p>
              </w:tc>
              <w:tc>
                <w:tcPr>
                  <w:tcW w:w="463" w:type="pct"/>
                  <w:tcBorders>
                    <w:tl2br w:val="nil"/>
                    <w:tr2bl w:val="nil"/>
                  </w:tcBorders>
                  <w:noWrap w:val="0"/>
                  <w:vAlign w:val="center"/>
                </w:tcPr>
                <w:p w14:paraId="4BB78FA3">
                  <w:pPr>
                    <w:pStyle w:val="159"/>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0.088</w:t>
                  </w:r>
                </w:p>
              </w:tc>
              <w:tc>
                <w:tcPr>
                  <w:tcW w:w="554" w:type="pct"/>
                  <w:tcBorders>
                    <w:tl2br w:val="nil"/>
                    <w:tr2bl w:val="nil"/>
                  </w:tcBorders>
                  <w:noWrap w:val="0"/>
                  <w:vAlign w:val="center"/>
                </w:tcPr>
                <w:p w14:paraId="078226D2">
                  <w:pPr>
                    <w:pStyle w:val="159"/>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0.49</w:t>
                  </w:r>
                </w:p>
              </w:tc>
              <w:tc>
                <w:tcPr>
                  <w:tcW w:w="461" w:type="pct"/>
                  <w:tcBorders>
                    <w:tl2br w:val="nil"/>
                    <w:tr2bl w:val="nil"/>
                  </w:tcBorders>
                  <w:noWrap w:val="0"/>
                  <w:vAlign w:val="center"/>
                </w:tcPr>
                <w:p w14:paraId="61845F09">
                  <w:pPr>
                    <w:pStyle w:val="159"/>
                    <w:rPr>
                      <w:rFonts w:hint="eastAsia"/>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0.088</w:t>
                  </w:r>
                </w:p>
              </w:tc>
              <w:tc>
                <w:tcPr>
                  <w:tcW w:w="282" w:type="pct"/>
                  <w:tcBorders>
                    <w:tl2br w:val="nil"/>
                    <w:tr2bl w:val="nil"/>
                  </w:tcBorders>
                  <w:noWrap w:val="0"/>
                  <w:vAlign w:val="center"/>
                </w:tcPr>
                <w:p w14:paraId="79719B57">
                  <w:pPr>
                    <w:pStyle w:val="159"/>
                    <w:rPr>
                      <w:rFonts w:hint="default"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0.09</w:t>
                  </w:r>
                </w:p>
              </w:tc>
              <w:tc>
                <w:tcPr>
                  <w:tcW w:w="463" w:type="pct"/>
                  <w:tcBorders>
                    <w:tl2br w:val="nil"/>
                    <w:tr2bl w:val="nil"/>
                  </w:tcBorders>
                  <w:shd w:val="clear" w:color="auto" w:fill="auto"/>
                  <w:noWrap w:val="0"/>
                  <w:vAlign w:val="center"/>
                </w:tcPr>
                <w:p w14:paraId="36D45D1C">
                  <w:pPr>
                    <w:pStyle w:val="159"/>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0</w:t>
                  </w:r>
                </w:p>
              </w:tc>
            </w:tr>
            <w:tr w14:paraId="3F4E6A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58" w:type="pct"/>
                  <w:vMerge w:val="continue"/>
                  <w:tcBorders>
                    <w:tl2br w:val="nil"/>
                    <w:tr2bl w:val="nil"/>
                  </w:tcBorders>
                  <w:noWrap w:val="0"/>
                  <w:vAlign w:val="center"/>
                </w:tcPr>
                <w:p w14:paraId="6AA7A168">
                  <w:pPr>
                    <w:wordWrap w:val="0"/>
                    <w:spacing w:line="360" w:lineRule="auto"/>
                    <w:jc w:val="center"/>
                    <w:rPr>
                      <w:rFonts w:ascii="宋体" w:hAnsi="宋体" w:cs="宋体"/>
                      <w:color w:val="auto"/>
                      <w:sz w:val="21"/>
                      <w:szCs w:val="21"/>
                      <w:highlight w:val="none"/>
                      <w:u w:val="none" w:color="auto"/>
                    </w:rPr>
                  </w:pPr>
                </w:p>
              </w:tc>
              <w:tc>
                <w:tcPr>
                  <w:tcW w:w="563" w:type="pct"/>
                  <w:tcBorders>
                    <w:tl2br w:val="nil"/>
                    <w:tr2bl w:val="nil"/>
                  </w:tcBorders>
                  <w:noWrap w:val="0"/>
                  <w:vAlign w:val="center"/>
                </w:tcPr>
                <w:p w14:paraId="449D08CB">
                  <w:pPr>
                    <w:pStyle w:val="159"/>
                    <w:rPr>
                      <w:rFonts w:hint="eastAsia"/>
                      <w:bCs/>
                      <w:color w:val="auto"/>
                      <w:sz w:val="21"/>
                      <w:szCs w:val="21"/>
                      <w:highlight w:val="none"/>
                      <w:u w:val="none" w:color="auto"/>
                    </w:rPr>
                  </w:pPr>
                  <w:r>
                    <w:rPr>
                      <w:bCs/>
                      <w:color w:val="auto"/>
                      <w:sz w:val="21"/>
                      <w:szCs w:val="21"/>
                      <w:highlight w:val="none"/>
                      <w:u w:val="none" w:color="auto"/>
                    </w:rPr>
                    <w:t>氮氧化物</w:t>
                  </w:r>
                </w:p>
              </w:tc>
              <w:tc>
                <w:tcPr>
                  <w:tcW w:w="352" w:type="pct"/>
                  <w:tcBorders>
                    <w:tl2br w:val="nil"/>
                    <w:tr2bl w:val="nil"/>
                  </w:tcBorders>
                  <w:noWrap w:val="0"/>
                  <w:vAlign w:val="center"/>
                </w:tcPr>
                <w:p w14:paraId="336E2AF0">
                  <w:pPr>
                    <w:pStyle w:val="159"/>
                    <w:rPr>
                      <w:rFonts w:hint="eastAsia" w:ascii="Times New Roman" w:hAnsi="Times New Roman" w:eastAsia="宋体" w:cs="Times New Roman"/>
                      <w:bCs/>
                      <w:color w:val="auto"/>
                      <w:sz w:val="21"/>
                      <w:szCs w:val="21"/>
                      <w:highlight w:val="none"/>
                      <w:u w:val="none" w:color="auto"/>
                    </w:rPr>
                  </w:pPr>
                  <w:r>
                    <w:rPr>
                      <w:rFonts w:hint="eastAsia" w:ascii="Times New Roman" w:hAnsi="Times New Roman" w:eastAsia="宋体" w:cs="Times New Roman"/>
                      <w:bCs/>
                      <w:color w:val="auto"/>
                      <w:sz w:val="21"/>
                      <w:szCs w:val="21"/>
                      <w:highlight w:val="none"/>
                      <w:u w:val="none" w:color="auto"/>
                    </w:rPr>
                    <w:t>t/a</w:t>
                  </w:r>
                </w:p>
              </w:tc>
              <w:tc>
                <w:tcPr>
                  <w:tcW w:w="573" w:type="pct"/>
                  <w:tcBorders>
                    <w:tl2br w:val="nil"/>
                    <w:tr2bl w:val="nil"/>
                  </w:tcBorders>
                  <w:noWrap w:val="0"/>
                  <w:vAlign w:val="center"/>
                </w:tcPr>
                <w:p w14:paraId="0EC73053">
                  <w:pPr>
                    <w:pStyle w:val="159"/>
                    <w:rPr>
                      <w:rFonts w:hint="default"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0.265</w:t>
                  </w:r>
                </w:p>
              </w:tc>
              <w:tc>
                <w:tcPr>
                  <w:tcW w:w="463" w:type="pct"/>
                  <w:tcBorders>
                    <w:tl2br w:val="nil"/>
                    <w:tr2bl w:val="nil"/>
                  </w:tcBorders>
                  <w:shd w:val="clear" w:color="auto" w:fill="auto"/>
                  <w:noWrap w:val="0"/>
                  <w:vAlign w:val="center"/>
                </w:tcPr>
                <w:p w14:paraId="0DFBE2BB">
                  <w:pPr>
                    <w:pStyle w:val="159"/>
                    <w:rPr>
                      <w:rFonts w:hint="default"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0.265</w:t>
                  </w:r>
                </w:p>
              </w:tc>
              <w:tc>
                <w:tcPr>
                  <w:tcW w:w="463" w:type="pct"/>
                  <w:tcBorders>
                    <w:tl2br w:val="nil"/>
                    <w:tr2bl w:val="nil"/>
                  </w:tcBorders>
                  <w:noWrap w:val="0"/>
                  <w:vAlign w:val="center"/>
                </w:tcPr>
                <w:p w14:paraId="58B1A40A">
                  <w:pPr>
                    <w:pStyle w:val="159"/>
                    <w:rPr>
                      <w:rFonts w:hint="eastAsia"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0.265</w:t>
                  </w:r>
                </w:p>
              </w:tc>
              <w:tc>
                <w:tcPr>
                  <w:tcW w:w="463" w:type="pct"/>
                  <w:tcBorders>
                    <w:tl2br w:val="nil"/>
                    <w:tr2bl w:val="nil"/>
                  </w:tcBorders>
                  <w:noWrap w:val="0"/>
                  <w:vAlign w:val="center"/>
                </w:tcPr>
                <w:p w14:paraId="4588C195">
                  <w:pPr>
                    <w:pStyle w:val="159"/>
                    <w:rPr>
                      <w:rFonts w:hint="eastAsia" w:ascii="Times New Roman" w:hAnsi="Times New Roman" w:eastAsia="宋体" w:cs="Times New Roman"/>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0.265</w:t>
                  </w:r>
                </w:p>
              </w:tc>
              <w:tc>
                <w:tcPr>
                  <w:tcW w:w="554" w:type="pct"/>
                  <w:tcBorders>
                    <w:tl2br w:val="nil"/>
                    <w:tr2bl w:val="nil"/>
                  </w:tcBorders>
                  <w:noWrap w:val="0"/>
                  <w:vAlign w:val="center"/>
                </w:tcPr>
                <w:p w14:paraId="03727C61">
                  <w:pPr>
                    <w:pStyle w:val="159"/>
                    <w:rPr>
                      <w:rFonts w:hint="default"/>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0.49</w:t>
                  </w:r>
                </w:p>
              </w:tc>
              <w:tc>
                <w:tcPr>
                  <w:tcW w:w="461" w:type="pct"/>
                  <w:tcBorders>
                    <w:tl2br w:val="nil"/>
                    <w:tr2bl w:val="nil"/>
                  </w:tcBorders>
                  <w:noWrap w:val="0"/>
                  <w:vAlign w:val="center"/>
                </w:tcPr>
                <w:p w14:paraId="4251A1E9">
                  <w:pPr>
                    <w:pStyle w:val="159"/>
                    <w:rPr>
                      <w:rFonts w:hint="eastAsia"/>
                      <w:bCs/>
                      <w:color w:val="auto"/>
                      <w:sz w:val="21"/>
                      <w:szCs w:val="21"/>
                      <w:highlight w:val="none"/>
                      <w:u w:val="none" w:color="auto"/>
                      <w:lang w:val="en-US" w:eastAsia="zh-CN"/>
                    </w:rPr>
                  </w:pPr>
                  <w:r>
                    <w:rPr>
                      <w:rFonts w:hint="eastAsia" w:cs="Times New Roman"/>
                      <w:bCs/>
                      <w:color w:val="auto"/>
                      <w:sz w:val="21"/>
                      <w:szCs w:val="21"/>
                      <w:highlight w:val="none"/>
                      <w:u w:val="none" w:color="auto"/>
                      <w:lang w:val="en-US" w:eastAsia="zh-CN"/>
                    </w:rPr>
                    <w:t>0.265</w:t>
                  </w:r>
                </w:p>
              </w:tc>
              <w:tc>
                <w:tcPr>
                  <w:tcW w:w="282" w:type="pct"/>
                  <w:tcBorders>
                    <w:tl2br w:val="nil"/>
                    <w:tr2bl w:val="nil"/>
                  </w:tcBorders>
                  <w:noWrap w:val="0"/>
                  <w:vAlign w:val="center"/>
                </w:tcPr>
                <w:p w14:paraId="3180B532">
                  <w:pPr>
                    <w:pStyle w:val="159"/>
                    <w:rPr>
                      <w:rFonts w:hint="default" w:eastAsia="宋体"/>
                      <w:bCs/>
                      <w:color w:val="auto"/>
                      <w:sz w:val="21"/>
                      <w:szCs w:val="21"/>
                      <w:highlight w:val="none"/>
                      <w:u w:val="none" w:color="auto"/>
                      <w:lang w:val="en-US" w:eastAsia="zh-CN"/>
                    </w:rPr>
                  </w:pPr>
                  <w:r>
                    <w:rPr>
                      <w:rFonts w:hint="eastAsia"/>
                      <w:bCs/>
                      <w:color w:val="auto"/>
                      <w:sz w:val="21"/>
                      <w:szCs w:val="21"/>
                      <w:highlight w:val="none"/>
                      <w:u w:val="none" w:color="auto"/>
                      <w:lang w:val="en-US" w:eastAsia="zh-CN"/>
                    </w:rPr>
                    <w:t>0.27</w:t>
                  </w:r>
                </w:p>
              </w:tc>
              <w:tc>
                <w:tcPr>
                  <w:tcW w:w="463" w:type="pct"/>
                  <w:tcBorders>
                    <w:tl2br w:val="nil"/>
                    <w:tr2bl w:val="nil"/>
                  </w:tcBorders>
                  <w:shd w:val="clear" w:color="auto" w:fill="auto"/>
                  <w:noWrap w:val="0"/>
                  <w:vAlign w:val="center"/>
                </w:tcPr>
                <w:p w14:paraId="2A939FE5">
                  <w:pPr>
                    <w:pStyle w:val="159"/>
                    <w:rPr>
                      <w:rFonts w:hint="eastAsia" w:ascii="Times New Roman" w:hAnsi="Times New Roman" w:eastAsia="宋体" w:cs="Times New Roman"/>
                      <w:bCs/>
                      <w:color w:val="auto"/>
                      <w:kern w:val="2"/>
                      <w:sz w:val="21"/>
                      <w:szCs w:val="21"/>
                      <w:highlight w:val="none"/>
                      <w:u w:val="none" w:color="auto"/>
                      <w:lang w:val="en-US" w:eastAsia="zh-CN" w:bidi="ar-SA"/>
                    </w:rPr>
                  </w:pPr>
                  <w:r>
                    <w:rPr>
                      <w:rFonts w:hint="eastAsia" w:cs="Times New Roman"/>
                      <w:bCs/>
                      <w:color w:val="auto"/>
                      <w:sz w:val="21"/>
                      <w:szCs w:val="21"/>
                      <w:highlight w:val="none"/>
                      <w:u w:val="none" w:color="auto"/>
                      <w:lang w:val="en-US" w:eastAsia="zh-CN"/>
                    </w:rPr>
                    <w:t>0</w:t>
                  </w:r>
                </w:p>
              </w:tc>
            </w:tr>
          </w:tbl>
          <w:p w14:paraId="681040E1">
            <w:pPr>
              <w:jc w:val="center"/>
              <w:rPr>
                <w:rFonts w:hint="eastAsia"/>
                <w:b/>
                <w:color w:val="auto"/>
                <w:szCs w:val="21"/>
                <w:highlight w:val="none"/>
              </w:rPr>
            </w:pPr>
          </w:p>
          <w:p w14:paraId="1F75083F">
            <w:pPr>
              <w:pStyle w:val="51"/>
              <w:rPr>
                <w:rFonts w:hint="eastAsia"/>
                <w:b/>
                <w:color w:val="auto"/>
                <w:szCs w:val="21"/>
                <w:highlight w:val="none"/>
              </w:rPr>
            </w:pPr>
          </w:p>
          <w:p w14:paraId="091947F0">
            <w:pPr>
              <w:rPr>
                <w:rFonts w:hint="eastAsia"/>
                <w:color w:val="auto"/>
                <w:lang w:val="en-US" w:eastAsia="zh-CN"/>
              </w:rPr>
            </w:pPr>
          </w:p>
          <w:p w14:paraId="70687CE6">
            <w:pPr>
              <w:pStyle w:val="22"/>
              <w:rPr>
                <w:rFonts w:hint="eastAsia"/>
                <w:color w:val="auto"/>
                <w:lang w:val="en-US" w:eastAsia="zh-CN"/>
              </w:rPr>
            </w:pPr>
          </w:p>
          <w:p w14:paraId="35F5C5A1">
            <w:pPr>
              <w:pStyle w:val="23"/>
              <w:rPr>
                <w:rFonts w:hint="eastAsia"/>
                <w:color w:val="auto"/>
                <w:lang w:val="en-US" w:eastAsia="zh-CN"/>
              </w:rPr>
            </w:pPr>
          </w:p>
          <w:p w14:paraId="0433F9AD">
            <w:pPr>
              <w:rPr>
                <w:rFonts w:hint="eastAsia"/>
                <w:color w:val="auto"/>
                <w:lang w:val="en-US" w:eastAsia="zh-CN"/>
              </w:rPr>
            </w:pPr>
          </w:p>
          <w:p w14:paraId="4CD1B3E4">
            <w:pPr>
              <w:pStyle w:val="22"/>
              <w:rPr>
                <w:rFonts w:hint="eastAsia"/>
                <w:color w:val="auto"/>
                <w:lang w:val="en-US" w:eastAsia="zh-CN"/>
              </w:rPr>
            </w:pPr>
          </w:p>
          <w:p w14:paraId="3A1DA9A4">
            <w:pPr>
              <w:pStyle w:val="23"/>
              <w:rPr>
                <w:rFonts w:hint="eastAsia"/>
                <w:lang w:val="en-US" w:eastAsia="zh-CN"/>
              </w:rPr>
            </w:pPr>
          </w:p>
        </w:tc>
      </w:tr>
    </w:tbl>
    <w:p w14:paraId="2BED4913">
      <w:pPr>
        <w:pStyle w:val="39"/>
        <w:spacing w:before="0" w:beforeAutospacing="0" w:after="0" w:afterAutospacing="0" w:line="360" w:lineRule="auto"/>
        <w:jc w:val="center"/>
        <w:outlineLvl w:val="0"/>
        <w:rPr>
          <w:rFonts w:ascii="Times New Roman" w:hAnsi="Times New Roman"/>
          <w:snapToGrid w:val="0"/>
          <w:color w:val="auto"/>
          <w:highlight w:val="none"/>
        </w:rPr>
      </w:pPr>
      <w:r>
        <w:rPr>
          <w:rFonts w:ascii="Times New Roman" w:hAnsi="Times New Roman"/>
          <w:snapToGrid w:val="0"/>
          <w:color w:val="auto"/>
          <w:highlight w:val="none"/>
        </w:rPr>
        <w:br w:type="page"/>
      </w:r>
      <w:bookmarkStart w:id="7" w:name="_Toc92182180"/>
      <w:r>
        <w:rPr>
          <w:rFonts w:ascii="Times New Roman" w:hAnsi="Times New Roman"/>
          <w:b/>
          <w:bCs/>
          <w:snapToGrid w:val="0"/>
          <w:color w:val="auto"/>
          <w:sz w:val="30"/>
          <w:szCs w:val="30"/>
          <w:highlight w:val="none"/>
        </w:rPr>
        <w:t>四、主要环境影响和保护措施</w:t>
      </w:r>
      <w:bookmarkEnd w:id="7"/>
    </w:p>
    <w:tbl>
      <w:tblPr>
        <w:tblStyle w:val="42"/>
        <w:tblW w:w="905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296"/>
        <w:gridCol w:w="8865"/>
      </w:tblGrid>
      <w:tr w14:paraId="6A1B33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15" w:hRule="atLeast"/>
          <w:jc w:val="center"/>
        </w:trPr>
        <w:tc>
          <w:tcPr>
            <w:tcW w:w="296" w:type="dxa"/>
            <w:tcMar>
              <w:left w:w="28" w:type="dxa"/>
              <w:right w:w="28" w:type="dxa"/>
            </w:tcMar>
            <w:vAlign w:val="center"/>
          </w:tcPr>
          <w:p w14:paraId="09D5F1A6">
            <w:pPr>
              <w:pStyle w:val="39"/>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施工</w:t>
            </w:r>
          </w:p>
          <w:p w14:paraId="3A55D084">
            <w:pPr>
              <w:pStyle w:val="39"/>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期环</w:t>
            </w:r>
          </w:p>
          <w:p w14:paraId="49596F72">
            <w:pPr>
              <w:pStyle w:val="39"/>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境保</w:t>
            </w:r>
          </w:p>
          <w:p w14:paraId="789D0A17">
            <w:pPr>
              <w:pStyle w:val="39"/>
              <w:spacing w:before="0" w:beforeAutospacing="0" w:after="0" w:afterAutospacing="0"/>
              <w:jc w:val="center"/>
              <w:rPr>
                <w:rFonts w:ascii="Times New Roman" w:hAnsi="Times New Roman"/>
                <w:color w:val="auto"/>
                <w:kern w:val="2"/>
                <w:szCs w:val="24"/>
                <w:highlight w:val="none"/>
              </w:rPr>
            </w:pPr>
            <w:r>
              <w:rPr>
                <w:rFonts w:ascii="Times New Roman" w:hAnsi="Times New Roman"/>
                <w:color w:val="auto"/>
                <w:kern w:val="2"/>
                <w:szCs w:val="24"/>
                <w:highlight w:val="none"/>
              </w:rPr>
              <w:t>护措</w:t>
            </w:r>
          </w:p>
          <w:p w14:paraId="6131E692">
            <w:pPr>
              <w:pStyle w:val="39"/>
              <w:spacing w:before="0" w:beforeAutospacing="0" w:after="0" w:afterAutospacing="0"/>
              <w:jc w:val="center"/>
              <w:rPr>
                <w:rFonts w:ascii="Times New Roman" w:hAnsi="Times New Roman"/>
                <w:bCs/>
                <w:color w:val="auto"/>
                <w:kern w:val="2"/>
                <w:sz w:val="21"/>
                <w:szCs w:val="21"/>
                <w:highlight w:val="none"/>
              </w:rPr>
            </w:pPr>
            <w:r>
              <w:rPr>
                <w:rFonts w:ascii="Times New Roman" w:hAnsi="Times New Roman"/>
                <w:color w:val="auto"/>
                <w:kern w:val="2"/>
                <w:szCs w:val="24"/>
                <w:highlight w:val="none"/>
              </w:rPr>
              <w:t>施</w:t>
            </w:r>
          </w:p>
        </w:tc>
        <w:tc>
          <w:tcPr>
            <w:tcW w:w="8761" w:type="dxa"/>
            <w:shd w:val="clear" w:color="auto" w:fill="auto"/>
            <w:vAlign w:val="center"/>
          </w:tcPr>
          <w:p w14:paraId="6206747F">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color w:val="auto"/>
                <w:sz w:val="24"/>
                <w:szCs w:val="24"/>
                <w:highlight w:val="none"/>
              </w:rPr>
            </w:pPr>
            <w:r>
              <w:rPr>
                <w:rFonts w:hint="eastAsia" w:ascii="Times New Roman" w:hAnsi="Times New Roman" w:cs="Times New Roman"/>
                <w:b w:val="0"/>
                <w:bCs w:val="0"/>
                <w:color w:val="auto"/>
                <w:sz w:val="24"/>
                <w:szCs w:val="24"/>
                <w:highlight w:val="none"/>
                <w:u w:val="none"/>
                <w:lang w:val="en-US" w:eastAsia="zh-CN"/>
              </w:rPr>
              <w:t>本次</w:t>
            </w:r>
            <w:r>
              <w:rPr>
                <w:rFonts w:hint="eastAsia" w:cs="Times New Roman"/>
                <w:b w:val="0"/>
                <w:bCs w:val="0"/>
                <w:color w:val="auto"/>
                <w:sz w:val="24"/>
                <w:szCs w:val="24"/>
                <w:highlight w:val="none"/>
                <w:u w:val="none"/>
                <w:lang w:val="en-US" w:eastAsia="zh-CN"/>
              </w:rPr>
              <w:t>技改</w:t>
            </w:r>
            <w:r>
              <w:rPr>
                <w:rFonts w:hint="eastAsia" w:ascii="Times New Roman" w:hAnsi="Times New Roman" w:cs="Times New Roman"/>
                <w:b w:val="0"/>
                <w:bCs w:val="0"/>
                <w:color w:val="auto"/>
                <w:sz w:val="24"/>
                <w:szCs w:val="24"/>
                <w:highlight w:val="none"/>
                <w:u w:val="none"/>
                <w:lang w:val="en-US" w:eastAsia="zh-CN"/>
              </w:rPr>
              <w:t>项目内容为2t/h 燃生物质锅炉</w:t>
            </w:r>
            <w:r>
              <w:rPr>
                <w:rFonts w:hint="eastAsia" w:cs="Times New Roman"/>
                <w:b w:val="0"/>
                <w:bCs w:val="0"/>
                <w:color w:val="auto"/>
                <w:sz w:val="24"/>
                <w:szCs w:val="24"/>
                <w:highlight w:val="none"/>
                <w:u w:val="none"/>
                <w:lang w:val="en-US" w:eastAsia="zh-CN"/>
              </w:rPr>
              <w:t>技改</w:t>
            </w:r>
            <w:r>
              <w:rPr>
                <w:rFonts w:hint="eastAsia" w:ascii="Times New Roman" w:hAnsi="Times New Roman" w:cs="Times New Roman"/>
                <w:b w:val="0"/>
                <w:bCs w:val="0"/>
                <w:color w:val="auto"/>
                <w:sz w:val="24"/>
                <w:szCs w:val="24"/>
                <w:highlight w:val="none"/>
                <w:u w:val="none"/>
                <w:lang w:val="en-US" w:eastAsia="zh-CN"/>
              </w:rPr>
              <w:t>为</w:t>
            </w:r>
            <w:r>
              <w:rPr>
                <w:rFonts w:hint="eastAsia" w:cs="Times New Roman"/>
                <w:b w:val="0"/>
                <w:bCs w:val="0"/>
                <w:color w:val="auto"/>
                <w:sz w:val="24"/>
                <w:szCs w:val="24"/>
                <w:highlight w:val="none"/>
                <w:u w:val="none"/>
                <w:lang w:val="en-US" w:eastAsia="zh-CN"/>
              </w:rPr>
              <w:t>2.1t/h</w:t>
            </w:r>
            <w:r>
              <w:rPr>
                <w:rFonts w:hint="eastAsia" w:ascii="Times New Roman" w:hAnsi="Times New Roman" w:cs="Times New Roman"/>
                <w:b w:val="0"/>
                <w:bCs w:val="0"/>
                <w:color w:val="auto"/>
                <w:sz w:val="24"/>
                <w:szCs w:val="24"/>
                <w:highlight w:val="none"/>
                <w:u w:val="none"/>
                <w:lang w:val="en-US" w:eastAsia="zh-CN"/>
              </w:rPr>
              <w:t xml:space="preserve"> 燃生物质锅炉，锅炉位置不变，不新增建筑面积。因此，本项目现不需新建建筑物，施工期为简单的设备拆卸与安装，会产生噪声影响，但会随着施工期的结束影响也会随着消失。</w:t>
            </w:r>
          </w:p>
        </w:tc>
      </w:tr>
      <w:tr w14:paraId="6A577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71" w:hRule="atLeast"/>
          <w:jc w:val="center"/>
        </w:trPr>
        <w:tc>
          <w:tcPr>
            <w:tcW w:w="296" w:type="dxa"/>
            <w:tcMar>
              <w:left w:w="28" w:type="dxa"/>
              <w:right w:w="28" w:type="dxa"/>
            </w:tcMar>
            <w:vAlign w:val="center"/>
          </w:tcPr>
          <w:p w14:paraId="1021798C">
            <w:pPr>
              <w:jc w:val="center"/>
              <w:rPr>
                <w:bCs/>
                <w:color w:val="auto"/>
                <w:sz w:val="24"/>
                <w:highlight w:val="none"/>
              </w:rPr>
            </w:pPr>
            <w:r>
              <w:rPr>
                <w:bCs/>
                <w:color w:val="auto"/>
                <w:sz w:val="24"/>
                <w:highlight w:val="none"/>
              </w:rPr>
              <w:t>运营</w:t>
            </w:r>
          </w:p>
          <w:p w14:paraId="1B2DC1B3">
            <w:pPr>
              <w:jc w:val="center"/>
              <w:rPr>
                <w:bCs/>
                <w:color w:val="auto"/>
                <w:sz w:val="24"/>
                <w:highlight w:val="none"/>
              </w:rPr>
            </w:pPr>
            <w:r>
              <w:rPr>
                <w:bCs/>
                <w:color w:val="auto"/>
                <w:sz w:val="24"/>
                <w:highlight w:val="none"/>
              </w:rPr>
              <w:t>期环</w:t>
            </w:r>
          </w:p>
          <w:p w14:paraId="7DF5174A">
            <w:pPr>
              <w:jc w:val="center"/>
              <w:rPr>
                <w:bCs/>
                <w:color w:val="auto"/>
                <w:sz w:val="24"/>
                <w:highlight w:val="none"/>
              </w:rPr>
            </w:pPr>
            <w:r>
              <w:rPr>
                <w:bCs/>
                <w:color w:val="auto"/>
                <w:sz w:val="24"/>
                <w:highlight w:val="none"/>
              </w:rPr>
              <w:t>境影</w:t>
            </w:r>
          </w:p>
          <w:p w14:paraId="5F197C2B">
            <w:pPr>
              <w:jc w:val="center"/>
              <w:rPr>
                <w:bCs/>
                <w:color w:val="auto"/>
                <w:sz w:val="24"/>
                <w:highlight w:val="none"/>
              </w:rPr>
            </w:pPr>
            <w:r>
              <w:rPr>
                <w:bCs/>
                <w:color w:val="auto"/>
                <w:sz w:val="24"/>
                <w:highlight w:val="none"/>
              </w:rPr>
              <w:t>响和</w:t>
            </w:r>
          </w:p>
          <w:p w14:paraId="3E58C39C">
            <w:pPr>
              <w:jc w:val="center"/>
              <w:rPr>
                <w:bCs/>
                <w:color w:val="auto"/>
                <w:sz w:val="24"/>
                <w:highlight w:val="none"/>
              </w:rPr>
            </w:pPr>
            <w:r>
              <w:rPr>
                <w:bCs/>
                <w:color w:val="auto"/>
                <w:sz w:val="24"/>
                <w:highlight w:val="none"/>
              </w:rPr>
              <w:t>保护</w:t>
            </w:r>
          </w:p>
          <w:p w14:paraId="3D6B3EC4">
            <w:pPr>
              <w:jc w:val="center"/>
              <w:rPr>
                <w:bCs/>
                <w:color w:val="auto"/>
                <w:szCs w:val="21"/>
                <w:highlight w:val="none"/>
              </w:rPr>
            </w:pPr>
            <w:r>
              <w:rPr>
                <w:bCs/>
                <w:color w:val="auto"/>
                <w:sz w:val="24"/>
                <w:highlight w:val="none"/>
              </w:rPr>
              <w:t>措施</w:t>
            </w:r>
          </w:p>
        </w:tc>
        <w:tc>
          <w:tcPr>
            <w:tcW w:w="8761" w:type="dxa"/>
            <w:shd w:val="clear" w:color="auto" w:fill="FFFFFF"/>
            <w:vAlign w:val="center"/>
          </w:tcPr>
          <w:p w14:paraId="321BF311">
            <w:pPr>
              <w:keepNext w:val="0"/>
              <w:keepLines w:val="0"/>
              <w:pageBreakBefore w:val="0"/>
              <w:widowControl/>
              <w:kinsoku/>
              <w:wordWrap/>
              <w:overflowPunct/>
              <w:topLinePunct w:val="0"/>
              <w:autoSpaceDE/>
              <w:autoSpaceDN/>
              <w:bidi w:val="0"/>
              <w:spacing w:line="360" w:lineRule="auto"/>
              <w:ind w:left="0" w:leftChars="0" w:firstLine="482" w:firstLineChars="200"/>
              <w:jc w:val="both"/>
              <w:textAlignment w:val="auto"/>
              <w:rPr>
                <w:rFonts w:hint="eastAsia" w:eastAsia="宋体"/>
                <w:b/>
                <w:color w:val="auto"/>
                <w:sz w:val="24"/>
                <w:highlight w:val="none"/>
              </w:rPr>
            </w:pPr>
            <w:r>
              <w:rPr>
                <w:rFonts w:hint="eastAsia"/>
                <w:b/>
                <w:color w:val="auto"/>
                <w:sz w:val="24"/>
                <w:highlight w:val="none"/>
                <w:lang w:val="en-US" w:eastAsia="zh-CN"/>
              </w:rPr>
              <w:t>4.1</w:t>
            </w:r>
            <w:r>
              <w:rPr>
                <w:rFonts w:hint="eastAsia" w:eastAsia="宋体"/>
                <w:b/>
                <w:color w:val="auto"/>
                <w:sz w:val="24"/>
                <w:highlight w:val="none"/>
              </w:rPr>
              <w:t>大气环境影响分析</w:t>
            </w:r>
          </w:p>
          <w:p w14:paraId="33B8DE38">
            <w:pPr>
              <w:keepNext w:val="0"/>
              <w:keepLines w:val="0"/>
              <w:pageBreakBefore w:val="0"/>
              <w:widowControl/>
              <w:kinsoku/>
              <w:wordWrap/>
              <w:overflowPunct/>
              <w:topLinePunct w:val="0"/>
              <w:autoSpaceDE/>
              <w:autoSpaceDN/>
              <w:bidi w:val="0"/>
              <w:spacing w:line="360" w:lineRule="auto"/>
              <w:ind w:left="0" w:leftChars="0" w:firstLine="482" w:firstLineChars="200"/>
              <w:jc w:val="both"/>
              <w:textAlignment w:val="auto"/>
              <w:rPr>
                <w:rFonts w:hint="default" w:ascii="Times New Roman" w:hAnsi="Times New Roman" w:cs="Times New Roman"/>
                <w:b/>
                <w:bCs/>
                <w:color w:val="auto"/>
                <w:sz w:val="24"/>
                <w:szCs w:val="24"/>
                <w:highlight w:val="none"/>
                <w:u w:val="none"/>
                <w:lang w:val="en-US" w:eastAsia="zh-CN"/>
              </w:rPr>
            </w:pPr>
            <w:r>
              <w:rPr>
                <w:rFonts w:hint="eastAsia" w:cs="Times New Roman"/>
                <w:b/>
                <w:bCs/>
                <w:color w:val="auto"/>
                <w:sz w:val="24"/>
                <w:szCs w:val="24"/>
                <w:highlight w:val="none"/>
                <w:u w:val="none"/>
                <w:lang w:val="en-US" w:eastAsia="zh-CN"/>
              </w:rPr>
              <w:t>1、废气</w:t>
            </w:r>
          </w:p>
          <w:p w14:paraId="04DA5529">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eastAsia" w:ascii="Times New Roman" w:hAnsi="Times New Roman" w:eastAsia="宋体" w:cs="Times New Roman"/>
                <w:bCs/>
                <w:color w:val="auto"/>
                <w:sz w:val="24"/>
                <w:highlight w:val="none"/>
                <w:u w:val="none" w:color="auto"/>
                <w:lang w:val="en-US" w:eastAsia="zh-CN"/>
              </w:rPr>
            </w:pPr>
            <w:r>
              <w:rPr>
                <w:rFonts w:hint="eastAsia" w:ascii="Times New Roman" w:hAnsi="Times New Roman" w:cs="Times New Roman"/>
                <w:b w:val="0"/>
                <w:bCs w:val="0"/>
                <w:color w:val="auto"/>
                <w:sz w:val="24"/>
                <w:szCs w:val="24"/>
                <w:highlight w:val="none"/>
                <w:u w:val="none"/>
                <w:lang w:val="en-US" w:eastAsia="zh-CN"/>
              </w:rPr>
              <w:t>本次</w:t>
            </w:r>
            <w:r>
              <w:rPr>
                <w:rFonts w:hint="eastAsia" w:cs="Times New Roman"/>
                <w:b w:val="0"/>
                <w:bCs w:val="0"/>
                <w:color w:val="auto"/>
                <w:sz w:val="24"/>
                <w:szCs w:val="24"/>
                <w:highlight w:val="none"/>
                <w:u w:val="none"/>
                <w:lang w:val="en-US" w:eastAsia="zh-CN"/>
              </w:rPr>
              <w:t>技改</w:t>
            </w:r>
            <w:r>
              <w:rPr>
                <w:rFonts w:hint="eastAsia" w:ascii="Times New Roman" w:hAnsi="Times New Roman" w:cs="Times New Roman"/>
                <w:b w:val="0"/>
                <w:bCs w:val="0"/>
                <w:color w:val="auto"/>
                <w:sz w:val="24"/>
                <w:szCs w:val="24"/>
                <w:highlight w:val="none"/>
                <w:u w:val="none"/>
                <w:lang w:val="en-US" w:eastAsia="zh-CN"/>
              </w:rPr>
              <w:t>项目内容为2t/h 燃生物质锅炉</w:t>
            </w:r>
            <w:r>
              <w:rPr>
                <w:rFonts w:hint="eastAsia" w:cs="Times New Roman"/>
                <w:b w:val="0"/>
                <w:bCs w:val="0"/>
                <w:color w:val="auto"/>
                <w:sz w:val="24"/>
                <w:szCs w:val="24"/>
                <w:highlight w:val="none"/>
                <w:u w:val="none"/>
                <w:lang w:val="en-US" w:eastAsia="zh-CN"/>
              </w:rPr>
              <w:t>技改</w:t>
            </w:r>
            <w:r>
              <w:rPr>
                <w:rFonts w:hint="eastAsia" w:ascii="Times New Roman" w:hAnsi="Times New Roman" w:cs="Times New Roman"/>
                <w:b w:val="0"/>
                <w:bCs w:val="0"/>
                <w:color w:val="auto"/>
                <w:sz w:val="24"/>
                <w:szCs w:val="24"/>
                <w:highlight w:val="none"/>
                <w:u w:val="none"/>
                <w:lang w:val="en-US" w:eastAsia="zh-CN"/>
              </w:rPr>
              <w:t>为</w:t>
            </w:r>
            <w:r>
              <w:rPr>
                <w:rFonts w:hint="eastAsia" w:cs="Times New Roman"/>
                <w:b w:val="0"/>
                <w:bCs w:val="0"/>
                <w:color w:val="auto"/>
                <w:sz w:val="24"/>
                <w:szCs w:val="24"/>
                <w:highlight w:val="none"/>
                <w:u w:val="none"/>
                <w:lang w:val="en-US" w:eastAsia="zh-CN"/>
              </w:rPr>
              <w:t>2.1t/h</w:t>
            </w:r>
            <w:r>
              <w:rPr>
                <w:rFonts w:hint="eastAsia" w:ascii="Times New Roman" w:hAnsi="Times New Roman" w:cs="Times New Roman"/>
                <w:b w:val="0"/>
                <w:bCs w:val="0"/>
                <w:color w:val="auto"/>
                <w:sz w:val="24"/>
                <w:szCs w:val="24"/>
                <w:highlight w:val="none"/>
                <w:u w:val="none"/>
                <w:lang w:val="en-US" w:eastAsia="zh-CN"/>
              </w:rPr>
              <w:t xml:space="preserve"> 燃生物质锅炉</w:t>
            </w:r>
            <w:r>
              <w:rPr>
                <w:rFonts w:hint="eastAsia" w:cs="Times New Roman"/>
                <w:b w:val="0"/>
                <w:bCs w:val="0"/>
                <w:color w:val="auto"/>
                <w:sz w:val="24"/>
                <w:szCs w:val="24"/>
                <w:highlight w:val="none"/>
                <w:u w:val="none"/>
                <w:lang w:val="en-US" w:eastAsia="zh-CN"/>
              </w:rPr>
              <w:t>，以及</w:t>
            </w:r>
            <w:r>
              <w:rPr>
                <w:rFonts w:hint="default" w:ascii="Times New Roman" w:hAnsi="Times New Roman" w:eastAsia="宋体" w:cs="Times New Roman"/>
                <w:bCs/>
                <w:color w:val="auto"/>
                <w:sz w:val="24"/>
                <w:highlight w:val="none"/>
                <w:u w:val="none" w:color="auto"/>
                <w:lang w:val="en-US" w:eastAsia="zh-CN"/>
              </w:rPr>
              <w:t>企业自主验收后进行环保设施升级，溶剂废气</w:t>
            </w:r>
            <w:r>
              <w:rPr>
                <w:rFonts w:hint="eastAsia" w:ascii="Times New Roman" w:hAnsi="Times New Roman" w:eastAsia="宋体" w:cs="Times New Roman"/>
                <w:bCs/>
                <w:color w:val="auto"/>
                <w:sz w:val="24"/>
                <w:highlight w:val="none"/>
                <w:u w:val="none" w:color="auto"/>
                <w:lang w:val="en-US" w:eastAsia="zh-CN"/>
              </w:rPr>
              <w:t>产生量和排放量不变，排放方式</w:t>
            </w:r>
            <w:r>
              <w:rPr>
                <w:rFonts w:hint="default" w:ascii="Times New Roman" w:hAnsi="Times New Roman" w:eastAsia="宋体" w:cs="Times New Roman"/>
                <w:bCs/>
                <w:color w:val="auto"/>
                <w:sz w:val="24"/>
                <w:highlight w:val="none"/>
                <w:u w:val="none" w:color="auto"/>
                <w:lang w:val="en-US" w:eastAsia="zh-CN"/>
              </w:rPr>
              <w:t>由无组织改为有组织排放</w:t>
            </w:r>
            <w:r>
              <w:rPr>
                <w:rFonts w:hint="eastAsia" w:ascii="Times New Roman" w:hAnsi="Times New Roman" w:eastAsia="宋体" w:cs="Times New Roman"/>
                <w:bCs/>
                <w:color w:val="auto"/>
                <w:sz w:val="24"/>
                <w:highlight w:val="none"/>
                <w:u w:val="none" w:color="auto"/>
                <w:lang w:val="en-US" w:eastAsia="zh-CN"/>
              </w:rPr>
              <w:t>，</w:t>
            </w:r>
            <w:r>
              <w:rPr>
                <w:rFonts w:hint="default" w:ascii="Times New Roman" w:hAnsi="Times New Roman" w:eastAsia="宋体" w:cs="Times New Roman"/>
                <w:bCs/>
                <w:color w:val="auto"/>
                <w:sz w:val="24"/>
                <w:highlight w:val="none"/>
                <w:u w:val="none" w:color="auto"/>
                <w:lang w:val="en-US" w:eastAsia="zh-CN"/>
              </w:rPr>
              <w:t>收集后经15m排气筒</w:t>
            </w:r>
            <w:r>
              <w:rPr>
                <w:rFonts w:hint="eastAsia" w:ascii="Times New Roman" w:hAnsi="Times New Roman" w:eastAsia="宋体" w:cs="Times New Roman"/>
                <w:bCs/>
                <w:color w:val="auto"/>
                <w:sz w:val="24"/>
                <w:highlight w:val="none"/>
                <w:u w:val="none" w:color="auto"/>
                <w:lang w:val="en-US" w:eastAsia="zh-CN"/>
              </w:rPr>
              <w:t>排放。</w:t>
            </w:r>
          </w:p>
          <w:p w14:paraId="7355ABF4">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eastAsia" w:ascii="Times New Roman" w:hAnsi="Times New Roman"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本技改项目</w:t>
            </w:r>
            <w:r>
              <w:rPr>
                <w:rFonts w:hint="eastAsia" w:ascii="Times New Roman" w:hAnsi="Times New Roman" w:cs="Times New Roman"/>
                <w:b w:val="0"/>
                <w:bCs w:val="0"/>
                <w:color w:val="auto"/>
                <w:sz w:val="24"/>
                <w:szCs w:val="24"/>
                <w:highlight w:val="none"/>
                <w:u w:val="none"/>
                <w:lang w:val="en-US" w:eastAsia="zh-CN"/>
              </w:rPr>
              <w:t>废气主要为锅炉废气（SO</w:t>
            </w:r>
            <w:r>
              <w:rPr>
                <w:rFonts w:hint="eastAsia" w:ascii="Times New Roman" w:hAnsi="Times New Roman" w:cs="Times New Roman"/>
                <w:b w:val="0"/>
                <w:bCs w:val="0"/>
                <w:color w:val="auto"/>
                <w:sz w:val="24"/>
                <w:szCs w:val="24"/>
                <w:highlight w:val="none"/>
                <w:u w:val="none"/>
                <w:vertAlign w:val="subscript"/>
                <w:lang w:val="en-US" w:eastAsia="zh-CN"/>
              </w:rPr>
              <w:t>2</w:t>
            </w:r>
            <w:r>
              <w:rPr>
                <w:rFonts w:hint="eastAsia" w:ascii="Times New Roman" w:hAnsi="Times New Roman" w:cs="Times New Roman"/>
                <w:b w:val="0"/>
                <w:bCs w:val="0"/>
                <w:color w:val="auto"/>
                <w:sz w:val="24"/>
                <w:szCs w:val="24"/>
                <w:highlight w:val="none"/>
                <w:u w:val="none"/>
                <w:lang w:val="en-US" w:eastAsia="zh-CN"/>
              </w:rPr>
              <w:t>、NOx、颗粒物）</w:t>
            </w:r>
            <w:r>
              <w:rPr>
                <w:rFonts w:hint="eastAsia" w:cs="Times New Roman"/>
                <w:b w:val="0"/>
                <w:bCs w:val="0"/>
                <w:color w:val="auto"/>
                <w:sz w:val="24"/>
                <w:szCs w:val="24"/>
                <w:highlight w:val="none"/>
                <w:u w:val="none"/>
                <w:lang w:val="en-US" w:eastAsia="zh-CN"/>
              </w:rPr>
              <w:t>和溶剂废气（非甲烷总烃）</w:t>
            </w:r>
            <w:r>
              <w:rPr>
                <w:rFonts w:hint="eastAsia" w:ascii="Times New Roman" w:hAnsi="Times New Roman" w:cs="Times New Roman"/>
                <w:b w:val="0"/>
                <w:bCs w:val="0"/>
                <w:color w:val="auto"/>
                <w:sz w:val="24"/>
                <w:szCs w:val="24"/>
                <w:highlight w:val="none"/>
                <w:u w:val="none"/>
                <w:lang w:val="en-US" w:eastAsia="zh-CN"/>
              </w:rPr>
              <w:t>。</w:t>
            </w:r>
          </w:p>
          <w:p w14:paraId="6363BF26">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eastAsia" w:ascii="Times New Roman" w:hAnsi="Times New Roman"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1.1</w:t>
            </w:r>
            <w:r>
              <w:rPr>
                <w:rFonts w:hint="eastAsia" w:ascii="Times New Roman" w:hAnsi="Times New Roman" w:cs="Times New Roman"/>
                <w:b w:val="0"/>
                <w:bCs w:val="0"/>
                <w:color w:val="auto"/>
                <w:sz w:val="24"/>
                <w:szCs w:val="24"/>
                <w:highlight w:val="none"/>
                <w:u w:val="none"/>
                <w:lang w:val="en-US" w:eastAsia="zh-CN"/>
              </w:rPr>
              <w:t>项目废气产排情况统计如下：</w:t>
            </w:r>
          </w:p>
          <w:p w14:paraId="272B3E11">
            <w:pPr>
              <w:snapToGrid w:val="0"/>
              <w:jc w:val="center"/>
              <w:rPr>
                <w:rFonts w:hint="default"/>
                <w:b/>
                <w:bCs/>
                <w:snapToGrid w:val="0"/>
                <w:color w:val="auto"/>
                <w:kern w:val="0"/>
                <w:highlight w:val="none"/>
                <w:u w:val="none"/>
                <w:lang w:val="en-US" w:eastAsia="zh-CN"/>
              </w:rPr>
            </w:pPr>
            <w:r>
              <w:rPr>
                <w:rFonts w:hint="eastAsia"/>
                <w:b/>
                <w:bCs/>
                <w:snapToGrid w:val="0"/>
                <w:color w:val="auto"/>
                <w:kern w:val="0"/>
                <w:highlight w:val="none"/>
                <w:u w:val="none"/>
                <w:lang w:val="en-US" w:eastAsia="zh-CN"/>
              </w:rPr>
              <w:t>表 4-1  项目废气产生及排放情况</w:t>
            </w:r>
          </w:p>
          <w:tbl>
            <w:tblPr>
              <w:tblStyle w:val="42"/>
              <w:tblW w:w="849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1" w:type="dxa"/>
                <w:bottom w:w="0" w:type="dxa"/>
                <w:right w:w="11" w:type="dxa"/>
              </w:tblCellMar>
            </w:tblPr>
            <w:tblGrid>
              <w:gridCol w:w="336"/>
              <w:gridCol w:w="460"/>
              <w:gridCol w:w="732"/>
              <w:gridCol w:w="558"/>
              <w:gridCol w:w="346"/>
              <w:gridCol w:w="438"/>
              <w:gridCol w:w="332"/>
              <w:gridCol w:w="820"/>
              <w:gridCol w:w="628"/>
              <w:gridCol w:w="1033"/>
              <w:gridCol w:w="2177"/>
              <w:gridCol w:w="632"/>
            </w:tblGrid>
            <w:tr w14:paraId="35AC16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68" w:hRule="atLeast"/>
                <w:jc w:val="center"/>
              </w:trPr>
              <w:tc>
                <w:tcPr>
                  <w:tcW w:w="336" w:type="dxa"/>
                  <w:vMerge w:val="restart"/>
                  <w:tcBorders>
                    <w:tl2br w:val="nil"/>
                    <w:tr2bl w:val="nil"/>
                  </w:tcBorders>
                  <w:noWrap w:val="0"/>
                  <w:vAlign w:val="center"/>
                </w:tcPr>
                <w:p w14:paraId="0A883B70">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污染源</w:t>
                  </w:r>
                </w:p>
              </w:tc>
              <w:tc>
                <w:tcPr>
                  <w:tcW w:w="460" w:type="dxa"/>
                  <w:vMerge w:val="restart"/>
                  <w:tcBorders>
                    <w:tl2br w:val="nil"/>
                    <w:tr2bl w:val="nil"/>
                  </w:tcBorders>
                  <w:noWrap w:val="0"/>
                  <w:vAlign w:val="center"/>
                </w:tcPr>
                <w:p w14:paraId="06C4D916">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污染物</w:t>
                  </w:r>
                </w:p>
              </w:tc>
              <w:tc>
                <w:tcPr>
                  <w:tcW w:w="1290" w:type="dxa"/>
                  <w:gridSpan w:val="2"/>
                  <w:tcBorders>
                    <w:tl2br w:val="nil"/>
                    <w:tr2bl w:val="nil"/>
                  </w:tcBorders>
                  <w:noWrap w:val="0"/>
                  <w:vAlign w:val="center"/>
                </w:tcPr>
                <w:p w14:paraId="4711F68F">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产生情况</w:t>
                  </w:r>
                </w:p>
              </w:tc>
              <w:tc>
                <w:tcPr>
                  <w:tcW w:w="346" w:type="dxa"/>
                  <w:vMerge w:val="restart"/>
                  <w:tcBorders>
                    <w:tl2br w:val="nil"/>
                    <w:tr2bl w:val="nil"/>
                  </w:tcBorders>
                  <w:noWrap w:val="0"/>
                  <w:vAlign w:val="center"/>
                </w:tcPr>
                <w:p w14:paraId="6A29CC90">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eastAsia" w:eastAsia="宋体" w:cs="Times New Roman"/>
                      <w:color w:val="auto"/>
                      <w:sz w:val="21"/>
                      <w:szCs w:val="21"/>
                      <w:highlight w:val="none"/>
                      <w:u w:val="none"/>
                      <w:lang w:val="en-US" w:eastAsia="zh-CN"/>
                    </w:rPr>
                    <w:t>防治措施</w:t>
                  </w:r>
                </w:p>
              </w:tc>
              <w:tc>
                <w:tcPr>
                  <w:tcW w:w="438" w:type="dxa"/>
                  <w:vMerge w:val="restart"/>
                  <w:tcBorders>
                    <w:tl2br w:val="nil"/>
                    <w:tr2bl w:val="nil"/>
                  </w:tcBorders>
                  <w:noWrap w:val="0"/>
                  <w:vAlign w:val="center"/>
                </w:tcPr>
                <w:p w14:paraId="456A64A7">
                  <w:pPr>
                    <w:pStyle w:val="8"/>
                    <w:tabs>
                      <w:tab w:val="left" w:pos="1021"/>
                    </w:tabs>
                    <w:ind w:firstLine="0"/>
                    <w:jc w:val="center"/>
                    <w:rPr>
                      <w:rFonts w:hint="default" w:eastAsia="宋体" w:cs="Times New Roman"/>
                      <w:color w:val="auto"/>
                      <w:sz w:val="21"/>
                      <w:szCs w:val="21"/>
                      <w:highlight w:val="none"/>
                      <w:u w:val="none"/>
                      <w:lang w:val="en-US" w:eastAsia="zh-CN"/>
                    </w:rPr>
                  </w:pPr>
                  <w:r>
                    <w:rPr>
                      <w:rFonts w:hint="eastAsia" w:eastAsia="宋体" w:cs="Times New Roman"/>
                      <w:color w:val="auto"/>
                      <w:sz w:val="21"/>
                      <w:szCs w:val="21"/>
                      <w:highlight w:val="none"/>
                      <w:u w:val="none"/>
                      <w:lang w:val="en-US" w:eastAsia="zh-CN"/>
                    </w:rPr>
                    <w:t>是否为可行技术</w:t>
                  </w:r>
                </w:p>
              </w:tc>
              <w:tc>
                <w:tcPr>
                  <w:tcW w:w="332" w:type="dxa"/>
                  <w:vMerge w:val="restart"/>
                  <w:tcBorders>
                    <w:tl2br w:val="nil"/>
                    <w:tr2bl w:val="nil"/>
                  </w:tcBorders>
                  <w:noWrap w:val="0"/>
                  <w:vAlign w:val="center"/>
                </w:tcPr>
                <w:p w14:paraId="759A004E">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处理效率</w:t>
                  </w:r>
                </w:p>
              </w:tc>
              <w:tc>
                <w:tcPr>
                  <w:tcW w:w="1448" w:type="dxa"/>
                  <w:gridSpan w:val="2"/>
                  <w:tcBorders>
                    <w:tl2br w:val="nil"/>
                    <w:tr2bl w:val="nil"/>
                  </w:tcBorders>
                  <w:noWrap w:val="0"/>
                  <w:vAlign w:val="center"/>
                </w:tcPr>
                <w:p w14:paraId="11999BED">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排放情况</w:t>
                  </w:r>
                </w:p>
              </w:tc>
              <w:tc>
                <w:tcPr>
                  <w:tcW w:w="1033" w:type="dxa"/>
                  <w:vMerge w:val="restart"/>
                  <w:tcBorders>
                    <w:tl2br w:val="nil"/>
                    <w:tr2bl w:val="nil"/>
                  </w:tcBorders>
                  <w:noWrap w:val="0"/>
                  <w:vAlign w:val="center"/>
                </w:tcPr>
                <w:p w14:paraId="1EB7F9AA">
                  <w:pPr>
                    <w:pStyle w:val="8"/>
                    <w:tabs>
                      <w:tab w:val="left" w:pos="1021"/>
                    </w:tabs>
                    <w:ind w:firstLine="0"/>
                    <w:jc w:val="center"/>
                    <w:rPr>
                      <w:rFonts w:hint="default" w:ascii="Times New Roman" w:hAnsi="Times New Roman" w:eastAsia="宋体" w:cs="Times New Roman"/>
                      <w:color w:val="auto"/>
                      <w:sz w:val="21"/>
                      <w:szCs w:val="21"/>
                      <w:highlight w:val="none"/>
                      <w:u w:val="none"/>
                      <w:lang w:val="en-US" w:eastAsia="zh-CN"/>
                    </w:rPr>
                  </w:pPr>
                  <w:r>
                    <w:rPr>
                      <w:rFonts w:hint="eastAsia" w:eastAsia="宋体" w:cs="Times New Roman"/>
                      <w:color w:val="auto"/>
                      <w:sz w:val="21"/>
                      <w:szCs w:val="21"/>
                      <w:highlight w:val="none"/>
                      <w:u w:val="none"/>
                      <w:lang w:val="en-US" w:eastAsia="zh-CN"/>
                    </w:rPr>
                    <w:t>排放形式</w:t>
                  </w:r>
                </w:p>
              </w:tc>
              <w:tc>
                <w:tcPr>
                  <w:tcW w:w="2177" w:type="dxa"/>
                  <w:vMerge w:val="restart"/>
                  <w:tcBorders>
                    <w:tl2br w:val="nil"/>
                    <w:tr2bl w:val="nil"/>
                  </w:tcBorders>
                  <w:noWrap w:val="0"/>
                  <w:vAlign w:val="center"/>
                </w:tcPr>
                <w:p w14:paraId="7F4B16D8">
                  <w:pPr>
                    <w:pStyle w:val="8"/>
                    <w:tabs>
                      <w:tab w:val="left" w:pos="1021"/>
                    </w:tabs>
                    <w:ind w:firstLine="0"/>
                    <w:jc w:val="center"/>
                    <w:rPr>
                      <w:rFonts w:hint="default" w:eastAsia="宋体" w:cs="Times New Roman"/>
                      <w:color w:val="auto"/>
                      <w:sz w:val="21"/>
                      <w:szCs w:val="21"/>
                      <w:highlight w:val="none"/>
                      <w:u w:val="none"/>
                      <w:lang w:val="en-US" w:eastAsia="zh-CN"/>
                    </w:rPr>
                  </w:pPr>
                  <w:r>
                    <w:rPr>
                      <w:rFonts w:hint="eastAsia" w:eastAsia="宋体" w:cs="Times New Roman"/>
                      <w:color w:val="auto"/>
                      <w:sz w:val="21"/>
                      <w:szCs w:val="21"/>
                      <w:highlight w:val="none"/>
                      <w:u w:val="none"/>
                      <w:lang w:val="en-US" w:eastAsia="zh-CN"/>
                    </w:rPr>
                    <w:t>排放标准</w:t>
                  </w:r>
                </w:p>
              </w:tc>
              <w:tc>
                <w:tcPr>
                  <w:tcW w:w="632" w:type="dxa"/>
                  <w:vMerge w:val="restart"/>
                  <w:tcBorders>
                    <w:tl2br w:val="nil"/>
                    <w:tr2bl w:val="nil"/>
                  </w:tcBorders>
                  <w:noWrap w:val="0"/>
                  <w:vAlign w:val="center"/>
                </w:tcPr>
                <w:p w14:paraId="495B64CA">
                  <w:pPr>
                    <w:pStyle w:val="8"/>
                    <w:tabs>
                      <w:tab w:val="left" w:pos="1021"/>
                    </w:tabs>
                    <w:ind w:firstLine="0"/>
                    <w:jc w:val="center"/>
                    <w:rPr>
                      <w:rFonts w:hint="default" w:eastAsia="宋体" w:cs="Times New Roman"/>
                      <w:color w:val="auto"/>
                      <w:sz w:val="21"/>
                      <w:szCs w:val="21"/>
                      <w:highlight w:val="none"/>
                      <w:u w:val="none"/>
                      <w:lang w:val="en-US" w:eastAsia="zh-CN"/>
                    </w:rPr>
                  </w:pPr>
                  <w:r>
                    <w:rPr>
                      <w:rFonts w:hint="eastAsia" w:eastAsia="宋体" w:cs="Times New Roman"/>
                      <w:color w:val="auto"/>
                      <w:sz w:val="21"/>
                      <w:szCs w:val="21"/>
                      <w:highlight w:val="none"/>
                      <w:u w:val="none"/>
                      <w:lang w:val="en-US" w:eastAsia="zh-CN"/>
                    </w:rPr>
                    <w:t>达标情况</w:t>
                  </w:r>
                </w:p>
              </w:tc>
            </w:tr>
            <w:tr w14:paraId="664C7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614" w:hRule="atLeast"/>
                <w:jc w:val="center"/>
              </w:trPr>
              <w:tc>
                <w:tcPr>
                  <w:tcW w:w="336" w:type="dxa"/>
                  <w:vMerge w:val="continue"/>
                  <w:tcBorders>
                    <w:tl2br w:val="nil"/>
                    <w:tr2bl w:val="nil"/>
                  </w:tcBorders>
                  <w:noWrap w:val="0"/>
                  <w:vAlign w:val="center"/>
                </w:tcPr>
                <w:p w14:paraId="2A1031A2">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460" w:type="dxa"/>
                  <w:vMerge w:val="continue"/>
                  <w:tcBorders>
                    <w:tl2br w:val="nil"/>
                    <w:tr2bl w:val="nil"/>
                  </w:tcBorders>
                  <w:noWrap w:val="0"/>
                  <w:vAlign w:val="center"/>
                </w:tcPr>
                <w:p w14:paraId="6521525C">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732" w:type="dxa"/>
                  <w:tcBorders>
                    <w:tl2br w:val="nil"/>
                    <w:tr2bl w:val="nil"/>
                  </w:tcBorders>
                  <w:noWrap w:val="0"/>
                  <w:vAlign w:val="center"/>
                </w:tcPr>
                <w:p w14:paraId="423D2445">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产生浓度mg/m</w:t>
                  </w:r>
                  <w:r>
                    <w:rPr>
                      <w:rFonts w:hint="default" w:ascii="Times New Roman" w:hAnsi="Times New Roman" w:eastAsia="宋体" w:cs="Times New Roman"/>
                      <w:color w:val="auto"/>
                      <w:sz w:val="21"/>
                      <w:szCs w:val="21"/>
                      <w:highlight w:val="none"/>
                      <w:u w:val="none"/>
                      <w:vertAlign w:val="superscript"/>
                    </w:rPr>
                    <w:t>3</w:t>
                  </w:r>
                </w:p>
              </w:tc>
              <w:tc>
                <w:tcPr>
                  <w:tcW w:w="558" w:type="dxa"/>
                  <w:tcBorders>
                    <w:tl2br w:val="nil"/>
                    <w:tr2bl w:val="nil"/>
                  </w:tcBorders>
                  <w:noWrap w:val="0"/>
                  <w:vAlign w:val="center"/>
                </w:tcPr>
                <w:p w14:paraId="35DEECA5">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产生量</w:t>
                  </w:r>
                  <w:r>
                    <w:rPr>
                      <w:rFonts w:hint="eastAsia" w:ascii="Times New Roman" w:hAnsi="Times New Roman" w:eastAsia="宋体" w:cs="Times New Roman"/>
                      <w:color w:val="auto"/>
                      <w:sz w:val="21"/>
                      <w:szCs w:val="21"/>
                      <w:highlight w:val="none"/>
                      <w:u w:val="none"/>
                    </w:rPr>
                    <w:t>t</w:t>
                  </w:r>
                  <w:r>
                    <w:rPr>
                      <w:rFonts w:hint="default" w:ascii="Times New Roman" w:hAnsi="Times New Roman" w:eastAsia="宋体" w:cs="Times New Roman"/>
                      <w:color w:val="auto"/>
                      <w:sz w:val="21"/>
                      <w:szCs w:val="21"/>
                      <w:highlight w:val="none"/>
                      <w:u w:val="none"/>
                    </w:rPr>
                    <w:t>/a</w:t>
                  </w:r>
                </w:p>
              </w:tc>
              <w:tc>
                <w:tcPr>
                  <w:tcW w:w="346" w:type="dxa"/>
                  <w:vMerge w:val="continue"/>
                  <w:tcBorders>
                    <w:tl2br w:val="nil"/>
                    <w:tr2bl w:val="nil"/>
                  </w:tcBorders>
                  <w:noWrap w:val="0"/>
                  <w:vAlign w:val="center"/>
                </w:tcPr>
                <w:p w14:paraId="11DDBEDF">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438" w:type="dxa"/>
                  <w:vMerge w:val="continue"/>
                  <w:tcBorders>
                    <w:tl2br w:val="nil"/>
                    <w:tr2bl w:val="nil"/>
                  </w:tcBorders>
                  <w:noWrap w:val="0"/>
                  <w:vAlign w:val="center"/>
                </w:tcPr>
                <w:p w14:paraId="76519839">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332" w:type="dxa"/>
                  <w:vMerge w:val="continue"/>
                  <w:tcBorders>
                    <w:tl2br w:val="nil"/>
                    <w:tr2bl w:val="nil"/>
                  </w:tcBorders>
                  <w:noWrap w:val="0"/>
                  <w:vAlign w:val="center"/>
                </w:tcPr>
                <w:p w14:paraId="4DFF5572">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820" w:type="dxa"/>
                  <w:tcBorders>
                    <w:tl2br w:val="nil"/>
                    <w:tr2bl w:val="nil"/>
                  </w:tcBorders>
                  <w:noWrap w:val="0"/>
                  <w:vAlign w:val="center"/>
                </w:tcPr>
                <w:p w14:paraId="30CC4743">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排放浓度mg/m</w:t>
                  </w:r>
                  <w:r>
                    <w:rPr>
                      <w:rFonts w:hint="default" w:ascii="Times New Roman" w:hAnsi="Times New Roman" w:eastAsia="宋体" w:cs="Times New Roman"/>
                      <w:color w:val="auto"/>
                      <w:sz w:val="21"/>
                      <w:szCs w:val="21"/>
                      <w:highlight w:val="none"/>
                      <w:u w:val="none"/>
                      <w:vertAlign w:val="superscript"/>
                    </w:rPr>
                    <w:t>3</w:t>
                  </w:r>
                </w:p>
              </w:tc>
              <w:tc>
                <w:tcPr>
                  <w:tcW w:w="628" w:type="dxa"/>
                  <w:tcBorders>
                    <w:tl2br w:val="nil"/>
                    <w:tr2bl w:val="nil"/>
                  </w:tcBorders>
                  <w:noWrap w:val="0"/>
                  <w:vAlign w:val="center"/>
                </w:tcPr>
                <w:p w14:paraId="0660AE08">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排放量</w:t>
                  </w:r>
                  <w:r>
                    <w:rPr>
                      <w:rFonts w:hint="eastAsia" w:ascii="Times New Roman" w:hAnsi="Times New Roman" w:eastAsia="宋体" w:cs="Times New Roman"/>
                      <w:color w:val="auto"/>
                      <w:sz w:val="21"/>
                      <w:szCs w:val="21"/>
                      <w:highlight w:val="none"/>
                      <w:u w:val="none"/>
                    </w:rPr>
                    <w:t>t</w:t>
                  </w:r>
                  <w:r>
                    <w:rPr>
                      <w:rFonts w:hint="default" w:ascii="Times New Roman" w:hAnsi="Times New Roman" w:eastAsia="宋体" w:cs="Times New Roman"/>
                      <w:color w:val="auto"/>
                      <w:sz w:val="21"/>
                      <w:szCs w:val="21"/>
                      <w:highlight w:val="none"/>
                      <w:u w:val="none"/>
                    </w:rPr>
                    <w:t>/a</w:t>
                  </w:r>
                </w:p>
              </w:tc>
              <w:tc>
                <w:tcPr>
                  <w:tcW w:w="1033" w:type="dxa"/>
                  <w:vMerge w:val="continue"/>
                  <w:tcBorders>
                    <w:tl2br w:val="nil"/>
                    <w:tr2bl w:val="nil"/>
                  </w:tcBorders>
                  <w:noWrap w:val="0"/>
                  <w:vAlign w:val="center"/>
                </w:tcPr>
                <w:p w14:paraId="5A5A0374">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2177" w:type="dxa"/>
                  <w:vMerge w:val="continue"/>
                  <w:tcBorders>
                    <w:tl2br w:val="nil"/>
                    <w:tr2bl w:val="nil"/>
                  </w:tcBorders>
                  <w:noWrap w:val="0"/>
                  <w:vAlign w:val="center"/>
                </w:tcPr>
                <w:p w14:paraId="0AC6E083">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632" w:type="dxa"/>
                  <w:vMerge w:val="continue"/>
                  <w:tcBorders>
                    <w:tl2br w:val="nil"/>
                    <w:tr2bl w:val="nil"/>
                  </w:tcBorders>
                  <w:noWrap w:val="0"/>
                  <w:vAlign w:val="center"/>
                </w:tcPr>
                <w:p w14:paraId="586E34BA">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r>
            <w:tr w14:paraId="43DBDC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25" w:hRule="atLeast"/>
                <w:jc w:val="center"/>
              </w:trPr>
              <w:tc>
                <w:tcPr>
                  <w:tcW w:w="336" w:type="dxa"/>
                  <w:vMerge w:val="restart"/>
                  <w:tcBorders>
                    <w:tl2br w:val="nil"/>
                    <w:tr2bl w:val="nil"/>
                  </w:tcBorders>
                  <w:noWrap w:val="0"/>
                  <w:vAlign w:val="center"/>
                </w:tcPr>
                <w:p w14:paraId="3C68F62F">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锅炉废气</w:t>
                  </w:r>
                </w:p>
              </w:tc>
              <w:tc>
                <w:tcPr>
                  <w:tcW w:w="460" w:type="dxa"/>
                  <w:tcBorders>
                    <w:tl2br w:val="nil"/>
                    <w:tr2bl w:val="nil"/>
                  </w:tcBorders>
                  <w:noWrap w:val="0"/>
                  <w:vAlign w:val="center"/>
                </w:tcPr>
                <w:p w14:paraId="721503C8">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SO</w:t>
                  </w:r>
                  <w:r>
                    <w:rPr>
                      <w:rFonts w:hint="default" w:ascii="Times New Roman" w:hAnsi="Times New Roman" w:eastAsia="宋体" w:cs="Times New Roman"/>
                      <w:color w:val="auto"/>
                      <w:sz w:val="21"/>
                      <w:szCs w:val="21"/>
                      <w:highlight w:val="none"/>
                      <w:u w:val="none"/>
                      <w:vertAlign w:val="subscript"/>
                    </w:rPr>
                    <w:t>2</w:t>
                  </w:r>
                </w:p>
              </w:tc>
              <w:tc>
                <w:tcPr>
                  <w:tcW w:w="732" w:type="dxa"/>
                  <w:tcBorders>
                    <w:tl2br w:val="nil"/>
                    <w:tr2bl w:val="nil"/>
                  </w:tcBorders>
                  <w:noWrap w:val="0"/>
                  <w:vAlign w:val="center"/>
                </w:tcPr>
                <w:p w14:paraId="1D1EBF4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eastAsia" w:cs="Times New Roman"/>
                      <w:i w:val="0"/>
                      <w:iCs w:val="0"/>
                      <w:color w:val="auto"/>
                      <w:kern w:val="0"/>
                      <w:sz w:val="21"/>
                      <w:szCs w:val="21"/>
                      <w:u w:val="none"/>
                      <w:lang w:val="en-US" w:eastAsia="zh-CN" w:bidi="ar"/>
                    </w:rPr>
                    <w:t>54.24</w:t>
                  </w:r>
                  <w:r>
                    <w:rPr>
                      <w:rFonts w:hint="default" w:ascii="Times New Roman" w:hAnsi="Times New Roman" w:eastAsia="宋体" w:cs="Times New Roman"/>
                      <w:i w:val="0"/>
                      <w:iCs w:val="0"/>
                      <w:color w:val="auto"/>
                      <w:kern w:val="0"/>
                      <w:sz w:val="21"/>
                      <w:szCs w:val="21"/>
                      <w:u w:val="none"/>
                      <w:lang w:val="en-US" w:eastAsia="zh-CN" w:bidi="ar"/>
                    </w:rPr>
                    <w:t xml:space="preserve"> </w:t>
                  </w:r>
                </w:p>
              </w:tc>
              <w:tc>
                <w:tcPr>
                  <w:tcW w:w="558" w:type="dxa"/>
                  <w:tcBorders>
                    <w:tl2br w:val="nil"/>
                    <w:tr2bl w:val="nil"/>
                  </w:tcBorders>
                  <w:noWrap w:val="0"/>
                  <w:vAlign w:val="center"/>
                </w:tcPr>
                <w:p w14:paraId="5AC88128">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c>
                <w:tcPr>
                  <w:tcW w:w="346" w:type="dxa"/>
                  <w:vMerge w:val="restart"/>
                  <w:tcBorders>
                    <w:tl2br w:val="nil"/>
                    <w:tr2bl w:val="nil"/>
                  </w:tcBorders>
                  <w:noWrap w:val="0"/>
                  <w:vAlign w:val="center"/>
                </w:tcPr>
                <w:p w14:paraId="7CA1E536">
                  <w:pPr>
                    <w:pStyle w:val="8"/>
                    <w:tabs>
                      <w:tab w:val="left" w:pos="1021"/>
                    </w:tabs>
                    <w:ind w:firstLine="0"/>
                    <w:jc w:val="center"/>
                    <w:rPr>
                      <w:rFonts w:hint="default" w:ascii="Times New Roman" w:hAnsi="Times New Roman" w:eastAsia="宋体" w:cs="Times New Roman"/>
                      <w:color w:val="auto"/>
                      <w:sz w:val="21"/>
                      <w:szCs w:val="21"/>
                      <w:highlight w:val="none"/>
                      <w:u w:val="none"/>
                      <w:lang w:val="en-US" w:eastAsia="zh-CN"/>
                    </w:rPr>
                  </w:pPr>
                  <w:r>
                    <w:rPr>
                      <w:rFonts w:hint="eastAsia" w:eastAsia="宋体" w:cs="Times New Roman"/>
                      <w:color w:val="auto"/>
                      <w:sz w:val="21"/>
                      <w:szCs w:val="21"/>
                      <w:highlight w:val="none"/>
                      <w:u w:val="none"/>
                      <w:lang w:val="en-US" w:eastAsia="zh-CN"/>
                    </w:rPr>
                    <w:t>两级水膜除尘</w:t>
                  </w:r>
                </w:p>
              </w:tc>
              <w:tc>
                <w:tcPr>
                  <w:tcW w:w="438" w:type="dxa"/>
                  <w:vMerge w:val="restart"/>
                  <w:tcBorders>
                    <w:tl2br w:val="nil"/>
                    <w:tr2bl w:val="nil"/>
                  </w:tcBorders>
                  <w:noWrap w:val="0"/>
                  <w:vAlign w:val="center"/>
                </w:tcPr>
                <w:p w14:paraId="3368F68D">
                  <w:pPr>
                    <w:pStyle w:val="8"/>
                    <w:tabs>
                      <w:tab w:val="left" w:pos="1021"/>
                    </w:tabs>
                    <w:ind w:firstLine="0"/>
                    <w:jc w:val="center"/>
                    <w:rPr>
                      <w:rFonts w:hint="eastAsia" w:ascii="Times New Roman" w:hAnsi="Times New Roman" w:eastAsia="宋体" w:cs="Times New Roman"/>
                      <w:color w:val="auto"/>
                      <w:sz w:val="21"/>
                      <w:szCs w:val="21"/>
                      <w:highlight w:val="none"/>
                      <w:u w:val="none"/>
                      <w:lang w:val="en-US" w:eastAsia="zh-CN"/>
                    </w:rPr>
                  </w:pPr>
                  <w:r>
                    <w:rPr>
                      <w:rFonts w:hint="eastAsia" w:eastAsia="宋体" w:cs="Times New Roman"/>
                      <w:color w:val="auto"/>
                      <w:sz w:val="21"/>
                      <w:szCs w:val="21"/>
                      <w:highlight w:val="none"/>
                      <w:u w:val="none"/>
                      <w:lang w:val="en-US" w:eastAsia="zh-CN"/>
                    </w:rPr>
                    <w:t>是</w:t>
                  </w:r>
                </w:p>
              </w:tc>
              <w:tc>
                <w:tcPr>
                  <w:tcW w:w="332" w:type="dxa"/>
                  <w:tcBorders>
                    <w:tl2br w:val="nil"/>
                    <w:tr2bl w:val="nil"/>
                  </w:tcBorders>
                  <w:noWrap w:val="0"/>
                  <w:vAlign w:val="center"/>
                </w:tcPr>
                <w:p w14:paraId="1E5226AC">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w:t>
                  </w:r>
                </w:p>
              </w:tc>
              <w:tc>
                <w:tcPr>
                  <w:tcW w:w="820" w:type="dxa"/>
                  <w:tcBorders>
                    <w:tl2br w:val="nil"/>
                    <w:tr2bl w:val="nil"/>
                  </w:tcBorders>
                  <w:noWrap w:val="0"/>
                  <w:vAlign w:val="center"/>
                </w:tcPr>
                <w:p w14:paraId="317923E7">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54.24 </w:t>
                  </w:r>
                </w:p>
              </w:tc>
              <w:tc>
                <w:tcPr>
                  <w:tcW w:w="628" w:type="dxa"/>
                  <w:tcBorders>
                    <w:tl2br w:val="nil"/>
                    <w:tr2bl w:val="nil"/>
                  </w:tcBorders>
                  <w:noWrap w:val="0"/>
                  <w:vAlign w:val="center"/>
                </w:tcPr>
                <w:p w14:paraId="115EAF10">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c>
                <w:tcPr>
                  <w:tcW w:w="1033" w:type="dxa"/>
                  <w:vMerge w:val="restart"/>
                  <w:tcBorders>
                    <w:tl2br w:val="nil"/>
                    <w:tr2bl w:val="nil"/>
                  </w:tcBorders>
                  <w:noWrap w:val="0"/>
                  <w:vAlign w:val="center"/>
                </w:tcPr>
                <w:p w14:paraId="41EA0935">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排气筒高度：35m；内径：0.3m</w:t>
                  </w:r>
                </w:p>
              </w:tc>
              <w:tc>
                <w:tcPr>
                  <w:tcW w:w="2177" w:type="dxa"/>
                  <w:vMerge w:val="restart"/>
                  <w:tcBorders>
                    <w:tl2br w:val="nil"/>
                    <w:tr2bl w:val="nil"/>
                  </w:tcBorders>
                  <w:noWrap w:val="0"/>
                  <w:vAlign w:val="center"/>
                </w:tcPr>
                <w:p w14:paraId="673BEBEE">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olor w:val="auto"/>
                      <w:sz w:val="21"/>
                      <w:szCs w:val="21"/>
                      <w:highlight w:val="none"/>
                      <w:u w:val="none"/>
                    </w:rPr>
                    <w:t>《锅炉大气污染物排放标准》（GB13271-2014）中表2规定的新建燃煤锅炉大气污染物排放浓度限值</w:t>
                  </w:r>
                </w:p>
              </w:tc>
              <w:tc>
                <w:tcPr>
                  <w:tcW w:w="632" w:type="dxa"/>
                  <w:vMerge w:val="restart"/>
                  <w:tcBorders>
                    <w:tl2br w:val="nil"/>
                    <w:tr2bl w:val="nil"/>
                  </w:tcBorders>
                  <w:noWrap w:val="0"/>
                  <w:vAlign w:val="center"/>
                </w:tcPr>
                <w:p w14:paraId="4B1C15D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达标</w:t>
                  </w:r>
                </w:p>
              </w:tc>
            </w:tr>
            <w:tr w14:paraId="49FD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336" w:type="dxa"/>
                  <w:vMerge w:val="continue"/>
                  <w:tcBorders>
                    <w:tl2br w:val="nil"/>
                    <w:tr2bl w:val="nil"/>
                  </w:tcBorders>
                  <w:noWrap w:val="0"/>
                  <w:vAlign w:val="center"/>
                </w:tcPr>
                <w:p w14:paraId="6CC17E6B">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460" w:type="dxa"/>
                  <w:tcBorders>
                    <w:tl2br w:val="nil"/>
                    <w:tr2bl w:val="nil"/>
                  </w:tcBorders>
                  <w:noWrap w:val="0"/>
                  <w:vAlign w:val="center"/>
                </w:tcPr>
                <w:p w14:paraId="75039446">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NOx</w:t>
                  </w:r>
                </w:p>
              </w:tc>
              <w:tc>
                <w:tcPr>
                  <w:tcW w:w="732" w:type="dxa"/>
                  <w:tcBorders>
                    <w:tl2br w:val="nil"/>
                    <w:tr2bl w:val="nil"/>
                  </w:tcBorders>
                  <w:noWrap w:val="0"/>
                  <w:vAlign w:val="center"/>
                </w:tcPr>
                <w:p w14:paraId="6BBE6F5A">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eastAsia" w:cs="Times New Roman"/>
                      <w:i w:val="0"/>
                      <w:iCs w:val="0"/>
                      <w:color w:val="auto"/>
                      <w:kern w:val="0"/>
                      <w:sz w:val="21"/>
                      <w:szCs w:val="21"/>
                      <w:u w:val="none"/>
                      <w:lang w:val="en-US" w:eastAsia="zh-CN" w:bidi="ar"/>
                    </w:rPr>
                    <w:t>163.34</w:t>
                  </w:r>
                </w:p>
              </w:tc>
              <w:tc>
                <w:tcPr>
                  <w:tcW w:w="558" w:type="dxa"/>
                  <w:tcBorders>
                    <w:tl2br w:val="nil"/>
                    <w:tr2bl w:val="nil"/>
                  </w:tcBorders>
                  <w:noWrap w:val="0"/>
                  <w:vAlign w:val="center"/>
                </w:tcPr>
                <w:p w14:paraId="43CA382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c>
                <w:tcPr>
                  <w:tcW w:w="346" w:type="dxa"/>
                  <w:vMerge w:val="continue"/>
                  <w:tcBorders>
                    <w:tl2br w:val="nil"/>
                    <w:tr2bl w:val="nil"/>
                  </w:tcBorders>
                  <w:noWrap w:val="0"/>
                  <w:vAlign w:val="center"/>
                </w:tcPr>
                <w:p w14:paraId="62D597ED">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438" w:type="dxa"/>
                  <w:vMerge w:val="continue"/>
                  <w:tcBorders>
                    <w:tl2br w:val="nil"/>
                    <w:tr2bl w:val="nil"/>
                  </w:tcBorders>
                  <w:noWrap w:val="0"/>
                  <w:vAlign w:val="center"/>
                </w:tcPr>
                <w:p w14:paraId="4E9DDEB2">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332" w:type="dxa"/>
                  <w:tcBorders>
                    <w:tl2br w:val="nil"/>
                    <w:tr2bl w:val="nil"/>
                  </w:tcBorders>
                  <w:noWrap w:val="0"/>
                  <w:vAlign w:val="center"/>
                </w:tcPr>
                <w:p w14:paraId="519EE200">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w:t>
                  </w:r>
                </w:p>
              </w:tc>
              <w:tc>
                <w:tcPr>
                  <w:tcW w:w="820" w:type="dxa"/>
                  <w:tcBorders>
                    <w:tl2br w:val="nil"/>
                    <w:tr2bl w:val="nil"/>
                  </w:tcBorders>
                  <w:noWrap w:val="0"/>
                  <w:vAlign w:val="center"/>
                </w:tcPr>
                <w:p w14:paraId="7C9117B2">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163.34 </w:t>
                  </w:r>
                </w:p>
              </w:tc>
              <w:tc>
                <w:tcPr>
                  <w:tcW w:w="628" w:type="dxa"/>
                  <w:tcBorders>
                    <w:tl2br w:val="nil"/>
                    <w:tr2bl w:val="nil"/>
                  </w:tcBorders>
                  <w:noWrap w:val="0"/>
                  <w:vAlign w:val="center"/>
                </w:tcPr>
                <w:p w14:paraId="34ACD9B5">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c>
                <w:tcPr>
                  <w:tcW w:w="1033" w:type="dxa"/>
                  <w:vMerge w:val="continue"/>
                  <w:tcBorders>
                    <w:tl2br w:val="nil"/>
                    <w:tr2bl w:val="nil"/>
                  </w:tcBorders>
                  <w:noWrap w:val="0"/>
                  <w:vAlign w:val="center"/>
                </w:tcPr>
                <w:p w14:paraId="741271D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177" w:type="dxa"/>
                  <w:vMerge w:val="continue"/>
                  <w:tcBorders>
                    <w:tl2br w:val="nil"/>
                    <w:tr2bl w:val="nil"/>
                  </w:tcBorders>
                  <w:noWrap w:val="0"/>
                  <w:vAlign w:val="center"/>
                </w:tcPr>
                <w:p w14:paraId="00FD8DF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632" w:type="dxa"/>
                  <w:vMerge w:val="continue"/>
                  <w:tcBorders>
                    <w:tl2br w:val="nil"/>
                    <w:tr2bl w:val="nil"/>
                  </w:tcBorders>
                  <w:noWrap w:val="0"/>
                  <w:vAlign w:val="center"/>
                </w:tcPr>
                <w:p w14:paraId="4650832A">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7C92EC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565" w:hRule="atLeast"/>
                <w:jc w:val="center"/>
              </w:trPr>
              <w:tc>
                <w:tcPr>
                  <w:tcW w:w="336" w:type="dxa"/>
                  <w:vMerge w:val="continue"/>
                  <w:tcBorders>
                    <w:tl2br w:val="nil"/>
                    <w:tr2bl w:val="nil"/>
                  </w:tcBorders>
                  <w:noWrap w:val="0"/>
                  <w:vAlign w:val="center"/>
                </w:tcPr>
                <w:p w14:paraId="4629E1D3">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460" w:type="dxa"/>
                  <w:tcBorders>
                    <w:tl2br w:val="nil"/>
                    <w:tr2bl w:val="nil"/>
                  </w:tcBorders>
                  <w:noWrap w:val="0"/>
                  <w:vAlign w:val="center"/>
                </w:tcPr>
                <w:p w14:paraId="33507528">
                  <w:pPr>
                    <w:pStyle w:val="8"/>
                    <w:tabs>
                      <w:tab w:val="left" w:pos="1021"/>
                    </w:tabs>
                    <w:ind w:firstLine="0"/>
                    <w:jc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color w:val="auto"/>
                      <w:sz w:val="21"/>
                      <w:szCs w:val="21"/>
                      <w:highlight w:val="none"/>
                      <w:u w:val="none"/>
                    </w:rPr>
                    <w:t>颗粒物</w:t>
                  </w:r>
                </w:p>
              </w:tc>
              <w:tc>
                <w:tcPr>
                  <w:tcW w:w="732" w:type="dxa"/>
                  <w:tcBorders>
                    <w:tl2br w:val="nil"/>
                    <w:tr2bl w:val="nil"/>
                  </w:tcBorders>
                  <w:noWrap w:val="0"/>
                  <w:vAlign w:val="center"/>
                </w:tcPr>
                <w:p w14:paraId="4C3C3C91">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eastAsia" w:cs="Times New Roman"/>
                      <w:i w:val="0"/>
                      <w:iCs w:val="0"/>
                      <w:color w:val="auto"/>
                      <w:kern w:val="0"/>
                      <w:sz w:val="21"/>
                      <w:szCs w:val="21"/>
                      <w:u w:val="none"/>
                      <w:lang w:val="en-US" w:eastAsia="zh-CN" w:bidi="ar"/>
                    </w:rPr>
                    <w:t>80.13</w:t>
                  </w:r>
                </w:p>
              </w:tc>
              <w:tc>
                <w:tcPr>
                  <w:tcW w:w="558" w:type="dxa"/>
                  <w:tcBorders>
                    <w:tl2br w:val="nil"/>
                    <w:tr2bl w:val="nil"/>
                  </w:tcBorders>
                  <w:noWrap w:val="0"/>
                  <w:vAlign w:val="center"/>
                </w:tcPr>
                <w:p w14:paraId="1518A676">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0.130 </w:t>
                  </w:r>
                </w:p>
              </w:tc>
              <w:tc>
                <w:tcPr>
                  <w:tcW w:w="346" w:type="dxa"/>
                  <w:vMerge w:val="continue"/>
                  <w:tcBorders>
                    <w:tl2br w:val="nil"/>
                    <w:tr2bl w:val="nil"/>
                  </w:tcBorders>
                  <w:noWrap w:val="0"/>
                  <w:vAlign w:val="center"/>
                </w:tcPr>
                <w:p w14:paraId="482A0FB9">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438" w:type="dxa"/>
                  <w:vMerge w:val="continue"/>
                  <w:tcBorders>
                    <w:tl2br w:val="nil"/>
                    <w:tr2bl w:val="nil"/>
                  </w:tcBorders>
                  <w:noWrap w:val="0"/>
                  <w:vAlign w:val="center"/>
                </w:tcPr>
                <w:p w14:paraId="118CED6F">
                  <w:pPr>
                    <w:pStyle w:val="8"/>
                    <w:tabs>
                      <w:tab w:val="left" w:pos="1021"/>
                    </w:tabs>
                    <w:ind w:firstLine="0"/>
                    <w:jc w:val="center"/>
                    <w:rPr>
                      <w:rFonts w:hint="default" w:ascii="Times New Roman" w:hAnsi="Times New Roman" w:eastAsia="宋体" w:cs="Times New Roman"/>
                      <w:color w:val="auto"/>
                      <w:sz w:val="21"/>
                      <w:szCs w:val="21"/>
                      <w:highlight w:val="none"/>
                      <w:u w:val="none"/>
                    </w:rPr>
                  </w:pPr>
                </w:p>
              </w:tc>
              <w:tc>
                <w:tcPr>
                  <w:tcW w:w="332" w:type="dxa"/>
                  <w:tcBorders>
                    <w:tl2br w:val="nil"/>
                    <w:tr2bl w:val="nil"/>
                  </w:tcBorders>
                  <w:noWrap w:val="0"/>
                  <w:vAlign w:val="center"/>
                </w:tcPr>
                <w:p w14:paraId="497615E5">
                  <w:pPr>
                    <w:pStyle w:val="8"/>
                    <w:tabs>
                      <w:tab w:val="left" w:pos="1021"/>
                    </w:tabs>
                    <w:ind w:firstLine="0"/>
                    <w:jc w:val="center"/>
                    <w:rPr>
                      <w:rFonts w:hint="eastAsia" w:ascii="Times New Roman" w:hAnsi="Times New Roman" w:eastAsia="宋体" w:cs="Times New Roman"/>
                      <w:color w:val="auto"/>
                      <w:sz w:val="21"/>
                      <w:szCs w:val="21"/>
                      <w:highlight w:val="none"/>
                      <w:u w:val="none"/>
                      <w:lang w:eastAsia="zh-CN"/>
                    </w:rPr>
                  </w:pPr>
                  <w:r>
                    <w:rPr>
                      <w:rFonts w:hint="default" w:ascii="Times New Roman" w:hAnsi="Times New Roman" w:eastAsia="宋体" w:cs="Times New Roman"/>
                      <w:color w:val="auto"/>
                      <w:sz w:val="21"/>
                      <w:szCs w:val="21"/>
                      <w:highlight w:val="none"/>
                      <w:u w:val="none"/>
                    </w:rPr>
                    <w:t>9</w:t>
                  </w:r>
                  <w:r>
                    <w:rPr>
                      <w:rFonts w:hint="eastAsia" w:eastAsia="宋体" w:cs="Times New Roman"/>
                      <w:color w:val="auto"/>
                      <w:sz w:val="21"/>
                      <w:szCs w:val="21"/>
                      <w:highlight w:val="none"/>
                      <w:u w:val="none"/>
                      <w:lang w:val="en-US" w:eastAsia="zh-CN"/>
                    </w:rPr>
                    <w:t>0</w:t>
                  </w:r>
                </w:p>
              </w:tc>
              <w:tc>
                <w:tcPr>
                  <w:tcW w:w="820" w:type="dxa"/>
                  <w:tcBorders>
                    <w:tl2br w:val="nil"/>
                    <w:tr2bl w:val="nil"/>
                  </w:tcBorders>
                  <w:noWrap w:val="0"/>
                  <w:vAlign w:val="center"/>
                </w:tcPr>
                <w:p w14:paraId="25FB5EEB">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8.01 </w:t>
                  </w:r>
                </w:p>
              </w:tc>
              <w:tc>
                <w:tcPr>
                  <w:tcW w:w="628" w:type="dxa"/>
                  <w:tcBorders>
                    <w:tl2br w:val="nil"/>
                    <w:tr2bl w:val="nil"/>
                  </w:tcBorders>
                  <w:noWrap w:val="0"/>
                  <w:vAlign w:val="center"/>
                </w:tcPr>
                <w:p w14:paraId="131CEDDD">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0.013 </w:t>
                  </w:r>
                </w:p>
              </w:tc>
              <w:tc>
                <w:tcPr>
                  <w:tcW w:w="1033" w:type="dxa"/>
                  <w:vMerge w:val="continue"/>
                  <w:tcBorders>
                    <w:tl2br w:val="nil"/>
                    <w:tr2bl w:val="nil"/>
                  </w:tcBorders>
                  <w:noWrap w:val="0"/>
                  <w:vAlign w:val="center"/>
                </w:tcPr>
                <w:p w14:paraId="785FBB1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177" w:type="dxa"/>
                  <w:vMerge w:val="continue"/>
                  <w:tcBorders>
                    <w:tl2br w:val="nil"/>
                    <w:tr2bl w:val="nil"/>
                  </w:tcBorders>
                  <w:noWrap w:val="0"/>
                  <w:vAlign w:val="center"/>
                </w:tcPr>
                <w:p w14:paraId="3E37E53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632" w:type="dxa"/>
                  <w:vMerge w:val="continue"/>
                  <w:tcBorders>
                    <w:tl2br w:val="nil"/>
                    <w:tr2bl w:val="nil"/>
                  </w:tcBorders>
                  <w:noWrap w:val="0"/>
                  <w:vAlign w:val="center"/>
                </w:tcPr>
                <w:p w14:paraId="2B106BF0">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r>
            <w:tr w14:paraId="2AAC66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565" w:hRule="atLeast"/>
                <w:jc w:val="center"/>
              </w:trPr>
              <w:tc>
                <w:tcPr>
                  <w:tcW w:w="336" w:type="dxa"/>
                  <w:tcBorders>
                    <w:tl2br w:val="nil"/>
                    <w:tr2bl w:val="nil"/>
                  </w:tcBorders>
                  <w:shd w:val="clear" w:color="auto" w:fill="auto"/>
                  <w:noWrap w:val="0"/>
                  <w:vAlign w:val="center"/>
                </w:tcPr>
                <w:p w14:paraId="07D4153B">
                  <w:pPr>
                    <w:pStyle w:val="8"/>
                    <w:tabs>
                      <w:tab w:val="left" w:pos="1021"/>
                    </w:tabs>
                    <w:ind w:firstLine="0" w:firstLine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eastAsia="宋体" w:cs="Times New Roman"/>
                      <w:color w:val="auto"/>
                      <w:sz w:val="21"/>
                      <w:szCs w:val="21"/>
                      <w:highlight w:val="none"/>
                      <w:u w:val="none"/>
                      <w:lang w:val="en-US" w:eastAsia="zh-CN"/>
                    </w:rPr>
                    <w:t>溶剂废气</w:t>
                  </w:r>
                </w:p>
              </w:tc>
              <w:tc>
                <w:tcPr>
                  <w:tcW w:w="460" w:type="dxa"/>
                  <w:tcBorders>
                    <w:tl2br w:val="nil"/>
                    <w:tr2bl w:val="nil"/>
                  </w:tcBorders>
                  <w:shd w:val="clear" w:color="auto" w:fill="auto"/>
                  <w:noWrap w:val="0"/>
                  <w:vAlign w:val="center"/>
                </w:tcPr>
                <w:p w14:paraId="74AEFCF1">
                  <w:pPr>
                    <w:pStyle w:val="8"/>
                    <w:tabs>
                      <w:tab w:val="left" w:pos="1021"/>
                    </w:tabs>
                    <w:ind w:firstLine="0" w:firstLine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eastAsia="宋体" w:cs="Times New Roman"/>
                      <w:color w:val="auto"/>
                      <w:sz w:val="21"/>
                      <w:szCs w:val="21"/>
                      <w:highlight w:val="none"/>
                      <w:u w:val="none"/>
                      <w:lang w:val="en-US" w:eastAsia="zh-CN"/>
                    </w:rPr>
                    <w:t>非甲烷总烃</w:t>
                  </w:r>
                </w:p>
              </w:tc>
              <w:tc>
                <w:tcPr>
                  <w:tcW w:w="732" w:type="dxa"/>
                  <w:tcBorders>
                    <w:tl2br w:val="nil"/>
                    <w:tr2bl w:val="nil"/>
                  </w:tcBorders>
                  <w:shd w:val="clear" w:color="auto" w:fill="auto"/>
                  <w:noWrap w:val="0"/>
                  <w:vAlign w:val="center"/>
                </w:tcPr>
                <w:p w14:paraId="3692E93E">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2.43</w:t>
                  </w:r>
                </w:p>
              </w:tc>
              <w:tc>
                <w:tcPr>
                  <w:tcW w:w="558" w:type="dxa"/>
                  <w:tcBorders>
                    <w:tl2br w:val="nil"/>
                    <w:tr2bl w:val="nil"/>
                  </w:tcBorders>
                  <w:shd w:val="clear" w:color="auto" w:fill="auto"/>
                  <w:noWrap w:val="0"/>
                  <w:vAlign w:val="center"/>
                </w:tcPr>
                <w:p w14:paraId="6A3203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0.151</w:t>
                  </w:r>
                </w:p>
              </w:tc>
              <w:tc>
                <w:tcPr>
                  <w:tcW w:w="346" w:type="dxa"/>
                  <w:tcBorders>
                    <w:tl2br w:val="nil"/>
                    <w:tr2bl w:val="nil"/>
                  </w:tcBorders>
                  <w:shd w:val="clear" w:color="auto" w:fill="auto"/>
                  <w:noWrap w:val="0"/>
                  <w:vAlign w:val="center"/>
                </w:tcPr>
                <w:p w14:paraId="03C56EE7">
                  <w:pPr>
                    <w:pStyle w:val="8"/>
                    <w:tabs>
                      <w:tab w:val="left" w:pos="1021"/>
                    </w:tabs>
                    <w:ind w:firstLine="0" w:firstLine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eastAsia="宋体" w:cs="Times New Roman"/>
                      <w:color w:val="auto"/>
                      <w:sz w:val="21"/>
                      <w:szCs w:val="21"/>
                      <w:highlight w:val="none"/>
                      <w:u w:val="none"/>
                      <w:lang w:val="en-US" w:eastAsia="zh-CN"/>
                    </w:rPr>
                    <w:t>/</w:t>
                  </w:r>
                </w:p>
              </w:tc>
              <w:tc>
                <w:tcPr>
                  <w:tcW w:w="438" w:type="dxa"/>
                  <w:tcBorders>
                    <w:tl2br w:val="nil"/>
                    <w:tr2bl w:val="nil"/>
                  </w:tcBorders>
                  <w:shd w:val="clear" w:color="auto" w:fill="auto"/>
                  <w:noWrap w:val="0"/>
                  <w:vAlign w:val="center"/>
                </w:tcPr>
                <w:p w14:paraId="0DBB0854">
                  <w:pPr>
                    <w:pStyle w:val="8"/>
                    <w:tabs>
                      <w:tab w:val="left" w:pos="1021"/>
                    </w:tabs>
                    <w:ind w:firstLine="0" w:firstLine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eastAsia="宋体" w:cs="Times New Roman"/>
                      <w:color w:val="auto"/>
                      <w:sz w:val="21"/>
                      <w:szCs w:val="21"/>
                      <w:highlight w:val="none"/>
                      <w:u w:val="none"/>
                      <w:lang w:val="en-US" w:eastAsia="zh-CN"/>
                    </w:rPr>
                    <w:t>/</w:t>
                  </w:r>
                </w:p>
              </w:tc>
              <w:tc>
                <w:tcPr>
                  <w:tcW w:w="332" w:type="dxa"/>
                  <w:tcBorders>
                    <w:tl2br w:val="nil"/>
                    <w:tr2bl w:val="nil"/>
                  </w:tcBorders>
                  <w:shd w:val="clear" w:color="auto" w:fill="auto"/>
                  <w:noWrap w:val="0"/>
                  <w:vAlign w:val="center"/>
                </w:tcPr>
                <w:p w14:paraId="2C2319D5">
                  <w:pPr>
                    <w:pStyle w:val="8"/>
                    <w:tabs>
                      <w:tab w:val="left" w:pos="1021"/>
                    </w:tabs>
                    <w:ind w:firstLine="0" w:firstLineChars="0"/>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eastAsia="宋体" w:cs="Times New Roman"/>
                      <w:color w:val="auto"/>
                      <w:sz w:val="21"/>
                      <w:szCs w:val="21"/>
                      <w:highlight w:val="none"/>
                      <w:u w:val="none"/>
                      <w:lang w:val="en-US" w:eastAsia="zh-CN"/>
                    </w:rPr>
                    <w:t>/</w:t>
                  </w:r>
                </w:p>
              </w:tc>
              <w:tc>
                <w:tcPr>
                  <w:tcW w:w="820" w:type="dxa"/>
                  <w:tcBorders>
                    <w:tl2br w:val="nil"/>
                    <w:tr2bl w:val="nil"/>
                  </w:tcBorders>
                  <w:shd w:val="clear" w:color="auto" w:fill="auto"/>
                  <w:noWrap w:val="0"/>
                  <w:vAlign w:val="center"/>
                </w:tcPr>
                <w:p w14:paraId="1170AEE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auto"/>
                      <w:kern w:val="0"/>
                      <w:sz w:val="21"/>
                      <w:szCs w:val="21"/>
                      <w:u w:val="none"/>
                      <w:lang w:val="en-US" w:eastAsia="zh-CN" w:bidi="ar"/>
                    </w:rPr>
                    <w:t>2.43</w:t>
                  </w:r>
                </w:p>
              </w:tc>
              <w:tc>
                <w:tcPr>
                  <w:tcW w:w="628" w:type="dxa"/>
                  <w:tcBorders>
                    <w:tl2br w:val="nil"/>
                    <w:tr2bl w:val="nil"/>
                  </w:tcBorders>
                  <w:shd w:val="clear" w:color="auto" w:fill="auto"/>
                  <w:noWrap w:val="0"/>
                  <w:vAlign w:val="center"/>
                </w:tcPr>
                <w:p w14:paraId="4D3766E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0.151</w:t>
                  </w:r>
                </w:p>
              </w:tc>
              <w:tc>
                <w:tcPr>
                  <w:tcW w:w="1033" w:type="dxa"/>
                  <w:tcBorders>
                    <w:tl2br w:val="nil"/>
                    <w:tr2bl w:val="nil"/>
                  </w:tcBorders>
                  <w:shd w:val="clear" w:color="auto" w:fill="auto"/>
                  <w:noWrap w:val="0"/>
                  <w:vAlign w:val="center"/>
                </w:tcPr>
                <w:p w14:paraId="01AF35B1">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排气筒高度：15m；内径：0.05m</w:t>
                  </w:r>
                </w:p>
                <w:p w14:paraId="51016514">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p>
              </w:tc>
              <w:tc>
                <w:tcPr>
                  <w:tcW w:w="2177" w:type="dxa"/>
                  <w:tcBorders>
                    <w:tl2br w:val="nil"/>
                    <w:tr2bl w:val="nil"/>
                  </w:tcBorders>
                  <w:shd w:val="clear" w:color="auto" w:fill="auto"/>
                  <w:noWrap w:val="0"/>
                  <w:vAlign w:val="center"/>
                </w:tcPr>
                <w:p w14:paraId="37C021C7">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《大气污染物综合排放标准》（GB16297-1996）表2排放浓度限值</w:t>
                  </w:r>
                </w:p>
              </w:tc>
              <w:tc>
                <w:tcPr>
                  <w:tcW w:w="632" w:type="dxa"/>
                  <w:tcBorders>
                    <w:tl2br w:val="nil"/>
                    <w:tr2bl w:val="nil"/>
                  </w:tcBorders>
                  <w:shd w:val="clear" w:color="auto" w:fill="auto"/>
                  <w:noWrap w:val="0"/>
                  <w:vAlign w:val="center"/>
                </w:tcPr>
                <w:p w14:paraId="54A1B2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达标</w:t>
                  </w:r>
                </w:p>
              </w:tc>
            </w:tr>
          </w:tbl>
          <w:p w14:paraId="3E8EC456">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default"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1.2废气</w:t>
            </w:r>
          </w:p>
          <w:p w14:paraId="209E15C6">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eastAsia" w:ascii="Times New Roman" w:hAnsi="Times New Roman" w:cs="Times New Roman"/>
                <w:b w:val="0"/>
                <w:bCs w:val="0"/>
                <w:color w:val="auto"/>
                <w:sz w:val="24"/>
                <w:szCs w:val="24"/>
                <w:highlight w:val="none"/>
                <w:u w:val="none"/>
                <w:lang w:val="en-US" w:eastAsia="zh-CN"/>
              </w:rPr>
            </w:pPr>
            <w:r>
              <w:rPr>
                <w:rFonts w:hint="eastAsia" w:cs="Times New Roman"/>
                <w:b w:val="0"/>
                <w:bCs w:val="0"/>
                <w:color w:val="auto"/>
                <w:sz w:val="24"/>
                <w:szCs w:val="24"/>
                <w:highlight w:val="none"/>
                <w:u w:val="none"/>
                <w:lang w:val="en-US" w:eastAsia="zh-CN"/>
              </w:rPr>
              <w:t>（1）锅炉废气</w:t>
            </w:r>
          </w:p>
          <w:p w14:paraId="29B41CDE">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本次</w:t>
            </w:r>
            <w:r>
              <w:rPr>
                <w:rFonts w:hint="eastAsia"/>
                <w:color w:val="auto"/>
                <w:sz w:val="24"/>
                <w:highlight w:val="none"/>
                <w:u w:val="none"/>
                <w:lang w:val="en-US" w:eastAsia="zh-CN"/>
              </w:rPr>
              <w:t>技改</w:t>
            </w:r>
            <w:r>
              <w:rPr>
                <w:rFonts w:hint="eastAsia"/>
                <w:color w:val="auto"/>
                <w:sz w:val="24"/>
                <w:highlight w:val="none"/>
                <w:u w:val="none"/>
              </w:rPr>
              <w:t>项目设置1台</w:t>
            </w:r>
            <w:r>
              <w:rPr>
                <w:rFonts w:hint="eastAsia"/>
                <w:color w:val="auto"/>
                <w:sz w:val="24"/>
                <w:highlight w:val="none"/>
                <w:u w:val="none"/>
                <w:lang w:val="en-US" w:eastAsia="zh-CN"/>
              </w:rPr>
              <w:t>2.1t/h</w:t>
            </w:r>
            <w:r>
              <w:rPr>
                <w:rFonts w:hint="eastAsia"/>
                <w:color w:val="auto"/>
                <w:sz w:val="24"/>
                <w:highlight w:val="none"/>
                <w:u w:val="none"/>
              </w:rPr>
              <w:t>的生物质燃料蒸汽锅炉，锅炉年运行时间为858h</w:t>
            </w:r>
            <w:r>
              <w:rPr>
                <w:rFonts w:hint="eastAsia"/>
                <w:color w:val="auto"/>
                <w:sz w:val="24"/>
                <w:highlight w:val="none"/>
                <w:u w:val="none"/>
                <w:lang w:val="en-US" w:eastAsia="zh-CN"/>
              </w:rPr>
              <w:t>，成型生物质燃料用量为260t/a</w:t>
            </w:r>
            <w:r>
              <w:rPr>
                <w:rFonts w:hint="default" w:ascii="Times New Roman" w:hAnsi="Times New Roman" w:cs="Times New Roman"/>
                <w:b w:val="0"/>
                <w:bCs w:val="0"/>
                <w:color w:val="auto"/>
                <w:sz w:val="24"/>
                <w:szCs w:val="24"/>
                <w:highlight w:val="none"/>
                <w:u w:val="none"/>
                <w:lang w:val="en-US" w:eastAsia="zh-CN"/>
              </w:rPr>
              <w:t>。</w:t>
            </w:r>
          </w:p>
          <w:p w14:paraId="7E96B575">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根据《污染源源强核算技术指南 锅炉》（HJ 991-2018）</w:t>
            </w:r>
            <w:bookmarkStart w:id="8" w:name="_Hlk60061004"/>
            <w:r>
              <w:rPr>
                <w:rFonts w:hint="default" w:ascii="Times New Roman" w:hAnsi="Times New Roman" w:cs="Times New Roman"/>
                <w:b w:val="0"/>
                <w:bCs w:val="0"/>
                <w:color w:val="auto"/>
                <w:sz w:val="24"/>
                <w:szCs w:val="24"/>
                <w:highlight w:val="none"/>
                <w:u w:val="none"/>
                <w:lang w:val="en-US" w:eastAsia="zh-CN"/>
              </w:rPr>
              <w:t>，本项目锅炉污染源计算选用系数法，根据《第二次全国污染源普查工业污染源产排污系数手册》（试用版）4430工业锅炉（热力生产和供应行业）</w:t>
            </w:r>
            <w:bookmarkEnd w:id="8"/>
            <w:r>
              <w:rPr>
                <w:rFonts w:hint="default" w:ascii="Times New Roman" w:hAnsi="Times New Roman" w:cs="Times New Roman"/>
                <w:b w:val="0"/>
                <w:bCs w:val="0"/>
                <w:color w:val="auto"/>
                <w:sz w:val="24"/>
                <w:szCs w:val="24"/>
                <w:highlight w:val="none"/>
                <w:u w:val="none"/>
                <w:lang w:val="en-US" w:eastAsia="zh-CN"/>
              </w:rPr>
              <w:t>产排污系数表可知，</w:t>
            </w:r>
            <w:r>
              <w:rPr>
                <w:rFonts w:hint="eastAsia" w:ascii="Times New Roman" w:hAnsi="Times New Roman" w:cs="Times New Roman"/>
                <w:b w:val="0"/>
                <w:bCs w:val="0"/>
                <w:color w:val="auto"/>
                <w:sz w:val="24"/>
                <w:szCs w:val="24"/>
                <w:highlight w:val="none"/>
                <w:u w:val="none"/>
                <w:lang w:val="en-US" w:eastAsia="zh-CN"/>
              </w:rPr>
              <w:t>燃生物质</w:t>
            </w:r>
            <w:r>
              <w:rPr>
                <w:rFonts w:hint="default" w:ascii="Times New Roman" w:hAnsi="Times New Roman" w:cs="Times New Roman"/>
                <w:b w:val="0"/>
                <w:bCs w:val="0"/>
                <w:color w:val="auto"/>
                <w:sz w:val="24"/>
                <w:szCs w:val="24"/>
                <w:highlight w:val="none"/>
                <w:u w:val="none"/>
                <w:lang w:val="en-US" w:eastAsia="zh-CN"/>
              </w:rPr>
              <w:t>工业锅炉废气量、SO</w:t>
            </w:r>
            <w:r>
              <w:rPr>
                <w:rFonts w:hint="default" w:ascii="Times New Roman" w:hAnsi="Times New Roman" w:cs="Times New Roman"/>
                <w:b w:val="0"/>
                <w:bCs w:val="0"/>
                <w:color w:val="auto"/>
                <w:sz w:val="24"/>
                <w:szCs w:val="24"/>
                <w:highlight w:val="none"/>
                <w:u w:val="none"/>
                <w:vertAlign w:val="subscript"/>
                <w:lang w:val="en-US" w:eastAsia="zh-CN"/>
              </w:rPr>
              <w:t>2</w:t>
            </w:r>
            <w:r>
              <w:rPr>
                <w:rFonts w:hint="default" w:ascii="Times New Roman" w:hAnsi="Times New Roman" w:cs="Times New Roman"/>
                <w:b w:val="0"/>
                <w:bCs w:val="0"/>
                <w:color w:val="auto"/>
                <w:sz w:val="24"/>
                <w:szCs w:val="24"/>
                <w:highlight w:val="none"/>
                <w:u w:val="none"/>
                <w:lang w:val="en-US" w:eastAsia="zh-CN"/>
              </w:rPr>
              <w:t>、颗粒物、NOx的产污系数分别为</w:t>
            </w:r>
            <w:r>
              <w:rPr>
                <w:rFonts w:hint="eastAsia" w:cs="Times New Roman"/>
                <w:b w:val="0"/>
                <w:bCs w:val="0"/>
                <w:color w:val="auto"/>
                <w:sz w:val="24"/>
                <w:szCs w:val="24"/>
                <w:highlight w:val="none"/>
                <w:u w:val="none"/>
                <w:lang w:val="en-US" w:eastAsia="zh-CN"/>
              </w:rPr>
              <w:t>6240</w:t>
            </w:r>
            <w:r>
              <w:rPr>
                <w:rFonts w:hint="default" w:ascii="Times New Roman" w:hAnsi="Times New Roman" w:cs="Times New Roman"/>
                <w:b w:val="0"/>
                <w:bCs w:val="0"/>
                <w:color w:val="auto"/>
                <w:sz w:val="24"/>
                <w:szCs w:val="24"/>
                <w:highlight w:val="none"/>
                <w:u w:val="none"/>
                <w:lang w:val="en-US" w:eastAsia="zh-CN"/>
              </w:rPr>
              <w:t>千克/吨-原料、</w:t>
            </w:r>
            <w:r>
              <w:rPr>
                <w:rFonts w:hint="eastAsia" w:cs="Times New Roman"/>
                <w:b w:val="0"/>
                <w:bCs w:val="0"/>
                <w:color w:val="auto"/>
                <w:sz w:val="24"/>
                <w:szCs w:val="24"/>
                <w:highlight w:val="none"/>
                <w:u w:val="none"/>
                <w:lang w:val="en-US" w:eastAsia="zh-CN"/>
              </w:rPr>
              <w:t>17</w:t>
            </w:r>
            <w:r>
              <w:rPr>
                <w:rFonts w:hint="default" w:ascii="Times New Roman" w:hAnsi="Times New Roman" w:cs="Times New Roman"/>
                <w:b w:val="0"/>
                <w:bCs w:val="0"/>
                <w:color w:val="auto"/>
                <w:sz w:val="24"/>
                <w:szCs w:val="24"/>
                <w:highlight w:val="none"/>
                <w:u w:val="none"/>
                <w:lang w:val="en-US" w:eastAsia="zh-CN"/>
              </w:rPr>
              <w:t>S千克/吨-原料、1.02千克/吨-原料、</w:t>
            </w:r>
            <w:r>
              <w:rPr>
                <w:rFonts w:hint="eastAsia" w:cs="Times New Roman"/>
                <w:b w:val="0"/>
                <w:bCs w:val="0"/>
                <w:color w:val="auto"/>
                <w:sz w:val="24"/>
                <w:szCs w:val="24"/>
                <w:highlight w:val="none"/>
                <w:u w:val="none"/>
                <w:lang w:val="en-US" w:eastAsia="zh-CN"/>
              </w:rPr>
              <w:t>0.5</w:t>
            </w:r>
            <w:r>
              <w:rPr>
                <w:rFonts w:hint="default" w:ascii="Times New Roman" w:hAnsi="Times New Roman" w:cs="Times New Roman"/>
                <w:b w:val="0"/>
                <w:bCs w:val="0"/>
                <w:color w:val="auto"/>
                <w:sz w:val="24"/>
                <w:szCs w:val="24"/>
                <w:highlight w:val="none"/>
                <w:u w:val="none"/>
                <w:lang w:val="en-US" w:eastAsia="zh-CN"/>
              </w:rPr>
              <w:t>千克/吨-原料。因此，项目锅炉废气产生情况详见表</w:t>
            </w:r>
            <w:r>
              <w:rPr>
                <w:rFonts w:hint="eastAsia" w:ascii="Times New Roman" w:hAnsi="Times New Roman" w:cs="Times New Roman"/>
                <w:b w:val="0"/>
                <w:bCs w:val="0"/>
                <w:color w:val="auto"/>
                <w:sz w:val="24"/>
                <w:szCs w:val="24"/>
                <w:highlight w:val="none"/>
                <w:u w:val="none"/>
                <w:lang w:val="en-US" w:eastAsia="zh-CN"/>
              </w:rPr>
              <w:t>4-</w:t>
            </w:r>
            <w:r>
              <w:rPr>
                <w:rFonts w:hint="eastAsia" w:cs="Times New Roman"/>
                <w:b w:val="0"/>
                <w:bCs w:val="0"/>
                <w:color w:val="auto"/>
                <w:sz w:val="24"/>
                <w:szCs w:val="24"/>
                <w:highlight w:val="none"/>
                <w:u w:val="none"/>
                <w:lang w:val="en-US" w:eastAsia="zh-CN"/>
              </w:rPr>
              <w:t>2</w:t>
            </w:r>
            <w:r>
              <w:rPr>
                <w:rFonts w:hint="default" w:ascii="Times New Roman" w:hAnsi="Times New Roman" w:cs="Times New Roman"/>
                <w:b w:val="0"/>
                <w:bCs w:val="0"/>
                <w:color w:val="auto"/>
                <w:sz w:val="24"/>
                <w:szCs w:val="24"/>
                <w:highlight w:val="none"/>
                <w:u w:val="none"/>
                <w:lang w:val="en-US" w:eastAsia="zh-CN"/>
              </w:rPr>
              <w:t>。</w:t>
            </w:r>
          </w:p>
          <w:p w14:paraId="2FB79A8E">
            <w:pPr>
              <w:snapToGrid w:val="0"/>
              <w:jc w:val="center"/>
              <w:rPr>
                <w:rFonts w:hint="eastAsia"/>
                <w:b/>
                <w:bCs/>
                <w:snapToGrid w:val="0"/>
                <w:color w:val="auto"/>
                <w:kern w:val="0"/>
                <w:highlight w:val="none"/>
                <w:u w:val="none"/>
              </w:rPr>
            </w:pPr>
          </w:p>
          <w:p w14:paraId="30E870DF">
            <w:pPr>
              <w:snapToGrid w:val="0"/>
              <w:jc w:val="center"/>
              <w:rPr>
                <w:rFonts w:hint="eastAsia"/>
                <w:b/>
                <w:bCs/>
                <w:snapToGrid w:val="0"/>
                <w:color w:val="auto"/>
                <w:kern w:val="0"/>
                <w:highlight w:val="none"/>
                <w:u w:val="none"/>
              </w:rPr>
            </w:pPr>
            <w:r>
              <w:rPr>
                <w:rFonts w:hint="eastAsia"/>
                <w:b/>
                <w:bCs/>
                <w:snapToGrid w:val="0"/>
                <w:color w:val="auto"/>
                <w:kern w:val="0"/>
                <w:highlight w:val="none"/>
                <w:u w:val="none"/>
              </w:rPr>
              <w:t>表4-</w:t>
            </w:r>
            <w:r>
              <w:rPr>
                <w:rFonts w:hint="eastAsia"/>
                <w:b/>
                <w:bCs/>
                <w:snapToGrid w:val="0"/>
                <w:color w:val="auto"/>
                <w:kern w:val="0"/>
                <w:highlight w:val="none"/>
                <w:u w:val="none"/>
                <w:lang w:val="en-US" w:eastAsia="zh-CN"/>
              </w:rPr>
              <w:t>2</w:t>
            </w:r>
            <w:r>
              <w:rPr>
                <w:rFonts w:hint="eastAsia"/>
                <w:b/>
                <w:bCs/>
                <w:snapToGrid w:val="0"/>
                <w:color w:val="auto"/>
                <w:kern w:val="0"/>
                <w:highlight w:val="none"/>
                <w:u w:val="none"/>
              </w:rPr>
              <w:t xml:space="preserve"> 项目锅炉污染物产生量一览表</w:t>
            </w:r>
          </w:p>
          <w:tbl>
            <w:tblPr>
              <w:tblStyle w:val="42"/>
              <w:tblW w:w="4997"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66"/>
              <w:gridCol w:w="1478"/>
              <w:gridCol w:w="3013"/>
              <w:gridCol w:w="1389"/>
              <w:gridCol w:w="1668"/>
            </w:tblGrid>
            <w:tr w14:paraId="637C0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619" w:type="pct"/>
                  <w:tcBorders>
                    <w:tl2br w:val="nil"/>
                    <w:tr2bl w:val="nil"/>
                  </w:tcBorders>
                  <w:noWrap w:val="0"/>
                  <w:vAlign w:val="center"/>
                </w:tcPr>
                <w:p w14:paraId="53B7CC3F">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序号</w:t>
                  </w:r>
                </w:p>
              </w:tc>
              <w:tc>
                <w:tcPr>
                  <w:tcW w:w="858" w:type="pct"/>
                  <w:tcBorders>
                    <w:tl2br w:val="nil"/>
                    <w:tr2bl w:val="nil"/>
                  </w:tcBorders>
                  <w:noWrap w:val="0"/>
                  <w:vAlign w:val="center"/>
                </w:tcPr>
                <w:p w14:paraId="1497326B">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污染物指标</w:t>
                  </w:r>
                </w:p>
              </w:tc>
              <w:tc>
                <w:tcPr>
                  <w:tcW w:w="1749" w:type="pct"/>
                  <w:tcBorders>
                    <w:tl2br w:val="nil"/>
                    <w:tr2bl w:val="nil"/>
                  </w:tcBorders>
                  <w:noWrap w:val="0"/>
                  <w:vAlign w:val="center"/>
                </w:tcPr>
                <w:p w14:paraId="0E2A846E">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产污系数</w:t>
                  </w:r>
                </w:p>
              </w:tc>
              <w:tc>
                <w:tcPr>
                  <w:tcW w:w="806" w:type="pct"/>
                  <w:tcBorders>
                    <w:tl2br w:val="nil"/>
                    <w:tr2bl w:val="nil"/>
                  </w:tcBorders>
                  <w:noWrap w:val="0"/>
                  <w:vAlign w:val="center"/>
                </w:tcPr>
                <w:p w14:paraId="42EA97D0">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生物质颗粒消耗量（t/a）</w:t>
                  </w:r>
                </w:p>
              </w:tc>
              <w:tc>
                <w:tcPr>
                  <w:tcW w:w="965" w:type="pct"/>
                  <w:tcBorders>
                    <w:tl2br w:val="nil"/>
                    <w:tr2bl w:val="nil"/>
                  </w:tcBorders>
                  <w:noWrap w:val="0"/>
                  <w:vAlign w:val="center"/>
                </w:tcPr>
                <w:p w14:paraId="5B6791F1">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污染物产生量（t/a）</w:t>
                  </w:r>
                </w:p>
              </w:tc>
            </w:tr>
            <w:tr w14:paraId="7C804C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19" w:type="pct"/>
                  <w:tcBorders>
                    <w:tl2br w:val="nil"/>
                    <w:tr2bl w:val="nil"/>
                  </w:tcBorders>
                  <w:noWrap w:val="0"/>
                  <w:vAlign w:val="center"/>
                </w:tcPr>
                <w:p w14:paraId="1CA3A57A">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1</w:t>
                  </w:r>
                </w:p>
              </w:tc>
              <w:tc>
                <w:tcPr>
                  <w:tcW w:w="858" w:type="pct"/>
                  <w:tcBorders>
                    <w:tl2br w:val="nil"/>
                    <w:tr2bl w:val="nil"/>
                  </w:tcBorders>
                  <w:noWrap w:val="0"/>
                  <w:vAlign w:val="center"/>
                </w:tcPr>
                <w:p w14:paraId="0746F5F2">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工业废气量</w:t>
                  </w:r>
                </w:p>
              </w:tc>
              <w:tc>
                <w:tcPr>
                  <w:tcW w:w="1749" w:type="pct"/>
                  <w:tcBorders>
                    <w:tl2br w:val="nil"/>
                    <w:tr2bl w:val="nil"/>
                  </w:tcBorders>
                  <w:noWrap w:val="0"/>
                  <w:vAlign w:val="center"/>
                </w:tcPr>
                <w:p w14:paraId="0A34B295">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6240标立方米/</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806" w:type="pct"/>
                  <w:vMerge w:val="restart"/>
                  <w:tcBorders>
                    <w:tl2br w:val="nil"/>
                    <w:tr2bl w:val="nil"/>
                  </w:tcBorders>
                  <w:noWrap w:val="0"/>
                  <w:vAlign w:val="center"/>
                </w:tcPr>
                <w:p w14:paraId="5AE03D07">
                  <w:pPr>
                    <w:pStyle w:val="8"/>
                    <w:tabs>
                      <w:tab w:val="left" w:pos="1021"/>
                    </w:tabs>
                    <w:ind w:firstLine="0"/>
                    <w:jc w:val="center"/>
                    <w:rPr>
                      <w:rFonts w:hint="eastAsia" w:ascii="Times New Roman" w:hAnsi="Times New Roman" w:eastAsia="宋体" w:cs="Times New Roman"/>
                      <w:color w:val="auto"/>
                      <w:szCs w:val="21"/>
                      <w:highlight w:val="none"/>
                      <w:u w:val="none"/>
                      <w:lang w:eastAsia="zh-CN"/>
                    </w:rPr>
                  </w:pPr>
                  <w:r>
                    <w:rPr>
                      <w:rFonts w:hint="eastAsia" w:eastAsia="宋体" w:cs="Times New Roman"/>
                      <w:color w:val="auto"/>
                      <w:szCs w:val="21"/>
                      <w:highlight w:val="none"/>
                      <w:u w:val="none"/>
                      <w:lang w:eastAsia="zh-CN"/>
                    </w:rPr>
                    <w:t>260</w:t>
                  </w:r>
                </w:p>
              </w:tc>
              <w:tc>
                <w:tcPr>
                  <w:tcW w:w="965" w:type="pct"/>
                  <w:tcBorders>
                    <w:tl2br w:val="nil"/>
                    <w:tr2bl w:val="nil"/>
                  </w:tcBorders>
                  <w:shd w:val="clear" w:color="auto" w:fill="auto"/>
                  <w:noWrap w:val="0"/>
                  <w:vAlign w:val="center"/>
                </w:tcPr>
                <w:p w14:paraId="1A9906BD">
                  <w:pPr>
                    <w:keepNext w:val="0"/>
                    <w:keepLines w:val="0"/>
                    <w:widowControl/>
                    <w:suppressLineNumbers w:val="0"/>
                    <w:jc w:val="center"/>
                    <w:textAlignment w:val="center"/>
                    <w:rPr>
                      <w:rFonts w:hint="default" w:ascii="Times New Roman" w:hAnsi="Times New Roman" w:eastAsia="宋体" w:cs="Times New Roman"/>
                      <w:i w:val="0"/>
                      <w:iCs w:val="0"/>
                      <w:color w:val="auto"/>
                      <w:kern w:val="2"/>
                      <w:sz w:val="21"/>
                      <w:szCs w:val="21"/>
                      <w:u w:val="none"/>
                      <w:lang w:val="en-US" w:eastAsia="zh-CN" w:bidi="ar-SA"/>
                    </w:rPr>
                  </w:pPr>
                  <w:r>
                    <w:rPr>
                      <w:rFonts w:hint="eastAsia" w:cs="Times New Roman"/>
                      <w:i w:val="0"/>
                      <w:iCs w:val="0"/>
                      <w:color w:val="auto"/>
                      <w:kern w:val="0"/>
                      <w:sz w:val="21"/>
                      <w:szCs w:val="21"/>
                      <w:u w:val="none"/>
                      <w:lang w:val="en-US" w:eastAsia="zh-CN" w:bidi="ar"/>
                    </w:rPr>
                    <w:t>1622400</w:t>
                  </w:r>
                  <w:r>
                    <w:rPr>
                      <w:rFonts w:hint="default" w:ascii="Times New Roman" w:hAnsi="Times New Roman" w:eastAsia="宋体" w:cs="Times New Roman"/>
                      <w:i w:val="0"/>
                      <w:iCs w:val="0"/>
                      <w:color w:val="auto"/>
                      <w:kern w:val="0"/>
                      <w:sz w:val="21"/>
                      <w:szCs w:val="21"/>
                      <w:u w:val="none"/>
                      <w:lang w:val="en-US" w:eastAsia="zh-CN" w:bidi="ar"/>
                    </w:rPr>
                    <w:t>m</w:t>
                  </w:r>
                  <w:r>
                    <w:rPr>
                      <w:rFonts w:hint="default" w:ascii="Times New Roman" w:hAnsi="Times New Roman" w:eastAsia="宋体" w:cs="Times New Roman"/>
                      <w:i w:val="0"/>
                      <w:iCs w:val="0"/>
                      <w:color w:val="auto"/>
                      <w:kern w:val="0"/>
                      <w:sz w:val="21"/>
                      <w:szCs w:val="21"/>
                      <w:u w:val="none"/>
                      <w:vertAlign w:val="superscript"/>
                      <w:lang w:val="en-US" w:eastAsia="zh-CN" w:bidi="ar"/>
                    </w:rPr>
                    <w:t>3</w:t>
                  </w:r>
                  <w:r>
                    <w:rPr>
                      <w:rFonts w:hint="default" w:ascii="Times New Roman" w:hAnsi="Times New Roman" w:eastAsia="宋体" w:cs="Times New Roman"/>
                      <w:i w:val="0"/>
                      <w:iCs w:val="0"/>
                      <w:color w:val="auto"/>
                      <w:kern w:val="0"/>
                      <w:sz w:val="21"/>
                      <w:szCs w:val="21"/>
                      <w:u w:val="none"/>
                      <w:lang w:val="en-US" w:eastAsia="zh-CN" w:bidi="ar"/>
                    </w:rPr>
                    <w:t>/a</w:t>
                  </w:r>
                </w:p>
              </w:tc>
            </w:tr>
            <w:tr w14:paraId="2CCC3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9" w:type="pct"/>
                  <w:tcBorders>
                    <w:tl2br w:val="nil"/>
                    <w:tr2bl w:val="nil"/>
                  </w:tcBorders>
                  <w:noWrap w:val="0"/>
                  <w:vAlign w:val="center"/>
                </w:tcPr>
                <w:p w14:paraId="080EC7CE">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2</w:t>
                  </w:r>
                </w:p>
              </w:tc>
              <w:tc>
                <w:tcPr>
                  <w:tcW w:w="858" w:type="pct"/>
                  <w:tcBorders>
                    <w:tl2br w:val="nil"/>
                    <w:tr2bl w:val="nil"/>
                  </w:tcBorders>
                  <w:noWrap w:val="0"/>
                  <w:vAlign w:val="center"/>
                </w:tcPr>
                <w:p w14:paraId="06604A7C">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二氧化硫</w:t>
                  </w:r>
                </w:p>
              </w:tc>
              <w:tc>
                <w:tcPr>
                  <w:tcW w:w="1749" w:type="pct"/>
                  <w:tcBorders>
                    <w:tl2br w:val="nil"/>
                    <w:tr2bl w:val="nil"/>
                  </w:tcBorders>
                  <w:noWrap w:val="0"/>
                  <w:vAlign w:val="center"/>
                </w:tcPr>
                <w:p w14:paraId="0F364060">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17S千克/</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806" w:type="pct"/>
                  <w:vMerge w:val="continue"/>
                  <w:tcBorders>
                    <w:tl2br w:val="nil"/>
                    <w:tr2bl w:val="nil"/>
                  </w:tcBorders>
                  <w:noWrap w:val="0"/>
                  <w:vAlign w:val="center"/>
                </w:tcPr>
                <w:p w14:paraId="1ED5B1C9">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965" w:type="pct"/>
                  <w:tcBorders>
                    <w:tl2br w:val="nil"/>
                    <w:tr2bl w:val="nil"/>
                  </w:tcBorders>
                  <w:noWrap w:val="0"/>
                  <w:vAlign w:val="center"/>
                </w:tcPr>
                <w:p w14:paraId="5F645A6C">
                  <w:pPr>
                    <w:pStyle w:val="8"/>
                    <w:tabs>
                      <w:tab w:val="left" w:pos="1021"/>
                    </w:tabs>
                    <w:ind w:firstLine="0"/>
                    <w:jc w:val="center"/>
                    <w:rPr>
                      <w:rFonts w:hint="default" w:ascii="Times New Roman" w:hAnsi="Times New Roman" w:eastAsia="宋体" w:cs="Times New Roman"/>
                      <w:color w:val="auto"/>
                      <w:szCs w:val="21"/>
                      <w:highlight w:val="none"/>
                      <w:u w:val="none"/>
                      <w:lang w:val="en-US"/>
                    </w:rPr>
                  </w:pPr>
                  <w:r>
                    <w:rPr>
                      <w:rFonts w:hint="default" w:ascii="Times New Roman" w:hAnsi="Times New Roman" w:eastAsia="宋体" w:cs="Times New Roman"/>
                      <w:color w:val="auto"/>
                      <w:szCs w:val="21"/>
                      <w:highlight w:val="none"/>
                      <w:u w:val="none"/>
                      <w:lang w:val="en-US" w:eastAsia="zh-CN"/>
                    </w:rPr>
                    <w:t xml:space="preserve">0.088 </w:t>
                  </w:r>
                </w:p>
              </w:tc>
            </w:tr>
            <w:tr w14:paraId="334D38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19" w:type="pct"/>
                  <w:tcBorders>
                    <w:tl2br w:val="nil"/>
                    <w:tr2bl w:val="nil"/>
                  </w:tcBorders>
                  <w:noWrap w:val="0"/>
                  <w:vAlign w:val="center"/>
                </w:tcPr>
                <w:p w14:paraId="705B0664">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3</w:t>
                  </w:r>
                </w:p>
              </w:tc>
              <w:tc>
                <w:tcPr>
                  <w:tcW w:w="858" w:type="pct"/>
                  <w:tcBorders>
                    <w:tl2br w:val="nil"/>
                    <w:tr2bl w:val="nil"/>
                  </w:tcBorders>
                  <w:noWrap w:val="0"/>
                  <w:vAlign w:val="center"/>
                </w:tcPr>
                <w:p w14:paraId="7FCA7746">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氮氧化物</w:t>
                  </w:r>
                </w:p>
              </w:tc>
              <w:tc>
                <w:tcPr>
                  <w:tcW w:w="1749" w:type="pct"/>
                  <w:tcBorders>
                    <w:tl2br w:val="nil"/>
                    <w:tr2bl w:val="nil"/>
                  </w:tcBorders>
                  <w:noWrap w:val="0"/>
                  <w:vAlign w:val="center"/>
                </w:tcPr>
                <w:p w14:paraId="768E64B4">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1.02千克/</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806" w:type="pct"/>
                  <w:vMerge w:val="continue"/>
                  <w:tcBorders>
                    <w:tl2br w:val="nil"/>
                    <w:tr2bl w:val="nil"/>
                  </w:tcBorders>
                  <w:noWrap w:val="0"/>
                  <w:vAlign w:val="center"/>
                </w:tcPr>
                <w:p w14:paraId="2088B7EA">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965" w:type="pct"/>
                  <w:tcBorders>
                    <w:tl2br w:val="nil"/>
                    <w:tr2bl w:val="nil"/>
                  </w:tcBorders>
                  <w:noWrap w:val="0"/>
                  <w:vAlign w:val="center"/>
                </w:tcPr>
                <w:p w14:paraId="01148075">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lang w:val="en-US" w:eastAsia="zh-CN"/>
                    </w:rPr>
                    <w:t xml:space="preserve">0.265 </w:t>
                  </w:r>
                </w:p>
              </w:tc>
            </w:tr>
            <w:tr w14:paraId="7896BE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619" w:type="pct"/>
                  <w:tcBorders>
                    <w:tl2br w:val="nil"/>
                    <w:tr2bl w:val="nil"/>
                  </w:tcBorders>
                  <w:noWrap w:val="0"/>
                  <w:vAlign w:val="center"/>
                </w:tcPr>
                <w:p w14:paraId="349C50EE">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4</w:t>
                  </w:r>
                </w:p>
              </w:tc>
              <w:tc>
                <w:tcPr>
                  <w:tcW w:w="858" w:type="pct"/>
                  <w:tcBorders>
                    <w:tl2br w:val="nil"/>
                    <w:tr2bl w:val="nil"/>
                  </w:tcBorders>
                  <w:noWrap w:val="0"/>
                  <w:vAlign w:val="center"/>
                </w:tcPr>
                <w:p w14:paraId="44FB23EC">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颗粒物</w:t>
                  </w:r>
                </w:p>
              </w:tc>
              <w:tc>
                <w:tcPr>
                  <w:tcW w:w="1749" w:type="pct"/>
                  <w:tcBorders>
                    <w:tl2br w:val="nil"/>
                    <w:tr2bl w:val="nil"/>
                  </w:tcBorders>
                  <w:noWrap w:val="0"/>
                  <w:vAlign w:val="center"/>
                </w:tcPr>
                <w:p w14:paraId="1BD0B6D3">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0.5千克/</w:t>
                  </w:r>
                  <w:r>
                    <w:rPr>
                      <w:rFonts w:hint="eastAsia" w:eastAsia="宋体" w:cs="Times New Roman"/>
                      <w:color w:val="auto"/>
                      <w:szCs w:val="21"/>
                      <w:highlight w:val="none"/>
                      <w:u w:val="none"/>
                      <w:lang w:val="en-US" w:eastAsia="zh-CN"/>
                    </w:rPr>
                    <w:t>吨</w:t>
                  </w:r>
                  <w:r>
                    <w:rPr>
                      <w:rFonts w:hint="default" w:ascii="Times New Roman" w:hAnsi="Times New Roman" w:eastAsia="宋体" w:cs="Times New Roman"/>
                      <w:color w:val="auto"/>
                      <w:szCs w:val="21"/>
                      <w:highlight w:val="none"/>
                      <w:u w:val="none"/>
                    </w:rPr>
                    <w:t>-原料</w:t>
                  </w:r>
                </w:p>
              </w:tc>
              <w:tc>
                <w:tcPr>
                  <w:tcW w:w="806" w:type="pct"/>
                  <w:vMerge w:val="continue"/>
                  <w:tcBorders>
                    <w:tl2br w:val="nil"/>
                    <w:tr2bl w:val="nil"/>
                  </w:tcBorders>
                  <w:noWrap w:val="0"/>
                  <w:vAlign w:val="center"/>
                </w:tcPr>
                <w:p w14:paraId="50E20ABC">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965" w:type="pct"/>
                  <w:tcBorders>
                    <w:tl2br w:val="nil"/>
                    <w:tr2bl w:val="nil"/>
                  </w:tcBorders>
                  <w:noWrap w:val="0"/>
                  <w:vAlign w:val="center"/>
                </w:tcPr>
                <w:p w14:paraId="021116BA">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lang w:val="en-US" w:eastAsia="zh-CN"/>
                    </w:rPr>
                    <w:t xml:space="preserve">0.013 </w:t>
                  </w:r>
                </w:p>
              </w:tc>
            </w:tr>
            <w:tr w14:paraId="25F0DA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000" w:type="pct"/>
                  <w:gridSpan w:val="5"/>
                  <w:tcBorders>
                    <w:tl2br w:val="nil"/>
                    <w:tr2bl w:val="nil"/>
                  </w:tcBorders>
                  <w:noWrap w:val="0"/>
                  <w:vAlign w:val="center"/>
                </w:tcPr>
                <w:p w14:paraId="31192ED2">
                  <w:pPr>
                    <w:pStyle w:val="8"/>
                    <w:tabs>
                      <w:tab w:val="left" w:pos="1021"/>
                    </w:tabs>
                    <w:ind w:firstLine="0"/>
                    <w:jc w:val="left"/>
                    <w:rPr>
                      <w:rFonts w:hint="default" w:ascii="Times New Roman" w:hAnsi="Times New Roman" w:eastAsia="宋体" w:cs="Times New Roman"/>
                      <w:color w:val="auto"/>
                      <w:szCs w:val="21"/>
                      <w:highlight w:val="none"/>
                      <w:u w:val="none"/>
                    </w:rPr>
                  </w:pPr>
                  <w:r>
                    <w:rPr>
                      <w:rFonts w:hint="eastAsia"/>
                      <w:color w:val="auto"/>
                      <w:highlight w:val="none"/>
                      <w:lang w:val="en-US" w:eastAsia="zh-CN"/>
                    </w:rPr>
                    <w:t>注：</w:t>
                  </w:r>
                  <w:r>
                    <w:rPr>
                      <w:rFonts w:hint="eastAsia" w:eastAsia="宋体" w:cs="Times New Roman"/>
                      <w:color w:val="auto"/>
                      <w:szCs w:val="21"/>
                      <w:highlight w:val="none"/>
                      <w:u w:val="none"/>
                      <w:lang w:val="en-US" w:eastAsia="zh-CN"/>
                    </w:rPr>
                    <w:t>本</w:t>
                  </w:r>
                  <w:r>
                    <w:rPr>
                      <w:rFonts w:hint="default" w:ascii="Times New Roman" w:hAnsi="Times New Roman" w:eastAsia="宋体" w:cs="Times New Roman"/>
                      <w:color w:val="auto"/>
                      <w:szCs w:val="21"/>
                      <w:highlight w:val="none"/>
                      <w:u w:val="none"/>
                    </w:rPr>
                    <w:t>项目使用的生物质燃料含硫量为0.02%。</w:t>
                  </w:r>
                </w:p>
              </w:tc>
            </w:tr>
          </w:tbl>
          <w:p w14:paraId="2DCB8938">
            <w:pPr>
              <w:keepNext w:val="0"/>
              <w:keepLines w:val="0"/>
              <w:pageBreakBefore w:val="0"/>
              <w:widowControl/>
              <w:kinsoku/>
              <w:wordWrap/>
              <w:overflowPunct/>
              <w:topLinePunct w:val="0"/>
              <w:autoSpaceDE/>
              <w:autoSpaceDN/>
              <w:bidi w:val="0"/>
              <w:spacing w:line="360" w:lineRule="auto"/>
              <w:ind w:left="0" w:leftChars="0" w:firstLine="480" w:firstLineChars="200"/>
              <w:jc w:val="both"/>
              <w:textAlignment w:val="auto"/>
              <w:rPr>
                <w:rFonts w:hint="default" w:ascii="Times New Roman" w:hAnsi="Times New Roman" w:cs="Times New Roman"/>
                <w:b w:val="0"/>
                <w:bCs w:val="0"/>
                <w:color w:val="auto"/>
                <w:sz w:val="24"/>
                <w:szCs w:val="24"/>
                <w:highlight w:val="none"/>
                <w:u w:val="none"/>
                <w:lang w:val="en-US" w:eastAsia="zh-CN"/>
              </w:rPr>
            </w:pPr>
            <w:r>
              <w:rPr>
                <w:rFonts w:hint="default" w:ascii="Times New Roman" w:hAnsi="Times New Roman" w:cs="Times New Roman"/>
                <w:b w:val="0"/>
                <w:bCs w:val="0"/>
                <w:color w:val="auto"/>
                <w:sz w:val="24"/>
                <w:szCs w:val="24"/>
                <w:highlight w:val="none"/>
                <w:u w:val="none"/>
                <w:lang w:val="en-US" w:eastAsia="zh-CN"/>
              </w:rPr>
              <w:t>本次</w:t>
            </w:r>
            <w:r>
              <w:rPr>
                <w:rFonts w:hint="eastAsia" w:cs="Times New Roman"/>
                <w:b w:val="0"/>
                <w:bCs w:val="0"/>
                <w:color w:val="auto"/>
                <w:sz w:val="24"/>
                <w:szCs w:val="24"/>
                <w:highlight w:val="none"/>
                <w:u w:val="none"/>
                <w:lang w:val="en-US" w:eastAsia="zh-CN"/>
              </w:rPr>
              <w:t>技改</w:t>
            </w:r>
            <w:r>
              <w:rPr>
                <w:rFonts w:hint="default" w:ascii="Times New Roman" w:hAnsi="Times New Roman" w:cs="Times New Roman"/>
                <w:b w:val="0"/>
                <w:bCs w:val="0"/>
                <w:color w:val="auto"/>
                <w:sz w:val="24"/>
                <w:szCs w:val="24"/>
                <w:highlight w:val="none"/>
                <w:u w:val="none"/>
                <w:lang w:val="en-US" w:eastAsia="zh-CN"/>
              </w:rPr>
              <w:t>项目锅炉废气通过</w:t>
            </w:r>
            <w:r>
              <w:rPr>
                <w:rFonts w:hint="eastAsia" w:cs="Times New Roman"/>
                <w:b w:val="0"/>
                <w:bCs w:val="0"/>
                <w:color w:val="auto"/>
                <w:sz w:val="24"/>
                <w:szCs w:val="24"/>
                <w:highlight w:val="none"/>
                <w:u w:val="none"/>
                <w:lang w:val="en-US" w:eastAsia="zh-CN"/>
              </w:rPr>
              <w:t>两级水膜除尘</w:t>
            </w:r>
            <w:r>
              <w:rPr>
                <w:rFonts w:hint="default" w:ascii="Times New Roman" w:hAnsi="Times New Roman" w:cs="Times New Roman"/>
                <w:b w:val="0"/>
                <w:bCs w:val="0"/>
                <w:color w:val="auto"/>
                <w:sz w:val="24"/>
                <w:szCs w:val="24"/>
                <w:highlight w:val="none"/>
                <w:u w:val="none"/>
                <w:lang w:val="en-US" w:eastAsia="zh-CN"/>
              </w:rPr>
              <w:t>器处理后经</w:t>
            </w:r>
            <w:r>
              <w:rPr>
                <w:rFonts w:hint="eastAsia" w:cs="Times New Roman"/>
                <w:b w:val="0"/>
                <w:bCs w:val="0"/>
                <w:color w:val="auto"/>
                <w:sz w:val="24"/>
                <w:szCs w:val="24"/>
                <w:highlight w:val="none"/>
                <w:u w:val="none"/>
                <w:lang w:val="en-US" w:eastAsia="zh-CN"/>
              </w:rPr>
              <w:t>35m高</w:t>
            </w:r>
            <w:r>
              <w:rPr>
                <w:rFonts w:hint="default" w:ascii="Times New Roman" w:hAnsi="Times New Roman" w:cs="Times New Roman"/>
                <w:b w:val="0"/>
                <w:bCs w:val="0"/>
                <w:color w:val="auto"/>
                <w:sz w:val="24"/>
                <w:szCs w:val="24"/>
                <w:highlight w:val="none"/>
                <w:u w:val="none"/>
                <w:lang w:val="en-US" w:eastAsia="zh-CN"/>
              </w:rPr>
              <w:t>排气筒排放，本项目锅炉废气污染物产排情况见下表4-</w:t>
            </w:r>
            <w:r>
              <w:rPr>
                <w:rFonts w:hint="eastAsia" w:cs="Times New Roman"/>
                <w:b w:val="0"/>
                <w:bCs w:val="0"/>
                <w:color w:val="auto"/>
                <w:sz w:val="24"/>
                <w:szCs w:val="24"/>
                <w:highlight w:val="none"/>
                <w:u w:val="none"/>
                <w:lang w:val="en-US" w:eastAsia="zh-CN"/>
              </w:rPr>
              <w:t>3</w:t>
            </w:r>
            <w:r>
              <w:rPr>
                <w:rFonts w:hint="default" w:ascii="Times New Roman" w:hAnsi="Times New Roman" w:cs="Times New Roman"/>
                <w:b w:val="0"/>
                <w:bCs w:val="0"/>
                <w:color w:val="auto"/>
                <w:sz w:val="24"/>
                <w:szCs w:val="24"/>
                <w:highlight w:val="none"/>
                <w:u w:val="none"/>
                <w:lang w:val="en-US" w:eastAsia="zh-CN"/>
              </w:rPr>
              <w:t>所列。</w:t>
            </w:r>
          </w:p>
          <w:p w14:paraId="5EFEFB03">
            <w:pPr>
              <w:snapToGrid w:val="0"/>
              <w:jc w:val="center"/>
              <w:rPr>
                <w:b/>
                <w:bCs/>
                <w:snapToGrid w:val="0"/>
                <w:color w:val="auto"/>
                <w:kern w:val="0"/>
                <w:highlight w:val="none"/>
                <w:u w:val="none"/>
              </w:rPr>
            </w:pPr>
            <w:r>
              <w:rPr>
                <w:b/>
                <w:bCs/>
                <w:snapToGrid w:val="0"/>
                <w:color w:val="auto"/>
                <w:kern w:val="0"/>
                <w:highlight w:val="none"/>
                <w:u w:val="none"/>
              </w:rPr>
              <w:t>表</w:t>
            </w:r>
            <w:r>
              <w:rPr>
                <w:rFonts w:hint="eastAsia"/>
                <w:b/>
                <w:bCs/>
                <w:snapToGrid w:val="0"/>
                <w:color w:val="auto"/>
                <w:kern w:val="0"/>
                <w:highlight w:val="none"/>
                <w:u w:val="none"/>
              </w:rPr>
              <w:t>4-</w:t>
            </w:r>
            <w:r>
              <w:rPr>
                <w:rFonts w:hint="eastAsia"/>
                <w:b/>
                <w:bCs/>
                <w:snapToGrid w:val="0"/>
                <w:color w:val="auto"/>
                <w:kern w:val="0"/>
                <w:highlight w:val="none"/>
                <w:u w:val="none"/>
                <w:lang w:val="en-US" w:eastAsia="zh-CN"/>
              </w:rPr>
              <w:t xml:space="preserve">3 </w:t>
            </w:r>
            <w:r>
              <w:rPr>
                <w:b/>
                <w:bCs/>
                <w:snapToGrid w:val="0"/>
                <w:color w:val="auto"/>
                <w:kern w:val="0"/>
                <w:highlight w:val="none"/>
                <w:u w:val="none"/>
              </w:rPr>
              <w:t>锅炉废气污染物产排情况一览表</w:t>
            </w:r>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1" w:type="dxa"/>
                <w:bottom w:w="0" w:type="dxa"/>
                <w:right w:w="11" w:type="dxa"/>
              </w:tblCellMar>
            </w:tblPr>
            <w:tblGrid>
              <w:gridCol w:w="645"/>
              <w:gridCol w:w="791"/>
              <w:gridCol w:w="1669"/>
              <w:gridCol w:w="1020"/>
              <w:gridCol w:w="995"/>
              <w:gridCol w:w="805"/>
              <w:gridCol w:w="1644"/>
              <w:gridCol w:w="1050"/>
            </w:tblGrid>
            <w:tr w14:paraId="7CD7E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674" w:type="dxa"/>
                  <w:vMerge w:val="restart"/>
                  <w:tcBorders>
                    <w:tl2br w:val="nil"/>
                    <w:tr2bl w:val="nil"/>
                  </w:tcBorders>
                  <w:noWrap w:val="0"/>
                  <w:vAlign w:val="center"/>
                </w:tcPr>
                <w:p w14:paraId="6FCF1D03">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污染源</w:t>
                  </w:r>
                </w:p>
              </w:tc>
              <w:tc>
                <w:tcPr>
                  <w:tcW w:w="816" w:type="dxa"/>
                  <w:vMerge w:val="restart"/>
                  <w:tcBorders>
                    <w:tl2br w:val="nil"/>
                    <w:tr2bl w:val="nil"/>
                  </w:tcBorders>
                  <w:noWrap w:val="0"/>
                  <w:vAlign w:val="center"/>
                </w:tcPr>
                <w:p w14:paraId="3A0E7A96">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污染物</w:t>
                  </w:r>
                </w:p>
              </w:tc>
              <w:tc>
                <w:tcPr>
                  <w:tcW w:w="2798" w:type="dxa"/>
                  <w:gridSpan w:val="2"/>
                  <w:tcBorders>
                    <w:tl2br w:val="nil"/>
                    <w:tr2bl w:val="nil"/>
                  </w:tcBorders>
                  <w:noWrap w:val="0"/>
                  <w:vAlign w:val="center"/>
                </w:tcPr>
                <w:p w14:paraId="64DCF6E2">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产生情况</w:t>
                  </w:r>
                </w:p>
              </w:tc>
              <w:tc>
                <w:tcPr>
                  <w:tcW w:w="1049" w:type="dxa"/>
                  <w:vMerge w:val="restart"/>
                  <w:tcBorders>
                    <w:tl2br w:val="nil"/>
                    <w:tr2bl w:val="nil"/>
                  </w:tcBorders>
                  <w:noWrap w:val="0"/>
                  <w:vAlign w:val="center"/>
                </w:tcPr>
                <w:p w14:paraId="21072329">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采取的措施</w:t>
                  </w:r>
                </w:p>
              </w:tc>
              <w:tc>
                <w:tcPr>
                  <w:tcW w:w="845" w:type="dxa"/>
                  <w:vMerge w:val="restart"/>
                  <w:tcBorders>
                    <w:tl2br w:val="nil"/>
                    <w:tr2bl w:val="nil"/>
                  </w:tcBorders>
                  <w:noWrap w:val="0"/>
                  <w:vAlign w:val="center"/>
                </w:tcPr>
                <w:p w14:paraId="750E84A8">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处理效率</w:t>
                  </w:r>
                </w:p>
              </w:tc>
              <w:tc>
                <w:tcPr>
                  <w:tcW w:w="2802" w:type="dxa"/>
                  <w:gridSpan w:val="2"/>
                  <w:tcBorders>
                    <w:tl2br w:val="nil"/>
                    <w:tr2bl w:val="nil"/>
                  </w:tcBorders>
                  <w:noWrap w:val="0"/>
                  <w:vAlign w:val="center"/>
                </w:tcPr>
                <w:p w14:paraId="58F1F9FA">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排放情况</w:t>
                  </w:r>
                </w:p>
              </w:tc>
            </w:tr>
            <w:tr w14:paraId="2EA472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674" w:type="dxa"/>
                  <w:vMerge w:val="continue"/>
                  <w:tcBorders>
                    <w:tl2br w:val="nil"/>
                    <w:tr2bl w:val="nil"/>
                  </w:tcBorders>
                  <w:noWrap w:val="0"/>
                  <w:vAlign w:val="center"/>
                </w:tcPr>
                <w:p w14:paraId="47EB2A19">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16" w:type="dxa"/>
                  <w:vMerge w:val="continue"/>
                  <w:tcBorders>
                    <w:tl2br w:val="nil"/>
                    <w:tr2bl w:val="nil"/>
                  </w:tcBorders>
                  <w:noWrap w:val="0"/>
                  <w:vAlign w:val="center"/>
                </w:tcPr>
                <w:p w14:paraId="7254E889">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1742" w:type="dxa"/>
                  <w:tcBorders>
                    <w:tl2br w:val="nil"/>
                    <w:tr2bl w:val="nil"/>
                  </w:tcBorders>
                  <w:noWrap w:val="0"/>
                  <w:vAlign w:val="center"/>
                </w:tcPr>
                <w:p w14:paraId="6C2E753C">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产生浓度mg/m</w:t>
                  </w:r>
                  <w:r>
                    <w:rPr>
                      <w:rFonts w:hint="default" w:ascii="Times New Roman" w:hAnsi="Times New Roman" w:eastAsia="宋体" w:cs="Times New Roman"/>
                      <w:color w:val="auto"/>
                      <w:szCs w:val="21"/>
                      <w:highlight w:val="none"/>
                      <w:u w:val="none"/>
                      <w:vertAlign w:val="superscript"/>
                    </w:rPr>
                    <w:t>3</w:t>
                  </w:r>
                </w:p>
              </w:tc>
              <w:tc>
                <w:tcPr>
                  <w:tcW w:w="1056" w:type="dxa"/>
                  <w:tcBorders>
                    <w:tl2br w:val="nil"/>
                    <w:tr2bl w:val="nil"/>
                  </w:tcBorders>
                  <w:noWrap w:val="0"/>
                  <w:vAlign w:val="center"/>
                </w:tcPr>
                <w:p w14:paraId="77794CC2">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产生量</w:t>
                  </w:r>
                  <w:r>
                    <w:rPr>
                      <w:rFonts w:hint="eastAsia" w:ascii="Times New Roman" w:hAnsi="Times New Roman" w:eastAsia="宋体" w:cs="Times New Roman"/>
                      <w:color w:val="auto"/>
                      <w:szCs w:val="21"/>
                      <w:highlight w:val="none"/>
                      <w:u w:val="none"/>
                    </w:rPr>
                    <w:t>t</w:t>
                  </w:r>
                  <w:r>
                    <w:rPr>
                      <w:rFonts w:hint="default" w:ascii="Times New Roman" w:hAnsi="Times New Roman" w:eastAsia="宋体" w:cs="Times New Roman"/>
                      <w:color w:val="auto"/>
                      <w:szCs w:val="21"/>
                      <w:highlight w:val="none"/>
                      <w:u w:val="none"/>
                    </w:rPr>
                    <w:t>/a</w:t>
                  </w:r>
                </w:p>
              </w:tc>
              <w:tc>
                <w:tcPr>
                  <w:tcW w:w="1049" w:type="dxa"/>
                  <w:vMerge w:val="continue"/>
                  <w:tcBorders>
                    <w:tl2br w:val="nil"/>
                    <w:tr2bl w:val="nil"/>
                  </w:tcBorders>
                  <w:noWrap w:val="0"/>
                  <w:vAlign w:val="center"/>
                </w:tcPr>
                <w:p w14:paraId="6539E6BC">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45" w:type="dxa"/>
                  <w:vMerge w:val="continue"/>
                  <w:tcBorders>
                    <w:tl2br w:val="nil"/>
                    <w:tr2bl w:val="nil"/>
                  </w:tcBorders>
                  <w:noWrap w:val="0"/>
                  <w:vAlign w:val="center"/>
                </w:tcPr>
                <w:p w14:paraId="4556E3C0">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1715" w:type="dxa"/>
                  <w:tcBorders>
                    <w:tl2br w:val="nil"/>
                    <w:tr2bl w:val="nil"/>
                  </w:tcBorders>
                  <w:noWrap w:val="0"/>
                  <w:vAlign w:val="center"/>
                </w:tcPr>
                <w:p w14:paraId="7A993657">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排放浓度mg/m</w:t>
                  </w:r>
                  <w:r>
                    <w:rPr>
                      <w:rFonts w:hint="default" w:ascii="Times New Roman" w:hAnsi="Times New Roman" w:eastAsia="宋体" w:cs="Times New Roman"/>
                      <w:color w:val="auto"/>
                      <w:szCs w:val="21"/>
                      <w:highlight w:val="none"/>
                      <w:u w:val="none"/>
                      <w:vertAlign w:val="superscript"/>
                    </w:rPr>
                    <w:t>3</w:t>
                  </w:r>
                </w:p>
              </w:tc>
              <w:tc>
                <w:tcPr>
                  <w:tcW w:w="1087" w:type="dxa"/>
                  <w:tcBorders>
                    <w:tl2br w:val="nil"/>
                    <w:tr2bl w:val="nil"/>
                  </w:tcBorders>
                  <w:noWrap w:val="0"/>
                  <w:vAlign w:val="center"/>
                </w:tcPr>
                <w:p w14:paraId="7C85F940">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排放量</w:t>
                  </w:r>
                  <w:r>
                    <w:rPr>
                      <w:rFonts w:hint="eastAsia" w:ascii="Times New Roman" w:hAnsi="Times New Roman" w:eastAsia="宋体" w:cs="Times New Roman"/>
                      <w:color w:val="auto"/>
                      <w:szCs w:val="21"/>
                      <w:highlight w:val="none"/>
                      <w:u w:val="none"/>
                    </w:rPr>
                    <w:t>t</w:t>
                  </w:r>
                  <w:r>
                    <w:rPr>
                      <w:rFonts w:hint="default" w:ascii="Times New Roman" w:hAnsi="Times New Roman" w:eastAsia="宋体" w:cs="Times New Roman"/>
                      <w:color w:val="auto"/>
                      <w:szCs w:val="21"/>
                      <w:highlight w:val="none"/>
                      <w:u w:val="none"/>
                    </w:rPr>
                    <w:t>/a</w:t>
                  </w:r>
                </w:p>
              </w:tc>
            </w:tr>
            <w:tr w14:paraId="5172F4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674" w:type="dxa"/>
                  <w:vMerge w:val="restart"/>
                  <w:tcBorders>
                    <w:tl2br w:val="nil"/>
                    <w:tr2bl w:val="nil"/>
                  </w:tcBorders>
                  <w:noWrap w:val="0"/>
                  <w:vAlign w:val="center"/>
                </w:tcPr>
                <w:p w14:paraId="3C6995B3">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锅炉废气</w:t>
                  </w:r>
                </w:p>
              </w:tc>
              <w:tc>
                <w:tcPr>
                  <w:tcW w:w="816" w:type="dxa"/>
                  <w:tcBorders>
                    <w:tl2br w:val="nil"/>
                    <w:tr2bl w:val="nil"/>
                  </w:tcBorders>
                  <w:noWrap w:val="0"/>
                  <w:vAlign w:val="center"/>
                </w:tcPr>
                <w:p w14:paraId="3BE6D29E">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废气量</w:t>
                  </w:r>
                </w:p>
              </w:tc>
              <w:tc>
                <w:tcPr>
                  <w:tcW w:w="2798" w:type="dxa"/>
                  <w:gridSpan w:val="2"/>
                  <w:tcBorders>
                    <w:tl2br w:val="nil"/>
                    <w:tr2bl w:val="nil"/>
                  </w:tcBorders>
                  <w:noWrap w:val="0"/>
                  <w:vAlign w:val="center"/>
                </w:tcPr>
                <w:p w14:paraId="2E3E542B">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eastAsia" w:eastAsia="宋体" w:cs="Times New Roman"/>
                      <w:i w:val="0"/>
                      <w:iCs w:val="0"/>
                      <w:color w:val="auto"/>
                      <w:kern w:val="0"/>
                      <w:sz w:val="21"/>
                      <w:szCs w:val="21"/>
                      <w:highlight w:val="none"/>
                      <w:u w:val="none"/>
                      <w:lang w:val="en-US" w:eastAsia="zh-CN" w:bidi="ar"/>
                    </w:rPr>
                    <w:t>1622400</w:t>
                  </w:r>
                  <w:r>
                    <w:rPr>
                      <w:rFonts w:hint="default" w:ascii="Times New Roman" w:hAnsi="Times New Roman" w:eastAsia="宋体" w:cs="Times New Roman"/>
                      <w:color w:val="auto"/>
                      <w:szCs w:val="21"/>
                      <w:highlight w:val="none"/>
                      <w:u w:val="none"/>
                    </w:rPr>
                    <w:t>m</w:t>
                  </w:r>
                  <w:r>
                    <w:rPr>
                      <w:rFonts w:hint="default" w:ascii="Times New Roman" w:hAnsi="Times New Roman" w:eastAsia="宋体" w:cs="Times New Roman"/>
                      <w:color w:val="auto"/>
                      <w:szCs w:val="21"/>
                      <w:highlight w:val="none"/>
                      <w:u w:val="none"/>
                      <w:vertAlign w:val="superscript"/>
                    </w:rPr>
                    <w:t>3</w:t>
                  </w:r>
                  <w:r>
                    <w:rPr>
                      <w:rFonts w:hint="default" w:ascii="Times New Roman" w:hAnsi="Times New Roman" w:eastAsia="宋体" w:cs="Times New Roman"/>
                      <w:color w:val="auto"/>
                      <w:szCs w:val="21"/>
                      <w:highlight w:val="none"/>
                      <w:u w:val="none"/>
                    </w:rPr>
                    <w:t>/a</w:t>
                  </w:r>
                </w:p>
              </w:tc>
              <w:tc>
                <w:tcPr>
                  <w:tcW w:w="1049" w:type="dxa"/>
                  <w:vMerge w:val="restart"/>
                  <w:tcBorders>
                    <w:tl2br w:val="nil"/>
                    <w:tr2bl w:val="nil"/>
                  </w:tcBorders>
                  <w:noWrap w:val="0"/>
                  <w:vAlign w:val="center"/>
                </w:tcPr>
                <w:p w14:paraId="5EAC0B19">
                  <w:pPr>
                    <w:pStyle w:val="8"/>
                    <w:tabs>
                      <w:tab w:val="left" w:pos="1021"/>
                    </w:tabs>
                    <w:ind w:firstLine="0"/>
                    <w:jc w:val="center"/>
                    <w:rPr>
                      <w:rFonts w:hint="eastAsia" w:ascii="Times New Roman" w:hAnsi="Times New Roman" w:eastAsia="宋体" w:cs="Times New Roman"/>
                      <w:color w:val="auto"/>
                      <w:szCs w:val="21"/>
                      <w:highlight w:val="none"/>
                      <w:u w:val="none"/>
                    </w:rPr>
                  </w:pPr>
                  <w:r>
                    <w:rPr>
                      <w:rFonts w:hint="eastAsia" w:eastAsia="宋体" w:cs="Times New Roman"/>
                      <w:color w:val="auto"/>
                      <w:szCs w:val="21"/>
                      <w:highlight w:val="none"/>
                      <w:u w:val="none"/>
                      <w:lang w:eastAsia="zh-CN"/>
                    </w:rPr>
                    <w:t>两级水膜除尘</w:t>
                  </w:r>
                </w:p>
              </w:tc>
              <w:tc>
                <w:tcPr>
                  <w:tcW w:w="845" w:type="dxa"/>
                  <w:tcBorders>
                    <w:tl2br w:val="nil"/>
                    <w:tr2bl w:val="nil"/>
                  </w:tcBorders>
                  <w:noWrap w:val="0"/>
                  <w:vAlign w:val="center"/>
                </w:tcPr>
                <w:p w14:paraId="7F248A9D">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w:t>
                  </w:r>
                </w:p>
              </w:tc>
              <w:tc>
                <w:tcPr>
                  <w:tcW w:w="2802" w:type="dxa"/>
                  <w:gridSpan w:val="2"/>
                  <w:tcBorders>
                    <w:tl2br w:val="nil"/>
                    <w:tr2bl w:val="nil"/>
                  </w:tcBorders>
                  <w:noWrap w:val="0"/>
                  <w:vAlign w:val="center"/>
                </w:tcPr>
                <w:p w14:paraId="784C46C7">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eastAsia" w:eastAsia="宋体" w:cs="Times New Roman"/>
                      <w:i w:val="0"/>
                      <w:iCs w:val="0"/>
                      <w:color w:val="auto"/>
                      <w:kern w:val="0"/>
                      <w:sz w:val="21"/>
                      <w:szCs w:val="21"/>
                      <w:highlight w:val="none"/>
                      <w:u w:val="none"/>
                      <w:lang w:val="en-US" w:eastAsia="zh-CN" w:bidi="ar"/>
                    </w:rPr>
                    <w:t>1622400</w:t>
                  </w:r>
                  <w:r>
                    <w:rPr>
                      <w:rFonts w:hint="default" w:ascii="Times New Roman" w:hAnsi="Times New Roman" w:eastAsia="宋体" w:cs="Times New Roman"/>
                      <w:color w:val="auto"/>
                      <w:szCs w:val="21"/>
                      <w:highlight w:val="none"/>
                      <w:u w:val="none"/>
                    </w:rPr>
                    <w:t>m</w:t>
                  </w:r>
                  <w:r>
                    <w:rPr>
                      <w:rFonts w:hint="default" w:ascii="Times New Roman" w:hAnsi="Times New Roman" w:eastAsia="宋体" w:cs="Times New Roman"/>
                      <w:color w:val="auto"/>
                      <w:szCs w:val="21"/>
                      <w:highlight w:val="none"/>
                      <w:u w:val="none"/>
                      <w:vertAlign w:val="superscript"/>
                    </w:rPr>
                    <w:t>3</w:t>
                  </w:r>
                  <w:r>
                    <w:rPr>
                      <w:rFonts w:hint="default" w:ascii="Times New Roman" w:hAnsi="Times New Roman" w:eastAsia="宋体" w:cs="Times New Roman"/>
                      <w:color w:val="auto"/>
                      <w:szCs w:val="21"/>
                      <w:highlight w:val="none"/>
                      <w:u w:val="none"/>
                    </w:rPr>
                    <w:t>/a</w:t>
                  </w:r>
                </w:p>
              </w:tc>
            </w:tr>
            <w:tr w14:paraId="08602F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29" w:hRule="atLeast"/>
                <w:jc w:val="center"/>
              </w:trPr>
              <w:tc>
                <w:tcPr>
                  <w:tcW w:w="674" w:type="dxa"/>
                  <w:vMerge w:val="continue"/>
                  <w:tcBorders>
                    <w:tl2br w:val="nil"/>
                    <w:tr2bl w:val="nil"/>
                  </w:tcBorders>
                  <w:noWrap w:val="0"/>
                  <w:vAlign w:val="center"/>
                </w:tcPr>
                <w:p w14:paraId="307C110E">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16" w:type="dxa"/>
                  <w:tcBorders>
                    <w:tl2br w:val="nil"/>
                    <w:tr2bl w:val="nil"/>
                  </w:tcBorders>
                  <w:noWrap w:val="0"/>
                  <w:vAlign w:val="center"/>
                </w:tcPr>
                <w:p w14:paraId="03DFF9E3">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SO</w:t>
                  </w:r>
                  <w:r>
                    <w:rPr>
                      <w:rFonts w:hint="default" w:ascii="Times New Roman" w:hAnsi="Times New Roman" w:eastAsia="宋体" w:cs="Times New Roman"/>
                      <w:color w:val="auto"/>
                      <w:szCs w:val="21"/>
                      <w:highlight w:val="none"/>
                      <w:u w:val="none"/>
                      <w:vertAlign w:val="subscript"/>
                    </w:rPr>
                    <w:t>2</w:t>
                  </w:r>
                </w:p>
              </w:tc>
              <w:tc>
                <w:tcPr>
                  <w:tcW w:w="1742" w:type="dxa"/>
                  <w:tcBorders>
                    <w:tl2br w:val="nil"/>
                    <w:tr2bl w:val="nil"/>
                  </w:tcBorders>
                  <w:noWrap w:val="0"/>
                  <w:vAlign w:val="center"/>
                </w:tcPr>
                <w:p w14:paraId="19A0F316">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54.24 </w:t>
                  </w:r>
                </w:p>
              </w:tc>
              <w:tc>
                <w:tcPr>
                  <w:tcW w:w="1056" w:type="dxa"/>
                  <w:tcBorders>
                    <w:tl2br w:val="nil"/>
                    <w:tr2bl w:val="nil"/>
                  </w:tcBorders>
                  <w:noWrap w:val="0"/>
                  <w:vAlign w:val="center"/>
                </w:tcPr>
                <w:p w14:paraId="297EDD19">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c>
                <w:tcPr>
                  <w:tcW w:w="1049" w:type="dxa"/>
                  <w:vMerge w:val="continue"/>
                  <w:tcBorders>
                    <w:tl2br w:val="nil"/>
                    <w:tr2bl w:val="nil"/>
                  </w:tcBorders>
                  <w:noWrap w:val="0"/>
                  <w:vAlign w:val="center"/>
                </w:tcPr>
                <w:p w14:paraId="54490B27">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45" w:type="dxa"/>
                  <w:tcBorders>
                    <w:tl2br w:val="nil"/>
                    <w:tr2bl w:val="nil"/>
                  </w:tcBorders>
                  <w:noWrap w:val="0"/>
                  <w:vAlign w:val="center"/>
                </w:tcPr>
                <w:p w14:paraId="604F2811">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w:t>
                  </w:r>
                </w:p>
              </w:tc>
              <w:tc>
                <w:tcPr>
                  <w:tcW w:w="1715" w:type="dxa"/>
                  <w:tcBorders>
                    <w:tl2br w:val="nil"/>
                    <w:tr2bl w:val="nil"/>
                  </w:tcBorders>
                  <w:noWrap w:val="0"/>
                  <w:vAlign w:val="center"/>
                </w:tcPr>
                <w:p w14:paraId="7EEA5403">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54.24 </w:t>
                  </w:r>
                </w:p>
              </w:tc>
              <w:tc>
                <w:tcPr>
                  <w:tcW w:w="1087" w:type="dxa"/>
                  <w:tcBorders>
                    <w:tl2br w:val="nil"/>
                    <w:tr2bl w:val="nil"/>
                  </w:tcBorders>
                  <w:noWrap w:val="0"/>
                  <w:vAlign w:val="center"/>
                </w:tcPr>
                <w:p w14:paraId="25512CE9">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r>
            <w:tr w14:paraId="191C18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9" w:hRule="atLeast"/>
                <w:jc w:val="center"/>
              </w:trPr>
              <w:tc>
                <w:tcPr>
                  <w:tcW w:w="674" w:type="dxa"/>
                  <w:vMerge w:val="continue"/>
                  <w:tcBorders>
                    <w:tl2br w:val="nil"/>
                    <w:tr2bl w:val="nil"/>
                  </w:tcBorders>
                  <w:noWrap w:val="0"/>
                  <w:vAlign w:val="center"/>
                </w:tcPr>
                <w:p w14:paraId="6D16716F">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16" w:type="dxa"/>
                  <w:tcBorders>
                    <w:tl2br w:val="nil"/>
                    <w:tr2bl w:val="nil"/>
                  </w:tcBorders>
                  <w:noWrap w:val="0"/>
                  <w:vAlign w:val="center"/>
                </w:tcPr>
                <w:p w14:paraId="57B993E4">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NOx</w:t>
                  </w:r>
                </w:p>
              </w:tc>
              <w:tc>
                <w:tcPr>
                  <w:tcW w:w="1742" w:type="dxa"/>
                  <w:tcBorders>
                    <w:tl2br w:val="nil"/>
                    <w:tr2bl w:val="nil"/>
                  </w:tcBorders>
                  <w:noWrap w:val="0"/>
                  <w:vAlign w:val="center"/>
                </w:tcPr>
                <w:p w14:paraId="4F9A34A4">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163.34 </w:t>
                  </w:r>
                </w:p>
              </w:tc>
              <w:tc>
                <w:tcPr>
                  <w:tcW w:w="1056" w:type="dxa"/>
                  <w:tcBorders>
                    <w:tl2br w:val="nil"/>
                    <w:tr2bl w:val="nil"/>
                  </w:tcBorders>
                  <w:noWrap w:val="0"/>
                  <w:vAlign w:val="center"/>
                </w:tcPr>
                <w:p w14:paraId="4912AC43">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c>
                <w:tcPr>
                  <w:tcW w:w="1049" w:type="dxa"/>
                  <w:vMerge w:val="continue"/>
                  <w:tcBorders>
                    <w:tl2br w:val="nil"/>
                    <w:tr2bl w:val="nil"/>
                  </w:tcBorders>
                  <w:noWrap w:val="0"/>
                  <w:vAlign w:val="center"/>
                </w:tcPr>
                <w:p w14:paraId="0C83AB66">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45" w:type="dxa"/>
                  <w:tcBorders>
                    <w:tl2br w:val="nil"/>
                    <w:tr2bl w:val="nil"/>
                  </w:tcBorders>
                  <w:noWrap w:val="0"/>
                  <w:vAlign w:val="center"/>
                </w:tcPr>
                <w:p w14:paraId="365A2DA2">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w:t>
                  </w:r>
                </w:p>
              </w:tc>
              <w:tc>
                <w:tcPr>
                  <w:tcW w:w="1715" w:type="dxa"/>
                  <w:tcBorders>
                    <w:tl2br w:val="nil"/>
                    <w:tr2bl w:val="nil"/>
                  </w:tcBorders>
                  <w:noWrap w:val="0"/>
                  <w:vAlign w:val="center"/>
                </w:tcPr>
                <w:p w14:paraId="690E4266">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163.34 </w:t>
                  </w:r>
                </w:p>
              </w:tc>
              <w:tc>
                <w:tcPr>
                  <w:tcW w:w="1087" w:type="dxa"/>
                  <w:tcBorders>
                    <w:tl2br w:val="nil"/>
                    <w:tr2bl w:val="nil"/>
                  </w:tcBorders>
                  <w:noWrap w:val="0"/>
                  <w:vAlign w:val="center"/>
                </w:tcPr>
                <w:p w14:paraId="6291E156">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r>
            <w:tr w14:paraId="047614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1" w:type="dxa"/>
                  <w:bottom w:w="0" w:type="dxa"/>
                  <w:right w:w="11" w:type="dxa"/>
                </w:tblCellMar>
              </w:tblPrEx>
              <w:trPr>
                <w:trHeight w:val="454" w:hRule="atLeast"/>
                <w:jc w:val="center"/>
              </w:trPr>
              <w:tc>
                <w:tcPr>
                  <w:tcW w:w="674" w:type="dxa"/>
                  <w:vMerge w:val="continue"/>
                  <w:tcBorders>
                    <w:tl2br w:val="nil"/>
                    <w:tr2bl w:val="nil"/>
                  </w:tcBorders>
                  <w:noWrap w:val="0"/>
                  <w:vAlign w:val="center"/>
                </w:tcPr>
                <w:p w14:paraId="5D122E1E">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16" w:type="dxa"/>
                  <w:tcBorders>
                    <w:tl2br w:val="nil"/>
                    <w:tr2bl w:val="nil"/>
                  </w:tcBorders>
                  <w:noWrap w:val="0"/>
                  <w:vAlign w:val="center"/>
                </w:tcPr>
                <w:p w14:paraId="7CA6EE76">
                  <w:pPr>
                    <w:pStyle w:val="8"/>
                    <w:tabs>
                      <w:tab w:val="left" w:pos="1021"/>
                    </w:tabs>
                    <w:ind w:firstLine="0"/>
                    <w:jc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color w:val="auto"/>
                      <w:szCs w:val="21"/>
                      <w:highlight w:val="none"/>
                      <w:u w:val="none"/>
                    </w:rPr>
                    <w:t>颗粒物</w:t>
                  </w:r>
                </w:p>
              </w:tc>
              <w:tc>
                <w:tcPr>
                  <w:tcW w:w="1742" w:type="dxa"/>
                  <w:tcBorders>
                    <w:tl2br w:val="nil"/>
                    <w:tr2bl w:val="nil"/>
                  </w:tcBorders>
                  <w:noWrap w:val="0"/>
                  <w:vAlign w:val="center"/>
                </w:tcPr>
                <w:p w14:paraId="7A77A011">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80.13 </w:t>
                  </w:r>
                </w:p>
              </w:tc>
              <w:tc>
                <w:tcPr>
                  <w:tcW w:w="1056" w:type="dxa"/>
                  <w:tcBorders>
                    <w:tl2br w:val="nil"/>
                    <w:tr2bl w:val="nil"/>
                  </w:tcBorders>
                  <w:noWrap w:val="0"/>
                  <w:vAlign w:val="center"/>
                </w:tcPr>
                <w:p w14:paraId="7C2F8580">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0.130 </w:t>
                  </w:r>
                </w:p>
              </w:tc>
              <w:tc>
                <w:tcPr>
                  <w:tcW w:w="1049" w:type="dxa"/>
                  <w:vMerge w:val="continue"/>
                  <w:tcBorders>
                    <w:tl2br w:val="nil"/>
                    <w:tr2bl w:val="nil"/>
                  </w:tcBorders>
                  <w:noWrap w:val="0"/>
                  <w:vAlign w:val="center"/>
                </w:tcPr>
                <w:p w14:paraId="0C2FCBC9">
                  <w:pPr>
                    <w:pStyle w:val="8"/>
                    <w:tabs>
                      <w:tab w:val="left" w:pos="1021"/>
                    </w:tabs>
                    <w:ind w:firstLine="0"/>
                    <w:jc w:val="center"/>
                    <w:rPr>
                      <w:rFonts w:hint="default" w:ascii="Times New Roman" w:hAnsi="Times New Roman" w:eastAsia="宋体" w:cs="Times New Roman"/>
                      <w:color w:val="auto"/>
                      <w:szCs w:val="21"/>
                      <w:highlight w:val="none"/>
                      <w:u w:val="none"/>
                    </w:rPr>
                  </w:pPr>
                </w:p>
              </w:tc>
              <w:tc>
                <w:tcPr>
                  <w:tcW w:w="845" w:type="dxa"/>
                  <w:tcBorders>
                    <w:tl2br w:val="nil"/>
                    <w:tr2bl w:val="nil"/>
                  </w:tcBorders>
                  <w:noWrap w:val="0"/>
                  <w:vAlign w:val="center"/>
                </w:tcPr>
                <w:p w14:paraId="523A3097">
                  <w:pPr>
                    <w:pStyle w:val="8"/>
                    <w:tabs>
                      <w:tab w:val="left" w:pos="1021"/>
                    </w:tabs>
                    <w:ind w:firstLine="0"/>
                    <w:jc w:val="center"/>
                    <w:rPr>
                      <w:rFonts w:hint="default" w:ascii="Times New Roman" w:hAnsi="Times New Roman" w:eastAsia="宋体" w:cs="Times New Roman"/>
                      <w:color w:val="auto"/>
                      <w:szCs w:val="21"/>
                      <w:highlight w:val="none"/>
                      <w:u w:val="none"/>
                      <w:lang w:val="en-US" w:eastAsia="zh-CN"/>
                    </w:rPr>
                  </w:pPr>
                  <w:r>
                    <w:rPr>
                      <w:rFonts w:hint="eastAsia" w:eastAsia="宋体" w:cs="Times New Roman"/>
                      <w:color w:val="auto"/>
                      <w:szCs w:val="21"/>
                      <w:highlight w:val="none"/>
                      <w:u w:val="none"/>
                      <w:lang w:val="en-US" w:eastAsia="zh-CN"/>
                    </w:rPr>
                    <w:t>90</w:t>
                  </w:r>
                </w:p>
              </w:tc>
              <w:tc>
                <w:tcPr>
                  <w:tcW w:w="1715" w:type="dxa"/>
                  <w:tcBorders>
                    <w:tl2br w:val="nil"/>
                    <w:tr2bl w:val="nil"/>
                  </w:tcBorders>
                  <w:noWrap w:val="0"/>
                  <w:vAlign w:val="center"/>
                </w:tcPr>
                <w:p w14:paraId="5D91B067">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8.01 </w:t>
                  </w:r>
                </w:p>
              </w:tc>
              <w:tc>
                <w:tcPr>
                  <w:tcW w:w="1087" w:type="dxa"/>
                  <w:tcBorders>
                    <w:tl2br w:val="nil"/>
                    <w:tr2bl w:val="nil"/>
                  </w:tcBorders>
                  <w:noWrap w:val="0"/>
                  <w:vAlign w:val="center"/>
                </w:tcPr>
                <w:p w14:paraId="5DBFEBE3">
                  <w:pPr>
                    <w:keepNext w:val="0"/>
                    <w:keepLines w:val="0"/>
                    <w:widowControl/>
                    <w:suppressLineNumbers w:val="0"/>
                    <w:jc w:val="center"/>
                    <w:textAlignment w:val="center"/>
                    <w:rPr>
                      <w:rFonts w:hint="default" w:ascii="Times New Roman" w:hAnsi="Times New Roman" w:eastAsia="宋体" w:cs="Times New Roman"/>
                      <w:color w:val="auto"/>
                      <w:szCs w:val="21"/>
                      <w:highlight w:val="none"/>
                      <w:u w:val="none"/>
                    </w:rPr>
                  </w:pPr>
                  <w:r>
                    <w:rPr>
                      <w:rFonts w:hint="default" w:ascii="Times New Roman" w:hAnsi="Times New Roman" w:eastAsia="宋体" w:cs="Times New Roman"/>
                      <w:i w:val="0"/>
                      <w:iCs w:val="0"/>
                      <w:color w:val="000000"/>
                      <w:kern w:val="0"/>
                      <w:sz w:val="21"/>
                      <w:szCs w:val="21"/>
                      <w:u w:val="none"/>
                      <w:lang w:val="en-US" w:eastAsia="zh-CN" w:bidi="ar"/>
                    </w:rPr>
                    <w:t xml:space="preserve">0.013 </w:t>
                  </w:r>
                </w:p>
              </w:tc>
            </w:tr>
          </w:tbl>
          <w:p w14:paraId="57DCFB23">
            <w:pPr>
              <w:pStyle w:val="157"/>
              <w:ind w:firstLine="480"/>
              <w:rPr>
                <w:rFonts w:hint="eastAsia"/>
                <w:color w:val="auto"/>
                <w:highlight w:val="none"/>
                <w:u w:val="none"/>
              </w:rPr>
            </w:pPr>
            <w:r>
              <w:rPr>
                <w:rFonts w:hint="eastAsia"/>
                <w:color w:val="auto"/>
                <w:highlight w:val="none"/>
                <w:u w:val="none"/>
              </w:rPr>
              <w:t>本次</w:t>
            </w:r>
            <w:r>
              <w:rPr>
                <w:rFonts w:hint="eastAsia"/>
                <w:color w:val="auto"/>
                <w:highlight w:val="none"/>
                <w:u w:val="none"/>
                <w:lang w:eastAsia="zh-CN"/>
              </w:rPr>
              <w:t>技改</w:t>
            </w:r>
            <w:r>
              <w:rPr>
                <w:rFonts w:hint="eastAsia"/>
                <w:color w:val="auto"/>
                <w:highlight w:val="none"/>
                <w:u w:val="none"/>
              </w:rPr>
              <w:t>项目锅炉废气经</w:t>
            </w:r>
            <w:r>
              <w:rPr>
                <w:rFonts w:hint="eastAsia"/>
                <w:color w:val="auto"/>
                <w:highlight w:val="none"/>
                <w:u w:val="none"/>
                <w:lang w:eastAsia="zh-CN"/>
              </w:rPr>
              <w:t>两级水膜除尘器</w:t>
            </w:r>
            <w:r>
              <w:rPr>
                <w:rFonts w:hint="eastAsia"/>
                <w:color w:val="auto"/>
                <w:highlight w:val="none"/>
                <w:u w:val="none"/>
              </w:rPr>
              <w:t>处理后通过</w:t>
            </w:r>
            <w:r>
              <w:rPr>
                <w:rFonts w:hint="eastAsia"/>
                <w:color w:val="auto"/>
                <w:highlight w:val="none"/>
                <w:u w:val="none"/>
                <w:lang w:eastAsia="zh-CN"/>
              </w:rPr>
              <w:t>35m高</w:t>
            </w:r>
            <w:r>
              <w:rPr>
                <w:rFonts w:hint="eastAsia"/>
                <w:color w:val="auto"/>
                <w:highlight w:val="none"/>
                <w:u w:val="none"/>
              </w:rPr>
              <w:t>的排气筒排放， SO</w:t>
            </w:r>
            <w:r>
              <w:rPr>
                <w:rFonts w:hint="eastAsia"/>
                <w:color w:val="auto"/>
                <w:highlight w:val="none"/>
                <w:u w:val="none"/>
                <w:vertAlign w:val="subscript"/>
              </w:rPr>
              <w:t>2</w:t>
            </w:r>
            <w:r>
              <w:rPr>
                <w:rFonts w:hint="eastAsia"/>
                <w:color w:val="auto"/>
                <w:highlight w:val="none"/>
                <w:u w:val="none"/>
              </w:rPr>
              <w:t>排放浓度为</w:t>
            </w:r>
            <w:r>
              <w:rPr>
                <w:rFonts w:hint="eastAsia"/>
                <w:color w:val="auto"/>
                <w:highlight w:val="none"/>
                <w:u w:val="none"/>
                <w:lang w:eastAsia="zh-CN"/>
              </w:rPr>
              <w:t>54.24</w:t>
            </w:r>
            <w:r>
              <w:rPr>
                <w:rFonts w:hint="eastAsia"/>
                <w:color w:val="auto"/>
                <w:highlight w:val="none"/>
                <w:u w:val="none"/>
              </w:rPr>
              <w:t>mg/m</w:t>
            </w:r>
            <w:r>
              <w:rPr>
                <w:rFonts w:hint="eastAsia"/>
                <w:color w:val="auto"/>
                <w:highlight w:val="none"/>
                <w:u w:val="none"/>
                <w:vertAlign w:val="superscript"/>
              </w:rPr>
              <w:t>3</w:t>
            </w:r>
            <w:r>
              <w:rPr>
                <w:rFonts w:hint="eastAsia"/>
                <w:color w:val="auto"/>
                <w:highlight w:val="none"/>
                <w:u w:val="none"/>
              </w:rPr>
              <w:t>，NOx排放浓度为</w:t>
            </w:r>
            <w:r>
              <w:rPr>
                <w:rFonts w:hint="eastAsia"/>
                <w:color w:val="auto"/>
                <w:highlight w:val="none"/>
                <w:u w:val="none"/>
                <w:lang w:eastAsia="zh-CN"/>
              </w:rPr>
              <w:t>163.34</w:t>
            </w:r>
            <w:r>
              <w:rPr>
                <w:rFonts w:hint="eastAsia"/>
                <w:color w:val="auto"/>
                <w:highlight w:val="none"/>
                <w:u w:val="none"/>
              </w:rPr>
              <w:t>mg/m</w:t>
            </w:r>
            <w:r>
              <w:rPr>
                <w:rFonts w:hint="eastAsia"/>
                <w:color w:val="auto"/>
                <w:highlight w:val="none"/>
                <w:u w:val="none"/>
                <w:vertAlign w:val="superscript"/>
              </w:rPr>
              <w:t>3</w:t>
            </w:r>
            <w:r>
              <w:rPr>
                <w:rFonts w:hint="eastAsia"/>
                <w:color w:val="auto"/>
                <w:highlight w:val="none"/>
                <w:u w:val="none"/>
              </w:rPr>
              <w:t xml:space="preserve">，颗粒物排放浓度为 </w:t>
            </w:r>
            <w:r>
              <w:rPr>
                <w:rFonts w:hint="eastAsia"/>
                <w:color w:val="auto"/>
                <w:highlight w:val="none"/>
                <w:u w:val="none"/>
                <w:lang w:eastAsia="zh-CN"/>
              </w:rPr>
              <w:t>8.01</w:t>
            </w:r>
            <w:r>
              <w:rPr>
                <w:rFonts w:hint="eastAsia"/>
                <w:color w:val="auto"/>
                <w:highlight w:val="none"/>
                <w:u w:val="none"/>
              </w:rPr>
              <w:t>mg/m</w:t>
            </w:r>
            <w:r>
              <w:rPr>
                <w:rFonts w:hint="eastAsia"/>
                <w:color w:val="auto"/>
                <w:highlight w:val="none"/>
                <w:u w:val="none"/>
                <w:vertAlign w:val="superscript"/>
              </w:rPr>
              <w:t>3</w:t>
            </w:r>
            <w:r>
              <w:rPr>
                <w:rFonts w:hint="eastAsia"/>
                <w:color w:val="auto"/>
                <w:highlight w:val="none"/>
                <w:u w:val="none"/>
              </w:rPr>
              <w:t>，均可达到《锅炉大气污染物排放标准》（GB13271-2014）中表2规定的新建燃煤锅炉大气污染物排放浓度限值，</w:t>
            </w:r>
            <w:r>
              <w:rPr>
                <w:rFonts w:hint="eastAsia"/>
                <w:color w:val="auto"/>
                <w:highlight w:val="none"/>
                <w:u w:val="none"/>
                <w:lang w:eastAsia="zh-CN"/>
              </w:rPr>
              <w:t>35m高</w:t>
            </w:r>
            <w:r>
              <w:rPr>
                <w:rFonts w:hint="eastAsia"/>
                <w:color w:val="auto"/>
                <w:highlight w:val="none"/>
                <w:u w:val="none"/>
              </w:rPr>
              <w:t>的排气筒高度亦符合《锅炉大气污染物排放标准》（GB13271-2014）中相应要求。</w:t>
            </w:r>
          </w:p>
          <w:p w14:paraId="7F418427">
            <w:pPr>
              <w:pStyle w:val="157"/>
              <w:ind w:firstLine="480"/>
              <w:rPr>
                <w:rFonts w:hint="eastAsia"/>
                <w:color w:val="auto"/>
                <w:highlight w:val="none"/>
                <w:u w:val="none"/>
                <w:lang w:eastAsia="zh-CN"/>
              </w:rPr>
            </w:pPr>
            <w:r>
              <w:rPr>
                <w:rFonts w:hint="eastAsia"/>
                <w:color w:val="auto"/>
                <w:highlight w:val="none"/>
                <w:u w:val="none"/>
                <w:lang w:eastAsia="zh-CN"/>
              </w:rPr>
              <w:t>（</w:t>
            </w:r>
            <w:r>
              <w:rPr>
                <w:rFonts w:hint="eastAsia"/>
                <w:color w:val="auto"/>
                <w:highlight w:val="none"/>
                <w:u w:val="none"/>
                <w:lang w:val="en-US" w:eastAsia="zh-CN"/>
              </w:rPr>
              <w:t>2</w:t>
            </w:r>
            <w:r>
              <w:rPr>
                <w:rFonts w:hint="eastAsia"/>
                <w:color w:val="auto"/>
                <w:highlight w:val="none"/>
                <w:u w:val="none"/>
                <w:lang w:eastAsia="zh-CN"/>
              </w:rPr>
              <w:t>）</w:t>
            </w:r>
            <w:r>
              <w:rPr>
                <w:rFonts w:hint="eastAsia" w:cs="Times New Roman"/>
                <w:b w:val="0"/>
                <w:bCs w:val="0"/>
                <w:color w:val="auto"/>
                <w:sz w:val="24"/>
                <w:szCs w:val="24"/>
                <w:highlight w:val="none"/>
                <w:u w:val="none"/>
                <w:lang w:val="en-US" w:eastAsia="zh-CN"/>
              </w:rPr>
              <w:t>溶剂废气</w:t>
            </w:r>
          </w:p>
          <w:p w14:paraId="5258A429">
            <w:pPr>
              <w:pStyle w:val="157"/>
              <w:ind w:firstLine="480"/>
              <w:rPr>
                <w:rFonts w:hint="eastAsia"/>
                <w:color w:val="auto"/>
                <w:highlight w:val="none"/>
                <w:u w:val="none"/>
              </w:rPr>
            </w:pPr>
            <w:r>
              <w:rPr>
                <w:rFonts w:hint="eastAsia"/>
                <w:color w:val="auto"/>
                <w:highlight w:val="none"/>
                <w:u w:val="none"/>
                <w:lang w:val="en-US" w:eastAsia="zh-CN"/>
              </w:rPr>
              <w:t>本项目</w:t>
            </w:r>
            <w:r>
              <w:rPr>
                <w:rFonts w:hint="eastAsia"/>
                <w:color w:val="auto"/>
                <w:highlight w:val="none"/>
                <w:u w:val="none"/>
              </w:rPr>
              <w:t>浸出工段</w:t>
            </w:r>
            <w:r>
              <w:rPr>
                <w:rFonts w:hint="eastAsia"/>
                <w:color w:val="auto"/>
                <w:highlight w:val="none"/>
                <w:u w:val="none"/>
                <w:lang w:eastAsia="zh-CN"/>
              </w:rPr>
              <w:t>、</w:t>
            </w:r>
            <w:r>
              <w:rPr>
                <w:rFonts w:hint="eastAsia"/>
                <w:color w:val="auto"/>
                <w:highlight w:val="none"/>
                <w:u w:val="none"/>
              </w:rPr>
              <w:t>湿粕脱溶过程及混合油在蒸发、汽提过程中产生的溶剂废气</w:t>
            </w:r>
            <w:r>
              <w:rPr>
                <w:rFonts w:hint="eastAsia"/>
                <w:color w:val="auto"/>
                <w:highlight w:val="none"/>
                <w:u w:val="none"/>
                <w:lang w:eastAsia="zh-CN"/>
              </w:rPr>
              <w:t>，</w:t>
            </w:r>
            <w:r>
              <w:rPr>
                <w:rFonts w:hint="eastAsia"/>
                <w:color w:val="auto"/>
                <w:highlight w:val="none"/>
                <w:u w:val="none"/>
                <w:lang w:val="en-US" w:eastAsia="zh-CN"/>
              </w:rPr>
              <w:t>主要污染物为非甲烷总烃，排放方式由“无组织排放”技改成“经收集后通过15m排气筒排放”。根据《湖南科比特亿美检测有限公司检测报告》（第 KBT/HJ202403471号）中DA002溶剂废气排气口，非甲烷总烃的排放量为0.151t/a，排放浓度为2.43mg/m</w:t>
            </w:r>
            <w:r>
              <w:rPr>
                <w:rFonts w:hint="eastAsia"/>
                <w:color w:val="auto"/>
                <w:highlight w:val="none"/>
                <w:u w:val="none"/>
                <w:vertAlign w:val="superscript"/>
                <w:lang w:val="en-US" w:eastAsia="zh-CN"/>
              </w:rPr>
              <w:t>3</w:t>
            </w:r>
            <w:r>
              <w:rPr>
                <w:rFonts w:hint="eastAsia"/>
                <w:color w:val="auto"/>
                <w:highlight w:val="none"/>
                <w:u w:val="none"/>
                <w:lang w:val="en-US" w:eastAsia="zh-CN"/>
              </w:rPr>
              <w:t>，满足</w:t>
            </w:r>
            <w:r>
              <w:rPr>
                <w:rFonts w:hint="eastAsia" w:ascii="Times New Roman" w:hAnsi="Times New Roman" w:cs="Times New Roman"/>
                <w:color w:val="auto"/>
                <w:spacing w:val="-1"/>
                <w:highlight w:val="none"/>
                <w:u w:val="none" w:color="auto"/>
                <w:lang w:val="en-US" w:eastAsia="zh-CN"/>
              </w:rPr>
              <w:t>《大气污染物综合排放标准》(GB16297-1996)</w:t>
            </w:r>
            <w:r>
              <w:rPr>
                <w:rFonts w:hint="eastAsia" w:cs="Times New Roman"/>
                <w:color w:val="auto"/>
                <w:spacing w:val="-1"/>
                <w:highlight w:val="none"/>
                <w:u w:val="none" w:color="auto"/>
                <w:lang w:val="en-US" w:eastAsia="zh-CN"/>
              </w:rPr>
              <w:t>表2排放浓度限值</w:t>
            </w:r>
            <w:r>
              <w:rPr>
                <w:rFonts w:hint="eastAsia"/>
                <w:color w:val="auto"/>
                <w:highlight w:val="none"/>
                <w:u w:val="none"/>
                <w:lang w:val="en-US" w:eastAsia="zh-CN"/>
              </w:rPr>
              <w:t>。</w:t>
            </w:r>
          </w:p>
          <w:p w14:paraId="7F5C1013">
            <w:pPr>
              <w:pStyle w:val="157"/>
              <w:ind w:firstLine="480"/>
              <w:rPr>
                <w:rFonts w:hint="eastAsia"/>
                <w:color w:val="auto"/>
                <w:highlight w:val="none"/>
                <w:u w:val="none"/>
                <w:lang w:eastAsia="zh-CN"/>
              </w:rPr>
            </w:pPr>
            <w:r>
              <w:rPr>
                <w:rFonts w:hint="eastAsia"/>
                <w:color w:val="auto"/>
                <w:highlight w:val="none"/>
                <w:u w:val="none"/>
                <w:lang w:val="en-US" w:eastAsia="zh-CN"/>
              </w:rPr>
              <w:t>1.3</w:t>
            </w:r>
            <w:r>
              <w:rPr>
                <w:rFonts w:hint="eastAsia"/>
                <w:color w:val="auto"/>
                <w:highlight w:val="none"/>
                <w:u w:val="none"/>
                <w:lang w:eastAsia="zh-CN"/>
              </w:rPr>
              <w:t>环境影响分析</w:t>
            </w:r>
          </w:p>
          <w:p w14:paraId="18AADE52">
            <w:pPr>
              <w:pStyle w:val="157"/>
              <w:ind w:firstLine="480"/>
              <w:rPr>
                <w:rFonts w:hint="eastAsia"/>
                <w:color w:val="auto"/>
                <w:highlight w:val="none"/>
                <w:u w:val="none"/>
                <w:lang w:eastAsia="zh-CN"/>
              </w:rPr>
            </w:pPr>
            <w:r>
              <w:rPr>
                <w:color w:val="auto"/>
                <w:spacing w:val="-3"/>
                <w:highlight w:val="none"/>
              </w:rPr>
              <w:t>按照技术导则的相关规定，本次预测选取预测因子</w:t>
            </w:r>
            <w:r>
              <w:rPr>
                <w:color w:val="auto"/>
                <w:spacing w:val="-4"/>
                <w:highlight w:val="none"/>
              </w:rPr>
              <w:t>为</w:t>
            </w:r>
            <w:r>
              <w:rPr>
                <w:color w:val="auto"/>
                <w:spacing w:val="-45"/>
                <w:highlight w:val="none"/>
              </w:rPr>
              <w:t xml:space="preserve"> </w:t>
            </w:r>
            <w:r>
              <w:rPr>
                <w:rFonts w:ascii="Times New Roman" w:hAnsi="Times New Roman" w:eastAsia="Times New Roman" w:cs="Times New Roman"/>
                <w:color w:val="auto"/>
                <w:spacing w:val="-4"/>
                <w:highlight w:val="none"/>
              </w:rPr>
              <w:t>SO</w:t>
            </w:r>
            <w:r>
              <w:rPr>
                <w:rFonts w:ascii="Times New Roman" w:hAnsi="Times New Roman" w:eastAsia="Times New Roman" w:cs="Times New Roman"/>
                <w:color w:val="auto"/>
                <w:spacing w:val="-4"/>
                <w:position w:val="-1"/>
                <w:sz w:val="15"/>
                <w:szCs w:val="15"/>
                <w:highlight w:val="none"/>
              </w:rPr>
              <w:t>2</w:t>
            </w:r>
            <w:r>
              <w:rPr>
                <w:rFonts w:ascii="Times New Roman" w:hAnsi="Times New Roman" w:eastAsia="Times New Roman" w:cs="Times New Roman"/>
                <w:color w:val="auto"/>
                <w:spacing w:val="-12"/>
                <w:position w:val="-1"/>
                <w:sz w:val="15"/>
                <w:szCs w:val="15"/>
                <w:highlight w:val="none"/>
              </w:rPr>
              <w:t xml:space="preserve"> </w:t>
            </w:r>
            <w:r>
              <w:rPr>
                <w:color w:val="auto"/>
                <w:spacing w:val="-4"/>
                <w:highlight w:val="none"/>
              </w:rPr>
              <w:t>、</w:t>
            </w:r>
            <w:r>
              <w:rPr>
                <w:rFonts w:ascii="Times New Roman" w:hAnsi="Times New Roman" w:eastAsia="Times New Roman" w:cs="Times New Roman"/>
                <w:color w:val="auto"/>
                <w:spacing w:val="-4"/>
                <w:highlight w:val="none"/>
              </w:rPr>
              <w:t>NOx</w:t>
            </w:r>
            <w:r>
              <w:rPr>
                <w:rFonts w:ascii="Times New Roman" w:hAnsi="Times New Roman" w:eastAsia="Times New Roman" w:cs="Times New Roman"/>
                <w:color w:val="auto"/>
                <w:spacing w:val="-34"/>
                <w:highlight w:val="none"/>
              </w:rPr>
              <w:t xml:space="preserve"> </w:t>
            </w:r>
            <w:r>
              <w:rPr>
                <w:color w:val="auto"/>
                <w:spacing w:val="-4"/>
                <w:highlight w:val="none"/>
              </w:rPr>
              <w:t>、颗粒物</w:t>
            </w:r>
            <w:r>
              <w:rPr>
                <w:rFonts w:hint="eastAsia"/>
                <w:color w:val="auto"/>
                <w:spacing w:val="-4"/>
                <w:highlight w:val="none"/>
                <w:lang w:val="en-US" w:eastAsia="zh-CN"/>
              </w:rPr>
              <w:t>及非甲烷总烃</w:t>
            </w:r>
            <w:r>
              <w:rPr>
                <w:color w:val="auto"/>
                <w:spacing w:val="-4"/>
                <w:highlight w:val="none"/>
              </w:rPr>
              <w:t>。</w:t>
            </w:r>
          </w:p>
          <w:p w14:paraId="6B232AE5">
            <w:pPr>
              <w:pStyle w:val="157"/>
              <w:ind w:firstLine="480"/>
              <w:rPr>
                <w:rFonts w:hint="eastAsia"/>
                <w:color w:val="auto"/>
                <w:highlight w:val="none"/>
                <w:u w:val="none"/>
              </w:rPr>
            </w:pPr>
            <w:r>
              <w:rPr>
                <w:rFonts w:hint="eastAsia"/>
                <w:color w:val="auto"/>
                <w:highlight w:val="none"/>
                <w:u w:val="none"/>
              </w:rPr>
              <w:t>①Pmax 及 D10%的确定</w:t>
            </w:r>
          </w:p>
          <w:p w14:paraId="4E6414E6">
            <w:pPr>
              <w:pStyle w:val="157"/>
              <w:ind w:firstLine="480"/>
              <w:rPr>
                <w:rFonts w:hint="eastAsia"/>
                <w:color w:val="auto"/>
                <w:highlight w:val="none"/>
                <w:u w:val="none"/>
              </w:rPr>
            </w:pPr>
            <w:r>
              <w:rPr>
                <w:rFonts w:hint="eastAsia"/>
                <w:color w:val="auto"/>
                <w:highlight w:val="none"/>
                <w:u w:val="none"/>
              </w:rPr>
              <w:t>依据《环境影响评价技术导则 大气环境》(HJ2.2-2018)中最大地面浓度占标率Pi 定义如下：</w:t>
            </w:r>
          </w:p>
          <w:p w14:paraId="5CD78962">
            <w:pPr>
              <w:pStyle w:val="157"/>
              <w:ind w:firstLine="480"/>
              <w:jc w:val="center"/>
              <w:rPr>
                <w:color w:val="auto"/>
                <w:spacing w:val="-4"/>
                <w:highlight w:val="none"/>
              </w:rPr>
            </w:pPr>
            <w:r>
              <w:rPr>
                <w:color w:val="auto"/>
                <w:position w:val="-12"/>
                <w:highlight w:val="none"/>
              </w:rPr>
              <w:drawing>
                <wp:inline distT="0" distB="0" distL="0" distR="0">
                  <wp:extent cx="1086485" cy="400685"/>
                  <wp:effectExtent l="0" t="0" r="18415" b="18415"/>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1"/>
                          <a:stretch>
                            <a:fillRect/>
                          </a:stretch>
                        </pic:blipFill>
                        <pic:spPr>
                          <a:xfrm>
                            <a:off x="0" y="0"/>
                            <a:ext cx="1086611" cy="400811"/>
                          </a:xfrm>
                          <a:prstGeom prst="rect">
                            <a:avLst/>
                          </a:prstGeom>
                        </pic:spPr>
                      </pic:pic>
                    </a:graphicData>
                  </a:graphic>
                </wp:inline>
              </w:drawing>
            </w:r>
          </w:p>
          <w:p w14:paraId="17DE41A5">
            <w:pPr>
              <w:pStyle w:val="157"/>
              <w:ind w:firstLine="480"/>
              <w:rPr>
                <w:rFonts w:hint="eastAsia"/>
                <w:color w:val="auto"/>
                <w:highlight w:val="none"/>
                <w:u w:val="none"/>
              </w:rPr>
            </w:pPr>
            <w:r>
              <w:rPr>
                <w:rFonts w:hint="eastAsia"/>
                <w:color w:val="auto"/>
                <w:highlight w:val="none"/>
                <w:u w:val="none"/>
              </w:rPr>
              <w:t>P</w:t>
            </w:r>
            <w:r>
              <w:rPr>
                <w:rFonts w:hint="eastAsia"/>
                <w:color w:val="auto"/>
                <w:highlight w:val="none"/>
                <w:u w:val="none"/>
                <w:lang w:val="en-US" w:eastAsia="zh-CN"/>
              </w:rPr>
              <w:t>i</w:t>
            </w:r>
            <w:r>
              <w:rPr>
                <w:rFonts w:hint="eastAsia"/>
                <w:color w:val="auto"/>
                <w:highlight w:val="none"/>
                <w:u w:val="none"/>
              </w:rPr>
              <w:t>——第i个污染物的最大地面空气质量浓度占标率，%；</w:t>
            </w:r>
          </w:p>
          <w:p w14:paraId="755B0044">
            <w:pPr>
              <w:pStyle w:val="157"/>
              <w:ind w:firstLine="480"/>
              <w:rPr>
                <w:rFonts w:hint="eastAsia"/>
                <w:color w:val="auto"/>
                <w:highlight w:val="none"/>
                <w:u w:val="none"/>
              </w:rPr>
            </w:pPr>
            <w:r>
              <w:rPr>
                <w:rFonts w:hint="eastAsia"/>
                <w:color w:val="auto"/>
                <w:highlight w:val="none"/>
                <w:u w:val="none"/>
                <w:lang w:val="en-US" w:eastAsia="zh-CN"/>
              </w:rPr>
              <w:t>Ci</w:t>
            </w:r>
            <w:r>
              <w:rPr>
                <w:rFonts w:hint="eastAsia"/>
                <w:color w:val="auto"/>
                <w:highlight w:val="none"/>
                <w:u w:val="none"/>
              </w:rPr>
              <w:t>——采用估算模型计算出的第i个污染物的最大1h地面空气质量浓度，</w:t>
            </w:r>
            <w:r>
              <w:rPr>
                <w:rFonts w:hint="eastAsia"/>
                <w:color w:val="auto"/>
                <w:highlight w:val="none"/>
                <w:u w:val="none"/>
                <w:lang w:val="en-US" w:eastAsia="zh-CN"/>
              </w:rPr>
              <w:t>u</w:t>
            </w:r>
            <w:r>
              <w:rPr>
                <w:rFonts w:hint="eastAsia"/>
                <w:color w:val="auto"/>
                <w:highlight w:val="none"/>
                <w:u w:val="none"/>
              </w:rPr>
              <w:t>g/m</w:t>
            </w:r>
            <w:r>
              <w:rPr>
                <w:rFonts w:hint="eastAsia"/>
                <w:color w:val="auto"/>
                <w:highlight w:val="none"/>
                <w:u w:val="none"/>
                <w:vertAlign w:val="superscript"/>
              </w:rPr>
              <w:t>3</w:t>
            </w:r>
            <w:r>
              <w:rPr>
                <w:rFonts w:hint="eastAsia"/>
                <w:color w:val="auto"/>
                <w:highlight w:val="none"/>
                <w:u w:val="none"/>
              </w:rPr>
              <w:t>；</w:t>
            </w:r>
          </w:p>
          <w:p w14:paraId="2F2E523A">
            <w:pPr>
              <w:pStyle w:val="157"/>
              <w:ind w:firstLine="480"/>
              <w:rPr>
                <w:rFonts w:hint="eastAsia"/>
                <w:color w:val="auto"/>
                <w:highlight w:val="none"/>
                <w:u w:val="none"/>
              </w:rPr>
            </w:pPr>
            <w:r>
              <w:rPr>
                <w:rFonts w:hint="eastAsia"/>
                <w:color w:val="auto"/>
                <w:highlight w:val="none"/>
                <w:u w:val="none"/>
                <w:lang w:val="en-US" w:eastAsia="zh-CN"/>
              </w:rPr>
              <w:t>C</w:t>
            </w:r>
            <w:r>
              <w:rPr>
                <w:rFonts w:hint="eastAsia"/>
                <w:color w:val="auto"/>
                <w:highlight w:val="none"/>
                <w:u w:val="none"/>
              </w:rPr>
              <w:t>o</w:t>
            </w:r>
            <w:r>
              <w:rPr>
                <w:rFonts w:hint="eastAsia"/>
                <w:color w:val="auto"/>
                <w:highlight w:val="none"/>
                <w:u w:val="none"/>
                <w:lang w:val="en-US" w:eastAsia="zh-CN"/>
              </w:rPr>
              <w:t>i</w:t>
            </w:r>
            <w:r>
              <w:rPr>
                <w:rFonts w:hint="eastAsia"/>
                <w:color w:val="auto"/>
                <w:highlight w:val="none"/>
                <w:u w:val="none"/>
              </w:rPr>
              <w:t>——第i个污染物的环境空气质量浓度标准，</w:t>
            </w:r>
            <w:r>
              <w:rPr>
                <w:rFonts w:hint="eastAsia"/>
                <w:color w:val="auto"/>
                <w:highlight w:val="none"/>
                <w:u w:val="none"/>
                <w:lang w:val="en-US" w:eastAsia="zh-CN"/>
              </w:rPr>
              <w:t>u</w:t>
            </w:r>
            <w:r>
              <w:rPr>
                <w:rFonts w:hint="eastAsia"/>
                <w:color w:val="auto"/>
                <w:highlight w:val="none"/>
                <w:u w:val="none"/>
              </w:rPr>
              <w:t>g/m</w:t>
            </w:r>
            <w:r>
              <w:rPr>
                <w:rFonts w:hint="eastAsia"/>
                <w:color w:val="auto"/>
                <w:highlight w:val="none"/>
                <w:u w:val="none"/>
                <w:vertAlign w:val="superscript"/>
              </w:rPr>
              <w:t>3</w:t>
            </w:r>
            <w:r>
              <w:rPr>
                <w:rFonts w:hint="eastAsia"/>
                <w:color w:val="auto"/>
                <w:highlight w:val="none"/>
                <w:u w:val="none"/>
              </w:rPr>
              <w:t>。</w:t>
            </w:r>
          </w:p>
          <w:p w14:paraId="0ED9309F">
            <w:pPr>
              <w:pStyle w:val="157"/>
              <w:ind w:firstLine="480"/>
              <w:rPr>
                <w:rFonts w:hint="eastAsia"/>
                <w:color w:val="auto"/>
                <w:highlight w:val="none"/>
                <w:u w:val="none"/>
              </w:rPr>
            </w:pPr>
            <w:r>
              <w:rPr>
                <w:rFonts w:hint="eastAsia"/>
                <w:color w:val="auto"/>
                <w:highlight w:val="none"/>
                <w:u w:val="none"/>
              </w:rPr>
              <w:t>②评价等级判别表</w:t>
            </w:r>
          </w:p>
          <w:p w14:paraId="561CB359">
            <w:pPr>
              <w:pStyle w:val="157"/>
              <w:ind w:firstLine="480"/>
              <w:rPr>
                <w:rFonts w:hint="eastAsia"/>
                <w:color w:val="auto"/>
                <w:highlight w:val="none"/>
                <w:u w:val="none"/>
              </w:rPr>
            </w:pPr>
            <w:r>
              <w:rPr>
                <w:rFonts w:hint="eastAsia"/>
                <w:color w:val="auto"/>
                <w:highlight w:val="none"/>
                <w:u w:val="none"/>
              </w:rPr>
              <w:t>评价等级按下表的分级判据进行划分。</w:t>
            </w:r>
          </w:p>
          <w:p w14:paraId="778DEA2F">
            <w:pPr>
              <w:snapToGrid w:val="0"/>
              <w:jc w:val="center"/>
              <w:rPr>
                <w:rFonts w:hint="eastAsia"/>
                <w:b/>
                <w:bCs/>
                <w:snapToGrid w:val="0"/>
                <w:color w:val="auto"/>
                <w:kern w:val="0"/>
                <w:highlight w:val="none"/>
                <w:u w:val="none"/>
              </w:rPr>
            </w:pPr>
            <w:r>
              <w:rPr>
                <w:rFonts w:hint="eastAsia"/>
                <w:b/>
                <w:bCs/>
                <w:snapToGrid w:val="0"/>
                <w:color w:val="auto"/>
                <w:kern w:val="0"/>
                <w:highlight w:val="none"/>
                <w:u w:val="none"/>
              </w:rPr>
              <w:t>表 4-4  评价等级判别表</w:t>
            </w:r>
          </w:p>
          <w:tbl>
            <w:tblPr>
              <w:tblStyle w:val="42"/>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310"/>
              <w:gridCol w:w="4309"/>
            </w:tblGrid>
            <w:tr w14:paraId="26AE62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5" w:hRule="atLeast"/>
                <w:jc w:val="center"/>
              </w:trPr>
              <w:tc>
                <w:tcPr>
                  <w:tcW w:w="4310" w:type="dxa"/>
                  <w:tcBorders>
                    <w:tl2br w:val="nil"/>
                    <w:tr2bl w:val="nil"/>
                  </w:tcBorders>
                  <w:vAlign w:val="center"/>
                </w:tcPr>
                <w:p w14:paraId="3230B701">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评价工作等级</w:t>
                  </w:r>
                </w:p>
              </w:tc>
              <w:tc>
                <w:tcPr>
                  <w:tcW w:w="4309" w:type="dxa"/>
                  <w:tcBorders>
                    <w:tl2br w:val="nil"/>
                    <w:tr2bl w:val="nil"/>
                  </w:tcBorders>
                  <w:vAlign w:val="center"/>
                </w:tcPr>
                <w:p w14:paraId="41CCA358">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评价工作分级判据</w:t>
                  </w:r>
                </w:p>
              </w:tc>
            </w:tr>
            <w:tr w14:paraId="442762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310" w:type="dxa"/>
                  <w:tcBorders>
                    <w:tl2br w:val="nil"/>
                    <w:tr2bl w:val="nil"/>
                  </w:tcBorders>
                  <w:vAlign w:val="center"/>
                </w:tcPr>
                <w:p w14:paraId="3E8F28B0">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一级评价</w:t>
                  </w:r>
                </w:p>
              </w:tc>
              <w:tc>
                <w:tcPr>
                  <w:tcW w:w="4309" w:type="dxa"/>
                  <w:tcBorders>
                    <w:tl2br w:val="nil"/>
                    <w:tr2bl w:val="nil"/>
                  </w:tcBorders>
                  <w:vAlign w:val="center"/>
                </w:tcPr>
                <w:p w14:paraId="536D884E">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Pmax≧10%</w:t>
                  </w:r>
                </w:p>
              </w:tc>
            </w:tr>
            <w:tr w14:paraId="5A5604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310" w:type="dxa"/>
                  <w:tcBorders>
                    <w:tl2br w:val="nil"/>
                    <w:tr2bl w:val="nil"/>
                  </w:tcBorders>
                  <w:vAlign w:val="center"/>
                </w:tcPr>
                <w:p w14:paraId="60FD4DEB">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二级评价</w:t>
                  </w:r>
                </w:p>
              </w:tc>
              <w:tc>
                <w:tcPr>
                  <w:tcW w:w="4309" w:type="dxa"/>
                  <w:tcBorders>
                    <w:tl2br w:val="nil"/>
                    <w:tr2bl w:val="nil"/>
                  </w:tcBorders>
                  <w:vAlign w:val="center"/>
                </w:tcPr>
                <w:p w14:paraId="3E78B401">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1%≦Pmax&lt;10%</w:t>
                  </w:r>
                </w:p>
              </w:tc>
            </w:tr>
            <w:tr w14:paraId="0679D4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4310" w:type="dxa"/>
                  <w:tcBorders>
                    <w:tl2br w:val="nil"/>
                    <w:tr2bl w:val="nil"/>
                  </w:tcBorders>
                  <w:vAlign w:val="center"/>
                </w:tcPr>
                <w:p w14:paraId="4D05344F">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三级评价</w:t>
                  </w:r>
                </w:p>
              </w:tc>
              <w:tc>
                <w:tcPr>
                  <w:tcW w:w="4309" w:type="dxa"/>
                  <w:tcBorders>
                    <w:tl2br w:val="nil"/>
                    <w:tr2bl w:val="nil"/>
                  </w:tcBorders>
                  <w:vAlign w:val="center"/>
                </w:tcPr>
                <w:p w14:paraId="0AA6BDB5">
                  <w:pPr>
                    <w:widowControl/>
                    <w:jc w:val="center"/>
                    <w:textAlignment w:val="center"/>
                    <w:rPr>
                      <w:rFonts w:ascii="Times New Roman" w:hAnsi="Times New Roman" w:eastAsia="宋体"/>
                      <w:color w:val="auto"/>
                      <w:szCs w:val="21"/>
                      <w:highlight w:val="none"/>
                    </w:rPr>
                  </w:pPr>
                  <w:r>
                    <w:rPr>
                      <w:rFonts w:ascii="Times New Roman" w:hAnsi="Times New Roman" w:eastAsia="宋体"/>
                      <w:color w:val="auto"/>
                      <w:szCs w:val="21"/>
                      <w:highlight w:val="none"/>
                    </w:rPr>
                    <w:t>Pmax&lt;1%</w:t>
                  </w:r>
                </w:p>
              </w:tc>
            </w:tr>
          </w:tbl>
          <w:p w14:paraId="3BB9651E">
            <w:pPr>
              <w:pStyle w:val="157"/>
              <w:ind w:firstLine="480"/>
              <w:rPr>
                <w:rFonts w:hint="eastAsia"/>
                <w:color w:val="auto"/>
                <w:highlight w:val="none"/>
                <w:u w:val="none"/>
              </w:rPr>
            </w:pPr>
            <w:r>
              <w:rPr>
                <w:rFonts w:hint="eastAsia"/>
                <w:color w:val="auto"/>
                <w:highlight w:val="none"/>
                <w:u w:val="none"/>
              </w:rPr>
              <w:t>③污染物评价标准</w:t>
            </w:r>
          </w:p>
          <w:p w14:paraId="7DF2EDE0">
            <w:pPr>
              <w:pStyle w:val="157"/>
              <w:ind w:firstLine="480"/>
              <w:rPr>
                <w:rFonts w:hint="eastAsia"/>
                <w:color w:val="auto"/>
                <w:highlight w:val="none"/>
                <w:u w:val="none"/>
              </w:rPr>
            </w:pPr>
            <w:r>
              <w:rPr>
                <w:rFonts w:hint="eastAsia"/>
                <w:color w:val="auto"/>
                <w:highlight w:val="none"/>
                <w:u w:val="none"/>
              </w:rPr>
              <w:t>污染物评价标准和来源见下表。</w:t>
            </w:r>
          </w:p>
          <w:p w14:paraId="3FB73588">
            <w:pPr>
              <w:snapToGrid w:val="0"/>
              <w:jc w:val="center"/>
              <w:rPr>
                <w:rFonts w:hint="eastAsia"/>
                <w:b/>
                <w:bCs/>
                <w:snapToGrid w:val="0"/>
                <w:color w:val="auto"/>
                <w:kern w:val="0"/>
                <w:highlight w:val="none"/>
                <w:u w:val="none"/>
              </w:rPr>
            </w:pPr>
            <w:r>
              <w:rPr>
                <w:rFonts w:hint="eastAsia"/>
                <w:b/>
                <w:bCs/>
                <w:snapToGrid w:val="0"/>
                <w:color w:val="auto"/>
                <w:kern w:val="0"/>
                <w:highlight w:val="none"/>
                <w:u w:val="none"/>
              </w:rPr>
              <w:t xml:space="preserve">表4-5  </w:t>
            </w:r>
            <w:r>
              <w:rPr>
                <w:rFonts w:hint="eastAsia"/>
                <w:b/>
                <w:bCs/>
                <w:snapToGrid w:val="0"/>
                <w:color w:val="auto"/>
                <w:kern w:val="0"/>
                <w:highlight w:val="none"/>
                <w:u w:val="none"/>
                <w:lang w:val="en-US" w:eastAsia="zh-CN"/>
              </w:rPr>
              <w:t xml:space="preserve"> </w:t>
            </w:r>
            <w:r>
              <w:rPr>
                <w:rFonts w:hint="eastAsia"/>
                <w:b/>
                <w:bCs/>
                <w:snapToGrid w:val="0"/>
                <w:color w:val="auto"/>
                <w:kern w:val="0"/>
                <w:highlight w:val="none"/>
                <w:u w:val="none"/>
              </w:rPr>
              <w:t>污染物评价标准</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588"/>
              <w:gridCol w:w="1589"/>
              <w:gridCol w:w="1580"/>
              <w:gridCol w:w="3801"/>
            </w:tblGrid>
            <w:tr w14:paraId="29F70A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588" w:type="dxa"/>
                  <w:tcBorders>
                    <w:tl2br w:val="nil"/>
                    <w:tr2bl w:val="nil"/>
                  </w:tcBorders>
                  <w:vAlign w:val="center"/>
                </w:tcPr>
                <w:p w14:paraId="5568621B">
                  <w:pPr>
                    <w:pStyle w:val="149"/>
                    <w:rPr>
                      <w:rFonts w:eastAsia="宋体"/>
                      <w:b/>
                      <w:bCs/>
                      <w:color w:val="auto"/>
                      <w:highlight w:val="none"/>
                    </w:rPr>
                  </w:pPr>
                  <w:r>
                    <w:rPr>
                      <w:rFonts w:eastAsia="宋体"/>
                      <w:b/>
                      <w:bCs/>
                      <w:color w:val="auto"/>
                      <w:highlight w:val="none"/>
                    </w:rPr>
                    <w:t>评价因子</w:t>
                  </w:r>
                </w:p>
              </w:tc>
              <w:tc>
                <w:tcPr>
                  <w:tcW w:w="1589" w:type="dxa"/>
                  <w:tcBorders>
                    <w:tl2br w:val="nil"/>
                    <w:tr2bl w:val="nil"/>
                  </w:tcBorders>
                  <w:vAlign w:val="center"/>
                </w:tcPr>
                <w:p w14:paraId="1A484F21">
                  <w:pPr>
                    <w:pStyle w:val="149"/>
                    <w:rPr>
                      <w:rFonts w:eastAsia="宋体"/>
                      <w:b/>
                      <w:bCs/>
                      <w:color w:val="auto"/>
                      <w:highlight w:val="none"/>
                    </w:rPr>
                  </w:pPr>
                  <w:r>
                    <w:rPr>
                      <w:rFonts w:eastAsia="宋体"/>
                      <w:b/>
                      <w:bCs/>
                      <w:color w:val="auto"/>
                      <w:highlight w:val="none"/>
                    </w:rPr>
                    <w:t>平均时段</w:t>
                  </w:r>
                </w:p>
              </w:tc>
              <w:tc>
                <w:tcPr>
                  <w:tcW w:w="1580" w:type="dxa"/>
                  <w:tcBorders>
                    <w:tl2br w:val="nil"/>
                    <w:tr2bl w:val="nil"/>
                  </w:tcBorders>
                  <w:vAlign w:val="center"/>
                </w:tcPr>
                <w:p w14:paraId="6419181B">
                  <w:pPr>
                    <w:pStyle w:val="149"/>
                    <w:rPr>
                      <w:rFonts w:eastAsia="宋体"/>
                      <w:b/>
                      <w:bCs/>
                      <w:color w:val="auto"/>
                      <w:highlight w:val="none"/>
                    </w:rPr>
                  </w:pPr>
                  <w:r>
                    <w:rPr>
                      <w:rFonts w:eastAsia="宋体"/>
                      <w:b/>
                      <w:bCs/>
                      <w:color w:val="auto"/>
                      <w:highlight w:val="none"/>
                    </w:rPr>
                    <w:t>标准值/μg/m</w:t>
                  </w:r>
                  <w:r>
                    <w:rPr>
                      <w:rFonts w:eastAsia="宋体"/>
                      <w:b/>
                      <w:bCs/>
                      <w:color w:val="auto"/>
                      <w:highlight w:val="none"/>
                      <w:vertAlign w:val="superscript"/>
                    </w:rPr>
                    <w:t>3</w:t>
                  </w:r>
                </w:p>
              </w:tc>
              <w:tc>
                <w:tcPr>
                  <w:tcW w:w="3801" w:type="dxa"/>
                  <w:tcBorders>
                    <w:tl2br w:val="nil"/>
                    <w:tr2bl w:val="nil"/>
                  </w:tcBorders>
                  <w:vAlign w:val="center"/>
                </w:tcPr>
                <w:p w14:paraId="58F0979A">
                  <w:pPr>
                    <w:pStyle w:val="149"/>
                    <w:rPr>
                      <w:rFonts w:eastAsia="宋体"/>
                      <w:b/>
                      <w:bCs/>
                      <w:color w:val="auto"/>
                      <w:highlight w:val="none"/>
                    </w:rPr>
                  </w:pPr>
                  <w:r>
                    <w:rPr>
                      <w:rFonts w:eastAsia="宋体"/>
                      <w:b/>
                      <w:bCs/>
                      <w:color w:val="auto"/>
                      <w:highlight w:val="none"/>
                    </w:rPr>
                    <w:t>标准来源</w:t>
                  </w:r>
                </w:p>
              </w:tc>
            </w:tr>
            <w:tr w14:paraId="5D130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8" w:type="dxa"/>
                  <w:tcBorders>
                    <w:tl2br w:val="nil"/>
                    <w:tr2bl w:val="nil"/>
                  </w:tcBorders>
                  <w:vAlign w:val="center"/>
                </w:tcPr>
                <w:p w14:paraId="488C0AFB">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eastAsia="宋体"/>
                      <w:color w:val="auto"/>
                      <w:sz w:val="21"/>
                      <w:szCs w:val="21"/>
                      <w:highlight w:val="none"/>
                    </w:rPr>
                  </w:pPr>
                  <w:r>
                    <w:rPr>
                      <w:rFonts w:ascii="Times New Roman" w:hAnsi="Times New Roman" w:eastAsia="Times New Roman" w:cs="Times New Roman"/>
                      <w:color w:val="auto"/>
                      <w:sz w:val="21"/>
                      <w:szCs w:val="21"/>
                      <w:highlight w:val="none"/>
                    </w:rPr>
                    <w:t>SO</w:t>
                  </w:r>
                  <w:r>
                    <w:rPr>
                      <w:rFonts w:ascii="Times New Roman" w:hAnsi="Times New Roman" w:eastAsia="Times New Roman" w:cs="Times New Roman"/>
                      <w:color w:val="auto"/>
                      <w:spacing w:val="3"/>
                      <w:position w:val="-1"/>
                      <w:sz w:val="21"/>
                      <w:szCs w:val="21"/>
                      <w:highlight w:val="none"/>
                      <w:vertAlign w:val="subscript"/>
                    </w:rPr>
                    <w:t>2</w:t>
                  </w:r>
                </w:p>
              </w:tc>
              <w:tc>
                <w:tcPr>
                  <w:tcW w:w="1589" w:type="dxa"/>
                  <w:tcBorders>
                    <w:tl2br w:val="nil"/>
                    <w:tr2bl w:val="nil"/>
                  </w:tcBorders>
                  <w:vAlign w:val="center"/>
                </w:tcPr>
                <w:p w14:paraId="76B9584D">
                  <w:pPr>
                    <w:pStyle w:val="149"/>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eastAsia="宋体"/>
                      <w:color w:val="auto"/>
                      <w:highlight w:val="none"/>
                    </w:rPr>
                  </w:pPr>
                  <w:r>
                    <w:rPr>
                      <w:rFonts w:hint="eastAsia" w:eastAsia="宋体"/>
                      <w:color w:val="auto"/>
                      <w:highlight w:val="none"/>
                    </w:rPr>
                    <w:t>1</w:t>
                  </w:r>
                  <w:r>
                    <w:rPr>
                      <w:rFonts w:eastAsia="宋体"/>
                      <w:color w:val="auto"/>
                      <w:highlight w:val="none"/>
                    </w:rPr>
                    <w:t>小时平均</w:t>
                  </w:r>
                </w:p>
              </w:tc>
              <w:tc>
                <w:tcPr>
                  <w:tcW w:w="1580" w:type="dxa"/>
                  <w:tcBorders>
                    <w:tl2br w:val="nil"/>
                    <w:tr2bl w:val="nil"/>
                  </w:tcBorders>
                  <w:vAlign w:val="center"/>
                </w:tcPr>
                <w:p w14:paraId="55F66509">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eastAsia="宋体"/>
                      <w:color w:val="auto"/>
                      <w:highlight w:val="none"/>
                    </w:rPr>
                  </w:pPr>
                  <w:r>
                    <w:rPr>
                      <w:rFonts w:ascii="Times New Roman" w:hAnsi="Times New Roman" w:eastAsia="Times New Roman" w:cs="Times New Roman"/>
                      <w:color w:val="auto"/>
                      <w:spacing w:val="1"/>
                      <w:sz w:val="20"/>
                      <w:szCs w:val="20"/>
                      <w:highlight w:val="none"/>
                    </w:rPr>
                    <w:t>500</w:t>
                  </w:r>
                </w:p>
              </w:tc>
              <w:tc>
                <w:tcPr>
                  <w:tcW w:w="3801" w:type="dxa"/>
                  <w:vMerge w:val="restart"/>
                  <w:tcBorders>
                    <w:tl2br w:val="nil"/>
                    <w:tr2bl w:val="nil"/>
                  </w:tcBorders>
                  <w:vAlign w:val="center"/>
                </w:tcPr>
                <w:p w14:paraId="2DC33BAC">
                  <w:pPr>
                    <w:pStyle w:val="149"/>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ascii="Times New Roman" w:hAnsi="Times New Roman" w:eastAsia="宋体" w:cs="Times New Roman"/>
                      <w:snapToGrid w:val="0"/>
                      <w:color w:val="auto"/>
                      <w:kern w:val="2"/>
                      <w:sz w:val="21"/>
                      <w:szCs w:val="21"/>
                      <w:highlight w:val="none"/>
                      <w:lang w:eastAsia="zh-CN"/>
                    </w:rPr>
                  </w:pPr>
                  <w:r>
                    <w:rPr>
                      <w:rFonts w:hint="eastAsia" w:ascii="Times New Roman" w:hAnsi="Times New Roman" w:eastAsia="宋体" w:cs="Times New Roman"/>
                      <w:snapToGrid w:val="0"/>
                      <w:color w:val="auto"/>
                      <w:kern w:val="2"/>
                      <w:sz w:val="21"/>
                      <w:szCs w:val="21"/>
                      <w:highlight w:val="none"/>
                      <w:lang w:eastAsia="zh-CN"/>
                    </w:rPr>
                    <w:t>《环境空气质量标准》(</w:t>
                  </w:r>
                  <w:r>
                    <w:rPr>
                      <w:rFonts w:hint="eastAsia" w:cs="Times New Roman"/>
                      <w:snapToGrid w:val="0"/>
                      <w:color w:val="auto"/>
                      <w:kern w:val="2"/>
                      <w:sz w:val="21"/>
                      <w:szCs w:val="21"/>
                      <w:highlight w:val="none"/>
                      <w:lang w:eastAsia="zh-CN"/>
                    </w:rPr>
                    <w:t>GB3095-2026</w:t>
                  </w:r>
                  <w:r>
                    <w:rPr>
                      <w:rFonts w:hint="eastAsia" w:ascii="Times New Roman" w:hAnsi="Times New Roman" w:eastAsia="宋体" w:cs="Times New Roman"/>
                      <w:snapToGrid w:val="0"/>
                      <w:color w:val="auto"/>
                      <w:kern w:val="2"/>
                      <w:sz w:val="21"/>
                      <w:szCs w:val="21"/>
                      <w:highlight w:val="none"/>
                      <w:lang w:eastAsia="zh-CN"/>
                    </w:rPr>
                    <w:t>)中二级标准</w:t>
                  </w:r>
                  <w:r>
                    <w:rPr>
                      <w:rFonts w:hint="eastAsia" w:cs="Times New Roman"/>
                      <w:snapToGrid w:val="0"/>
                      <w:color w:val="auto"/>
                      <w:kern w:val="2"/>
                      <w:sz w:val="21"/>
                      <w:szCs w:val="21"/>
                      <w:highlight w:val="none"/>
                      <w:lang w:eastAsia="zh-CN"/>
                    </w:rPr>
                    <w:t>（</w:t>
                  </w:r>
                  <w:r>
                    <w:rPr>
                      <w:rFonts w:hint="eastAsia" w:cs="Times New Roman"/>
                      <w:snapToGrid w:val="0"/>
                      <w:color w:val="auto"/>
                      <w:kern w:val="2"/>
                      <w:sz w:val="21"/>
                      <w:szCs w:val="21"/>
                      <w:highlight w:val="none"/>
                      <w:lang w:val="en-US" w:eastAsia="zh-CN"/>
                    </w:rPr>
                    <w:t>过渡阶段浓度限值</w:t>
                  </w:r>
                  <w:r>
                    <w:rPr>
                      <w:rFonts w:hint="eastAsia" w:cs="Times New Roman"/>
                      <w:snapToGrid w:val="0"/>
                      <w:color w:val="auto"/>
                      <w:kern w:val="2"/>
                      <w:sz w:val="21"/>
                      <w:szCs w:val="21"/>
                      <w:highlight w:val="none"/>
                      <w:lang w:eastAsia="zh-CN"/>
                    </w:rPr>
                    <w:t>）</w:t>
                  </w:r>
                </w:p>
              </w:tc>
            </w:tr>
            <w:tr w14:paraId="44AC6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588" w:type="dxa"/>
                  <w:tcBorders>
                    <w:tl2br w:val="nil"/>
                    <w:tr2bl w:val="nil"/>
                  </w:tcBorders>
                  <w:vAlign w:val="center"/>
                </w:tcPr>
                <w:p w14:paraId="3A075D0F">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eastAsia="宋体"/>
                      <w:color w:val="auto"/>
                      <w:sz w:val="21"/>
                      <w:szCs w:val="21"/>
                      <w:highlight w:val="none"/>
                    </w:rPr>
                  </w:pPr>
                  <w:r>
                    <w:rPr>
                      <w:rFonts w:ascii="Times New Roman" w:hAnsi="Times New Roman" w:eastAsia="Times New Roman" w:cs="Times New Roman"/>
                      <w:color w:val="auto"/>
                      <w:spacing w:val="7"/>
                      <w:sz w:val="21"/>
                      <w:szCs w:val="21"/>
                      <w:highlight w:val="none"/>
                    </w:rPr>
                    <w:t>NO</w:t>
                  </w:r>
                  <w:r>
                    <w:rPr>
                      <w:rFonts w:ascii="Times New Roman" w:hAnsi="Times New Roman" w:eastAsia="Times New Roman" w:cs="Times New Roman"/>
                      <w:color w:val="auto"/>
                      <w:spacing w:val="7"/>
                      <w:position w:val="-1"/>
                      <w:sz w:val="21"/>
                      <w:szCs w:val="21"/>
                      <w:highlight w:val="none"/>
                      <w:vertAlign w:val="subscript"/>
                    </w:rPr>
                    <w:t>X</w:t>
                  </w:r>
                </w:p>
              </w:tc>
              <w:tc>
                <w:tcPr>
                  <w:tcW w:w="1589" w:type="dxa"/>
                  <w:tcBorders>
                    <w:tl2br w:val="nil"/>
                    <w:tr2bl w:val="nil"/>
                  </w:tcBorders>
                  <w:vAlign w:val="center"/>
                </w:tcPr>
                <w:p w14:paraId="7404F964">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eastAsia="宋体"/>
                      <w:color w:val="auto"/>
                      <w:highlight w:val="none"/>
                    </w:rPr>
                  </w:pPr>
                  <w:r>
                    <w:rPr>
                      <w:rFonts w:hint="eastAsia" w:eastAsia="宋体"/>
                      <w:color w:val="auto"/>
                      <w:highlight w:val="none"/>
                    </w:rPr>
                    <w:t>1</w:t>
                  </w:r>
                  <w:r>
                    <w:rPr>
                      <w:rFonts w:eastAsia="宋体"/>
                      <w:color w:val="auto"/>
                      <w:highlight w:val="none"/>
                    </w:rPr>
                    <w:t>小时平均</w:t>
                  </w:r>
                </w:p>
              </w:tc>
              <w:tc>
                <w:tcPr>
                  <w:tcW w:w="1580" w:type="dxa"/>
                  <w:tcBorders>
                    <w:tl2br w:val="nil"/>
                    <w:tr2bl w:val="nil"/>
                  </w:tcBorders>
                  <w:vAlign w:val="center"/>
                </w:tcPr>
                <w:p w14:paraId="5F15E4DC">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eastAsia="宋体"/>
                      <w:color w:val="auto"/>
                      <w:highlight w:val="none"/>
                    </w:rPr>
                  </w:pPr>
                  <w:r>
                    <w:rPr>
                      <w:rFonts w:ascii="Times New Roman" w:hAnsi="Times New Roman" w:eastAsia="Times New Roman" w:cs="Times New Roman"/>
                      <w:color w:val="auto"/>
                      <w:spacing w:val="3"/>
                      <w:sz w:val="20"/>
                      <w:szCs w:val="20"/>
                      <w:highlight w:val="none"/>
                    </w:rPr>
                    <w:t>250</w:t>
                  </w:r>
                </w:p>
              </w:tc>
              <w:tc>
                <w:tcPr>
                  <w:tcW w:w="3801" w:type="dxa"/>
                  <w:vMerge w:val="continue"/>
                  <w:tcBorders>
                    <w:tl2br w:val="nil"/>
                    <w:tr2bl w:val="nil"/>
                  </w:tcBorders>
                  <w:vAlign w:val="center"/>
                </w:tcPr>
                <w:p w14:paraId="68B06C38">
                  <w:pPr>
                    <w:pStyle w:val="149"/>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eastAsia="宋体"/>
                      <w:color w:val="auto"/>
                      <w:szCs w:val="21"/>
                      <w:highlight w:val="none"/>
                    </w:rPr>
                  </w:pPr>
                </w:p>
              </w:tc>
            </w:tr>
            <w:tr w14:paraId="2DD33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588" w:type="dxa"/>
                  <w:tcBorders>
                    <w:tl2br w:val="nil"/>
                    <w:tr2bl w:val="nil"/>
                  </w:tcBorders>
                  <w:vAlign w:val="center"/>
                </w:tcPr>
                <w:p w14:paraId="125817D3">
                  <w:pPr>
                    <w:pStyle w:val="155"/>
                    <w:keepNext w:val="0"/>
                    <w:keepLines w:val="0"/>
                    <w:pageBreakBefore w:val="0"/>
                    <w:widowControl w:val="0"/>
                    <w:kinsoku/>
                    <w:wordWrap/>
                    <w:overflowPunct/>
                    <w:topLinePunct w:val="0"/>
                    <w:autoSpaceDE/>
                    <w:autoSpaceDN/>
                    <w:bidi w:val="0"/>
                    <w:adjustRightInd/>
                    <w:spacing w:line="240" w:lineRule="auto"/>
                    <w:ind w:left="0"/>
                    <w:jc w:val="center"/>
                    <w:textAlignment w:val="auto"/>
                    <w:rPr>
                      <w:color w:val="auto"/>
                      <w:sz w:val="21"/>
                      <w:szCs w:val="21"/>
                      <w:highlight w:val="none"/>
                    </w:rPr>
                  </w:pPr>
                  <w:r>
                    <w:rPr>
                      <w:color w:val="auto"/>
                      <w:spacing w:val="7"/>
                      <w:sz w:val="21"/>
                      <w:szCs w:val="21"/>
                      <w:highlight w:val="none"/>
                    </w:rPr>
                    <w:t>颗粒物</w:t>
                  </w:r>
                </w:p>
                <w:p w14:paraId="068903F3">
                  <w:pPr>
                    <w:pStyle w:val="155"/>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eastAsia" w:eastAsia="宋体"/>
                      <w:color w:val="auto"/>
                      <w:sz w:val="21"/>
                      <w:szCs w:val="21"/>
                      <w:highlight w:val="none"/>
                      <w:lang w:eastAsia="zh-CN"/>
                    </w:rPr>
                  </w:pPr>
                  <w:r>
                    <w:rPr>
                      <w:color w:val="auto"/>
                      <w:spacing w:val="2"/>
                      <w:sz w:val="21"/>
                      <w:szCs w:val="21"/>
                      <w:highlight w:val="none"/>
                    </w:rPr>
                    <w:t>（</w:t>
                  </w:r>
                  <w:r>
                    <w:rPr>
                      <w:rFonts w:ascii="Times New Roman" w:hAnsi="Times New Roman" w:eastAsia="Times New Roman" w:cs="Times New Roman"/>
                      <w:color w:val="auto"/>
                      <w:sz w:val="21"/>
                      <w:szCs w:val="21"/>
                      <w:highlight w:val="none"/>
                    </w:rPr>
                    <w:t>PM</w:t>
                  </w:r>
                  <w:r>
                    <w:rPr>
                      <w:rFonts w:ascii="Times New Roman" w:hAnsi="Times New Roman" w:eastAsia="Times New Roman" w:cs="Times New Roman"/>
                      <w:color w:val="auto"/>
                      <w:spacing w:val="2"/>
                      <w:position w:val="-1"/>
                      <w:sz w:val="21"/>
                      <w:szCs w:val="21"/>
                      <w:highlight w:val="none"/>
                      <w:vertAlign w:val="subscript"/>
                    </w:rPr>
                    <w:t>10</w:t>
                  </w:r>
                  <w:r>
                    <w:rPr>
                      <w:color w:val="auto"/>
                      <w:spacing w:val="2"/>
                      <w:sz w:val="21"/>
                      <w:szCs w:val="21"/>
                      <w:highlight w:val="none"/>
                    </w:rPr>
                    <w:t>）</w:t>
                  </w:r>
                </w:p>
              </w:tc>
              <w:tc>
                <w:tcPr>
                  <w:tcW w:w="1589" w:type="dxa"/>
                  <w:tcBorders>
                    <w:tl2br w:val="nil"/>
                    <w:tr2bl w:val="nil"/>
                  </w:tcBorders>
                  <w:vAlign w:val="center"/>
                </w:tcPr>
                <w:p w14:paraId="670CB0FF">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eastAsia="宋体"/>
                      <w:color w:val="auto"/>
                      <w:highlight w:val="none"/>
                    </w:rPr>
                    <w:t>1</w:t>
                  </w:r>
                  <w:r>
                    <w:rPr>
                      <w:rFonts w:eastAsia="宋体"/>
                      <w:color w:val="auto"/>
                      <w:highlight w:val="none"/>
                    </w:rPr>
                    <w:t>小时平均</w:t>
                  </w:r>
                </w:p>
              </w:tc>
              <w:tc>
                <w:tcPr>
                  <w:tcW w:w="1580" w:type="dxa"/>
                  <w:tcBorders>
                    <w:tl2br w:val="nil"/>
                    <w:tr2bl w:val="nil"/>
                  </w:tcBorders>
                  <w:vAlign w:val="center"/>
                </w:tcPr>
                <w:p w14:paraId="2A8BC72C">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eastAsia="宋体"/>
                      <w:color w:val="auto"/>
                      <w:highlight w:val="none"/>
                      <w:lang w:val="en-US" w:eastAsia="zh-CN"/>
                    </w:rPr>
                  </w:pPr>
                  <w:r>
                    <w:rPr>
                      <w:rFonts w:hint="eastAsia" w:eastAsia="宋体" w:cs="Times New Roman"/>
                      <w:color w:val="auto"/>
                      <w:spacing w:val="4"/>
                      <w:sz w:val="20"/>
                      <w:szCs w:val="20"/>
                      <w:highlight w:val="none"/>
                      <w:lang w:val="en-US" w:eastAsia="zh-CN"/>
                    </w:rPr>
                    <w:t>360</w:t>
                  </w:r>
                </w:p>
              </w:tc>
              <w:tc>
                <w:tcPr>
                  <w:tcW w:w="3801" w:type="dxa"/>
                  <w:vMerge w:val="continue"/>
                  <w:tcBorders>
                    <w:tl2br w:val="nil"/>
                    <w:tr2bl w:val="nil"/>
                  </w:tcBorders>
                  <w:vAlign w:val="center"/>
                </w:tcPr>
                <w:p w14:paraId="13264335">
                  <w:pPr>
                    <w:pStyle w:val="149"/>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ascii="Times New Roman" w:hAnsi="Times New Roman" w:eastAsia="宋体" w:cs="Times New Roman"/>
                      <w:snapToGrid w:val="0"/>
                      <w:color w:val="auto"/>
                      <w:kern w:val="2"/>
                      <w:sz w:val="21"/>
                      <w:szCs w:val="21"/>
                      <w:highlight w:val="none"/>
                      <w:lang w:eastAsia="zh-CN"/>
                    </w:rPr>
                  </w:pPr>
                </w:p>
              </w:tc>
            </w:tr>
          </w:tbl>
          <w:p w14:paraId="674ED3C8">
            <w:pPr>
              <w:pStyle w:val="157"/>
              <w:ind w:firstLine="480"/>
              <w:rPr>
                <w:rFonts w:hint="eastAsia"/>
                <w:color w:val="auto"/>
                <w:highlight w:val="none"/>
                <w:u w:val="none"/>
                <w:lang w:bidi="ar"/>
              </w:rPr>
            </w:pPr>
            <w:r>
              <w:rPr>
                <w:rFonts w:hint="eastAsia"/>
                <w:color w:val="auto"/>
                <w:highlight w:val="none"/>
                <w:u w:val="none"/>
                <w:lang w:bidi="ar"/>
              </w:rPr>
              <w:t>④污染源强</w:t>
            </w:r>
          </w:p>
          <w:p w14:paraId="1501D146">
            <w:pPr>
              <w:pStyle w:val="157"/>
              <w:ind w:firstLine="480"/>
              <w:rPr>
                <w:rFonts w:hint="eastAsia"/>
                <w:color w:val="auto"/>
                <w:highlight w:val="none"/>
                <w:u w:val="none"/>
                <w:lang w:bidi="ar"/>
              </w:rPr>
            </w:pPr>
            <w:r>
              <w:rPr>
                <w:rFonts w:hint="eastAsia"/>
                <w:color w:val="auto"/>
                <w:highlight w:val="none"/>
                <w:u w:val="none"/>
                <w:lang w:bidi="ar"/>
              </w:rPr>
              <w:t>本项目废气正常排放、非正常事故排放（</w:t>
            </w:r>
            <w:r>
              <w:rPr>
                <w:rFonts w:hint="eastAsia"/>
                <w:color w:val="auto"/>
                <w:highlight w:val="none"/>
                <w:u w:val="none"/>
                <w:lang w:eastAsia="zh-CN" w:bidi="ar"/>
              </w:rPr>
              <w:t>两级水膜除尘器</w:t>
            </w:r>
            <w:r>
              <w:rPr>
                <w:rFonts w:hint="eastAsia"/>
                <w:color w:val="auto"/>
                <w:highlight w:val="none"/>
                <w:u w:val="none"/>
                <w:lang w:bidi="ar"/>
              </w:rPr>
              <w:t>处理效果为0）时，有组织排放源参数见表 4-6。</w:t>
            </w:r>
          </w:p>
          <w:p w14:paraId="4E346D74">
            <w:pPr>
              <w:snapToGrid w:val="0"/>
              <w:jc w:val="center"/>
              <w:rPr>
                <w:rFonts w:hint="eastAsia"/>
                <w:b/>
                <w:bCs/>
                <w:snapToGrid w:val="0"/>
                <w:color w:val="auto"/>
                <w:kern w:val="0"/>
                <w:highlight w:val="none"/>
                <w:u w:val="none"/>
              </w:rPr>
            </w:pPr>
            <w:r>
              <w:rPr>
                <w:rFonts w:hint="eastAsia"/>
                <w:b/>
                <w:bCs/>
                <w:snapToGrid w:val="0"/>
                <w:color w:val="auto"/>
                <w:kern w:val="0"/>
                <w:highlight w:val="none"/>
                <w:u w:val="none"/>
              </w:rPr>
              <w:t>表 4-6    项目有组织废气污染源排放参数表</w:t>
            </w:r>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568"/>
              <w:gridCol w:w="568"/>
              <w:gridCol w:w="860"/>
              <w:gridCol w:w="593"/>
              <w:gridCol w:w="731"/>
              <w:gridCol w:w="819"/>
              <w:gridCol w:w="586"/>
              <w:gridCol w:w="701"/>
              <w:gridCol w:w="474"/>
              <w:gridCol w:w="587"/>
              <w:gridCol w:w="587"/>
              <w:gridCol w:w="660"/>
            </w:tblGrid>
            <w:tr w14:paraId="62ADB5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49" w:hRule="atLeast"/>
                <w:jc w:val="center"/>
              </w:trPr>
              <w:tc>
                <w:tcPr>
                  <w:tcW w:w="0" w:type="auto"/>
                  <w:vMerge w:val="restart"/>
                  <w:tcBorders>
                    <w:tl2br w:val="nil"/>
                    <w:tr2bl w:val="nil"/>
                  </w:tcBorders>
                  <w:tcMar>
                    <w:top w:w="0" w:type="dxa"/>
                    <w:left w:w="51" w:type="dxa"/>
                    <w:bottom w:w="0" w:type="dxa"/>
                    <w:right w:w="51" w:type="dxa"/>
                  </w:tcMar>
                  <w:vAlign w:val="center"/>
                </w:tcPr>
                <w:p w14:paraId="2C724C17">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名称</w:t>
                  </w:r>
                </w:p>
              </w:tc>
              <w:tc>
                <w:tcPr>
                  <w:tcW w:w="0" w:type="auto"/>
                  <w:gridSpan w:val="2"/>
                  <w:tcBorders>
                    <w:tl2br w:val="nil"/>
                    <w:tr2bl w:val="nil"/>
                  </w:tcBorders>
                  <w:tcMar>
                    <w:top w:w="0" w:type="dxa"/>
                    <w:left w:w="51" w:type="dxa"/>
                    <w:bottom w:w="0" w:type="dxa"/>
                    <w:right w:w="51" w:type="dxa"/>
                  </w:tcMar>
                  <w:vAlign w:val="center"/>
                </w:tcPr>
                <w:p w14:paraId="27F7516E">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排气筒底部中心坐标/m</w:t>
                  </w:r>
                </w:p>
              </w:tc>
              <w:tc>
                <w:tcPr>
                  <w:tcW w:w="0" w:type="auto"/>
                  <w:vMerge w:val="restart"/>
                  <w:tcBorders>
                    <w:tl2br w:val="nil"/>
                    <w:tr2bl w:val="nil"/>
                  </w:tcBorders>
                  <w:tcMar>
                    <w:top w:w="0" w:type="dxa"/>
                    <w:left w:w="51" w:type="dxa"/>
                    <w:bottom w:w="0" w:type="dxa"/>
                    <w:right w:w="51" w:type="dxa"/>
                  </w:tcMar>
                  <w:vAlign w:val="center"/>
                </w:tcPr>
                <w:p w14:paraId="45A0D724">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排气筒底部海拔高度/m</w:t>
                  </w:r>
                </w:p>
              </w:tc>
              <w:tc>
                <w:tcPr>
                  <w:tcW w:w="0" w:type="auto"/>
                  <w:vMerge w:val="restart"/>
                  <w:tcBorders>
                    <w:tl2br w:val="nil"/>
                    <w:tr2bl w:val="nil"/>
                  </w:tcBorders>
                  <w:tcMar>
                    <w:top w:w="0" w:type="dxa"/>
                    <w:left w:w="51" w:type="dxa"/>
                    <w:bottom w:w="0" w:type="dxa"/>
                    <w:right w:w="51" w:type="dxa"/>
                  </w:tcMar>
                  <w:vAlign w:val="center"/>
                </w:tcPr>
                <w:p w14:paraId="76209B76">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排气筒高度/m</w:t>
                  </w:r>
                </w:p>
              </w:tc>
              <w:tc>
                <w:tcPr>
                  <w:tcW w:w="0" w:type="auto"/>
                  <w:vMerge w:val="restart"/>
                  <w:tcBorders>
                    <w:tl2br w:val="nil"/>
                    <w:tr2bl w:val="nil"/>
                  </w:tcBorders>
                  <w:tcMar>
                    <w:top w:w="0" w:type="dxa"/>
                    <w:left w:w="51" w:type="dxa"/>
                    <w:bottom w:w="0" w:type="dxa"/>
                    <w:right w:w="51" w:type="dxa"/>
                  </w:tcMar>
                  <w:vAlign w:val="center"/>
                </w:tcPr>
                <w:p w14:paraId="423F3F15">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排气筒出口内径/m</w:t>
                  </w:r>
                </w:p>
              </w:tc>
              <w:tc>
                <w:tcPr>
                  <w:tcW w:w="0" w:type="auto"/>
                  <w:vMerge w:val="restart"/>
                  <w:tcBorders>
                    <w:tl2br w:val="nil"/>
                    <w:tr2bl w:val="nil"/>
                  </w:tcBorders>
                  <w:tcMar>
                    <w:top w:w="0" w:type="dxa"/>
                    <w:left w:w="51" w:type="dxa"/>
                    <w:bottom w:w="0" w:type="dxa"/>
                    <w:right w:w="51" w:type="dxa"/>
                  </w:tcMar>
                  <w:vAlign w:val="center"/>
                </w:tcPr>
                <w:p w14:paraId="648D515E">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烟气流速/(m/s)</w:t>
                  </w:r>
                </w:p>
              </w:tc>
              <w:tc>
                <w:tcPr>
                  <w:tcW w:w="0" w:type="auto"/>
                  <w:vMerge w:val="restart"/>
                  <w:tcBorders>
                    <w:tl2br w:val="nil"/>
                    <w:tr2bl w:val="nil"/>
                  </w:tcBorders>
                  <w:tcMar>
                    <w:top w:w="0" w:type="dxa"/>
                    <w:left w:w="51" w:type="dxa"/>
                    <w:bottom w:w="0" w:type="dxa"/>
                    <w:right w:w="51" w:type="dxa"/>
                  </w:tcMar>
                  <w:vAlign w:val="center"/>
                </w:tcPr>
                <w:p w14:paraId="0E93D59E">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烟气温度/℃</w:t>
                  </w:r>
                </w:p>
              </w:tc>
              <w:tc>
                <w:tcPr>
                  <w:tcW w:w="0" w:type="auto"/>
                  <w:vMerge w:val="restart"/>
                  <w:tcBorders>
                    <w:tl2br w:val="nil"/>
                    <w:tr2bl w:val="nil"/>
                  </w:tcBorders>
                  <w:tcMar>
                    <w:top w:w="0" w:type="dxa"/>
                    <w:left w:w="51" w:type="dxa"/>
                    <w:bottom w:w="0" w:type="dxa"/>
                    <w:right w:w="51" w:type="dxa"/>
                  </w:tcMar>
                  <w:vAlign w:val="center"/>
                </w:tcPr>
                <w:p w14:paraId="6BFE76A2">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年排放小时数/h</w:t>
                  </w:r>
                </w:p>
              </w:tc>
              <w:tc>
                <w:tcPr>
                  <w:tcW w:w="0" w:type="auto"/>
                  <w:vMerge w:val="restart"/>
                  <w:tcBorders>
                    <w:tl2br w:val="nil"/>
                    <w:tr2bl w:val="nil"/>
                  </w:tcBorders>
                  <w:tcMar>
                    <w:top w:w="0" w:type="dxa"/>
                    <w:left w:w="51" w:type="dxa"/>
                    <w:bottom w:w="0" w:type="dxa"/>
                    <w:right w:w="51" w:type="dxa"/>
                  </w:tcMar>
                  <w:vAlign w:val="center"/>
                </w:tcPr>
                <w:p w14:paraId="7486686A">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排放工况</w:t>
                  </w:r>
                </w:p>
              </w:tc>
              <w:tc>
                <w:tcPr>
                  <w:tcW w:w="0" w:type="auto"/>
                  <w:gridSpan w:val="3"/>
                  <w:tcBorders>
                    <w:tl2br w:val="nil"/>
                    <w:tr2bl w:val="nil"/>
                  </w:tcBorders>
                  <w:tcMar>
                    <w:top w:w="0" w:type="dxa"/>
                    <w:left w:w="51" w:type="dxa"/>
                    <w:bottom w:w="0" w:type="dxa"/>
                    <w:right w:w="51" w:type="dxa"/>
                  </w:tcMar>
                  <w:vAlign w:val="center"/>
                </w:tcPr>
                <w:p w14:paraId="665D84FC">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污染物排放速率</w:t>
                  </w:r>
                  <w:r>
                    <w:rPr>
                      <w:rFonts w:hint="eastAsia" w:cs="Times New Roman"/>
                      <w:color w:val="auto"/>
                      <w:sz w:val="21"/>
                      <w:szCs w:val="21"/>
                      <w:highlight w:val="none"/>
                      <w:lang w:val="pt-BR" w:eastAsia="zh-CN"/>
                    </w:rPr>
                    <w:t>/(kg/h)</w:t>
                  </w:r>
                </w:p>
              </w:tc>
            </w:tr>
            <w:tr w14:paraId="6D2810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0" w:type="auto"/>
                  <w:vMerge w:val="continue"/>
                  <w:tcBorders>
                    <w:tl2br w:val="nil"/>
                    <w:tr2bl w:val="nil"/>
                  </w:tcBorders>
                  <w:tcMar>
                    <w:top w:w="0" w:type="dxa"/>
                    <w:left w:w="51" w:type="dxa"/>
                    <w:bottom w:w="0" w:type="dxa"/>
                    <w:right w:w="51" w:type="dxa"/>
                  </w:tcMar>
                  <w:vAlign w:val="center"/>
                </w:tcPr>
                <w:p w14:paraId="76298797">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pt-BR" w:eastAsia="zh-CN"/>
                    </w:rPr>
                  </w:pPr>
                </w:p>
              </w:tc>
              <w:tc>
                <w:tcPr>
                  <w:tcW w:w="0" w:type="auto"/>
                  <w:tcBorders>
                    <w:tl2br w:val="nil"/>
                    <w:tr2bl w:val="nil"/>
                  </w:tcBorders>
                  <w:tcMar>
                    <w:top w:w="0" w:type="dxa"/>
                    <w:left w:w="51" w:type="dxa"/>
                    <w:bottom w:w="0" w:type="dxa"/>
                    <w:right w:w="51" w:type="dxa"/>
                  </w:tcMar>
                  <w:vAlign w:val="center"/>
                </w:tcPr>
                <w:p w14:paraId="69359110">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X</w:t>
                  </w:r>
                </w:p>
              </w:tc>
              <w:tc>
                <w:tcPr>
                  <w:tcW w:w="0" w:type="auto"/>
                  <w:tcBorders>
                    <w:tl2br w:val="nil"/>
                    <w:tr2bl w:val="nil"/>
                  </w:tcBorders>
                  <w:tcMar>
                    <w:top w:w="0" w:type="dxa"/>
                    <w:left w:w="51" w:type="dxa"/>
                    <w:bottom w:w="0" w:type="dxa"/>
                    <w:right w:w="51" w:type="dxa"/>
                  </w:tcMar>
                  <w:vAlign w:val="center"/>
                </w:tcPr>
                <w:p w14:paraId="59234F1E">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Y</w:t>
                  </w:r>
                </w:p>
              </w:tc>
              <w:tc>
                <w:tcPr>
                  <w:tcW w:w="0" w:type="auto"/>
                  <w:vMerge w:val="continue"/>
                  <w:tcBorders>
                    <w:tl2br w:val="nil"/>
                    <w:tr2bl w:val="nil"/>
                  </w:tcBorders>
                  <w:tcMar>
                    <w:top w:w="0" w:type="dxa"/>
                    <w:left w:w="51" w:type="dxa"/>
                    <w:bottom w:w="0" w:type="dxa"/>
                    <w:right w:w="51" w:type="dxa"/>
                  </w:tcMar>
                  <w:vAlign w:val="center"/>
                </w:tcPr>
                <w:p w14:paraId="45BFFFAC">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vMerge w:val="continue"/>
                  <w:tcBorders>
                    <w:tl2br w:val="nil"/>
                    <w:tr2bl w:val="nil"/>
                  </w:tcBorders>
                  <w:tcMar>
                    <w:top w:w="0" w:type="dxa"/>
                    <w:left w:w="51" w:type="dxa"/>
                    <w:bottom w:w="0" w:type="dxa"/>
                    <w:right w:w="51" w:type="dxa"/>
                  </w:tcMar>
                  <w:vAlign w:val="center"/>
                </w:tcPr>
                <w:p w14:paraId="57B5109E">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vMerge w:val="continue"/>
                  <w:tcBorders>
                    <w:tl2br w:val="nil"/>
                    <w:tr2bl w:val="nil"/>
                  </w:tcBorders>
                  <w:tcMar>
                    <w:top w:w="0" w:type="dxa"/>
                    <w:left w:w="51" w:type="dxa"/>
                    <w:bottom w:w="0" w:type="dxa"/>
                    <w:right w:w="51" w:type="dxa"/>
                  </w:tcMar>
                  <w:vAlign w:val="center"/>
                </w:tcPr>
                <w:p w14:paraId="1751DFCA">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vMerge w:val="continue"/>
                  <w:tcBorders>
                    <w:tl2br w:val="nil"/>
                    <w:tr2bl w:val="nil"/>
                  </w:tcBorders>
                  <w:tcMar>
                    <w:top w:w="0" w:type="dxa"/>
                    <w:left w:w="51" w:type="dxa"/>
                    <w:bottom w:w="0" w:type="dxa"/>
                    <w:right w:w="51" w:type="dxa"/>
                  </w:tcMar>
                  <w:vAlign w:val="center"/>
                </w:tcPr>
                <w:p w14:paraId="003C2FDC">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vMerge w:val="continue"/>
                  <w:tcBorders>
                    <w:tl2br w:val="nil"/>
                    <w:tr2bl w:val="nil"/>
                  </w:tcBorders>
                  <w:tcMar>
                    <w:top w:w="0" w:type="dxa"/>
                    <w:left w:w="51" w:type="dxa"/>
                    <w:bottom w:w="0" w:type="dxa"/>
                    <w:right w:w="51" w:type="dxa"/>
                  </w:tcMar>
                  <w:vAlign w:val="center"/>
                </w:tcPr>
                <w:p w14:paraId="4B0C703C">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vMerge w:val="continue"/>
                  <w:tcBorders>
                    <w:tl2br w:val="nil"/>
                    <w:tr2bl w:val="nil"/>
                  </w:tcBorders>
                  <w:tcMar>
                    <w:top w:w="0" w:type="dxa"/>
                    <w:left w:w="51" w:type="dxa"/>
                    <w:bottom w:w="0" w:type="dxa"/>
                    <w:right w:w="51" w:type="dxa"/>
                  </w:tcMar>
                  <w:vAlign w:val="center"/>
                </w:tcPr>
                <w:p w14:paraId="260D1AD2">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vMerge w:val="continue"/>
                  <w:tcBorders>
                    <w:tl2br w:val="nil"/>
                    <w:tr2bl w:val="nil"/>
                  </w:tcBorders>
                  <w:tcMar>
                    <w:top w:w="0" w:type="dxa"/>
                    <w:left w:w="51" w:type="dxa"/>
                    <w:bottom w:w="0" w:type="dxa"/>
                    <w:right w:w="51" w:type="dxa"/>
                  </w:tcMar>
                  <w:vAlign w:val="center"/>
                </w:tcPr>
                <w:p w14:paraId="3743C517">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p>
              </w:tc>
              <w:tc>
                <w:tcPr>
                  <w:tcW w:w="0" w:type="auto"/>
                  <w:tcBorders>
                    <w:tl2br w:val="nil"/>
                    <w:tr2bl w:val="nil"/>
                  </w:tcBorders>
                  <w:tcMar>
                    <w:top w:w="0" w:type="dxa"/>
                    <w:left w:w="51" w:type="dxa"/>
                    <w:bottom w:w="0" w:type="dxa"/>
                    <w:right w:w="51" w:type="dxa"/>
                  </w:tcMar>
                  <w:vAlign w:val="center"/>
                </w:tcPr>
                <w:p w14:paraId="01B6F9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ascii="Times New Roman" w:hAnsi="Times New Roman" w:eastAsia="Times New Roman" w:cs="Times New Roman"/>
                      <w:color w:val="auto"/>
                      <w:sz w:val="20"/>
                      <w:szCs w:val="20"/>
                      <w:highlight w:val="none"/>
                    </w:rPr>
                    <w:t>SO</w:t>
                  </w:r>
                  <w:r>
                    <w:rPr>
                      <w:rFonts w:ascii="Times New Roman" w:hAnsi="Times New Roman" w:eastAsia="Times New Roman" w:cs="Times New Roman"/>
                      <w:color w:val="auto"/>
                      <w:spacing w:val="1"/>
                      <w:position w:val="-1"/>
                      <w:sz w:val="13"/>
                      <w:szCs w:val="13"/>
                      <w:highlight w:val="none"/>
                    </w:rPr>
                    <w:t>2</w:t>
                  </w:r>
                </w:p>
              </w:tc>
              <w:tc>
                <w:tcPr>
                  <w:tcW w:w="0" w:type="auto"/>
                  <w:tcBorders>
                    <w:tl2br w:val="nil"/>
                    <w:tr2bl w:val="nil"/>
                  </w:tcBorders>
                  <w:tcMar>
                    <w:top w:w="0" w:type="dxa"/>
                    <w:left w:w="51" w:type="dxa"/>
                    <w:bottom w:w="0" w:type="dxa"/>
                    <w:right w:w="51" w:type="dxa"/>
                  </w:tcMar>
                  <w:vAlign w:val="center"/>
                </w:tcPr>
                <w:p w14:paraId="77AC998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ascii="Times New Roman" w:hAnsi="Times New Roman" w:eastAsia="Times New Roman" w:cs="Times New Roman"/>
                      <w:color w:val="auto"/>
                      <w:spacing w:val="6"/>
                      <w:sz w:val="20"/>
                      <w:szCs w:val="20"/>
                      <w:highlight w:val="none"/>
                    </w:rPr>
                    <w:t>NOx</w:t>
                  </w:r>
                </w:p>
              </w:tc>
              <w:tc>
                <w:tcPr>
                  <w:tcW w:w="0" w:type="auto"/>
                  <w:tcBorders>
                    <w:tl2br w:val="nil"/>
                    <w:tr2bl w:val="nil"/>
                  </w:tcBorders>
                  <w:tcMar>
                    <w:top w:w="0" w:type="dxa"/>
                    <w:left w:w="51" w:type="dxa"/>
                    <w:bottom w:w="0" w:type="dxa"/>
                    <w:right w:w="51" w:type="dxa"/>
                  </w:tcMar>
                  <w:vAlign w:val="center"/>
                </w:tcPr>
                <w:p w14:paraId="508581EB">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颗粒 物</w:t>
                  </w:r>
                </w:p>
              </w:tc>
            </w:tr>
            <w:tr w14:paraId="2EF2F1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85" w:hRule="atLeast"/>
                <w:jc w:val="center"/>
              </w:trPr>
              <w:tc>
                <w:tcPr>
                  <w:tcW w:w="0" w:type="auto"/>
                  <w:tcBorders>
                    <w:tl2br w:val="nil"/>
                    <w:tr2bl w:val="nil"/>
                  </w:tcBorders>
                  <w:tcMar>
                    <w:top w:w="0" w:type="dxa"/>
                    <w:left w:w="51" w:type="dxa"/>
                    <w:bottom w:w="0" w:type="dxa"/>
                    <w:right w:w="51" w:type="dxa"/>
                  </w:tcMar>
                  <w:vAlign w:val="center"/>
                </w:tcPr>
                <w:p w14:paraId="4BFD05A1">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锅炉废气排气</w:t>
                  </w:r>
                </w:p>
                <w:p w14:paraId="02C10B02">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筒DA001</w:t>
                  </w:r>
                </w:p>
              </w:tc>
              <w:tc>
                <w:tcPr>
                  <w:tcW w:w="0" w:type="auto"/>
                  <w:tcBorders>
                    <w:tl2br w:val="nil"/>
                    <w:tr2bl w:val="nil"/>
                  </w:tcBorders>
                  <w:tcMar>
                    <w:top w:w="0" w:type="dxa"/>
                    <w:left w:w="51" w:type="dxa"/>
                    <w:bottom w:w="0" w:type="dxa"/>
                    <w:right w:w="51" w:type="dxa"/>
                  </w:tcMar>
                  <w:vAlign w:val="center"/>
                </w:tcPr>
                <w:p w14:paraId="4E68F0B4">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-42</w:t>
                  </w:r>
                </w:p>
              </w:tc>
              <w:tc>
                <w:tcPr>
                  <w:tcW w:w="0" w:type="auto"/>
                  <w:tcBorders>
                    <w:tl2br w:val="nil"/>
                    <w:tr2bl w:val="nil"/>
                  </w:tcBorders>
                  <w:tcMar>
                    <w:top w:w="0" w:type="dxa"/>
                    <w:left w:w="51" w:type="dxa"/>
                    <w:bottom w:w="0" w:type="dxa"/>
                    <w:right w:w="51" w:type="dxa"/>
                  </w:tcMar>
                  <w:vAlign w:val="center"/>
                </w:tcPr>
                <w:p w14:paraId="14EFB486">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-33</w:t>
                  </w:r>
                </w:p>
              </w:tc>
              <w:tc>
                <w:tcPr>
                  <w:tcW w:w="0" w:type="auto"/>
                  <w:tcBorders>
                    <w:tl2br w:val="nil"/>
                    <w:tr2bl w:val="nil"/>
                  </w:tcBorders>
                  <w:tcMar>
                    <w:top w:w="0" w:type="dxa"/>
                    <w:left w:w="51" w:type="dxa"/>
                    <w:bottom w:w="0" w:type="dxa"/>
                    <w:right w:w="51" w:type="dxa"/>
                  </w:tcMar>
                  <w:vAlign w:val="center"/>
                </w:tcPr>
                <w:p w14:paraId="790162B8">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eastAsia="宋体" w:cs="Times New Roman"/>
                      <w:color w:val="auto"/>
                      <w:sz w:val="21"/>
                      <w:szCs w:val="21"/>
                      <w:highlight w:val="none"/>
                      <w:lang w:val="en-US" w:eastAsia="zh-CN"/>
                    </w:rPr>
                  </w:pPr>
                  <w:r>
                    <w:rPr>
                      <w:rFonts w:hint="eastAsia" w:eastAsia="宋体" w:cs="Times New Roman"/>
                      <w:color w:val="auto"/>
                      <w:spacing w:val="-3"/>
                      <w:sz w:val="20"/>
                      <w:szCs w:val="20"/>
                      <w:highlight w:val="none"/>
                      <w:lang w:val="en-US" w:eastAsia="zh-CN"/>
                    </w:rPr>
                    <w:t>1</w:t>
                  </w:r>
                  <w:r>
                    <w:rPr>
                      <w:rFonts w:hint="eastAsia" w:cs="Times New Roman"/>
                      <w:color w:val="auto"/>
                      <w:spacing w:val="-3"/>
                      <w:sz w:val="20"/>
                      <w:szCs w:val="20"/>
                      <w:highlight w:val="none"/>
                      <w:lang w:val="en-US" w:eastAsia="zh-CN"/>
                    </w:rPr>
                    <w:t>24</w:t>
                  </w:r>
                </w:p>
              </w:tc>
              <w:tc>
                <w:tcPr>
                  <w:tcW w:w="0" w:type="auto"/>
                  <w:tcBorders>
                    <w:tl2br w:val="nil"/>
                    <w:tr2bl w:val="nil"/>
                  </w:tcBorders>
                  <w:tcMar>
                    <w:top w:w="0" w:type="dxa"/>
                    <w:left w:w="51" w:type="dxa"/>
                    <w:bottom w:w="0" w:type="dxa"/>
                    <w:right w:w="51" w:type="dxa"/>
                  </w:tcMar>
                  <w:vAlign w:val="center"/>
                </w:tcPr>
                <w:p w14:paraId="02756E74">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35</w:t>
                  </w:r>
                </w:p>
              </w:tc>
              <w:tc>
                <w:tcPr>
                  <w:tcW w:w="0" w:type="auto"/>
                  <w:tcBorders>
                    <w:tl2br w:val="nil"/>
                    <w:tr2bl w:val="nil"/>
                  </w:tcBorders>
                  <w:tcMar>
                    <w:top w:w="0" w:type="dxa"/>
                    <w:left w:w="51" w:type="dxa"/>
                    <w:bottom w:w="0" w:type="dxa"/>
                    <w:right w:w="51" w:type="dxa"/>
                  </w:tcMar>
                  <w:vAlign w:val="center"/>
                </w:tcPr>
                <w:p w14:paraId="3DC2D4D6">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c>
                <w:tcPr>
                  <w:tcW w:w="0" w:type="auto"/>
                  <w:tcBorders>
                    <w:tl2br w:val="nil"/>
                    <w:tr2bl w:val="nil"/>
                  </w:tcBorders>
                  <w:tcMar>
                    <w:top w:w="0" w:type="dxa"/>
                    <w:left w:w="51" w:type="dxa"/>
                    <w:bottom w:w="0" w:type="dxa"/>
                    <w:right w:w="51" w:type="dxa"/>
                  </w:tcMar>
                  <w:vAlign w:val="center"/>
                </w:tcPr>
                <w:p w14:paraId="5AB305DF">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3.93</w:t>
                  </w:r>
                </w:p>
              </w:tc>
              <w:tc>
                <w:tcPr>
                  <w:tcW w:w="0" w:type="auto"/>
                  <w:tcBorders>
                    <w:tl2br w:val="nil"/>
                    <w:tr2bl w:val="nil"/>
                  </w:tcBorders>
                  <w:tcMar>
                    <w:top w:w="0" w:type="dxa"/>
                    <w:left w:w="51" w:type="dxa"/>
                    <w:bottom w:w="0" w:type="dxa"/>
                    <w:right w:w="51" w:type="dxa"/>
                  </w:tcMar>
                  <w:vAlign w:val="center"/>
                </w:tcPr>
                <w:p w14:paraId="4A5B8FAC">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40</w:t>
                  </w:r>
                </w:p>
              </w:tc>
              <w:tc>
                <w:tcPr>
                  <w:tcW w:w="0" w:type="auto"/>
                  <w:tcBorders>
                    <w:tl2br w:val="nil"/>
                    <w:tr2bl w:val="nil"/>
                  </w:tcBorders>
                  <w:tcMar>
                    <w:top w:w="0" w:type="dxa"/>
                    <w:left w:w="51" w:type="dxa"/>
                    <w:bottom w:w="0" w:type="dxa"/>
                    <w:right w:w="51" w:type="dxa"/>
                  </w:tcMar>
                  <w:vAlign w:val="center"/>
                </w:tcPr>
                <w:p w14:paraId="264378EF">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900</w:t>
                  </w:r>
                </w:p>
              </w:tc>
              <w:tc>
                <w:tcPr>
                  <w:tcW w:w="0" w:type="auto"/>
                  <w:tcBorders>
                    <w:tl2br w:val="nil"/>
                    <w:tr2bl w:val="nil"/>
                  </w:tcBorders>
                  <w:tcMar>
                    <w:top w:w="0" w:type="dxa"/>
                    <w:left w:w="51" w:type="dxa"/>
                    <w:bottom w:w="0" w:type="dxa"/>
                    <w:right w:w="51" w:type="dxa"/>
                  </w:tcMar>
                  <w:vAlign w:val="center"/>
                </w:tcPr>
                <w:p w14:paraId="250EC938">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正常</w:t>
                  </w:r>
                </w:p>
              </w:tc>
              <w:tc>
                <w:tcPr>
                  <w:tcW w:w="0" w:type="auto"/>
                  <w:tcBorders>
                    <w:tl2br w:val="nil"/>
                    <w:tr2bl w:val="nil"/>
                  </w:tcBorders>
                  <w:tcMar>
                    <w:top w:w="0" w:type="dxa"/>
                    <w:left w:w="51" w:type="dxa"/>
                    <w:bottom w:w="0" w:type="dxa"/>
                    <w:right w:w="51" w:type="dxa"/>
                  </w:tcMar>
                  <w:vAlign w:val="center"/>
                </w:tcPr>
                <w:p w14:paraId="4BCD2D5B">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0.107</w:t>
                  </w:r>
                </w:p>
              </w:tc>
              <w:tc>
                <w:tcPr>
                  <w:tcW w:w="0" w:type="auto"/>
                  <w:tcBorders>
                    <w:tl2br w:val="nil"/>
                    <w:tr2bl w:val="nil"/>
                  </w:tcBorders>
                  <w:tcMar>
                    <w:top w:w="0" w:type="dxa"/>
                    <w:left w:w="51" w:type="dxa"/>
                    <w:bottom w:w="0" w:type="dxa"/>
                    <w:right w:w="51" w:type="dxa"/>
                  </w:tcMar>
                  <w:vAlign w:val="center"/>
                </w:tcPr>
                <w:p w14:paraId="2D7C3ACE">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0.321</w:t>
                  </w:r>
                </w:p>
              </w:tc>
              <w:tc>
                <w:tcPr>
                  <w:tcW w:w="0" w:type="auto"/>
                  <w:tcBorders>
                    <w:tl2br w:val="nil"/>
                    <w:tr2bl w:val="nil"/>
                  </w:tcBorders>
                  <w:tcMar>
                    <w:top w:w="0" w:type="dxa"/>
                    <w:left w:w="51" w:type="dxa"/>
                    <w:bottom w:w="0" w:type="dxa"/>
                    <w:right w:w="51" w:type="dxa"/>
                  </w:tcMar>
                  <w:vAlign w:val="center"/>
                </w:tcPr>
                <w:p w14:paraId="2128E4B0">
                  <w:pPr>
                    <w:keepNext w:val="0"/>
                    <w:keepLines w:val="0"/>
                    <w:pageBreakBefore w:val="0"/>
                    <w:widowControl w:val="0"/>
                    <w:kinsoku/>
                    <w:wordWrap/>
                    <w:overflowPunct/>
                    <w:topLinePunct w:val="0"/>
                    <w:autoSpaceDE/>
                    <w:autoSpaceDN/>
                    <w:bidi w:val="0"/>
                    <w:adjustRightInd/>
                    <w:spacing w:line="240" w:lineRule="auto"/>
                    <w:ind w:left="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0.013</w:t>
                  </w:r>
                </w:p>
              </w:tc>
            </w:tr>
          </w:tbl>
          <w:p w14:paraId="436625C7">
            <w:pPr>
              <w:pStyle w:val="157"/>
              <w:ind w:firstLine="480"/>
              <w:rPr>
                <w:rFonts w:hint="eastAsia"/>
                <w:color w:val="auto"/>
                <w:highlight w:val="none"/>
                <w:u w:val="none"/>
              </w:rPr>
            </w:pPr>
            <w:r>
              <w:rPr>
                <w:rFonts w:hint="eastAsia"/>
                <w:color w:val="auto"/>
                <w:highlight w:val="none"/>
                <w:u w:val="none"/>
              </w:rPr>
              <w:t>⑤预测参数选取</w:t>
            </w:r>
          </w:p>
          <w:p w14:paraId="77FBA230">
            <w:pPr>
              <w:pStyle w:val="157"/>
              <w:ind w:firstLine="480"/>
              <w:rPr>
                <w:rFonts w:hint="eastAsia"/>
                <w:color w:val="auto"/>
                <w:highlight w:val="none"/>
                <w:u w:val="none"/>
              </w:rPr>
            </w:pPr>
            <w:r>
              <w:rPr>
                <w:rFonts w:hint="eastAsia"/>
                <w:color w:val="auto"/>
                <w:highlight w:val="none"/>
                <w:u w:val="none"/>
              </w:rPr>
              <w:t>根据项目所在地地形和环境气象调查结果，本次评价估算模型参数取值见下表 4-7。</w:t>
            </w:r>
          </w:p>
          <w:p w14:paraId="5BE5A388">
            <w:pPr>
              <w:pStyle w:val="148"/>
              <w:spacing w:beforeLines="0"/>
              <w:rPr>
                <w:rFonts w:eastAsia="宋体" w:cs="Times New Roman"/>
                <w:color w:val="auto"/>
                <w:highlight w:val="none"/>
              </w:rPr>
            </w:pPr>
            <w:r>
              <w:rPr>
                <w:rFonts w:eastAsia="宋体" w:cs="Times New Roman"/>
                <w:color w:val="auto"/>
                <w:highlight w:val="none"/>
              </w:rPr>
              <w:t>表</w:t>
            </w:r>
            <w:r>
              <w:rPr>
                <w:rFonts w:hint="eastAsia" w:eastAsia="宋体" w:cs="Times New Roman"/>
                <w:color w:val="auto"/>
                <w:highlight w:val="none"/>
                <w:lang w:val="en-US" w:eastAsia="zh-CN"/>
              </w:rPr>
              <w:t>4</w:t>
            </w:r>
            <w:r>
              <w:rPr>
                <w:rFonts w:eastAsia="宋体" w:cs="Times New Roman"/>
                <w:color w:val="auto"/>
                <w:highlight w:val="none"/>
              </w:rPr>
              <w:t>-</w:t>
            </w:r>
            <w:r>
              <w:rPr>
                <w:rFonts w:hint="eastAsia" w:cs="Times New Roman"/>
                <w:color w:val="auto"/>
                <w:highlight w:val="none"/>
                <w:lang w:val="en-US" w:eastAsia="zh-CN"/>
              </w:rPr>
              <w:t>7</w:t>
            </w:r>
            <w:r>
              <w:rPr>
                <w:rFonts w:hint="eastAsia" w:eastAsia="宋体" w:cs="Times New Roman"/>
                <w:color w:val="auto"/>
                <w:highlight w:val="none"/>
                <w:lang w:val="en-US" w:eastAsia="zh-CN"/>
              </w:rPr>
              <w:t xml:space="preserve"> </w:t>
            </w:r>
            <w:r>
              <w:rPr>
                <w:rFonts w:eastAsia="宋体" w:cs="Times New Roman"/>
                <w:color w:val="auto"/>
                <w:highlight w:val="none"/>
              </w:rPr>
              <w:t xml:space="preserve"> 估算模型预测参数表</w:t>
            </w:r>
          </w:p>
          <w:tbl>
            <w:tblPr>
              <w:tblStyle w:val="42"/>
              <w:tblW w:w="478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011"/>
              <w:gridCol w:w="2371"/>
              <w:gridCol w:w="3872"/>
            </w:tblGrid>
            <w:tr w14:paraId="1E9038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2654" w:type="pct"/>
                  <w:gridSpan w:val="2"/>
                  <w:tcBorders>
                    <w:tl2br w:val="nil"/>
                    <w:tr2bl w:val="nil"/>
                  </w:tcBorders>
                  <w:vAlign w:val="center"/>
                </w:tcPr>
                <w:p w14:paraId="0A47C8E9">
                  <w:pPr>
                    <w:pStyle w:val="149"/>
                    <w:rPr>
                      <w:rFonts w:eastAsia="宋体"/>
                      <w:color w:val="auto"/>
                      <w:highlight w:val="none"/>
                    </w:rPr>
                  </w:pPr>
                  <w:r>
                    <w:rPr>
                      <w:rFonts w:eastAsia="宋体"/>
                      <w:color w:val="auto"/>
                      <w:highlight w:val="none"/>
                    </w:rPr>
                    <w:t>参数</w:t>
                  </w:r>
                </w:p>
              </w:tc>
              <w:tc>
                <w:tcPr>
                  <w:tcW w:w="2345" w:type="pct"/>
                  <w:tcBorders>
                    <w:tl2br w:val="nil"/>
                    <w:tr2bl w:val="nil"/>
                  </w:tcBorders>
                  <w:vAlign w:val="center"/>
                </w:tcPr>
                <w:p w14:paraId="3BF529F2">
                  <w:pPr>
                    <w:pStyle w:val="149"/>
                    <w:rPr>
                      <w:rFonts w:eastAsia="宋体"/>
                      <w:color w:val="auto"/>
                      <w:highlight w:val="none"/>
                    </w:rPr>
                  </w:pPr>
                  <w:r>
                    <w:rPr>
                      <w:rFonts w:eastAsia="宋体"/>
                      <w:color w:val="auto"/>
                      <w:highlight w:val="none"/>
                    </w:rPr>
                    <w:t>取值</w:t>
                  </w:r>
                </w:p>
              </w:tc>
            </w:tr>
            <w:tr w14:paraId="7C902F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8" w:type="pct"/>
                  <w:vMerge w:val="restart"/>
                  <w:tcBorders>
                    <w:tl2br w:val="nil"/>
                    <w:tr2bl w:val="nil"/>
                  </w:tcBorders>
                  <w:vAlign w:val="center"/>
                </w:tcPr>
                <w:p w14:paraId="6BE1DECD">
                  <w:pPr>
                    <w:pStyle w:val="149"/>
                    <w:rPr>
                      <w:rFonts w:eastAsia="宋体"/>
                      <w:color w:val="auto"/>
                      <w:highlight w:val="none"/>
                    </w:rPr>
                  </w:pPr>
                  <w:r>
                    <w:rPr>
                      <w:rFonts w:eastAsia="宋体"/>
                      <w:color w:val="auto"/>
                      <w:highlight w:val="none"/>
                    </w:rPr>
                    <w:t>城市农村/选项</w:t>
                  </w:r>
                </w:p>
              </w:tc>
              <w:tc>
                <w:tcPr>
                  <w:tcW w:w="1436" w:type="pct"/>
                  <w:tcBorders>
                    <w:tl2br w:val="nil"/>
                    <w:tr2bl w:val="nil"/>
                  </w:tcBorders>
                  <w:vAlign w:val="center"/>
                </w:tcPr>
                <w:p w14:paraId="16543A88">
                  <w:pPr>
                    <w:pStyle w:val="149"/>
                    <w:rPr>
                      <w:rFonts w:eastAsia="宋体"/>
                      <w:color w:val="auto"/>
                      <w:highlight w:val="none"/>
                    </w:rPr>
                  </w:pPr>
                  <w:r>
                    <w:rPr>
                      <w:rFonts w:eastAsia="宋体"/>
                      <w:color w:val="auto"/>
                      <w:highlight w:val="none"/>
                    </w:rPr>
                    <w:t>城市/农村</w:t>
                  </w:r>
                </w:p>
              </w:tc>
              <w:tc>
                <w:tcPr>
                  <w:tcW w:w="2345" w:type="pct"/>
                  <w:tcBorders>
                    <w:tl2br w:val="nil"/>
                    <w:tr2bl w:val="nil"/>
                  </w:tcBorders>
                  <w:vAlign w:val="center"/>
                </w:tcPr>
                <w:p w14:paraId="379BC1C3">
                  <w:pPr>
                    <w:jc w:val="center"/>
                    <w:rPr>
                      <w:rFonts w:eastAsia="宋体"/>
                      <w:color w:val="auto"/>
                      <w:highlight w:val="none"/>
                    </w:rPr>
                  </w:pPr>
                  <w:r>
                    <w:rPr>
                      <w:color w:val="auto"/>
                      <w:highlight w:val="none"/>
                    </w:rPr>
                    <w:t>农村</w:t>
                  </w:r>
                </w:p>
              </w:tc>
            </w:tr>
            <w:tr w14:paraId="3A9C74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8" w:type="pct"/>
                  <w:vMerge w:val="continue"/>
                  <w:tcBorders>
                    <w:tl2br w:val="nil"/>
                    <w:tr2bl w:val="nil"/>
                  </w:tcBorders>
                  <w:vAlign w:val="center"/>
                </w:tcPr>
                <w:p w14:paraId="65D7E78F">
                  <w:pPr>
                    <w:pStyle w:val="149"/>
                    <w:rPr>
                      <w:rFonts w:eastAsia="宋体"/>
                      <w:color w:val="auto"/>
                      <w:highlight w:val="none"/>
                    </w:rPr>
                  </w:pPr>
                </w:p>
              </w:tc>
              <w:tc>
                <w:tcPr>
                  <w:tcW w:w="1436" w:type="pct"/>
                  <w:tcBorders>
                    <w:tl2br w:val="nil"/>
                    <w:tr2bl w:val="nil"/>
                  </w:tcBorders>
                  <w:vAlign w:val="center"/>
                </w:tcPr>
                <w:p w14:paraId="4BD46EBD">
                  <w:pPr>
                    <w:pStyle w:val="149"/>
                    <w:rPr>
                      <w:rFonts w:eastAsia="宋体"/>
                      <w:color w:val="auto"/>
                      <w:highlight w:val="none"/>
                    </w:rPr>
                  </w:pPr>
                  <w:r>
                    <w:rPr>
                      <w:rFonts w:eastAsia="宋体"/>
                      <w:color w:val="auto"/>
                      <w:highlight w:val="none"/>
                    </w:rPr>
                    <w:t>人口数(城市选项时)</w:t>
                  </w:r>
                </w:p>
              </w:tc>
              <w:tc>
                <w:tcPr>
                  <w:tcW w:w="2345" w:type="pct"/>
                  <w:tcBorders>
                    <w:tl2br w:val="nil"/>
                    <w:tr2bl w:val="nil"/>
                  </w:tcBorders>
                  <w:vAlign w:val="center"/>
                </w:tcPr>
                <w:p w14:paraId="17CFBD10">
                  <w:pPr>
                    <w:jc w:val="center"/>
                    <w:rPr>
                      <w:rFonts w:eastAsia="宋体"/>
                      <w:color w:val="auto"/>
                      <w:highlight w:val="none"/>
                    </w:rPr>
                  </w:pPr>
                  <w:r>
                    <w:rPr>
                      <w:rFonts w:hint="eastAsia"/>
                      <w:color w:val="auto"/>
                      <w:highlight w:val="none"/>
                    </w:rPr>
                    <w:t>/</w:t>
                  </w:r>
                </w:p>
              </w:tc>
            </w:tr>
            <w:tr w14:paraId="114C91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54" w:type="pct"/>
                  <w:gridSpan w:val="2"/>
                  <w:tcBorders>
                    <w:tl2br w:val="nil"/>
                    <w:tr2bl w:val="nil"/>
                  </w:tcBorders>
                  <w:vAlign w:val="center"/>
                </w:tcPr>
                <w:p w14:paraId="5D0CCC11">
                  <w:pPr>
                    <w:pStyle w:val="149"/>
                    <w:rPr>
                      <w:rFonts w:eastAsia="宋体"/>
                      <w:color w:val="auto"/>
                      <w:highlight w:val="none"/>
                    </w:rPr>
                  </w:pPr>
                  <w:r>
                    <w:rPr>
                      <w:rFonts w:eastAsia="宋体"/>
                      <w:color w:val="auto"/>
                      <w:highlight w:val="none"/>
                    </w:rPr>
                    <w:t>最高环境温度/℃</w:t>
                  </w:r>
                </w:p>
              </w:tc>
              <w:tc>
                <w:tcPr>
                  <w:tcW w:w="2345" w:type="pct"/>
                  <w:tcBorders>
                    <w:tl2br w:val="nil"/>
                    <w:tr2bl w:val="nil"/>
                  </w:tcBorders>
                  <w:vAlign w:val="center"/>
                </w:tcPr>
                <w:p w14:paraId="22E5F65E">
                  <w:pPr>
                    <w:jc w:val="center"/>
                    <w:rPr>
                      <w:rFonts w:hint="default" w:eastAsia="宋体"/>
                      <w:color w:val="auto"/>
                      <w:highlight w:val="none"/>
                      <w:lang w:val="en-US" w:eastAsia="zh-CN"/>
                    </w:rPr>
                  </w:pPr>
                  <w:r>
                    <w:rPr>
                      <w:rFonts w:hint="eastAsia" w:eastAsia="宋体"/>
                      <w:color w:val="auto"/>
                      <w:highlight w:val="none"/>
                      <w:lang w:val="en-US" w:eastAsia="zh-CN"/>
                    </w:rPr>
                    <w:t>41.7</w:t>
                  </w:r>
                </w:p>
              </w:tc>
            </w:tr>
            <w:tr w14:paraId="25802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54" w:type="pct"/>
                  <w:gridSpan w:val="2"/>
                  <w:tcBorders>
                    <w:tl2br w:val="nil"/>
                    <w:tr2bl w:val="nil"/>
                  </w:tcBorders>
                  <w:vAlign w:val="center"/>
                </w:tcPr>
                <w:p w14:paraId="0F565B9C">
                  <w:pPr>
                    <w:pStyle w:val="149"/>
                    <w:rPr>
                      <w:rFonts w:eastAsia="宋体"/>
                      <w:color w:val="auto"/>
                      <w:highlight w:val="none"/>
                    </w:rPr>
                  </w:pPr>
                  <w:r>
                    <w:rPr>
                      <w:rFonts w:eastAsia="宋体"/>
                      <w:color w:val="auto"/>
                      <w:highlight w:val="none"/>
                    </w:rPr>
                    <w:t>最低环境温度/℃</w:t>
                  </w:r>
                </w:p>
              </w:tc>
              <w:tc>
                <w:tcPr>
                  <w:tcW w:w="2345" w:type="pct"/>
                  <w:tcBorders>
                    <w:tl2br w:val="nil"/>
                    <w:tr2bl w:val="nil"/>
                  </w:tcBorders>
                  <w:vAlign w:val="center"/>
                </w:tcPr>
                <w:p w14:paraId="5B059BCD">
                  <w:pPr>
                    <w:jc w:val="center"/>
                    <w:rPr>
                      <w:rFonts w:hint="default" w:eastAsia="宋体"/>
                      <w:color w:val="auto"/>
                      <w:highlight w:val="none"/>
                      <w:lang w:val="en-US" w:eastAsia="zh-CN"/>
                    </w:rPr>
                  </w:pPr>
                  <w:r>
                    <w:rPr>
                      <w:rFonts w:hint="default" w:eastAsia="宋体"/>
                      <w:color w:val="auto"/>
                      <w:highlight w:val="none"/>
                      <w:lang w:val="en-US" w:eastAsia="zh-CN"/>
                    </w:rPr>
                    <w:t>-</w:t>
                  </w:r>
                  <w:r>
                    <w:rPr>
                      <w:rFonts w:hint="eastAsia" w:eastAsia="宋体"/>
                      <w:color w:val="auto"/>
                      <w:highlight w:val="none"/>
                      <w:lang w:val="en-US" w:eastAsia="zh-CN"/>
                    </w:rPr>
                    <w:t>5.6</w:t>
                  </w:r>
                </w:p>
              </w:tc>
            </w:tr>
            <w:tr w14:paraId="5F7A9A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54" w:type="pct"/>
                  <w:gridSpan w:val="2"/>
                  <w:tcBorders>
                    <w:tl2br w:val="nil"/>
                    <w:tr2bl w:val="nil"/>
                  </w:tcBorders>
                  <w:vAlign w:val="center"/>
                </w:tcPr>
                <w:p w14:paraId="79AF350B">
                  <w:pPr>
                    <w:pStyle w:val="149"/>
                    <w:rPr>
                      <w:rFonts w:eastAsia="宋体"/>
                      <w:color w:val="auto"/>
                      <w:highlight w:val="none"/>
                    </w:rPr>
                  </w:pPr>
                  <w:r>
                    <w:rPr>
                      <w:rFonts w:eastAsia="宋体"/>
                      <w:color w:val="auto"/>
                      <w:highlight w:val="none"/>
                    </w:rPr>
                    <w:t>土地利用类型</w:t>
                  </w:r>
                </w:p>
              </w:tc>
              <w:tc>
                <w:tcPr>
                  <w:tcW w:w="2345" w:type="pct"/>
                  <w:tcBorders>
                    <w:tl2br w:val="nil"/>
                    <w:tr2bl w:val="nil"/>
                  </w:tcBorders>
                  <w:vAlign w:val="center"/>
                </w:tcPr>
                <w:p w14:paraId="2AA7FA8A">
                  <w:pPr>
                    <w:jc w:val="center"/>
                    <w:rPr>
                      <w:rFonts w:hint="default" w:eastAsia="宋体"/>
                      <w:color w:val="auto"/>
                      <w:highlight w:val="none"/>
                      <w:lang w:val="en-US" w:eastAsia="zh-CN"/>
                    </w:rPr>
                  </w:pPr>
                  <w:r>
                    <w:rPr>
                      <w:rFonts w:hint="eastAsia"/>
                      <w:color w:val="auto"/>
                      <w:highlight w:val="none"/>
                      <w:lang w:val="en-US" w:eastAsia="zh-CN"/>
                    </w:rPr>
                    <w:t>工业用地</w:t>
                  </w:r>
                </w:p>
              </w:tc>
            </w:tr>
            <w:tr w14:paraId="214C6D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2654" w:type="pct"/>
                  <w:gridSpan w:val="2"/>
                  <w:tcBorders>
                    <w:tl2br w:val="nil"/>
                    <w:tr2bl w:val="nil"/>
                  </w:tcBorders>
                  <w:vAlign w:val="center"/>
                </w:tcPr>
                <w:p w14:paraId="707BC4BC">
                  <w:pPr>
                    <w:pStyle w:val="149"/>
                    <w:rPr>
                      <w:rFonts w:eastAsia="宋体"/>
                      <w:color w:val="auto"/>
                      <w:highlight w:val="none"/>
                    </w:rPr>
                  </w:pPr>
                  <w:r>
                    <w:rPr>
                      <w:rFonts w:eastAsia="宋体"/>
                      <w:color w:val="auto"/>
                      <w:highlight w:val="none"/>
                    </w:rPr>
                    <w:t>区域湿度条件</w:t>
                  </w:r>
                </w:p>
              </w:tc>
              <w:tc>
                <w:tcPr>
                  <w:tcW w:w="2345" w:type="pct"/>
                  <w:tcBorders>
                    <w:tl2br w:val="nil"/>
                    <w:tr2bl w:val="nil"/>
                  </w:tcBorders>
                  <w:vAlign w:val="center"/>
                </w:tcPr>
                <w:p w14:paraId="6217E3ED">
                  <w:pPr>
                    <w:jc w:val="center"/>
                    <w:rPr>
                      <w:rFonts w:eastAsia="宋体"/>
                      <w:color w:val="auto"/>
                      <w:highlight w:val="none"/>
                    </w:rPr>
                  </w:pPr>
                  <w:r>
                    <w:rPr>
                      <w:color w:val="auto"/>
                      <w:highlight w:val="none"/>
                    </w:rPr>
                    <w:t>潮湿气候</w:t>
                  </w:r>
                </w:p>
              </w:tc>
            </w:tr>
            <w:tr w14:paraId="7BA91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8" w:type="pct"/>
                  <w:vMerge w:val="restart"/>
                  <w:tcBorders>
                    <w:tl2br w:val="nil"/>
                    <w:tr2bl w:val="nil"/>
                  </w:tcBorders>
                  <w:vAlign w:val="center"/>
                </w:tcPr>
                <w:p w14:paraId="23628021">
                  <w:pPr>
                    <w:pStyle w:val="149"/>
                    <w:rPr>
                      <w:rFonts w:eastAsia="宋体"/>
                      <w:color w:val="auto"/>
                      <w:highlight w:val="none"/>
                    </w:rPr>
                  </w:pPr>
                  <w:r>
                    <w:rPr>
                      <w:rFonts w:eastAsia="宋体"/>
                      <w:color w:val="auto"/>
                      <w:highlight w:val="none"/>
                    </w:rPr>
                    <w:t>是否考虑地形</w:t>
                  </w:r>
                </w:p>
              </w:tc>
              <w:tc>
                <w:tcPr>
                  <w:tcW w:w="1436" w:type="pct"/>
                  <w:tcBorders>
                    <w:tl2br w:val="nil"/>
                    <w:tr2bl w:val="nil"/>
                  </w:tcBorders>
                  <w:vAlign w:val="center"/>
                </w:tcPr>
                <w:p w14:paraId="57D90A43">
                  <w:pPr>
                    <w:pStyle w:val="149"/>
                    <w:rPr>
                      <w:rFonts w:eastAsia="宋体"/>
                      <w:color w:val="auto"/>
                      <w:highlight w:val="none"/>
                    </w:rPr>
                  </w:pPr>
                  <w:r>
                    <w:rPr>
                      <w:rFonts w:eastAsia="宋体"/>
                      <w:color w:val="auto"/>
                      <w:highlight w:val="none"/>
                    </w:rPr>
                    <w:t>考虑地形</w:t>
                  </w:r>
                </w:p>
              </w:tc>
              <w:tc>
                <w:tcPr>
                  <w:tcW w:w="2345" w:type="pct"/>
                  <w:tcBorders>
                    <w:tl2br w:val="nil"/>
                    <w:tr2bl w:val="nil"/>
                  </w:tcBorders>
                  <w:vAlign w:val="center"/>
                </w:tcPr>
                <w:p w14:paraId="0AAFADC3">
                  <w:pPr>
                    <w:pStyle w:val="149"/>
                    <w:rPr>
                      <w:rFonts w:hint="eastAsia" w:eastAsia="宋体"/>
                      <w:color w:val="auto"/>
                      <w:highlight w:val="none"/>
                      <w:lang w:eastAsia="zh-CN"/>
                    </w:rPr>
                  </w:pPr>
                  <w:r>
                    <w:rPr>
                      <w:rFonts w:hint="eastAsia"/>
                      <w:color w:val="auto"/>
                      <w:highlight w:val="none"/>
                      <w:lang w:val="en-US" w:eastAsia="zh-CN"/>
                    </w:rPr>
                    <w:t>是</w:t>
                  </w:r>
                </w:p>
              </w:tc>
            </w:tr>
            <w:tr w14:paraId="619FE7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8" w:type="pct"/>
                  <w:vMerge w:val="continue"/>
                  <w:tcBorders>
                    <w:tl2br w:val="nil"/>
                    <w:tr2bl w:val="nil"/>
                  </w:tcBorders>
                  <w:vAlign w:val="center"/>
                </w:tcPr>
                <w:p w14:paraId="193B82DA">
                  <w:pPr>
                    <w:pStyle w:val="149"/>
                    <w:rPr>
                      <w:rFonts w:eastAsia="宋体"/>
                      <w:color w:val="auto"/>
                      <w:highlight w:val="none"/>
                    </w:rPr>
                  </w:pPr>
                </w:p>
              </w:tc>
              <w:tc>
                <w:tcPr>
                  <w:tcW w:w="1436" w:type="pct"/>
                  <w:tcBorders>
                    <w:tl2br w:val="nil"/>
                    <w:tr2bl w:val="nil"/>
                  </w:tcBorders>
                  <w:vAlign w:val="center"/>
                </w:tcPr>
                <w:p w14:paraId="688B3768">
                  <w:pPr>
                    <w:pStyle w:val="149"/>
                    <w:rPr>
                      <w:rFonts w:eastAsia="宋体"/>
                      <w:color w:val="auto"/>
                      <w:highlight w:val="none"/>
                    </w:rPr>
                  </w:pPr>
                  <w:r>
                    <w:rPr>
                      <w:rFonts w:eastAsia="宋体"/>
                      <w:color w:val="auto"/>
                      <w:highlight w:val="none"/>
                    </w:rPr>
                    <w:t>地形数据分辨率(m)</w:t>
                  </w:r>
                </w:p>
              </w:tc>
              <w:tc>
                <w:tcPr>
                  <w:tcW w:w="2345" w:type="pct"/>
                  <w:tcBorders>
                    <w:tl2br w:val="nil"/>
                    <w:tr2bl w:val="nil"/>
                  </w:tcBorders>
                  <w:vAlign w:val="center"/>
                </w:tcPr>
                <w:p w14:paraId="0D0F0EDF">
                  <w:pPr>
                    <w:pStyle w:val="149"/>
                    <w:rPr>
                      <w:rFonts w:eastAsia="宋体"/>
                      <w:color w:val="auto"/>
                      <w:highlight w:val="none"/>
                    </w:rPr>
                  </w:pPr>
                  <w:r>
                    <w:rPr>
                      <w:rFonts w:hint="eastAsia" w:eastAsia="宋体"/>
                      <w:color w:val="auto"/>
                      <w:highlight w:val="none"/>
                    </w:rPr>
                    <w:t>/</w:t>
                  </w:r>
                </w:p>
              </w:tc>
            </w:tr>
            <w:tr w14:paraId="4E5135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8" w:type="pct"/>
                  <w:vMerge w:val="restart"/>
                  <w:tcBorders>
                    <w:tl2br w:val="nil"/>
                    <w:tr2bl w:val="nil"/>
                  </w:tcBorders>
                  <w:vAlign w:val="center"/>
                </w:tcPr>
                <w:p w14:paraId="75FB54AE">
                  <w:pPr>
                    <w:pStyle w:val="149"/>
                    <w:rPr>
                      <w:rFonts w:eastAsia="宋体"/>
                      <w:color w:val="auto"/>
                      <w:highlight w:val="none"/>
                    </w:rPr>
                  </w:pPr>
                  <w:r>
                    <w:rPr>
                      <w:rFonts w:eastAsia="宋体"/>
                      <w:color w:val="auto"/>
                      <w:highlight w:val="none"/>
                    </w:rPr>
                    <w:t>是否考虑海岸线熏烟</w:t>
                  </w:r>
                </w:p>
              </w:tc>
              <w:tc>
                <w:tcPr>
                  <w:tcW w:w="1436" w:type="pct"/>
                  <w:tcBorders>
                    <w:tl2br w:val="nil"/>
                    <w:tr2bl w:val="nil"/>
                  </w:tcBorders>
                  <w:vAlign w:val="center"/>
                </w:tcPr>
                <w:p w14:paraId="71448E17">
                  <w:pPr>
                    <w:pStyle w:val="149"/>
                    <w:rPr>
                      <w:rFonts w:eastAsia="宋体"/>
                      <w:color w:val="auto"/>
                      <w:highlight w:val="none"/>
                    </w:rPr>
                  </w:pPr>
                  <w:r>
                    <w:rPr>
                      <w:rFonts w:eastAsia="宋体"/>
                      <w:color w:val="auto"/>
                      <w:highlight w:val="none"/>
                    </w:rPr>
                    <w:t>考虑海岸线熏烟</w:t>
                  </w:r>
                </w:p>
              </w:tc>
              <w:tc>
                <w:tcPr>
                  <w:tcW w:w="2345" w:type="pct"/>
                  <w:tcBorders>
                    <w:tl2br w:val="nil"/>
                    <w:tr2bl w:val="nil"/>
                  </w:tcBorders>
                  <w:vAlign w:val="center"/>
                </w:tcPr>
                <w:p w14:paraId="085BECBE">
                  <w:pPr>
                    <w:pStyle w:val="149"/>
                    <w:rPr>
                      <w:rFonts w:eastAsia="宋体"/>
                      <w:color w:val="auto"/>
                      <w:highlight w:val="none"/>
                    </w:rPr>
                  </w:pPr>
                  <w:r>
                    <w:rPr>
                      <w:rFonts w:eastAsia="宋体"/>
                      <w:color w:val="auto"/>
                      <w:highlight w:val="none"/>
                    </w:rPr>
                    <w:t>否</w:t>
                  </w:r>
                </w:p>
              </w:tc>
            </w:tr>
            <w:tr w14:paraId="2A700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1218" w:type="pct"/>
                  <w:vMerge w:val="continue"/>
                  <w:tcBorders>
                    <w:tl2br w:val="nil"/>
                    <w:tr2bl w:val="nil"/>
                  </w:tcBorders>
                  <w:vAlign w:val="center"/>
                </w:tcPr>
                <w:p w14:paraId="5D918FC0">
                  <w:pPr>
                    <w:pStyle w:val="149"/>
                    <w:rPr>
                      <w:rFonts w:eastAsia="宋体"/>
                      <w:color w:val="auto"/>
                      <w:highlight w:val="none"/>
                    </w:rPr>
                  </w:pPr>
                </w:p>
              </w:tc>
              <w:tc>
                <w:tcPr>
                  <w:tcW w:w="1436" w:type="pct"/>
                  <w:tcBorders>
                    <w:tl2br w:val="nil"/>
                    <w:tr2bl w:val="nil"/>
                  </w:tcBorders>
                  <w:vAlign w:val="center"/>
                </w:tcPr>
                <w:p w14:paraId="0CCC75F2">
                  <w:pPr>
                    <w:pStyle w:val="149"/>
                    <w:rPr>
                      <w:rFonts w:eastAsia="宋体"/>
                      <w:color w:val="auto"/>
                      <w:highlight w:val="none"/>
                    </w:rPr>
                  </w:pPr>
                  <w:r>
                    <w:rPr>
                      <w:rFonts w:eastAsia="宋体"/>
                      <w:color w:val="auto"/>
                      <w:highlight w:val="none"/>
                    </w:rPr>
                    <w:t>海岸线距离/km</w:t>
                  </w:r>
                </w:p>
              </w:tc>
              <w:tc>
                <w:tcPr>
                  <w:tcW w:w="2345" w:type="pct"/>
                  <w:tcBorders>
                    <w:tl2br w:val="nil"/>
                    <w:tr2bl w:val="nil"/>
                  </w:tcBorders>
                  <w:vAlign w:val="center"/>
                </w:tcPr>
                <w:p w14:paraId="2043B78E">
                  <w:pPr>
                    <w:pStyle w:val="149"/>
                    <w:rPr>
                      <w:rFonts w:eastAsia="宋体"/>
                      <w:color w:val="auto"/>
                      <w:highlight w:val="none"/>
                    </w:rPr>
                  </w:pPr>
                  <w:r>
                    <w:rPr>
                      <w:rFonts w:eastAsia="宋体"/>
                      <w:color w:val="auto"/>
                      <w:highlight w:val="none"/>
                    </w:rPr>
                    <w:t>/</w:t>
                  </w:r>
                </w:p>
              </w:tc>
            </w:tr>
            <w:tr w14:paraId="52CF79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5" w:hRule="atLeast"/>
                <w:jc w:val="center"/>
              </w:trPr>
              <w:tc>
                <w:tcPr>
                  <w:tcW w:w="1218" w:type="pct"/>
                  <w:vMerge w:val="continue"/>
                  <w:tcBorders>
                    <w:tl2br w:val="nil"/>
                    <w:tr2bl w:val="nil"/>
                  </w:tcBorders>
                  <w:vAlign w:val="center"/>
                </w:tcPr>
                <w:p w14:paraId="3A1EFBA0">
                  <w:pPr>
                    <w:pStyle w:val="149"/>
                    <w:rPr>
                      <w:rFonts w:eastAsia="宋体"/>
                      <w:color w:val="auto"/>
                      <w:highlight w:val="none"/>
                    </w:rPr>
                  </w:pPr>
                </w:p>
              </w:tc>
              <w:tc>
                <w:tcPr>
                  <w:tcW w:w="1436" w:type="pct"/>
                  <w:tcBorders>
                    <w:tl2br w:val="nil"/>
                    <w:tr2bl w:val="nil"/>
                  </w:tcBorders>
                  <w:vAlign w:val="center"/>
                </w:tcPr>
                <w:p w14:paraId="5690C1FB">
                  <w:pPr>
                    <w:pStyle w:val="149"/>
                    <w:rPr>
                      <w:rFonts w:eastAsia="宋体"/>
                      <w:color w:val="auto"/>
                      <w:highlight w:val="none"/>
                    </w:rPr>
                  </w:pPr>
                  <w:r>
                    <w:rPr>
                      <w:rFonts w:eastAsia="宋体"/>
                      <w:color w:val="auto"/>
                      <w:highlight w:val="none"/>
                    </w:rPr>
                    <w:t>海岸线方向/°</w:t>
                  </w:r>
                </w:p>
              </w:tc>
              <w:tc>
                <w:tcPr>
                  <w:tcW w:w="2345" w:type="pct"/>
                  <w:tcBorders>
                    <w:tl2br w:val="nil"/>
                    <w:tr2bl w:val="nil"/>
                  </w:tcBorders>
                  <w:vAlign w:val="center"/>
                </w:tcPr>
                <w:p w14:paraId="64DFE816">
                  <w:pPr>
                    <w:pStyle w:val="149"/>
                    <w:rPr>
                      <w:rFonts w:eastAsia="宋体"/>
                      <w:color w:val="auto"/>
                      <w:highlight w:val="none"/>
                    </w:rPr>
                  </w:pPr>
                  <w:r>
                    <w:rPr>
                      <w:rFonts w:eastAsia="宋体"/>
                      <w:color w:val="auto"/>
                      <w:highlight w:val="none"/>
                    </w:rPr>
                    <w:t>/</w:t>
                  </w:r>
                </w:p>
              </w:tc>
            </w:tr>
          </w:tbl>
          <w:p w14:paraId="75A7F74C">
            <w:pPr>
              <w:pStyle w:val="157"/>
              <w:ind w:firstLine="480"/>
              <w:rPr>
                <w:rFonts w:hint="eastAsia"/>
                <w:color w:val="auto"/>
                <w:highlight w:val="none"/>
                <w:u w:val="none"/>
              </w:rPr>
            </w:pPr>
            <w:r>
              <w:rPr>
                <w:rFonts w:hint="eastAsia"/>
                <w:color w:val="auto"/>
                <w:highlight w:val="none"/>
                <w:u w:val="none"/>
              </w:rPr>
              <w:t>⑥预测结果</w:t>
            </w:r>
          </w:p>
          <w:p w14:paraId="75016D7A">
            <w:pPr>
              <w:pStyle w:val="157"/>
              <w:ind w:firstLine="480"/>
              <w:rPr>
                <w:rFonts w:hint="eastAsia"/>
                <w:color w:val="auto"/>
                <w:highlight w:val="none"/>
                <w:u w:val="none"/>
              </w:rPr>
            </w:pPr>
            <w:r>
              <w:rPr>
                <w:rFonts w:hint="eastAsia"/>
                <w:color w:val="auto"/>
                <w:highlight w:val="none"/>
                <w:u w:val="none"/>
              </w:rPr>
              <w:t>本项目废气主要污染物预测计算结果见下表。</w:t>
            </w:r>
          </w:p>
          <w:p w14:paraId="4E6D8429">
            <w:pPr>
              <w:pStyle w:val="145"/>
              <w:widowControl w:val="0"/>
              <w:adjustRightInd w:val="0"/>
              <w:snapToGrid w:val="0"/>
              <w:spacing w:before="0" w:beforeAutospacing="0" w:after="0" w:afterAutospacing="0"/>
              <w:ind w:firstLine="422"/>
              <w:jc w:val="center"/>
              <w:rPr>
                <w:rFonts w:hint="default" w:ascii="Times New Roman" w:hAnsi="Times New Roman" w:eastAsia="宋体" w:cs="Times New Roman"/>
                <w:b/>
                <w:color w:val="auto"/>
                <w:kern w:val="2"/>
                <w:sz w:val="21"/>
                <w:szCs w:val="21"/>
                <w:highlight w:val="none"/>
                <w:u w:val="none"/>
              </w:rPr>
            </w:pPr>
            <w:r>
              <w:rPr>
                <w:rFonts w:hint="default" w:ascii="Times New Roman" w:hAnsi="Times New Roman" w:eastAsia="宋体" w:cs="Times New Roman"/>
                <w:b/>
                <w:color w:val="auto"/>
                <w:kern w:val="2"/>
                <w:sz w:val="21"/>
                <w:szCs w:val="21"/>
                <w:highlight w:val="none"/>
                <w:u w:val="none"/>
              </w:rPr>
              <w:t>表</w:t>
            </w:r>
            <w:r>
              <w:rPr>
                <w:rFonts w:hint="eastAsia" w:ascii="Times New Roman" w:hAnsi="Times New Roman" w:eastAsia="宋体" w:cs="Times New Roman"/>
                <w:b/>
                <w:color w:val="auto"/>
                <w:kern w:val="2"/>
                <w:sz w:val="21"/>
                <w:szCs w:val="21"/>
                <w:highlight w:val="none"/>
                <w:u w:val="none"/>
                <w:lang w:val="en-US" w:eastAsia="zh-CN"/>
              </w:rPr>
              <w:t>4</w:t>
            </w:r>
            <w:r>
              <w:rPr>
                <w:rFonts w:hint="default" w:ascii="Times New Roman" w:hAnsi="Times New Roman" w:eastAsia="宋体" w:cs="Times New Roman"/>
                <w:b/>
                <w:color w:val="auto"/>
                <w:kern w:val="2"/>
                <w:sz w:val="21"/>
                <w:szCs w:val="21"/>
                <w:highlight w:val="none"/>
                <w:u w:val="none"/>
              </w:rPr>
              <w:t>-</w:t>
            </w:r>
            <w:r>
              <w:rPr>
                <w:rFonts w:hint="eastAsia" w:ascii="Times New Roman" w:hAnsi="Times New Roman" w:eastAsia="宋体" w:cs="Times New Roman"/>
                <w:b/>
                <w:color w:val="auto"/>
                <w:kern w:val="2"/>
                <w:sz w:val="21"/>
                <w:szCs w:val="21"/>
                <w:highlight w:val="none"/>
                <w:u w:val="none"/>
                <w:lang w:val="en-US" w:eastAsia="zh-CN"/>
              </w:rPr>
              <w:t xml:space="preserve">8 </w:t>
            </w:r>
            <w:r>
              <w:rPr>
                <w:rFonts w:hint="default" w:ascii="Times New Roman" w:hAnsi="Times New Roman" w:eastAsia="宋体" w:cs="Times New Roman"/>
                <w:b/>
                <w:color w:val="auto"/>
                <w:kern w:val="2"/>
                <w:sz w:val="21"/>
                <w:szCs w:val="21"/>
                <w:highlight w:val="none"/>
                <w:u w:val="none"/>
                <w:lang w:val="en-US" w:eastAsia="zh-CN"/>
              </w:rPr>
              <w:t xml:space="preserve"> </w:t>
            </w:r>
            <w:r>
              <w:rPr>
                <w:rFonts w:hint="default" w:ascii="Times New Roman" w:hAnsi="Times New Roman" w:eastAsia="宋体" w:cs="Times New Roman"/>
                <w:b/>
                <w:color w:val="auto"/>
                <w:kern w:val="2"/>
                <w:sz w:val="21"/>
                <w:szCs w:val="21"/>
                <w:highlight w:val="none"/>
                <w:u w:val="none"/>
              </w:rPr>
              <w:t>估算模式预测的最大地面浓度和占标率计算结果</w:t>
            </w:r>
          </w:p>
          <w:tbl>
            <w:tblPr>
              <w:tblStyle w:val="43"/>
              <w:tblW w:w="478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1836"/>
              <w:gridCol w:w="650"/>
              <w:gridCol w:w="1502"/>
              <w:gridCol w:w="2072"/>
              <w:gridCol w:w="1345"/>
            </w:tblGrid>
            <w:tr w14:paraId="6F17BB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624" w:type="pct"/>
                  <w:gridSpan w:val="2"/>
                  <w:tcBorders>
                    <w:tl2br w:val="nil"/>
                    <w:tr2bl w:val="nil"/>
                  </w:tcBorders>
                  <w:noWrap w:val="0"/>
                  <w:vAlign w:val="center"/>
                </w:tcPr>
                <w:p w14:paraId="6ADF52A5">
                  <w:pPr>
                    <w:pStyle w:val="149"/>
                    <w:rPr>
                      <w:rFonts w:hint="eastAsia" w:eastAsia="宋体"/>
                      <w:color w:val="auto"/>
                      <w:highlight w:val="none"/>
                      <w:lang w:eastAsia="zh-CN"/>
                    </w:rPr>
                  </w:pPr>
                  <w:r>
                    <w:rPr>
                      <w:rFonts w:hint="eastAsia"/>
                      <w:color w:val="auto"/>
                      <w:highlight w:val="none"/>
                      <w:lang w:val="en-US" w:eastAsia="zh-CN"/>
                    </w:rPr>
                    <w:t>评价因子</w:t>
                  </w:r>
                </w:p>
              </w:tc>
              <w:tc>
                <w:tcPr>
                  <w:tcW w:w="394" w:type="pct"/>
                  <w:tcBorders>
                    <w:tl2br w:val="nil"/>
                    <w:tr2bl w:val="nil"/>
                  </w:tcBorders>
                  <w:noWrap w:val="0"/>
                  <w:vAlign w:val="center"/>
                </w:tcPr>
                <w:p w14:paraId="0D73D87B">
                  <w:pPr>
                    <w:pStyle w:val="149"/>
                    <w:rPr>
                      <w:rFonts w:hint="eastAsia" w:eastAsia="宋体"/>
                      <w:color w:val="auto"/>
                      <w:highlight w:val="none"/>
                      <w:lang w:val="en-US" w:eastAsia="zh-CN"/>
                    </w:rPr>
                  </w:pPr>
                  <w:r>
                    <w:rPr>
                      <w:rFonts w:hint="eastAsia"/>
                      <w:color w:val="auto"/>
                      <w:highlight w:val="none"/>
                      <w:lang w:val="en-US" w:eastAsia="zh-CN"/>
                    </w:rPr>
                    <w:t>工况</w:t>
                  </w:r>
                </w:p>
              </w:tc>
              <w:tc>
                <w:tcPr>
                  <w:tcW w:w="910" w:type="pct"/>
                  <w:tcBorders>
                    <w:tl2br w:val="nil"/>
                    <w:tr2bl w:val="nil"/>
                  </w:tcBorders>
                  <w:shd w:val="clear" w:color="auto" w:fill="auto"/>
                  <w:noWrap w:val="0"/>
                  <w:vAlign w:val="center"/>
                </w:tcPr>
                <w:p w14:paraId="4CAE35B6">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default" w:eastAsia="宋体"/>
                      <w:color w:val="auto"/>
                      <w:highlight w:val="none"/>
                    </w:rPr>
                    <w:t>下风向距离/m</w:t>
                  </w:r>
                </w:p>
              </w:tc>
              <w:tc>
                <w:tcPr>
                  <w:tcW w:w="1255" w:type="pct"/>
                  <w:tcBorders>
                    <w:tl2br w:val="nil"/>
                    <w:tr2bl w:val="nil"/>
                  </w:tcBorders>
                  <w:noWrap w:val="0"/>
                  <w:vAlign w:val="center"/>
                </w:tcPr>
                <w:p w14:paraId="2FD2713D">
                  <w:pPr>
                    <w:pStyle w:val="149"/>
                    <w:rPr>
                      <w:rFonts w:hint="default" w:eastAsia="宋体"/>
                      <w:color w:val="auto"/>
                      <w:highlight w:val="none"/>
                    </w:rPr>
                  </w:pPr>
                  <w:r>
                    <w:rPr>
                      <w:rFonts w:hint="default" w:eastAsia="宋体"/>
                      <w:color w:val="auto"/>
                      <w:highlight w:val="none"/>
                    </w:rPr>
                    <w:t>预测浓度（mg/m³）</w:t>
                  </w:r>
                </w:p>
              </w:tc>
              <w:tc>
                <w:tcPr>
                  <w:tcW w:w="815" w:type="pct"/>
                  <w:tcBorders>
                    <w:tl2br w:val="nil"/>
                    <w:tr2bl w:val="nil"/>
                  </w:tcBorders>
                  <w:noWrap w:val="0"/>
                  <w:vAlign w:val="center"/>
                </w:tcPr>
                <w:p w14:paraId="5FC4CFC2">
                  <w:pPr>
                    <w:pStyle w:val="149"/>
                    <w:rPr>
                      <w:rFonts w:hint="default" w:eastAsia="宋体"/>
                      <w:color w:val="auto"/>
                      <w:highlight w:val="none"/>
                    </w:rPr>
                  </w:pPr>
                  <w:r>
                    <w:rPr>
                      <w:rFonts w:hint="default" w:eastAsia="宋体"/>
                      <w:color w:val="auto"/>
                      <w:highlight w:val="none"/>
                    </w:rPr>
                    <w:t>占标率（%）</w:t>
                  </w:r>
                </w:p>
              </w:tc>
            </w:tr>
            <w:tr w14:paraId="6D3DDD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11" w:type="pct"/>
                  <w:vMerge w:val="restart"/>
                  <w:tcBorders>
                    <w:tl2br w:val="nil"/>
                    <w:tr2bl w:val="nil"/>
                  </w:tcBorders>
                  <w:noWrap w:val="0"/>
                  <w:vAlign w:val="center"/>
                </w:tcPr>
                <w:p w14:paraId="56120E7C">
                  <w:pPr>
                    <w:pStyle w:val="149"/>
                    <w:rPr>
                      <w:rFonts w:hint="default" w:eastAsia="宋体"/>
                      <w:color w:val="auto"/>
                      <w:highlight w:val="none"/>
                      <w:lang w:val="en-US" w:eastAsia="zh-CN"/>
                    </w:rPr>
                  </w:pPr>
                  <w:r>
                    <w:rPr>
                      <w:rFonts w:hint="eastAsia" w:cs="Times New Roman"/>
                      <w:color w:val="auto"/>
                      <w:sz w:val="21"/>
                      <w:szCs w:val="21"/>
                      <w:highlight w:val="none"/>
                      <w:lang w:val="en-US" w:eastAsia="zh-CN"/>
                    </w:rPr>
                    <w:t>DA001</w:t>
                  </w:r>
                </w:p>
              </w:tc>
              <w:tc>
                <w:tcPr>
                  <w:tcW w:w="1112" w:type="pct"/>
                  <w:tcBorders>
                    <w:tl2br w:val="nil"/>
                    <w:tr2bl w:val="nil"/>
                  </w:tcBorders>
                  <w:shd w:val="clear" w:color="auto" w:fill="auto"/>
                  <w:noWrap w:val="0"/>
                  <w:vAlign w:val="center"/>
                </w:tcPr>
                <w:p w14:paraId="66B3A30D">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eastAsia="宋体"/>
                      <w:color w:val="auto"/>
                      <w:highlight w:val="none"/>
                    </w:rPr>
                    <w:t>SO</w:t>
                  </w:r>
                  <w:r>
                    <w:rPr>
                      <w:rFonts w:eastAsia="宋体"/>
                      <w:color w:val="auto"/>
                      <w:highlight w:val="none"/>
                      <w:vertAlign w:val="subscript"/>
                    </w:rPr>
                    <w:t>2</w:t>
                  </w:r>
                </w:p>
              </w:tc>
              <w:tc>
                <w:tcPr>
                  <w:tcW w:w="394" w:type="pct"/>
                  <w:vMerge w:val="restart"/>
                  <w:tcBorders>
                    <w:tl2br w:val="nil"/>
                    <w:tr2bl w:val="nil"/>
                  </w:tcBorders>
                  <w:noWrap w:val="0"/>
                  <w:vAlign w:val="center"/>
                </w:tcPr>
                <w:p w14:paraId="1316D7BE">
                  <w:pPr>
                    <w:pStyle w:val="149"/>
                    <w:rPr>
                      <w:rFonts w:hint="default" w:eastAsia="宋体"/>
                      <w:color w:val="auto"/>
                      <w:highlight w:val="none"/>
                      <w:lang w:val="en-US" w:eastAsia="zh-CN"/>
                    </w:rPr>
                  </w:pPr>
                  <w:r>
                    <w:rPr>
                      <w:rFonts w:hint="eastAsia"/>
                      <w:color w:val="auto"/>
                      <w:highlight w:val="none"/>
                      <w:lang w:val="en-US" w:eastAsia="zh-CN"/>
                    </w:rPr>
                    <w:t>正常排放</w:t>
                  </w:r>
                </w:p>
              </w:tc>
              <w:tc>
                <w:tcPr>
                  <w:tcW w:w="910" w:type="pct"/>
                  <w:vMerge w:val="restart"/>
                  <w:tcBorders>
                    <w:tl2br w:val="nil"/>
                    <w:tr2bl w:val="nil"/>
                  </w:tcBorders>
                  <w:shd w:val="clear" w:color="auto" w:fill="auto"/>
                  <w:noWrap w:val="0"/>
                  <w:vAlign w:val="center"/>
                </w:tcPr>
                <w:p w14:paraId="10D0B85F">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olor w:val="auto"/>
                      <w:highlight w:val="none"/>
                      <w:lang w:val="en-US" w:eastAsia="zh-CN"/>
                    </w:rPr>
                    <w:t>195</w:t>
                  </w:r>
                </w:p>
              </w:tc>
              <w:tc>
                <w:tcPr>
                  <w:tcW w:w="1255" w:type="pct"/>
                  <w:tcBorders>
                    <w:tl2br w:val="nil"/>
                    <w:tr2bl w:val="nil"/>
                  </w:tcBorders>
                  <w:shd w:val="clear" w:color="auto" w:fill="auto"/>
                  <w:noWrap w:val="0"/>
                  <w:vAlign w:val="center"/>
                </w:tcPr>
                <w:p w14:paraId="4CD6F2F2">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3.032</w:t>
                  </w:r>
                </w:p>
              </w:tc>
              <w:tc>
                <w:tcPr>
                  <w:tcW w:w="815" w:type="pct"/>
                  <w:tcBorders>
                    <w:tl2br w:val="nil"/>
                    <w:tr2bl w:val="nil"/>
                  </w:tcBorders>
                  <w:shd w:val="clear" w:color="auto" w:fill="auto"/>
                  <w:noWrap w:val="0"/>
                  <w:vAlign w:val="center"/>
                </w:tcPr>
                <w:p w14:paraId="708B9E52">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0.61</w:t>
                  </w:r>
                </w:p>
              </w:tc>
            </w:tr>
            <w:tr w14:paraId="566603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11" w:type="pct"/>
                  <w:vMerge w:val="continue"/>
                  <w:tcBorders>
                    <w:tl2br w:val="nil"/>
                    <w:tr2bl w:val="nil"/>
                  </w:tcBorders>
                  <w:noWrap w:val="0"/>
                  <w:vAlign w:val="center"/>
                </w:tcPr>
                <w:p w14:paraId="5A63DFA5">
                  <w:pPr>
                    <w:pStyle w:val="149"/>
                    <w:rPr>
                      <w:rFonts w:hint="default" w:eastAsia="宋体"/>
                      <w:color w:val="auto"/>
                      <w:highlight w:val="none"/>
                      <w:lang w:val="en-US" w:eastAsia="zh-CN"/>
                    </w:rPr>
                  </w:pPr>
                </w:p>
              </w:tc>
              <w:tc>
                <w:tcPr>
                  <w:tcW w:w="1112" w:type="pct"/>
                  <w:tcBorders>
                    <w:tl2br w:val="nil"/>
                    <w:tr2bl w:val="nil"/>
                  </w:tcBorders>
                  <w:shd w:val="clear" w:color="auto" w:fill="auto"/>
                  <w:noWrap w:val="0"/>
                  <w:vAlign w:val="center"/>
                </w:tcPr>
                <w:p w14:paraId="34283E92">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eastAsia="宋体"/>
                      <w:color w:val="auto"/>
                      <w:highlight w:val="none"/>
                    </w:rPr>
                    <w:t>NO</w:t>
                  </w:r>
                  <w:r>
                    <w:rPr>
                      <w:rFonts w:eastAsia="宋体"/>
                      <w:color w:val="auto"/>
                      <w:highlight w:val="none"/>
                      <w:vertAlign w:val="subscript"/>
                    </w:rPr>
                    <w:t>X</w:t>
                  </w:r>
                </w:p>
              </w:tc>
              <w:tc>
                <w:tcPr>
                  <w:tcW w:w="394" w:type="pct"/>
                  <w:vMerge w:val="continue"/>
                  <w:tcBorders>
                    <w:tl2br w:val="nil"/>
                    <w:tr2bl w:val="nil"/>
                  </w:tcBorders>
                  <w:noWrap w:val="0"/>
                  <w:vAlign w:val="center"/>
                </w:tcPr>
                <w:p w14:paraId="6DC3D4F5">
                  <w:pPr>
                    <w:pStyle w:val="149"/>
                    <w:rPr>
                      <w:rFonts w:hint="default" w:eastAsia="宋体"/>
                      <w:color w:val="auto"/>
                      <w:highlight w:val="none"/>
                    </w:rPr>
                  </w:pPr>
                </w:p>
              </w:tc>
              <w:tc>
                <w:tcPr>
                  <w:tcW w:w="910" w:type="pct"/>
                  <w:vMerge w:val="continue"/>
                  <w:tcBorders>
                    <w:tl2br w:val="nil"/>
                    <w:tr2bl w:val="nil"/>
                  </w:tcBorders>
                  <w:noWrap w:val="0"/>
                  <w:vAlign w:val="center"/>
                </w:tcPr>
                <w:p w14:paraId="691E387A">
                  <w:pPr>
                    <w:pStyle w:val="149"/>
                    <w:rPr>
                      <w:rFonts w:hint="default" w:eastAsia="宋体"/>
                      <w:color w:val="auto"/>
                      <w:highlight w:val="none"/>
                    </w:rPr>
                  </w:pPr>
                </w:p>
              </w:tc>
              <w:tc>
                <w:tcPr>
                  <w:tcW w:w="1255" w:type="pct"/>
                  <w:tcBorders>
                    <w:tl2br w:val="nil"/>
                    <w:tr2bl w:val="nil"/>
                  </w:tcBorders>
                  <w:shd w:val="clear" w:color="auto" w:fill="auto"/>
                  <w:noWrap w:val="0"/>
                  <w:vAlign w:val="center"/>
                </w:tcPr>
                <w:p w14:paraId="24D930F5">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9.098</w:t>
                  </w:r>
                </w:p>
              </w:tc>
              <w:tc>
                <w:tcPr>
                  <w:tcW w:w="815" w:type="pct"/>
                  <w:tcBorders>
                    <w:tl2br w:val="nil"/>
                    <w:tr2bl w:val="nil"/>
                  </w:tcBorders>
                  <w:shd w:val="clear" w:color="auto" w:fill="auto"/>
                  <w:noWrap w:val="0"/>
                  <w:vAlign w:val="center"/>
                </w:tcPr>
                <w:p w14:paraId="1DE4D880">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4.55</w:t>
                  </w:r>
                </w:p>
              </w:tc>
            </w:tr>
            <w:tr w14:paraId="7333D2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11" w:type="pct"/>
                  <w:vMerge w:val="continue"/>
                  <w:tcBorders>
                    <w:tl2br w:val="nil"/>
                    <w:tr2bl w:val="nil"/>
                  </w:tcBorders>
                  <w:noWrap w:val="0"/>
                  <w:vAlign w:val="center"/>
                </w:tcPr>
                <w:p w14:paraId="1044A618">
                  <w:pPr>
                    <w:pStyle w:val="149"/>
                    <w:rPr>
                      <w:rFonts w:hint="eastAsia" w:eastAsia="宋体"/>
                      <w:color w:val="auto"/>
                      <w:highlight w:val="none"/>
                      <w:lang w:eastAsia="zh-CN"/>
                    </w:rPr>
                  </w:pPr>
                </w:p>
              </w:tc>
              <w:tc>
                <w:tcPr>
                  <w:tcW w:w="1112" w:type="pct"/>
                  <w:tcBorders>
                    <w:tl2br w:val="nil"/>
                    <w:tr2bl w:val="nil"/>
                  </w:tcBorders>
                  <w:shd w:val="clear" w:color="auto" w:fill="auto"/>
                  <w:noWrap w:val="0"/>
                  <w:vAlign w:val="center"/>
                </w:tcPr>
                <w:p w14:paraId="4D0F68B8">
                  <w:pPr>
                    <w:pStyle w:val="149"/>
                    <w:rPr>
                      <w:rFonts w:hint="eastAsia" w:ascii="Times New Roman" w:hAnsi="Times New Roman" w:eastAsia="宋体" w:cs="Times New Roman"/>
                      <w:color w:val="auto"/>
                      <w:spacing w:val="2"/>
                      <w:kern w:val="2"/>
                      <w:sz w:val="21"/>
                      <w:szCs w:val="20"/>
                      <w:highlight w:val="none"/>
                      <w:lang w:val="en-US" w:eastAsia="zh-CN" w:bidi="ar-SA"/>
                    </w:rPr>
                  </w:pPr>
                  <w:r>
                    <w:rPr>
                      <w:rFonts w:eastAsia="宋体"/>
                      <w:color w:val="auto"/>
                      <w:highlight w:val="none"/>
                    </w:rPr>
                    <w:t>颗粒物（PM</w:t>
                  </w:r>
                  <w:r>
                    <w:rPr>
                      <w:rFonts w:eastAsia="宋体"/>
                      <w:color w:val="auto"/>
                      <w:highlight w:val="none"/>
                      <w:vertAlign w:val="subscript"/>
                    </w:rPr>
                    <w:t>10</w:t>
                  </w:r>
                  <w:r>
                    <w:rPr>
                      <w:rFonts w:eastAsia="宋体"/>
                      <w:color w:val="auto"/>
                      <w:highlight w:val="none"/>
                    </w:rPr>
                    <w:t>）</w:t>
                  </w:r>
                </w:p>
              </w:tc>
              <w:tc>
                <w:tcPr>
                  <w:tcW w:w="394" w:type="pct"/>
                  <w:vMerge w:val="continue"/>
                  <w:tcBorders>
                    <w:tl2br w:val="nil"/>
                    <w:tr2bl w:val="nil"/>
                  </w:tcBorders>
                  <w:noWrap w:val="0"/>
                  <w:vAlign w:val="center"/>
                </w:tcPr>
                <w:p w14:paraId="2E1E3AA6">
                  <w:pPr>
                    <w:pStyle w:val="149"/>
                    <w:rPr>
                      <w:rFonts w:hint="default" w:eastAsia="宋体"/>
                      <w:color w:val="auto"/>
                      <w:highlight w:val="none"/>
                    </w:rPr>
                  </w:pPr>
                </w:p>
              </w:tc>
              <w:tc>
                <w:tcPr>
                  <w:tcW w:w="910" w:type="pct"/>
                  <w:vMerge w:val="continue"/>
                  <w:tcBorders>
                    <w:tl2br w:val="nil"/>
                    <w:tr2bl w:val="nil"/>
                  </w:tcBorders>
                  <w:noWrap w:val="0"/>
                  <w:vAlign w:val="center"/>
                </w:tcPr>
                <w:p w14:paraId="751263B5">
                  <w:pPr>
                    <w:pStyle w:val="149"/>
                    <w:rPr>
                      <w:rFonts w:hint="default" w:eastAsia="宋体"/>
                      <w:color w:val="auto"/>
                      <w:highlight w:val="none"/>
                    </w:rPr>
                  </w:pPr>
                </w:p>
              </w:tc>
              <w:tc>
                <w:tcPr>
                  <w:tcW w:w="1255" w:type="pct"/>
                  <w:tcBorders>
                    <w:tl2br w:val="nil"/>
                    <w:tr2bl w:val="nil"/>
                  </w:tcBorders>
                  <w:shd w:val="clear" w:color="auto" w:fill="auto"/>
                  <w:noWrap w:val="0"/>
                  <w:vAlign w:val="center"/>
                </w:tcPr>
                <w:p w14:paraId="7473FD88">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0.3684</w:t>
                  </w:r>
                </w:p>
              </w:tc>
              <w:tc>
                <w:tcPr>
                  <w:tcW w:w="815" w:type="pct"/>
                  <w:tcBorders>
                    <w:tl2br w:val="nil"/>
                    <w:tr2bl w:val="nil"/>
                  </w:tcBorders>
                  <w:shd w:val="clear" w:color="auto" w:fill="auto"/>
                  <w:noWrap w:val="0"/>
                  <w:vAlign w:val="center"/>
                </w:tcPr>
                <w:p w14:paraId="58F927D9">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0.1</w:t>
                  </w:r>
                </w:p>
              </w:tc>
            </w:tr>
            <w:tr w14:paraId="70BA66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11" w:type="pct"/>
                  <w:vMerge w:val="restart"/>
                  <w:tcBorders>
                    <w:tl2br w:val="nil"/>
                    <w:tr2bl w:val="nil"/>
                  </w:tcBorders>
                  <w:shd w:val="clear" w:color="auto" w:fill="auto"/>
                  <w:noWrap w:val="0"/>
                  <w:vAlign w:val="center"/>
                </w:tcPr>
                <w:p w14:paraId="755DBA44">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z w:val="21"/>
                      <w:szCs w:val="21"/>
                      <w:highlight w:val="none"/>
                      <w:lang w:val="en-US" w:eastAsia="zh-CN"/>
                    </w:rPr>
                    <w:t>DA001</w:t>
                  </w:r>
                </w:p>
              </w:tc>
              <w:tc>
                <w:tcPr>
                  <w:tcW w:w="1112" w:type="pct"/>
                  <w:tcBorders>
                    <w:tl2br w:val="nil"/>
                    <w:tr2bl w:val="nil"/>
                  </w:tcBorders>
                  <w:shd w:val="clear" w:color="auto" w:fill="auto"/>
                  <w:noWrap w:val="0"/>
                  <w:vAlign w:val="center"/>
                </w:tcPr>
                <w:p w14:paraId="65BE5C61">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eastAsia="宋体"/>
                      <w:color w:val="auto"/>
                      <w:highlight w:val="none"/>
                    </w:rPr>
                    <w:t>SO</w:t>
                  </w:r>
                  <w:r>
                    <w:rPr>
                      <w:rFonts w:eastAsia="宋体"/>
                      <w:color w:val="auto"/>
                      <w:highlight w:val="none"/>
                      <w:vertAlign w:val="subscript"/>
                    </w:rPr>
                    <w:t>2</w:t>
                  </w:r>
                </w:p>
              </w:tc>
              <w:tc>
                <w:tcPr>
                  <w:tcW w:w="394" w:type="pct"/>
                  <w:vMerge w:val="restart"/>
                  <w:tcBorders>
                    <w:tl2br w:val="nil"/>
                    <w:tr2bl w:val="nil"/>
                  </w:tcBorders>
                  <w:noWrap w:val="0"/>
                  <w:vAlign w:val="center"/>
                </w:tcPr>
                <w:p w14:paraId="44A81904">
                  <w:pPr>
                    <w:pStyle w:val="149"/>
                    <w:rPr>
                      <w:rFonts w:hint="default" w:eastAsia="宋体"/>
                      <w:color w:val="auto"/>
                      <w:highlight w:val="none"/>
                      <w:lang w:val="en-US" w:eastAsia="zh-CN"/>
                    </w:rPr>
                  </w:pPr>
                  <w:r>
                    <w:rPr>
                      <w:rFonts w:hint="eastAsia"/>
                      <w:color w:val="auto"/>
                      <w:highlight w:val="none"/>
                      <w:lang w:val="en-US" w:eastAsia="zh-CN"/>
                    </w:rPr>
                    <w:t>非正常排放</w:t>
                  </w:r>
                </w:p>
              </w:tc>
              <w:tc>
                <w:tcPr>
                  <w:tcW w:w="910" w:type="pct"/>
                  <w:vMerge w:val="restart"/>
                  <w:tcBorders>
                    <w:tl2br w:val="nil"/>
                    <w:tr2bl w:val="nil"/>
                  </w:tcBorders>
                  <w:noWrap w:val="0"/>
                  <w:vAlign w:val="center"/>
                </w:tcPr>
                <w:p w14:paraId="26494262">
                  <w:pPr>
                    <w:pStyle w:val="149"/>
                    <w:rPr>
                      <w:rFonts w:hint="default" w:eastAsia="宋体"/>
                      <w:color w:val="auto"/>
                      <w:highlight w:val="none"/>
                      <w:lang w:val="en-US" w:eastAsia="zh-CN"/>
                    </w:rPr>
                  </w:pPr>
                  <w:r>
                    <w:rPr>
                      <w:rFonts w:hint="eastAsia"/>
                      <w:color w:val="auto"/>
                      <w:highlight w:val="none"/>
                      <w:lang w:val="en-US" w:eastAsia="zh-CN"/>
                    </w:rPr>
                    <w:t>195</w:t>
                  </w:r>
                </w:p>
              </w:tc>
              <w:tc>
                <w:tcPr>
                  <w:tcW w:w="2074" w:type="dxa"/>
                  <w:tcBorders>
                    <w:tl2br w:val="nil"/>
                    <w:tr2bl w:val="nil"/>
                  </w:tcBorders>
                  <w:shd w:val="clear" w:color="auto" w:fill="auto"/>
                  <w:noWrap w:val="0"/>
                  <w:vAlign w:val="center"/>
                </w:tcPr>
                <w:p w14:paraId="6B89799A">
                  <w:pPr>
                    <w:pStyle w:val="149"/>
                    <w:rPr>
                      <w:rFonts w:hint="eastAsia" w:ascii="Times New Roman" w:hAnsi="Times New Roman" w:eastAsia="宋体" w:cs="Times New Roman"/>
                      <w:color w:val="auto"/>
                      <w:spacing w:val="2"/>
                      <w:kern w:val="2"/>
                      <w:sz w:val="21"/>
                      <w:szCs w:val="20"/>
                      <w:highlight w:val="yellow"/>
                      <w:lang w:val="en-US" w:eastAsia="zh-CN" w:bidi="ar-SA"/>
                    </w:rPr>
                  </w:pPr>
                  <w:r>
                    <w:rPr>
                      <w:rFonts w:hint="eastAsia" w:cs="Times New Roman"/>
                      <w:color w:val="auto"/>
                      <w:spacing w:val="2"/>
                      <w:kern w:val="2"/>
                      <w:sz w:val="21"/>
                      <w:szCs w:val="20"/>
                      <w:highlight w:val="none"/>
                      <w:lang w:val="en-US" w:eastAsia="zh-CN" w:bidi="ar-SA"/>
                    </w:rPr>
                    <w:t>3.032</w:t>
                  </w:r>
                </w:p>
              </w:tc>
              <w:tc>
                <w:tcPr>
                  <w:tcW w:w="1347" w:type="dxa"/>
                  <w:tcBorders>
                    <w:tl2br w:val="nil"/>
                    <w:tr2bl w:val="nil"/>
                  </w:tcBorders>
                  <w:shd w:val="clear" w:color="auto" w:fill="auto"/>
                  <w:noWrap w:val="0"/>
                  <w:vAlign w:val="center"/>
                </w:tcPr>
                <w:p w14:paraId="3CBE32CD">
                  <w:pPr>
                    <w:pStyle w:val="149"/>
                    <w:rPr>
                      <w:rFonts w:hint="eastAsia"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0.61</w:t>
                  </w:r>
                </w:p>
              </w:tc>
            </w:tr>
            <w:tr w14:paraId="4C2391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511" w:type="pct"/>
                  <w:vMerge w:val="continue"/>
                  <w:tcBorders>
                    <w:tl2br w:val="nil"/>
                    <w:tr2bl w:val="nil"/>
                  </w:tcBorders>
                  <w:shd w:val="clear" w:color="auto" w:fill="auto"/>
                  <w:noWrap w:val="0"/>
                  <w:vAlign w:val="center"/>
                </w:tcPr>
                <w:p w14:paraId="6350C978">
                  <w:pPr>
                    <w:pStyle w:val="149"/>
                    <w:rPr>
                      <w:rFonts w:hint="default" w:ascii="Times New Roman" w:hAnsi="Times New Roman" w:eastAsia="宋体" w:cs="Times New Roman"/>
                      <w:color w:val="auto"/>
                      <w:spacing w:val="2"/>
                      <w:kern w:val="2"/>
                      <w:sz w:val="21"/>
                      <w:szCs w:val="20"/>
                      <w:highlight w:val="none"/>
                      <w:lang w:val="en-US" w:eastAsia="zh-CN" w:bidi="ar-SA"/>
                    </w:rPr>
                  </w:pPr>
                </w:p>
              </w:tc>
              <w:tc>
                <w:tcPr>
                  <w:tcW w:w="1112" w:type="pct"/>
                  <w:tcBorders>
                    <w:tl2br w:val="nil"/>
                    <w:tr2bl w:val="nil"/>
                  </w:tcBorders>
                  <w:shd w:val="clear" w:color="auto" w:fill="auto"/>
                  <w:noWrap w:val="0"/>
                  <w:vAlign w:val="center"/>
                </w:tcPr>
                <w:p w14:paraId="758A9137">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eastAsia="宋体"/>
                      <w:color w:val="auto"/>
                      <w:highlight w:val="none"/>
                    </w:rPr>
                    <w:t>NO</w:t>
                  </w:r>
                  <w:r>
                    <w:rPr>
                      <w:rFonts w:eastAsia="宋体"/>
                      <w:color w:val="auto"/>
                      <w:highlight w:val="none"/>
                      <w:vertAlign w:val="subscript"/>
                    </w:rPr>
                    <w:t>X</w:t>
                  </w:r>
                </w:p>
              </w:tc>
              <w:tc>
                <w:tcPr>
                  <w:tcW w:w="394" w:type="pct"/>
                  <w:vMerge w:val="continue"/>
                  <w:tcBorders>
                    <w:tl2br w:val="nil"/>
                    <w:tr2bl w:val="nil"/>
                  </w:tcBorders>
                  <w:noWrap w:val="0"/>
                  <w:vAlign w:val="center"/>
                </w:tcPr>
                <w:p w14:paraId="48F4DE43">
                  <w:pPr>
                    <w:pStyle w:val="149"/>
                    <w:rPr>
                      <w:rFonts w:hint="default" w:eastAsia="宋体"/>
                      <w:color w:val="auto"/>
                      <w:highlight w:val="none"/>
                    </w:rPr>
                  </w:pPr>
                </w:p>
              </w:tc>
              <w:tc>
                <w:tcPr>
                  <w:tcW w:w="910" w:type="pct"/>
                  <w:vMerge w:val="continue"/>
                  <w:tcBorders>
                    <w:tl2br w:val="nil"/>
                    <w:tr2bl w:val="nil"/>
                  </w:tcBorders>
                  <w:noWrap w:val="0"/>
                  <w:vAlign w:val="center"/>
                </w:tcPr>
                <w:p w14:paraId="6419A4A2">
                  <w:pPr>
                    <w:pStyle w:val="149"/>
                    <w:rPr>
                      <w:rFonts w:hint="default" w:eastAsia="宋体"/>
                      <w:color w:val="auto"/>
                      <w:highlight w:val="none"/>
                    </w:rPr>
                  </w:pPr>
                </w:p>
              </w:tc>
              <w:tc>
                <w:tcPr>
                  <w:tcW w:w="2074" w:type="dxa"/>
                  <w:tcBorders>
                    <w:tl2br w:val="nil"/>
                    <w:tr2bl w:val="nil"/>
                  </w:tcBorders>
                  <w:shd w:val="clear" w:color="auto" w:fill="auto"/>
                  <w:noWrap w:val="0"/>
                  <w:vAlign w:val="center"/>
                </w:tcPr>
                <w:p w14:paraId="191EFD74">
                  <w:pPr>
                    <w:pStyle w:val="149"/>
                    <w:rPr>
                      <w:rFonts w:hint="eastAsia" w:ascii="Times New Roman" w:hAnsi="Times New Roman" w:eastAsia="宋体" w:cs="Times New Roman"/>
                      <w:color w:val="auto"/>
                      <w:spacing w:val="2"/>
                      <w:kern w:val="2"/>
                      <w:sz w:val="21"/>
                      <w:szCs w:val="20"/>
                      <w:highlight w:val="yellow"/>
                      <w:lang w:val="en-US" w:eastAsia="zh-CN" w:bidi="ar-SA"/>
                    </w:rPr>
                  </w:pPr>
                  <w:r>
                    <w:rPr>
                      <w:rFonts w:hint="eastAsia" w:cs="Times New Roman"/>
                      <w:color w:val="auto"/>
                      <w:spacing w:val="2"/>
                      <w:kern w:val="2"/>
                      <w:sz w:val="21"/>
                      <w:szCs w:val="20"/>
                      <w:highlight w:val="none"/>
                      <w:lang w:val="en-US" w:eastAsia="zh-CN" w:bidi="ar-SA"/>
                    </w:rPr>
                    <w:t>9.098</w:t>
                  </w:r>
                </w:p>
              </w:tc>
              <w:tc>
                <w:tcPr>
                  <w:tcW w:w="1347" w:type="dxa"/>
                  <w:tcBorders>
                    <w:tl2br w:val="nil"/>
                    <w:tr2bl w:val="nil"/>
                  </w:tcBorders>
                  <w:shd w:val="clear" w:color="auto" w:fill="auto"/>
                  <w:noWrap w:val="0"/>
                  <w:vAlign w:val="center"/>
                </w:tcPr>
                <w:p w14:paraId="091C4D9B">
                  <w:pPr>
                    <w:pStyle w:val="149"/>
                    <w:rPr>
                      <w:rFonts w:hint="eastAsia" w:ascii="Times New Roman" w:hAnsi="Times New Roman" w:eastAsia="宋体" w:cs="Times New Roman"/>
                      <w:color w:val="auto"/>
                      <w:spacing w:val="2"/>
                      <w:kern w:val="2"/>
                      <w:sz w:val="21"/>
                      <w:szCs w:val="20"/>
                      <w:highlight w:val="none"/>
                      <w:lang w:val="en-US" w:eastAsia="zh-CN" w:bidi="ar-SA"/>
                    </w:rPr>
                  </w:pPr>
                  <w:r>
                    <w:rPr>
                      <w:rFonts w:hint="eastAsia" w:cs="Times New Roman"/>
                      <w:color w:val="auto"/>
                      <w:spacing w:val="2"/>
                      <w:kern w:val="2"/>
                      <w:sz w:val="21"/>
                      <w:szCs w:val="20"/>
                      <w:highlight w:val="none"/>
                      <w:lang w:val="en-US" w:eastAsia="zh-CN" w:bidi="ar-SA"/>
                    </w:rPr>
                    <w:t>4.55</w:t>
                  </w:r>
                </w:p>
              </w:tc>
            </w:tr>
            <w:tr w14:paraId="3EDE0D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511" w:type="pct"/>
                  <w:vMerge w:val="continue"/>
                  <w:tcBorders>
                    <w:tl2br w:val="nil"/>
                    <w:tr2bl w:val="nil"/>
                  </w:tcBorders>
                  <w:shd w:val="clear" w:color="auto" w:fill="auto"/>
                  <w:noWrap w:val="0"/>
                  <w:vAlign w:val="center"/>
                </w:tcPr>
                <w:p w14:paraId="68DF71AE">
                  <w:pPr>
                    <w:pStyle w:val="149"/>
                    <w:rPr>
                      <w:rFonts w:hint="eastAsia" w:ascii="Times New Roman" w:hAnsi="Times New Roman" w:eastAsia="宋体" w:cs="Times New Roman"/>
                      <w:color w:val="auto"/>
                      <w:spacing w:val="2"/>
                      <w:kern w:val="2"/>
                      <w:sz w:val="21"/>
                      <w:szCs w:val="20"/>
                      <w:highlight w:val="none"/>
                      <w:lang w:val="en-US" w:eastAsia="zh-CN" w:bidi="ar-SA"/>
                    </w:rPr>
                  </w:pPr>
                </w:p>
              </w:tc>
              <w:tc>
                <w:tcPr>
                  <w:tcW w:w="1112" w:type="pct"/>
                  <w:tcBorders>
                    <w:tl2br w:val="nil"/>
                    <w:tr2bl w:val="nil"/>
                  </w:tcBorders>
                  <w:shd w:val="clear" w:color="auto" w:fill="auto"/>
                  <w:noWrap w:val="0"/>
                  <w:vAlign w:val="center"/>
                </w:tcPr>
                <w:p w14:paraId="298D8F42">
                  <w:pPr>
                    <w:pStyle w:val="149"/>
                    <w:rPr>
                      <w:rFonts w:hint="eastAsia" w:ascii="Times New Roman" w:hAnsi="Times New Roman" w:eastAsia="宋体" w:cs="Times New Roman"/>
                      <w:color w:val="auto"/>
                      <w:spacing w:val="2"/>
                      <w:kern w:val="2"/>
                      <w:sz w:val="21"/>
                      <w:szCs w:val="20"/>
                      <w:highlight w:val="none"/>
                      <w:lang w:val="en-US" w:eastAsia="zh-CN" w:bidi="ar-SA"/>
                    </w:rPr>
                  </w:pPr>
                  <w:r>
                    <w:rPr>
                      <w:rFonts w:eastAsia="宋体"/>
                      <w:color w:val="auto"/>
                      <w:highlight w:val="none"/>
                    </w:rPr>
                    <w:t>颗粒物（PM</w:t>
                  </w:r>
                  <w:r>
                    <w:rPr>
                      <w:rFonts w:eastAsia="宋体"/>
                      <w:color w:val="auto"/>
                      <w:highlight w:val="none"/>
                      <w:vertAlign w:val="subscript"/>
                    </w:rPr>
                    <w:t>10</w:t>
                  </w:r>
                  <w:r>
                    <w:rPr>
                      <w:rFonts w:eastAsia="宋体"/>
                      <w:color w:val="auto"/>
                      <w:highlight w:val="none"/>
                    </w:rPr>
                    <w:t>）</w:t>
                  </w:r>
                </w:p>
              </w:tc>
              <w:tc>
                <w:tcPr>
                  <w:tcW w:w="394" w:type="pct"/>
                  <w:vMerge w:val="continue"/>
                  <w:tcBorders>
                    <w:tl2br w:val="nil"/>
                    <w:tr2bl w:val="nil"/>
                  </w:tcBorders>
                  <w:noWrap w:val="0"/>
                  <w:vAlign w:val="center"/>
                </w:tcPr>
                <w:p w14:paraId="2DE70C6F">
                  <w:pPr>
                    <w:pStyle w:val="149"/>
                    <w:rPr>
                      <w:rFonts w:hint="default" w:eastAsia="宋体"/>
                      <w:color w:val="auto"/>
                      <w:highlight w:val="none"/>
                    </w:rPr>
                  </w:pPr>
                </w:p>
              </w:tc>
              <w:tc>
                <w:tcPr>
                  <w:tcW w:w="910" w:type="pct"/>
                  <w:vMerge w:val="continue"/>
                  <w:tcBorders>
                    <w:tl2br w:val="nil"/>
                    <w:tr2bl w:val="nil"/>
                  </w:tcBorders>
                  <w:noWrap w:val="0"/>
                  <w:vAlign w:val="center"/>
                </w:tcPr>
                <w:p w14:paraId="4C1EEE93">
                  <w:pPr>
                    <w:pStyle w:val="149"/>
                    <w:rPr>
                      <w:rFonts w:hint="default" w:eastAsia="宋体"/>
                      <w:color w:val="auto"/>
                      <w:highlight w:val="none"/>
                    </w:rPr>
                  </w:pPr>
                </w:p>
              </w:tc>
              <w:tc>
                <w:tcPr>
                  <w:tcW w:w="1255" w:type="pct"/>
                  <w:tcBorders>
                    <w:tl2br w:val="nil"/>
                    <w:tr2bl w:val="nil"/>
                  </w:tcBorders>
                  <w:noWrap w:val="0"/>
                  <w:vAlign w:val="center"/>
                </w:tcPr>
                <w:p w14:paraId="63EC47A1">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ascii="Times New Roman" w:hAnsi="Times New Roman" w:eastAsia="宋体" w:cs="Times New Roman"/>
                      <w:color w:val="auto"/>
                      <w:spacing w:val="2"/>
                      <w:kern w:val="2"/>
                      <w:sz w:val="21"/>
                      <w:szCs w:val="20"/>
                      <w:highlight w:val="none"/>
                      <w:lang w:val="en-US" w:eastAsia="zh-CN" w:bidi="ar-SA"/>
                    </w:rPr>
                    <w:t>3.684</w:t>
                  </w:r>
                </w:p>
              </w:tc>
              <w:tc>
                <w:tcPr>
                  <w:tcW w:w="815" w:type="pct"/>
                  <w:tcBorders>
                    <w:tl2br w:val="nil"/>
                    <w:tr2bl w:val="nil"/>
                  </w:tcBorders>
                  <w:noWrap w:val="0"/>
                  <w:vAlign w:val="center"/>
                </w:tcPr>
                <w:p w14:paraId="7CE08475">
                  <w:pPr>
                    <w:pStyle w:val="149"/>
                    <w:rPr>
                      <w:rFonts w:hint="default" w:ascii="Times New Roman" w:hAnsi="Times New Roman" w:eastAsia="宋体" w:cs="Times New Roman"/>
                      <w:color w:val="auto"/>
                      <w:spacing w:val="2"/>
                      <w:kern w:val="2"/>
                      <w:sz w:val="21"/>
                      <w:szCs w:val="20"/>
                      <w:highlight w:val="none"/>
                      <w:lang w:val="en-US" w:eastAsia="zh-CN" w:bidi="ar-SA"/>
                    </w:rPr>
                  </w:pPr>
                  <w:r>
                    <w:rPr>
                      <w:rFonts w:hint="eastAsia" w:ascii="Times New Roman" w:hAnsi="Times New Roman" w:eastAsia="宋体" w:cs="Times New Roman"/>
                      <w:color w:val="auto"/>
                      <w:spacing w:val="2"/>
                      <w:kern w:val="2"/>
                      <w:sz w:val="21"/>
                      <w:szCs w:val="20"/>
                      <w:highlight w:val="none"/>
                      <w:lang w:val="en-US" w:eastAsia="zh-CN" w:bidi="ar-SA"/>
                    </w:rPr>
                    <w:t>1.02</w:t>
                  </w:r>
                </w:p>
              </w:tc>
            </w:tr>
          </w:tbl>
          <w:p w14:paraId="16EB7D49">
            <w:pPr>
              <w:pStyle w:val="157"/>
              <w:ind w:firstLine="480"/>
              <w:rPr>
                <w:rFonts w:hint="eastAsia"/>
                <w:color w:val="auto"/>
                <w:highlight w:val="none"/>
                <w:u w:val="none"/>
                <w:lang w:val="en-US" w:eastAsia="zh-CN"/>
              </w:rPr>
            </w:pPr>
            <w:r>
              <w:rPr>
                <w:rFonts w:hint="default"/>
                <w:color w:val="auto"/>
                <w:highlight w:val="none"/>
                <w:u w:val="none"/>
              </w:rPr>
              <w:t>从</w:t>
            </w:r>
            <w:r>
              <w:rPr>
                <w:rFonts w:hint="default"/>
                <w:color w:val="auto"/>
                <w:highlight w:val="none"/>
                <w:u w:val="none"/>
                <w:lang w:val="en-US" w:eastAsia="zh-CN"/>
              </w:rPr>
              <w:t>上表</w:t>
            </w:r>
            <w:r>
              <w:rPr>
                <w:rFonts w:hint="default"/>
                <w:color w:val="auto"/>
                <w:highlight w:val="none"/>
                <w:u w:val="none"/>
              </w:rPr>
              <w:t>可知，</w:t>
            </w:r>
            <w:r>
              <w:rPr>
                <w:rFonts w:hint="eastAsia"/>
                <w:color w:val="auto"/>
                <w:highlight w:val="none"/>
                <w:u w:val="none"/>
                <w:lang w:val="en-US" w:eastAsia="zh-CN"/>
              </w:rPr>
              <w:t>正常排放情况下，本项目最大</w:t>
            </w:r>
            <w:r>
              <w:rPr>
                <w:rFonts w:hint="default"/>
                <w:color w:val="auto"/>
                <w:highlight w:val="none"/>
                <w:u w:val="none"/>
              </w:rPr>
              <w:t>占标率为</w:t>
            </w:r>
            <w:r>
              <w:rPr>
                <w:rFonts w:hint="eastAsia"/>
                <w:color w:val="auto"/>
                <w:highlight w:val="none"/>
                <w:u w:val="none"/>
                <w:lang w:val="en-US" w:eastAsia="zh-CN"/>
              </w:rPr>
              <w:t>4.55%</w:t>
            </w:r>
            <w:r>
              <w:rPr>
                <w:rFonts w:hint="default"/>
                <w:color w:val="auto"/>
                <w:highlight w:val="none"/>
                <w:u w:val="none"/>
              </w:rPr>
              <w:t>，最大落地浓度出现在距离厂界</w:t>
            </w:r>
            <w:r>
              <w:rPr>
                <w:rFonts w:hint="eastAsia"/>
                <w:color w:val="auto"/>
                <w:highlight w:val="none"/>
                <w:u w:val="none"/>
                <w:lang w:val="en-US" w:eastAsia="zh-CN"/>
              </w:rPr>
              <w:t>200</w:t>
            </w:r>
            <w:r>
              <w:rPr>
                <w:rFonts w:hint="default"/>
                <w:color w:val="auto"/>
                <w:highlight w:val="none"/>
                <w:u w:val="none"/>
              </w:rPr>
              <w:t>m处。根据HJ2.2-2018可知，项目废气排放最大落地浓度占标率均＜10%，因此项目大气环境影响评价等级为二级</w:t>
            </w:r>
            <w:r>
              <w:rPr>
                <w:rFonts w:hint="default"/>
                <w:color w:val="auto"/>
                <w:highlight w:val="none"/>
                <w:u w:val="none"/>
                <w:lang w:eastAsia="zh-CN"/>
              </w:rPr>
              <w:t>。</w:t>
            </w:r>
            <w:r>
              <w:rPr>
                <w:rFonts w:hint="default"/>
                <w:color w:val="auto"/>
                <w:highlight w:val="none"/>
                <w:u w:val="none"/>
              </w:rPr>
              <w:t>根据HJ2.2-2018可知，本项目无需进一步预测，但需要进行污染物排放量核算。</w:t>
            </w:r>
          </w:p>
          <w:p w14:paraId="639CA410">
            <w:pPr>
              <w:pStyle w:val="157"/>
              <w:ind w:firstLine="480"/>
              <w:rPr>
                <w:rFonts w:hint="eastAsia"/>
                <w:color w:val="auto"/>
                <w:highlight w:val="none"/>
                <w:u w:val="none"/>
              </w:rPr>
            </w:pPr>
            <w:r>
              <w:rPr>
                <w:rFonts w:hint="eastAsia"/>
                <w:color w:val="auto"/>
                <w:highlight w:val="none"/>
                <w:u w:val="none"/>
              </w:rPr>
              <w:t xml:space="preserve">（4）拟采取治理措施及合理性分析 </w:t>
            </w:r>
          </w:p>
          <w:p w14:paraId="6F53CFF0">
            <w:pPr>
              <w:pStyle w:val="157"/>
              <w:ind w:firstLine="480"/>
              <w:rPr>
                <w:rFonts w:hint="eastAsia"/>
                <w:color w:val="auto"/>
                <w:highlight w:val="none"/>
                <w:u w:val="none"/>
              </w:rPr>
            </w:pPr>
            <w:r>
              <w:rPr>
                <w:rFonts w:hint="eastAsia"/>
                <w:color w:val="auto"/>
                <w:highlight w:val="none"/>
                <w:u w:val="none"/>
              </w:rPr>
              <w:t>①锅炉废气采取的治理措施合理性分析</w:t>
            </w:r>
          </w:p>
          <w:p w14:paraId="3ED6D2BF">
            <w:pPr>
              <w:pStyle w:val="157"/>
              <w:ind w:firstLine="480"/>
              <w:rPr>
                <w:rFonts w:hint="default" w:eastAsia="宋体"/>
                <w:color w:val="auto"/>
                <w:highlight w:val="none"/>
                <w:u w:val="none"/>
                <w:lang w:val="en-US" w:eastAsia="zh-CN"/>
              </w:rPr>
            </w:pPr>
            <w:r>
              <w:rPr>
                <w:rFonts w:hint="eastAsia"/>
                <w:color w:val="auto"/>
                <w:highlight w:val="none"/>
                <w:u w:val="none"/>
              </w:rPr>
              <w:t>本次</w:t>
            </w:r>
            <w:r>
              <w:rPr>
                <w:rFonts w:hint="eastAsia"/>
                <w:color w:val="auto"/>
                <w:highlight w:val="none"/>
                <w:u w:val="none"/>
                <w:lang w:eastAsia="zh-CN"/>
              </w:rPr>
              <w:t>技改</w:t>
            </w:r>
            <w:r>
              <w:rPr>
                <w:rFonts w:hint="eastAsia"/>
                <w:color w:val="auto"/>
                <w:highlight w:val="none"/>
                <w:u w:val="none"/>
              </w:rPr>
              <w:t>项目使用成型成物质作为锅炉燃料，其废气经</w:t>
            </w:r>
            <w:r>
              <w:rPr>
                <w:rFonts w:hint="eastAsia"/>
                <w:color w:val="auto"/>
                <w:highlight w:val="none"/>
                <w:u w:val="none"/>
                <w:lang w:eastAsia="zh-CN"/>
              </w:rPr>
              <w:t>两级水膜除尘器</w:t>
            </w:r>
            <w:r>
              <w:rPr>
                <w:rFonts w:hint="eastAsia"/>
                <w:color w:val="auto"/>
                <w:highlight w:val="none"/>
                <w:u w:val="none"/>
              </w:rPr>
              <w:t>处理后通过</w:t>
            </w:r>
            <w:r>
              <w:rPr>
                <w:rFonts w:hint="eastAsia"/>
                <w:color w:val="auto"/>
                <w:highlight w:val="none"/>
                <w:u w:val="none"/>
                <w:lang w:eastAsia="zh-CN"/>
              </w:rPr>
              <w:t>35m高</w:t>
            </w:r>
            <w:r>
              <w:rPr>
                <w:rFonts w:hint="eastAsia"/>
                <w:color w:val="auto"/>
                <w:highlight w:val="none"/>
                <w:u w:val="none"/>
              </w:rPr>
              <w:t>的排气筒达标排放。</w:t>
            </w:r>
            <w:r>
              <w:rPr>
                <w:rFonts w:hint="eastAsia"/>
                <w:color w:val="auto"/>
                <w:highlight w:val="none"/>
                <w:u w:val="none"/>
                <w:lang w:val="en-US" w:eastAsia="zh-CN"/>
              </w:rPr>
              <w:t>本项目</w:t>
            </w:r>
            <w:r>
              <w:rPr>
                <w:rFonts w:hint="eastAsia"/>
                <w:color w:val="auto"/>
                <w:highlight w:val="none"/>
                <w:u w:val="none"/>
                <w:lang w:eastAsia="zh-CN"/>
              </w:rPr>
              <w:t>两级水膜除尘器</w:t>
            </w:r>
            <w:r>
              <w:rPr>
                <w:rFonts w:hint="eastAsia"/>
                <w:color w:val="auto"/>
                <w:highlight w:val="none"/>
                <w:u w:val="none"/>
                <w:lang w:val="en-US" w:eastAsia="zh-CN"/>
              </w:rPr>
              <w:t>和35m排气筒于2024年进行了整改和维护，现正常运行，</w:t>
            </w:r>
            <w:r>
              <w:rPr>
                <w:rFonts w:hint="default" w:ascii="Times New Roman" w:hAnsi="Times New Roman" w:eastAsia="宋体" w:cs="Times New Roman"/>
                <w:color w:val="auto"/>
                <w:spacing w:val="-1"/>
                <w:highlight w:val="none"/>
                <w:u w:val="none" w:color="auto"/>
                <w:lang w:val="en-US" w:eastAsia="zh-CN"/>
              </w:rPr>
              <w:t>根据</w:t>
            </w:r>
            <w:r>
              <w:rPr>
                <w:rFonts w:hint="eastAsia" w:cs="Times New Roman"/>
                <w:color w:val="auto"/>
                <w:spacing w:val="-1"/>
                <w:highlight w:val="none"/>
                <w:u w:val="none" w:color="auto"/>
                <w:lang w:val="en-US" w:eastAsia="zh-CN"/>
              </w:rPr>
              <w:t>企业于</w:t>
            </w:r>
            <w:r>
              <w:rPr>
                <w:rFonts w:hint="eastAsia" w:ascii="Times New Roman" w:hAnsi="Times New Roman" w:eastAsia="宋体" w:cs="Times New Roman"/>
                <w:color w:val="auto"/>
                <w:spacing w:val="-1"/>
                <w:highlight w:val="none"/>
                <w:u w:val="none" w:color="auto"/>
                <w:lang w:val="en-US" w:eastAsia="zh-CN"/>
              </w:rPr>
              <w:t>2024年3月18日废气检测报告</w:t>
            </w:r>
            <w:r>
              <w:rPr>
                <w:rFonts w:hint="eastAsia"/>
                <w:color w:val="auto"/>
                <w:highlight w:val="none"/>
                <w:u w:val="none"/>
                <w:lang w:val="en-US" w:eastAsia="zh-CN"/>
              </w:rPr>
              <w:t>（第 KBT/HJ202403471号），</w:t>
            </w:r>
            <w:r>
              <w:rPr>
                <w:rFonts w:hint="eastAsia" w:ascii="Times New Roman" w:hAnsi="Times New Roman" w:cs="Times New Roman"/>
                <w:color w:val="auto"/>
                <w:spacing w:val="-3"/>
                <w:highlight w:val="none"/>
                <w:u w:val="none" w:color="auto"/>
                <w:lang w:val="en-US" w:eastAsia="zh-CN"/>
              </w:rPr>
              <w:t>锅炉废气颗粒物、二氧化硫、氮氧化物</w:t>
            </w:r>
            <w:r>
              <w:rPr>
                <w:rFonts w:hint="default" w:ascii="Times New Roman" w:hAnsi="Times New Roman" w:cs="Times New Roman"/>
                <w:color w:val="auto"/>
                <w:spacing w:val="-3"/>
                <w:highlight w:val="none"/>
                <w:u w:val="none" w:color="auto"/>
                <w:lang w:val="en-US" w:eastAsia="zh-CN"/>
              </w:rPr>
              <w:t>达到</w:t>
            </w:r>
            <w:r>
              <w:rPr>
                <w:rFonts w:hint="default" w:ascii="Times New Roman" w:hAnsi="Times New Roman" w:eastAsia="宋体" w:cs="Times New Roman"/>
                <w:color w:val="auto"/>
                <w:kern w:val="0"/>
                <w:sz w:val="24"/>
                <w:szCs w:val="24"/>
                <w:highlight w:val="none"/>
                <w:u w:val="none" w:color="auto"/>
                <w:lang w:val="en-US" w:eastAsia="zh-CN" w:bidi="ar"/>
              </w:rPr>
              <w:t>《锅炉大气污染物排放标准》（GB13271-2014）中表2规定的新建燃煤锅炉大气污染物排放浓度限值</w:t>
            </w:r>
            <w:r>
              <w:rPr>
                <w:rFonts w:hint="eastAsia" w:cs="Times New Roman"/>
                <w:color w:val="auto"/>
                <w:kern w:val="0"/>
                <w:sz w:val="24"/>
                <w:szCs w:val="24"/>
                <w:highlight w:val="none"/>
                <w:u w:val="none" w:color="auto"/>
                <w:lang w:val="en-US" w:eastAsia="zh-CN" w:bidi="ar"/>
              </w:rPr>
              <w:t>。</w:t>
            </w:r>
          </w:p>
          <w:p w14:paraId="3EB7BC31">
            <w:pPr>
              <w:pStyle w:val="157"/>
              <w:ind w:firstLine="480"/>
              <w:rPr>
                <w:rFonts w:hint="eastAsia"/>
                <w:color w:val="auto"/>
                <w:highlight w:val="none"/>
                <w:u w:val="none"/>
              </w:rPr>
            </w:pPr>
            <w:r>
              <w:rPr>
                <w:rFonts w:hint="eastAsia"/>
                <w:color w:val="auto"/>
                <w:highlight w:val="none"/>
                <w:u w:val="none"/>
              </w:rPr>
              <w:t>含尘烟气由除尘器下部进气管道切向进入，在导流装置的引导下形成高速旋转向上的气流。此时，烟气中的粗颗粒粉尘在离心力和重力的双重作用下，首先碰撞分离，落入底部灰斗。而携带较细颗粒的烟气继续旋转上升，与从上部溢流水槽流下的、沿筒体内壁形成的高速水膜充分接触。烟气中的细小尘粒在惯性碰撞、离心分离和水幕拦截等综合作用下，被水膜有效捕获，随水流经下部排灰口排出，净化后的气体从顶部排出。</w:t>
            </w:r>
          </w:p>
          <w:p w14:paraId="5BE34139">
            <w:pPr>
              <w:pStyle w:val="157"/>
              <w:ind w:firstLine="480"/>
              <w:rPr>
                <w:rFonts w:hint="eastAsia"/>
                <w:color w:val="auto"/>
                <w:highlight w:val="none"/>
                <w:u w:val="none"/>
              </w:rPr>
            </w:pPr>
            <w:r>
              <w:rPr>
                <w:rFonts w:hint="eastAsia"/>
                <w:color w:val="auto"/>
                <w:highlight w:val="none"/>
                <w:u w:val="none"/>
              </w:rPr>
              <w:t>本次</w:t>
            </w:r>
            <w:r>
              <w:rPr>
                <w:rFonts w:hint="eastAsia"/>
                <w:color w:val="auto"/>
                <w:highlight w:val="none"/>
                <w:u w:val="none"/>
                <w:lang w:eastAsia="zh-CN"/>
              </w:rPr>
              <w:t>技改</w:t>
            </w:r>
            <w:r>
              <w:rPr>
                <w:rFonts w:hint="eastAsia"/>
                <w:color w:val="auto"/>
                <w:highlight w:val="none"/>
                <w:u w:val="none"/>
              </w:rPr>
              <w:t>项目锅炉废气经</w:t>
            </w:r>
            <w:r>
              <w:rPr>
                <w:rFonts w:hint="eastAsia"/>
                <w:color w:val="auto"/>
                <w:highlight w:val="none"/>
                <w:u w:val="none"/>
                <w:lang w:eastAsia="zh-CN"/>
              </w:rPr>
              <w:t>两级水膜除尘器</w:t>
            </w:r>
            <w:r>
              <w:rPr>
                <w:rFonts w:hint="eastAsia"/>
                <w:color w:val="auto"/>
                <w:highlight w:val="none"/>
                <w:u w:val="none"/>
              </w:rPr>
              <w:t xml:space="preserve">处理后，颗粒物最大排放浓度为 </w:t>
            </w:r>
            <w:r>
              <w:rPr>
                <w:rFonts w:hint="eastAsia"/>
                <w:color w:val="auto"/>
                <w:highlight w:val="none"/>
                <w:u w:val="none"/>
                <w:lang w:eastAsia="zh-CN"/>
              </w:rPr>
              <w:t>8.01</w:t>
            </w:r>
            <w:r>
              <w:rPr>
                <w:rFonts w:hint="eastAsia"/>
                <w:color w:val="auto"/>
                <w:highlight w:val="none"/>
                <w:u w:val="none"/>
              </w:rPr>
              <w:t>mg/m</w:t>
            </w:r>
            <w:r>
              <w:rPr>
                <w:rFonts w:hint="eastAsia"/>
                <w:color w:val="auto"/>
                <w:highlight w:val="none"/>
                <w:u w:val="none"/>
                <w:vertAlign w:val="superscript"/>
              </w:rPr>
              <w:t>3</w:t>
            </w:r>
            <w:r>
              <w:rPr>
                <w:rFonts w:hint="eastAsia"/>
                <w:color w:val="auto"/>
                <w:highlight w:val="none"/>
                <w:u w:val="none"/>
              </w:rPr>
              <w:t>，SO</w:t>
            </w:r>
            <w:r>
              <w:rPr>
                <w:rFonts w:hint="eastAsia"/>
                <w:color w:val="auto"/>
                <w:highlight w:val="none"/>
                <w:u w:val="none"/>
                <w:vertAlign w:val="subscript"/>
              </w:rPr>
              <w:t>2</w:t>
            </w:r>
            <w:r>
              <w:rPr>
                <w:rFonts w:hint="eastAsia"/>
                <w:color w:val="auto"/>
                <w:highlight w:val="none"/>
                <w:u w:val="none"/>
              </w:rPr>
              <w:t>排放浓度为</w:t>
            </w:r>
            <w:r>
              <w:rPr>
                <w:rFonts w:hint="eastAsia"/>
                <w:color w:val="auto"/>
                <w:highlight w:val="none"/>
                <w:u w:val="none"/>
                <w:lang w:eastAsia="zh-CN"/>
              </w:rPr>
              <w:t>54.24</w:t>
            </w:r>
            <w:r>
              <w:rPr>
                <w:rFonts w:hint="eastAsia"/>
                <w:color w:val="auto"/>
                <w:highlight w:val="none"/>
                <w:u w:val="none"/>
              </w:rPr>
              <w:t>mg/m</w:t>
            </w:r>
            <w:r>
              <w:rPr>
                <w:rFonts w:hint="eastAsia"/>
                <w:color w:val="auto"/>
                <w:highlight w:val="none"/>
                <w:u w:val="none"/>
                <w:vertAlign w:val="superscript"/>
              </w:rPr>
              <w:t>3</w:t>
            </w:r>
            <w:r>
              <w:rPr>
                <w:rFonts w:hint="eastAsia"/>
                <w:color w:val="auto"/>
                <w:highlight w:val="none"/>
                <w:u w:val="none"/>
              </w:rPr>
              <w:t>，NOx排放浓度为</w:t>
            </w:r>
            <w:r>
              <w:rPr>
                <w:rFonts w:hint="eastAsia"/>
                <w:color w:val="auto"/>
                <w:highlight w:val="none"/>
                <w:u w:val="none"/>
                <w:lang w:eastAsia="zh-CN"/>
              </w:rPr>
              <w:t>163.34</w:t>
            </w:r>
            <w:r>
              <w:rPr>
                <w:rFonts w:hint="eastAsia"/>
                <w:color w:val="auto"/>
                <w:highlight w:val="none"/>
                <w:u w:val="none"/>
              </w:rPr>
              <w:t>mg/m</w:t>
            </w:r>
            <w:r>
              <w:rPr>
                <w:rFonts w:hint="eastAsia"/>
                <w:color w:val="auto"/>
                <w:highlight w:val="none"/>
                <w:u w:val="none"/>
                <w:vertAlign w:val="superscript"/>
              </w:rPr>
              <w:t>3</w:t>
            </w:r>
            <w:r>
              <w:rPr>
                <w:rFonts w:hint="eastAsia"/>
                <w:color w:val="auto"/>
                <w:highlight w:val="none"/>
                <w:u w:val="none"/>
              </w:rPr>
              <w:t>，可以满足《锅炉大气污染物排放标准》（GB13271-2014）中表2规定的新建燃煤锅炉大气污染物排放浓度限值，故本项目采取</w:t>
            </w:r>
            <w:r>
              <w:rPr>
                <w:rFonts w:hint="eastAsia"/>
                <w:color w:val="auto"/>
                <w:highlight w:val="none"/>
                <w:u w:val="none"/>
                <w:lang w:eastAsia="zh-CN"/>
              </w:rPr>
              <w:t>两级水膜除尘器</w:t>
            </w:r>
            <w:r>
              <w:rPr>
                <w:rFonts w:hint="eastAsia"/>
                <w:color w:val="auto"/>
                <w:highlight w:val="none"/>
                <w:u w:val="none"/>
              </w:rPr>
              <w:t>处理锅炉废气是可行的。</w:t>
            </w:r>
          </w:p>
          <w:p w14:paraId="72DD6040">
            <w:pPr>
              <w:pStyle w:val="157"/>
              <w:ind w:firstLine="480"/>
              <w:rPr>
                <w:rFonts w:hint="eastAsia"/>
                <w:color w:val="auto"/>
                <w:highlight w:val="none"/>
                <w:u w:val="none"/>
              </w:rPr>
            </w:pPr>
            <w:r>
              <w:rPr>
                <w:rFonts w:hint="eastAsia"/>
                <w:color w:val="auto"/>
                <w:highlight w:val="none"/>
                <w:u w:val="none"/>
                <w:lang w:eastAsia="zh-CN"/>
              </w:rPr>
              <w:t>②</w:t>
            </w:r>
            <w:r>
              <w:rPr>
                <w:rFonts w:hint="eastAsia"/>
                <w:color w:val="auto"/>
                <w:highlight w:val="none"/>
                <w:u w:val="none"/>
              </w:rPr>
              <w:t>排气筒设置合理性分析</w:t>
            </w:r>
          </w:p>
          <w:p w14:paraId="02C0EB8D">
            <w:pPr>
              <w:pStyle w:val="157"/>
              <w:ind w:firstLine="480"/>
              <w:rPr>
                <w:rFonts w:hint="eastAsia"/>
                <w:color w:val="auto"/>
                <w:highlight w:val="none"/>
                <w:u w:val="none"/>
              </w:rPr>
            </w:pPr>
            <w:r>
              <w:rPr>
                <w:rFonts w:hint="eastAsia"/>
                <w:color w:val="auto"/>
                <w:highlight w:val="none"/>
                <w:u w:val="none"/>
              </w:rPr>
              <w:t>本次共设置有组织排气筒</w:t>
            </w:r>
            <w:r>
              <w:rPr>
                <w:rFonts w:hint="eastAsia"/>
                <w:color w:val="auto"/>
                <w:highlight w:val="none"/>
                <w:u w:val="none"/>
                <w:lang w:val="en-US" w:eastAsia="zh-CN"/>
              </w:rPr>
              <w:t>2</w:t>
            </w:r>
            <w:r>
              <w:rPr>
                <w:rFonts w:hint="eastAsia"/>
                <w:color w:val="auto"/>
                <w:highlight w:val="none"/>
                <w:u w:val="none"/>
              </w:rPr>
              <w:t>个，</w:t>
            </w:r>
            <w:r>
              <w:rPr>
                <w:rFonts w:hint="eastAsia"/>
                <w:color w:val="auto"/>
                <w:highlight w:val="none"/>
                <w:u w:val="none"/>
                <w:lang w:val="en-US" w:eastAsia="zh-CN"/>
              </w:rPr>
              <w:t>锅炉废气</w:t>
            </w:r>
            <w:r>
              <w:rPr>
                <w:rFonts w:hint="eastAsia"/>
                <w:color w:val="auto"/>
                <w:highlight w:val="none"/>
                <w:u w:val="none"/>
              </w:rPr>
              <w:t>排气筒高度为35米，</w:t>
            </w:r>
            <w:r>
              <w:rPr>
                <w:rFonts w:hint="eastAsia"/>
                <w:color w:val="auto"/>
                <w:highlight w:val="none"/>
                <w:u w:val="none"/>
                <w:lang w:val="en-US" w:eastAsia="zh-CN"/>
              </w:rPr>
              <w:t>溶剂废气排气筒高度为15米，</w:t>
            </w:r>
            <w:r>
              <w:rPr>
                <w:rFonts w:hint="eastAsia"/>
                <w:color w:val="auto"/>
                <w:highlight w:val="none"/>
                <w:u w:val="none"/>
              </w:rPr>
              <w:t>根据工程分析，项目排气筒排放的各污染物排放浓度均符合相关排放标准要求。</w:t>
            </w:r>
          </w:p>
          <w:p w14:paraId="24F85AE0">
            <w:pPr>
              <w:pStyle w:val="157"/>
              <w:ind w:firstLine="480"/>
              <w:rPr>
                <w:rFonts w:hint="eastAsia"/>
                <w:color w:val="auto"/>
                <w:highlight w:val="none"/>
                <w:u w:val="none"/>
              </w:rPr>
            </w:pPr>
            <w:r>
              <w:rPr>
                <w:rFonts w:hint="eastAsia"/>
                <w:color w:val="auto"/>
                <w:highlight w:val="none"/>
                <w:u w:val="none"/>
              </w:rPr>
              <w:t>本项目锅炉废气污染物排放执行《锅炉大气污染物排放标准》（GB13271-2014），根据《锅炉大气污染物排放标准》（GB13271-2014）要求：“</w:t>
            </w:r>
            <w:r>
              <w:rPr>
                <w:rFonts w:hint="eastAsia"/>
                <w:color w:val="auto"/>
                <w:highlight w:val="none"/>
                <w:u w:val="none"/>
                <w:lang w:val="en-US" w:eastAsia="zh-CN"/>
              </w:rPr>
              <w:t>2~＜4</w:t>
            </w:r>
            <w:r>
              <w:rPr>
                <w:rFonts w:hint="eastAsia"/>
                <w:color w:val="auto"/>
                <w:highlight w:val="none"/>
                <w:u w:val="none"/>
              </w:rPr>
              <w:t>吨的锅炉不低于</w:t>
            </w:r>
            <w:r>
              <w:rPr>
                <w:rFonts w:hint="eastAsia"/>
                <w:color w:val="auto"/>
                <w:highlight w:val="none"/>
                <w:u w:val="none"/>
                <w:lang w:val="en-US" w:eastAsia="zh-CN"/>
              </w:rPr>
              <w:t>30</w:t>
            </w:r>
            <w:r>
              <w:rPr>
                <w:rFonts w:hint="eastAsia"/>
                <w:color w:val="auto"/>
                <w:highlight w:val="none"/>
                <w:u w:val="none"/>
              </w:rPr>
              <w:t>米，新建锅炉房的烟囱周围半径200m距离内有建筑物时，其烟囱应高出最高建筑物3m以上”。根据设计，本项目锅炉排气筒设置的高度为35m（本项目周边200m范围内最高建筑为15米），</w:t>
            </w:r>
            <w:r>
              <w:rPr>
                <w:rFonts w:hint="eastAsia"/>
                <w:color w:val="auto"/>
                <w:highlight w:val="none"/>
                <w:u w:val="none"/>
                <w:lang w:val="en-US" w:eastAsia="zh-CN"/>
              </w:rPr>
              <w:t>符合锅炉废气</w:t>
            </w:r>
            <w:r>
              <w:rPr>
                <w:rFonts w:hint="eastAsia"/>
                <w:color w:val="auto"/>
                <w:highlight w:val="none"/>
                <w:u w:val="none"/>
              </w:rPr>
              <w:t>排气筒高度的要求。</w:t>
            </w:r>
          </w:p>
          <w:p w14:paraId="38BB423C">
            <w:pPr>
              <w:pStyle w:val="157"/>
              <w:ind w:firstLine="480"/>
              <w:rPr>
                <w:rFonts w:hint="eastAsia"/>
                <w:color w:val="auto"/>
                <w:highlight w:val="none"/>
                <w:u w:val="none"/>
                <w:lang w:eastAsia="zh-CN"/>
              </w:rPr>
            </w:pPr>
            <w:r>
              <w:rPr>
                <w:rFonts w:hint="eastAsia" w:cs="Times New Roman"/>
                <w:color w:val="auto"/>
                <w:kern w:val="0"/>
                <w:sz w:val="24"/>
                <w:szCs w:val="24"/>
                <w:highlight w:val="none"/>
                <w:lang w:val="en-US" w:eastAsia="zh-CN" w:bidi="ar"/>
              </w:rPr>
              <w:t>溶剂废气排气筒15m，符合《大气污染物综合排放标准》（GB16297-1996）中“新污染源的排气筒一般不应低于15m”要求。</w:t>
            </w:r>
          </w:p>
          <w:p w14:paraId="3E1B1A25">
            <w:pPr>
              <w:pStyle w:val="157"/>
              <w:ind w:firstLine="480"/>
              <w:rPr>
                <w:rFonts w:hint="eastAsia"/>
                <w:color w:val="auto"/>
                <w:highlight w:val="none"/>
                <w:u w:val="none"/>
                <w:lang w:bidi="ar"/>
              </w:rPr>
            </w:pPr>
            <w:r>
              <w:rPr>
                <w:rFonts w:hint="eastAsia"/>
                <w:color w:val="auto"/>
                <w:highlight w:val="none"/>
                <w:u w:val="none"/>
                <w:lang w:bidi="ar"/>
              </w:rPr>
              <w:t>（5）污染物排放量核算</w:t>
            </w:r>
          </w:p>
          <w:p w14:paraId="776A2B61">
            <w:pPr>
              <w:pStyle w:val="157"/>
              <w:ind w:firstLine="480"/>
              <w:rPr>
                <w:b/>
                <w:bCs/>
                <w:color w:val="auto"/>
                <w:szCs w:val="21"/>
                <w:highlight w:val="none"/>
              </w:rPr>
            </w:pPr>
            <w:r>
              <w:rPr>
                <w:rFonts w:hint="eastAsia" w:cs="Times New Roman"/>
                <w:b w:val="0"/>
                <w:bCs w:val="0"/>
                <w:color w:val="auto"/>
                <w:sz w:val="24"/>
                <w:szCs w:val="24"/>
                <w:highlight w:val="none"/>
                <w:u w:val="none" w:color="auto"/>
                <w:lang w:val="en-US" w:eastAsia="zh-CN"/>
              </w:rPr>
              <w:t>本技改</w:t>
            </w:r>
            <w:r>
              <w:rPr>
                <w:rFonts w:hint="eastAsia" w:ascii="Times New Roman" w:hAnsi="Times New Roman" w:cs="Times New Roman"/>
                <w:b w:val="0"/>
                <w:bCs w:val="0"/>
                <w:color w:val="auto"/>
                <w:sz w:val="24"/>
                <w:szCs w:val="24"/>
                <w:highlight w:val="none"/>
                <w:u w:val="none" w:color="auto"/>
                <w:lang w:val="en-US" w:eastAsia="zh-CN"/>
              </w:rPr>
              <w:t>项目</w:t>
            </w:r>
            <w:r>
              <w:rPr>
                <w:rFonts w:hint="eastAsia" w:cs="Times New Roman"/>
                <w:b w:val="0"/>
                <w:bCs w:val="0"/>
                <w:color w:val="auto"/>
                <w:sz w:val="24"/>
                <w:szCs w:val="24"/>
                <w:highlight w:val="none"/>
                <w:u w:val="none" w:color="auto"/>
                <w:lang w:val="en-US" w:eastAsia="zh-CN"/>
              </w:rPr>
              <w:t>大气污染物主要为</w:t>
            </w:r>
            <w:r>
              <w:rPr>
                <w:rFonts w:hint="default" w:ascii="Times New Roman" w:hAnsi="Times New Roman" w:cs="Times New Roman"/>
                <w:b w:val="0"/>
                <w:bCs w:val="0"/>
                <w:color w:val="auto"/>
                <w:sz w:val="24"/>
                <w:szCs w:val="24"/>
                <w:highlight w:val="none"/>
                <w:u w:val="none" w:color="auto"/>
                <w:lang w:val="en-US" w:eastAsia="zh-CN"/>
              </w:rPr>
              <w:t>SO</w:t>
            </w:r>
            <w:r>
              <w:rPr>
                <w:rFonts w:hint="default" w:ascii="Times New Roman" w:hAnsi="Times New Roman" w:cs="Times New Roman"/>
                <w:b w:val="0"/>
                <w:bCs w:val="0"/>
                <w:color w:val="auto"/>
                <w:sz w:val="24"/>
                <w:szCs w:val="24"/>
                <w:highlight w:val="none"/>
                <w:u w:val="none" w:color="auto"/>
                <w:vertAlign w:val="subscript"/>
                <w:lang w:val="en-US" w:eastAsia="zh-CN"/>
              </w:rPr>
              <w:t>2</w:t>
            </w:r>
            <w:r>
              <w:rPr>
                <w:rFonts w:hint="eastAsia" w:cs="Times New Roman"/>
                <w:b w:val="0"/>
                <w:bCs w:val="0"/>
                <w:color w:val="auto"/>
                <w:sz w:val="24"/>
                <w:szCs w:val="24"/>
                <w:highlight w:val="none"/>
                <w:u w:val="none" w:color="auto"/>
                <w:lang w:val="en-US" w:eastAsia="zh-CN"/>
              </w:rPr>
              <w:t>、</w:t>
            </w:r>
            <w:r>
              <w:rPr>
                <w:rFonts w:hint="default" w:ascii="Times New Roman" w:hAnsi="Times New Roman" w:cs="Times New Roman"/>
                <w:b w:val="0"/>
                <w:bCs w:val="0"/>
                <w:color w:val="auto"/>
                <w:sz w:val="24"/>
                <w:szCs w:val="24"/>
                <w:highlight w:val="none"/>
                <w:u w:val="none" w:color="auto"/>
                <w:lang w:val="en-US" w:eastAsia="zh-CN"/>
              </w:rPr>
              <w:t>NOx</w:t>
            </w:r>
            <w:r>
              <w:rPr>
                <w:rFonts w:hint="eastAsia" w:cs="Times New Roman"/>
                <w:b w:val="0"/>
                <w:bCs w:val="0"/>
                <w:color w:val="auto"/>
                <w:sz w:val="24"/>
                <w:szCs w:val="24"/>
                <w:highlight w:val="none"/>
                <w:u w:val="none" w:color="auto"/>
                <w:lang w:val="en-US" w:eastAsia="zh-CN"/>
              </w:rPr>
              <w:t>和颗粒物及非甲烷总烃，</w:t>
            </w:r>
            <w:r>
              <w:rPr>
                <w:rFonts w:hint="eastAsia"/>
                <w:color w:val="auto"/>
                <w:highlight w:val="none"/>
                <w:u w:val="none"/>
                <w:lang w:bidi="ar"/>
              </w:rPr>
              <w:t>排放量核算表如下。</w:t>
            </w:r>
          </w:p>
          <w:p w14:paraId="30755DB5">
            <w:pPr>
              <w:jc w:val="center"/>
              <w:rPr>
                <w:color w:val="auto"/>
                <w:highlight w:val="none"/>
              </w:rPr>
            </w:pPr>
            <w:r>
              <w:rPr>
                <w:b/>
                <w:bCs/>
                <w:color w:val="auto"/>
                <w:szCs w:val="21"/>
                <w:highlight w:val="none"/>
              </w:rPr>
              <w:t>表</w:t>
            </w:r>
            <w:r>
              <w:rPr>
                <w:rFonts w:hint="eastAsia"/>
                <w:b/>
                <w:bCs/>
                <w:color w:val="auto"/>
                <w:szCs w:val="21"/>
                <w:highlight w:val="none"/>
              </w:rPr>
              <w:t>4</w:t>
            </w:r>
            <w:r>
              <w:rPr>
                <w:b/>
                <w:bCs/>
                <w:color w:val="auto"/>
                <w:szCs w:val="21"/>
                <w:highlight w:val="none"/>
              </w:rPr>
              <w:t>-</w:t>
            </w:r>
            <w:r>
              <w:rPr>
                <w:rFonts w:hint="eastAsia"/>
                <w:b/>
                <w:bCs/>
                <w:color w:val="auto"/>
                <w:szCs w:val="21"/>
                <w:highlight w:val="none"/>
                <w:lang w:val="en-US" w:eastAsia="zh-CN"/>
              </w:rPr>
              <w:t>9</w:t>
            </w:r>
            <w:r>
              <w:rPr>
                <w:b/>
                <w:bCs/>
                <w:color w:val="auto"/>
                <w:szCs w:val="21"/>
                <w:highlight w:val="none"/>
              </w:rPr>
              <w:t xml:space="preserve">  大气污染物有组织排放量核算表</w:t>
            </w:r>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562"/>
              <w:gridCol w:w="1320"/>
              <w:gridCol w:w="1831"/>
              <w:gridCol w:w="1624"/>
              <w:gridCol w:w="1627"/>
              <w:gridCol w:w="1655"/>
            </w:tblGrid>
            <w:tr w14:paraId="61E5F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326" w:type="pct"/>
                  <w:tcBorders>
                    <w:tl2br w:val="nil"/>
                    <w:tr2bl w:val="nil"/>
                  </w:tcBorders>
                  <w:vAlign w:val="center"/>
                </w:tcPr>
                <w:p w14:paraId="45FC74A5">
                  <w:pPr>
                    <w:adjustRightInd w:val="0"/>
                    <w:snapToGrid w:val="0"/>
                    <w:jc w:val="center"/>
                    <w:rPr>
                      <w:b/>
                      <w:bCs/>
                      <w:color w:val="auto"/>
                      <w:sz w:val="21"/>
                      <w:szCs w:val="21"/>
                      <w:highlight w:val="none"/>
                    </w:rPr>
                  </w:pPr>
                  <w:r>
                    <w:rPr>
                      <w:b/>
                      <w:bCs/>
                      <w:color w:val="auto"/>
                      <w:sz w:val="21"/>
                      <w:szCs w:val="21"/>
                      <w:highlight w:val="none"/>
                    </w:rPr>
                    <w:t>序号</w:t>
                  </w:r>
                </w:p>
              </w:tc>
              <w:tc>
                <w:tcPr>
                  <w:tcW w:w="766" w:type="pct"/>
                  <w:tcBorders>
                    <w:tl2br w:val="nil"/>
                    <w:tr2bl w:val="nil"/>
                  </w:tcBorders>
                  <w:vAlign w:val="center"/>
                </w:tcPr>
                <w:p w14:paraId="1C30CDEC">
                  <w:pPr>
                    <w:adjustRightInd w:val="0"/>
                    <w:snapToGrid w:val="0"/>
                    <w:jc w:val="center"/>
                    <w:rPr>
                      <w:b/>
                      <w:bCs/>
                      <w:color w:val="auto"/>
                      <w:sz w:val="21"/>
                      <w:szCs w:val="21"/>
                      <w:highlight w:val="none"/>
                    </w:rPr>
                  </w:pPr>
                  <w:r>
                    <w:rPr>
                      <w:b/>
                      <w:bCs/>
                      <w:color w:val="auto"/>
                      <w:sz w:val="21"/>
                      <w:szCs w:val="21"/>
                      <w:highlight w:val="none"/>
                    </w:rPr>
                    <w:t>排放口编号</w:t>
                  </w:r>
                </w:p>
              </w:tc>
              <w:tc>
                <w:tcPr>
                  <w:tcW w:w="1062" w:type="pct"/>
                  <w:tcBorders>
                    <w:tl2br w:val="nil"/>
                    <w:tr2bl w:val="nil"/>
                  </w:tcBorders>
                  <w:vAlign w:val="center"/>
                </w:tcPr>
                <w:p w14:paraId="44D40732">
                  <w:pPr>
                    <w:adjustRightInd w:val="0"/>
                    <w:snapToGrid w:val="0"/>
                    <w:jc w:val="center"/>
                    <w:rPr>
                      <w:b/>
                      <w:bCs/>
                      <w:color w:val="auto"/>
                      <w:sz w:val="21"/>
                      <w:szCs w:val="21"/>
                      <w:highlight w:val="none"/>
                    </w:rPr>
                  </w:pPr>
                  <w:r>
                    <w:rPr>
                      <w:b/>
                      <w:bCs/>
                      <w:color w:val="auto"/>
                      <w:sz w:val="21"/>
                      <w:szCs w:val="21"/>
                      <w:highlight w:val="none"/>
                    </w:rPr>
                    <w:t>污染物</w:t>
                  </w:r>
                </w:p>
              </w:tc>
              <w:tc>
                <w:tcPr>
                  <w:tcW w:w="942" w:type="pct"/>
                  <w:tcBorders>
                    <w:tl2br w:val="nil"/>
                    <w:tr2bl w:val="nil"/>
                  </w:tcBorders>
                  <w:vAlign w:val="center"/>
                </w:tcPr>
                <w:p w14:paraId="19EA62F1">
                  <w:pPr>
                    <w:adjustRightInd w:val="0"/>
                    <w:snapToGrid w:val="0"/>
                    <w:jc w:val="center"/>
                    <w:rPr>
                      <w:b/>
                      <w:bCs/>
                      <w:color w:val="auto"/>
                      <w:sz w:val="21"/>
                      <w:szCs w:val="21"/>
                      <w:highlight w:val="none"/>
                    </w:rPr>
                  </w:pPr>
                  <w:r>
                    <w:rPr>
                      <w:b/>
                      <w:bCs/>
                      <w:color w:val="auto"/>
                      <w:sz w:val="21"/>
                      <w:szCs w:val="21"/>
                      <w:highlight w:val="none"/>
                    </w:rPr>
                    <w:t>核算排放浓度/（mg/m</w:t>
                  </w:r>
                  <w:r>
                    <w:rPr>
                      <w:b/>
                      <w:bCs/>
                      <w:color w:val="auto"/>
                      <w:sz w:val="21"/>
                      <w:szCs w:val="21"/>
                      <w:highlight w:val="none"/>
                      <w:vertAlign w:val="superscript"/>
                    </w:rPr>
                    <w:t>3</w:t>
                  </w:r>
                  <w:r>
                    <w:rPr>
                      <w:b/>
                      <w:bCs/>
                      <w:color w:val="auto"/>
                      <w:sz w:val="21"/>
                      <w:szCs w:val="21"/>
                      <w:highlight w:val="none"/>
                    </w:rPr>
                    <w:t>）</w:t>
                  </w:r>
                </w:p>
              </w:tc>
              <w:tc>
                <w:tcPr>
                  <w:tcW w:w="943" w:type="pct"/>
                  <w:tcBorders>
                    <w:tl2br w:val="nil"/>
                    <w:tr2bl w:val="nil"/>
                  </w:tcBorders>
                  <w:vAlign w:val="center"/>
                </w:tcPr>
                <w:p w14:paraId="006FE067">
                  <w:pPr>
                    <w:adjustRightInd w:val="0"/>
                    <w:snapToGrid w:val="0"/>
                    <w:jc w:val="center"/>
                    <w:rPr>
                      <w:b/>
                      <w:bCs/>
                      <w:color w:val="auto"/>
                      <w:sz w:val="21"/>
                      <w:szCs w:val="21"/>
                      <w:highlight w:val="none"/>
                    </w:rPr>
                  </w:pPr>
                  <w:r>
                    <w:rPr>
                      <w:b/>
                      <w:bCs/>
                      <w:color w:val="auto"/>
                      <w:sz w:val="21"/>
                      <w:szCs w:val="21"/>
                      <w:highlight w:val="none"/>
                    </w:rPr>
                    <w:t>核算排放速率</w:t>
                  </w:r>
                </w:p>
                <w:p w14:paraId="4445539B">
                  <w:pPr>
                    <w:adjustRightInd w:val="0"/>
                    <w:snapToGrid w:val="0"/>
                    <w:jc w:val="center"/>
                    <w:rPr>
                      <w:b/>
                      <w:bCs/>
                      <w:color w:val="auto"/>
                      <w:sz w:val="21"/>
                      <w:szCs w:val="21"/>
                      <w:highlight w:val="none"/>
                    </w:rPr>
                  </w:pPr>
                  <w:r>
                    <w:rPr>
                      <w:b/>
                      <w:bCs/>
                      <w:color w:val="auto"/>
                      <w:sz w:val="21"/>
                      <w:szCs w:val="21"/>
                      <w:highlight w:val="none"/>
                    </w:rPr>
                    <w:t>（kg/h）</w:t>
                  </w:r>
                </w:p>
              </w:tc>
              <w:tc>
                <w:tcPr>
                  <w:tcW w:w="958" w:type="pct"/>
                  <w:tcBorders>
                    <w:tl2br w:val="nil"/>
                    <w:tr2bl w:val="nil"/>
                  </w:tcBorders>
                  <w:vAlign w:val="center"/>
                </w:tcPr>
                <w:p w14:paraId="418F1B75">
                  <w:pPr>
                    <w:adjustRightInd w:val="0"/>
                    <w:snapToGrid w:val="0"/>
                    <w:jc w:val="center"/>
                    <w:rPr>
                      <w:b/>
                      <w:bCs/>
                      <w:color w:val="auto"/>
                      <w:sz w:val="21"/>
                      <w:szCs w:val="21"/>
                      <w:highlight w:val="none"/>
                    </w:rPr>
                  </w:pPr>
                  <w:r>
                    <w:rPr>
                      <w:b/>
                      <w:bCs/>
                      <w:color w:val="auto"/>
                      <w:sz w:val="21"/>
                      <w:szCs w:val="21"/>
                      <w:highlight w:val="none"/>
                    </w:rPr>
                    <w:t>核算年排放量</w:t>
                  </w:r>
                </w:p>
                <w:p w14:paraId="7550246D">
                  <w:pPr>
                    <w:adjustRightInd w:val="0"/>
                    <w:snapToGrid w:val="0"/>
                    <w:jc w:val="center"/>
                    <w:rPr>
                      <w:b/>
                      <w:bCs/>
                      <w:color w:val="auto"/>
                      <w:sz w:val="21"/>
                      <w:szCs w:val="21"/>
                      <w:highlight w:val="none"/>
                    </w:rPr>
                  </w:pPr>
                  <w:r>
                    <w:rPr>
                      <w:b/>
                      <w:bCs/>
                      <w:color w:val="auto"/>
                      <w:sz w:val="21"/>
                      <w:szCs w:val="21"/>
                      <w:highlight w:val="none"/>
                    </w:rPr>
                    <w:t>（t/a）</w:t>
                  </w:r>
                </w:p>
              </w:tc>
            </w:tr>
            <w:tr w14:paraId="56D10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000" w:type="pct"/>
                  <w:gridSpan w:val="6"/>
                  <w:tcBorders>
                    <w:tl2br w:val="nil"/>
                    <w:tr2bl w:val="nil"/>
                  </w:tcBorders>
                  <w:vAlign w:val="center"/>
                </w:tcPr>
                <w:p w14:paraId="37DDCACD">
                  <w:pPr>
                    <w:adjustRightInd w:val="0"/>
                    <w:snapToGrid w:val="0"/>
                    <w:jc w:val="center"/>
                    <w:rPr>
                      <w:b/>
                      <w:bCs/>
                      <w:color w:val="auto"/>
                      <w:sz w:val="21"/>
                      <w:szCs w:val="21"/>
                      <w:highlight w:val="none"/>
                    </w:rPr>
                  </w:pPr>
                  <w:r>
                    <w:rPr>
                      <w:b/>
                      <w:bCs/>
                      <w:color w:val="auto"/>
                      <w:sz w:val="21"/>
                      <w:szCs w:val="21"/>
                      <w:highlight w:val="none"/>
                    </w:rPr>
                    <w:t>一般排放口</w:t>
                  </w:r>
                </w:p>
              </w:tc>
            </w:tr>
            <w:tr w14:paraId="2DF14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326" w:type="pct"/>
                  <w:vMerge w:val="restart"/>
                  <w:tcBorders>
                    <w:tl2br w:val="nil"/>
                    <w:tr2bl w:val="nil"/>
                  </w:tcBorders>
                  <w:vAlign w:val="center"/>
                </w:tcPr>
                <w:p w14:paraId="012E0703">
                  <w:pPr>
                    <w:adjustRightInd w:val="0"/>
                    <w:snapToGrid w:val="0"/>
                    <w:jc w:val="center"/>
                    <w:rPr>
                      <w:color w:val="auto"/>
                      <w:sz w:val="21"/>
                      <w:szCs w:val="21"/>
                      <w:highlight w:val="none"/>
                    </w:rPr>
                  </w:pPr>
                  <w:r>
                    <w:rPr>
                      <w:color w:val="auto"/>
                      <w:sz w:val="21"/>
                      <w:szCs w:val="21"/>
                      <w:highlight w:val="none"/>
                    </w:rPr>
                    <w:t>1</w:t>
                  </w:r>
                </w:p>
              </w:tc>
              <w:tc>
                <w:tcPr>
                  <w:tcW w:w="766" w:type="pct"/>
                  <w:vMerge w:val="restart"/>
                  <w:tcBorders>
                    <w:tl2br w:val="nil"/>
                    <w:tr2bl w:val="nil"/>
                  </w:tcBorders>
                  <w:vAlign w:val="center"/>
                </w:tcPr>
                <w:p w14:paraId="091100AA">
                  <w:pPr>
                    <w:adjustRightInd w:val="0"/>
                    <w:snapToGrid w:val="0"/>
                    <w:jc w:val="center"/>
                    <w:rPr>
                      <w:rFonts w:hint="eastAsia" w:eastAsia="宋体"/>
                      <w:color w:val="auto"/>
                      <w:sz w:val="21"/>
                      <w:szCs w:val="21"/>
                      <w:highlight w:val="none"/>
                      <w:lang w:eastAsia="zh-CN"/>
                    </w:rPr>
                  </w:pPr>
                  <w:r>
                    <w:rPr>
                      <w:rFonts w:hint="eastAsia"/>
                      <w:color w:val="auto"/>
                      <w:sz w:val="21"/>
                      <w:szCs w:val="21"/>
                      <w:highlight w:val="none"/>
                      <w:lang w:eastAsia="zh-CN"/>
                    </w:rPr>
                    <w:t>DA001</w:t>
                  </w:r>
                </w:p>
              </w:tc>
              <w:tc>
                <w:tcPr>
                  <w:tcW w:w="1062" w:type="pct"/>
                  <w:tcBorders>
                    <w:tl2br w:val="nil"/>
                    <w:tr2bl w:val="nil"/>
                  </w:tcBorders>
                  <w:vAlign w:val="top"/>
                </w:tcPr>
                <w:p w14:paraId="3C3C720D">
                  <w:pPr>
                    <w:spacing w:before="101" w:line="202" w:lineRule="auto"/>
                    <w:ind w:left="838" w:leftChars="0"/>
                    <w:rPr>
                      <w:color w:val="auto"/>
                      <w:sz w:val="21"/>
                      <w:szCs w:val="21"/>
                      <w:highlight w:val="none"/>
                    </w:rPr>
                  </w:pPr>
                  <w:r>
                    <w:rPr>
                      <w:rFonts w:ascii="Times New Roman" w:hAnsi="Times New Roman" w:eastAsia="Times New Roman" w:cs="Times New Roman"/>
                      <w:color w:val="auto"/>
                      <w:sz w:val="21"/>
                      <w:szCs w:val="21"/>
                      <w:highlight w:val="none"/>
                    </w:rPr>
                    <w:t>SO</w:t>
                  </w:r>
                  <w:r>
                    <w:rPr>
                      <w:rFonts w:ascii="Times New Roman" w:hAnsi="Times New Roman" w:eastAsia="Times New Roman" w:cs="Times New Roman"/>
                      <w:color w:val="auto"/>
                      <w:spacing w:val="3"/>
                      <w:position w:val="-1"/>
                      <w:sz w:val="21"/>
                      <w:szCs w:val="21"/>
                      <w:highlight w:val="none"/>
                    </w:rPr>
                    <w:t>2</w:t>
                  </w:r>
                </w:p>
              </w:tc>
              <w:tc>
                <w:tcPr>
                  <w:tcW w:w="942" w:type="pct"/>
                  <w:tcBorders>
                    <w:tl2br w:val="nil"/>
                    <w:tr2bl w:val="nil"/>
                  </w:tcBorders>
                  <w:vAlign w:val="center"/>
                </w:tcPr>
                <w:p w14:paraId="7202D706">
                  <w:pPr>
                    <w:keepNext w:val="0"/>
                    <w:keepLines w:val="0"/>
                    <w:widowControl/>
                    <w:suppressLineNumbers w:val="0"/>
                    <w:jc w:val="center"/>
                    <w:textAlignment w:val="center"/>
                    <w:rPr>
                      <w:color w:val="auto"/>
                      <w:sz w:val="21"/>
                      <w:szCs w:val="21"/>
                      <w:highlight w:val="none"/>
                    </w:rPr>
                  </w:pPr>
                  <w:r>
                    <w:rPr>
                      <w:rFonts w:hint="eastAsia" w:cs="Times New Roman"/>
                      <w:i w:val="0"/>
                      <w:iCs w:val="0"/>
                      <w:color w:val="auto"/>
                      <w:kern w:val="0"/>
                      <w:sz w:val="21"/>
                      <w:szCs w:val="21"/>
                      <w:highlight w:val="none"/>
                      <w:u w:val="none"/>
                      <w:lang w:val="en-US" w:eastAsia="zh-CN" w:bidi="ar"/>
                    </w:rPr>
                    <w:t>54.24</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943" w:type="pct"/>
                  <w:tcBorders>
                    <w:tl2br w:val="nil"/>
                    <w:tr2bl w:val="nil"/>
                  </w:tcBorders>
                  <w:vAlign w:val="center"/>
                </w:tcPr>
                <w:p w14:paraId="5E5DBC09">
                  <w:pPr>
                    <w:keepNext w:val="0"/>
                    <w:keepLines w:val="0"/>
                    <w:widowControl/>
                    <w:suppressLineNumbers w:val="0"/>
                    <w:jc w:val="center"/>
                    <w:textAlignment w:val="center"/>
                    <w:rPr>
                      <w:rFonts w:hint="default" w:eastAsia="宋体"/>
                      <w:color w:val="auto"/>
                      <w:kern w:val="0"/>
                      <w:sz w:val="21"/>
                      <w:szCs w:val="21"/>
                      <w:highlight w:val="none"/>
                      <w:u w:val="none"/>
                      <w:lang w:val="en-US" w:eastAsia="zh-CN" w:bidi="ar"/>
                    </w:rPr>
                  </w:pPr>
                  <w:r>
                    <w:rPr>
                      <w:rFonts w:hint="eastAsia"/>
                      <w:color w:val="auto"/>
                      <w:kern w:val="0"/>
                      <w:sz w:val="21"/>
                      <w:szCs w:val="21"/>
                      <w:highlight w:val="none"/>
                      <w:u w:val="none"/>
                      <w:lang w:val="en-US" w:eastAsia="zh-CN" w:bidi="ar"/>
                    </w:rPr>
                    <w:t>0.107</w:t>
                  </w:r>
                </w:p>
              </w:tc>
              <w:tc>
                <w:tcPr>
                  <w:tcW w:w="958" w:type="pct"/>
                  <w:tcBorders>
                    <w:tl2br w:val="nil"/>
                    <w:tr2bl w:val="nil"/>
                  </w:tcBorders>
                  <w:vAlign w:val="center"/>
                </w:tcPr>
                <w:p w14:paraId="32A0261E">
                  <w:pPr>
                    <w:keepNext w:val="0"/>
                    <w:keepLines w:val="0"/>
                    <w:widowControl/>
                    <w:suppressLineNumbers w:val="0"/>
                    <w:jc w:val="center"/>
                    <w:textAlignment w:val="center"/>
                    <w:rPr>
                      <w:rFonts w:hint="eastAsia"/>
                      <w:color w:val="auto"/>
                      <w:kern w:val="0"/>
                      <w:sz w:val="21"/>
                      <w:szCs w:val="21"/>
                      <w:highlight w:val="none"/>
                      <w:u w:val="non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r>
            <w:tr w14:paraId="23117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326" w:type="pct"/>
                  <w:vMerge w:val="continue"/>
                  <w:tcBorders>
                    <w:tl2br w:val="nil"/>
                    <w:tr2bl w:val="nil"/>
                  </w:tcBorders>
                  <w:vAlign w:val="center"/>
                </w:tcPr>
                <w:p w14:paraId="5B00DD37">
                  <w:pPr>
                    <w:adjustRightInd w:val="0"/>
                    <w:snapToGrid w:val="0"/>
                    <w:jc w:val="center"/>
                    <w:rPr>
                      <w:color w:val="auto"/>
                      <w:sz w:val="21"/>
                      <w:szCs w:val="21"/>
                      <w:highlight w:val="none"/>
                    </w:rPr>
                  </w:pPr>
                </w:p>
              </w:tc>
              <w:tc>
                <w:tcPr>
                  <w:tcW w:w="766" w:type="pct"/>
                  <w:vMerge w:val="continue"/>
                  <w:tcBorders>
                    <w:tl2br w:val="nil"/>
                    <w:tr2bl w:val="nil"/>
                  </w:tcBorders>
                  <w:vAlign w:val="center"/>
                </w:tcPr>
                <w:p w14:paraId="725E0148">
                  <w:pPr>
                    <w:adjustRightInd w:val="0"/>
                    <w:snapToGrid w:val="0"/>
                    <w:jc w:val="center"/>
                    <w:rPr>
                      <w:rFonts w:hint="eastAsia"/>
                      <w:color w:val="auto"/>
                      <w:sz w:val="21"/>
                      <w:szCs w:val="21"/>
                      <w:highlight w:val="none"/>
                      <w:lang w:eastAsia="zh-CN"/>
                    </w:rPr>
                  </w:pPr>
                </w:p>
              </w:tc>
              <w:tc>
                <w:tcPr>
                  <w:tcW w:w="1062" w:type="pct"/>
                  <w:tcBorders>
                    <w:tl2br w:val="nil"/>
                    <w:tr2bl w:val="nil"/>
                  </w:tcBorders>
                  <w:vAlign w:val="top"/>
                </w:tcPr>
                <w:p w14:paraId="3E7220E0">
                  <w:pPr>
                    <w:spacing w:before="101" w:line="195" w:lineRule="auto"/>
                    <w:ind w:left="786" w:leftChars="0"/>
                    <w:rPr>
                      <w:rFonts w:hint="eastAsia" w:eastAsia="宋体"/>
                      <w:color w:val="auto"/>
                      <w:sz w:val="21"/>
                      <w:szCs w:val="21"/>
                      <w:highlight w:val="none"/>
                    </w:rPr>
                  </w:pPr>
                  <w:r>
                    <w:rPr>
                      <w:rFonts w:ascii="Times New Roman" w:hAnsi="Times New Roman" w:eastAsia="Times New Roman" w:cs="Times New Roman"/>
                      <w:color w:val="auto"/>
                      <w:spacing w:val="6"/>
                      <w:sz w:val="21"/>
                      <w:szCs w:val="21"/>
                      <w:highlight w:val="none"/>
                    </w:rPr>
                    <w:t>NOx</w:t>
                  </w:r>
                </w:p>
              </w:tc>
              <w:tc>
                <w:tcPr>
                  <w:tcW w:w="942" w:type="pct"/>
                  <w:tcBorders>
                    <w:tl2br w:val="nil"/>
                    <w:tr2bl w:val="nil"/>
                  </w:tcBorders>
                  <w:vAlign w:val="center"/>
                </w:tcPr>
                <w:p w14:paraId="2DCE56F2">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single"/>
                      <w:lang w:val="en-US" w:eastAsia="zh-CN" w:bidi="ar"/>
                    </w:rPr>
                  </w:pPr>
                  <w:r>
                    <w:rPr>
                      <w:rFonts w:hint="eastAsia" w:cs="Times New Roman"/>
                      <w:i w:val="0"/>
                      <w:iCs w:val="0"/>
                      <w:color w:val="auto"/>
                      <w:kern w:val="0"/>
                      <w:sz w:val="21"/>
                      <w:szCs w:val="21"/>
                      <w:u w:val="none"/>
                      <w:lang w:val="en-US" w:eastAsia="zh-CN" w:bidi="ar"/>
                    </w:rPr>
                    <w:t>163.34</w:t>
                  </w:r>
                </w:p>
              </w:tc>
              <w:tc>
                <w:tcPr>
                  <w:tcW w:w="943" w:type="pct"/>
                  <w:tcBorders>
                    <w:tl2br w:val="nil"/>
                    <w:tr2bl w:val="nil"/>
                  </w:tcBorders>
                  <w:vAlign w:val="center"/>
                </w:tcPr>
                <w:p w14:paraId="003A0ADC">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0.321</w:t>
                  </w:r>
                </w:p>
              </w:tc>
              <w:tc>
                <w:tcPr>
                  <w:tcW w:w="958" w:type="pct"/>
                  <w:tcBorders>
                    <w:tl2br w:val="nil"/>
                    <w:tr2bl w:val="nil"/>
                  </w:tcBorders>
                  <w:vAlign w:val="center"/>
                </w:tcPr>
                <w:p w14:paraId="3D3E3863">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r>
            <w:tr w14:paraId="6AAF74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326" w:type="pct"/>
                  <w:vMerge w:val="continue"/>
                  <w:tcBorders>
                    <w:tl2br w:val="nil"/>
                    <w:tr2bl w:val="nil"/>
                  </w:tcBorders>
                  <w:vAlign w:val="center"/>
                </w:tcPr>
                <w:p w14:paraId="2B09CFCF">
                  <w:pPr>
                    <w:adjustRightInd w:val="0"/>
                    <w:snapToGrid w:val="0"/>
                    <w:jc w:val="center"/>
                    <w:rPr>
                      <w:color w:val="auto"/>
                      <w:sz w:val="21"/>
                      <w:szCs w:val="21"/>
                      <w:highlight w:val="none"/>
                    </w:rPr>
                  </w:pPr>
                </w:p>
              </w:tc>
              <w:tc>
                <w:tcPr>
                  <w:tcW w:w="766" w:type="pct"/>
                  <w:vMerge w:val="continue"/>
                  <w:tcBorders>
                    <w:tl2br w:val="nil"/>
                    <w:tr2bl w:val="nil"/>
                  </w:tcBorders>
                  <w:vAlign w:val="center"/>
                </w:tcPr>
                <w:p w14:paraId="45D444B7">
                  <w:pPr>
                    <w:adjustRightInd w:val="0"/>
                    <w:snapToGrid w:val="0"/>
                    <w:jc w:val="center"/>
                    <w:rPr>
                      <w:color w:val="auto"/>
                      <w:sz w:val="21"/>
                      <w:szCs w:val="21"/>
                      <w:highlight w:val="none"/>
                    </w:rPr>
                  </w:pPr>
                </w:p>
              </w:tc>
              <w:tc>
                <w:tcPr>
                  <w:tcW w:w="1062" w:type="pct"/>
                  <w:tcBorders>
                    <w:tl2br w:val="nil"/>
                    <w:tr2bl w:val="nil"/>
                  </w:tcBorders>
                  <w:vAlign w:val="top"/>
                </w:tcPr>
                <w:p w14:paraId="4751BD7A">
                  <w:pPr>
                    <w:pStyle w:val="155"/>
                    <w:spacing w:before="83" w:line="228" w:lineRule="auto"/>
                    <w:ind w:left="686" w:leftChars="0"/>
                    <w:rPr>
                      <w:rFonts w:hint="eastAsia" w:eastAsia="宋体"/>
                      <w:color w:val="auto"/>
                      <w:sz w:val="21"/>
                      <w:szCs w:val="21"/>
                      <w:highlight w:val="none"/>
                      <w:lang w:eastAsia="zh-CN"/>
                    </w:rPr>
                  </w:pPr>
                  <w:r>
                    <w:rPr>
                      <w:color w:val="auto"/>
                      <w:spacing w:val="7"/>
                      <w:sz w:val="21"/>
                      <w:szCs w:val="21"/>
                      <w:highlight w:val="none"/>
                    </w:rPr>
                    <w:t>颗粒物</w:t>
                  </w:r>
                </w:p>
              </w:tc>
              <w:tc>
                <w:tcPr>
                  <w:tcW w:w="942" w:type="pct"/>
                  <w:tcBorders>
                    <w:tl2br w:val="nil"/>
                    <w:tr2bl w:val="nil"/>
                  </w:tcBorders>
                  <w:vAlign w:val="center"/>
                </w:tcPr>
                <w:p w14:paraId="478372ED">
                  <w:pPr>
                    <w:keepNext w:val="0"/>
                    <w:keepLines w:val="0"/>
                    <w:widowControl/>
                    <w:suppressLineNumbers w:val="0"/>
                    <w:jc w:val="center"/>
                    <w:textAlignment w:val="center"/>
                    <w:rPr>
                      <w:color w:val="auto"/>
                      <w:sz w:val="21"/>
                      <w:szCs w:val="21"/>
                      <w:highlight w:val="none"/>
                    </w:rPr>
                  </w:pPr>
                  <w:r>
                    <w:rPr>
                      <w:rFonts w:hint="eastAsia" w:cs="Times New Roman"/>
                      <w:i w:val="0"/>
                      <w:iCs w:val="0"/>
                      <w:color w:val="auto"/>
                      <w:kern w:val="0"/>
                      <w:sz w:val="21"/>
                      <w:szCs w:val="21"/>
                      <w:highlight w:val="none"/>
                      <w:u w:val="none"/>
                      <w:lang w:val="en-US" w:eastAsia="zh-CN" w:bidi="ar"/>
                    </w:rPr>
                    <w:t>8.01</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943" w:type="pct"/>
                  <w:tcBorders>
                    <w:tl2br w:val="nil"/>
                    <w:tr2bl w:val="nil"/>
                  </w:tcBorders>
                  <w:vAlign w:val="center"/>
                </w:tcPr>
                <w:p w14:paraId="70DF12B9">
                  <w:pPr>
                    <w:keepNext w:val="0"/>
                    <w:keepLines w:val="0"/>
                    <w:widowControl/>
                    <w:suppressLineNumbers w:val="0"/>
                    <w:jc w:val="center"/>
                    <w:textAlignment w:val="center"/>
                    <w:rPr>
                      <w:rFonts w:hint="default"/>
                      <w:color w:val="auto"/>
                      <w:kern w:val="0"/>
                      <w:sz w:val="21"/>
                      <w:szCs w:val="21"/>
                      <w:highlight w:val="none"/>
                      <w:u w:val="none"/>
                      <w:lang w:val="en-US" w:eastAsia="zh-CN" w:bidi="ar"/>
                    </w:rPr>
                  </w:pPr>
                  <w:r>
                    <w:rPr>
                      <w:rFonts w:hint="eastAsia"/>
                      <w:color w:val="auto"/>
                      <w:kern w:val="0"/>
                      <w:sz w:val="21"/>
                      <w:szCs w:val="21"/>
                      <w:highlight w:val="none"/>
                      <w:u w:val="none"/>
                      <w:lang w:val="en-US" w:eastAsia="zh-CN" w:bidi="ar"/>
                    </w:rPr>
                    <w:t>0.013</w:t>
                  </w:r>
                </w:p>
              </w:tc>
              <w:tc>
                <w:tcPr>
                  <w:tcW w:w="958" w:type="pct"/>
                  <w:tcBorders>
                    <w:tl2br w:val="nil"/>
                    <w:tr2bl w:val="nil"/>
                  </w:tcBorders>
                  <w:vAlign w:val="center"/>
                </w:tcPr>
                <w:p w14:paraId="39743CFD">
                  <w:pPr>
                    <w:keepNext w:val="0"/>
                    <w:keepLines w:val="0"/>
                    <w:widowControl/>
                    <w:suppressLineNumbers w:val="0"/>
                    <w:jc w:val="center"/>
                    <w:textAlignment w:val="center"/>
                    <w:rPr>
                      <w:rFonts w:hint="eastAsia"/>
                      <w:color w:val="auto"/>
                      <w:kern w:val="0"/>
                      <w:sz w:val="21"/>
                      <w:szCs w:val="21"/>
                      <w:highlight w:val="none"/>
                      <w:u w:val="none"/>
                      <w:lang w:bidi="ar"/>
                    </w:rPr>
                  </w:pPr>
                  <w:r>
                    <w:rPr>
                      <w:rFonts w:hint="default" w:ascii="Times New Roman" w:hAnsi="Times New Roman" w:eastAsia="宋体" w:cs="Times New Roman"/>
                      <w:i w:val="0"/>
                      <w:iCs w:val="0"/>
                      <w:color w:val="000000"/>
                      <w:kern w:val="0"/>
                      <w:sz w:val="21"/>
                      <w:szCs w:val="21"/>
                      <w:u w:val="none"/>
                      <w:lang w:val="en-US" w:eastAsia="zh-CN" w:bidi="ar"/>
                    </w:rPr>
                    <w:t xml:space="preserve">0.013 </w:t>
                  </w:r>
                </w:p>
              </w:tc>
            </w:tr>
            <w:tr w14:paraId="6D69FB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90" w:hRule="atLeast"/>
                <w:jc w:val="center"/>
              </w:trPr>
              <w:tc>
                <w:tcPr>
                  <w:tcW w:w="326" w:type="pct"/>
                  <w:tcBorders>
                    <w:tl2br w:val="nil"/>
                    <w:tr2bl w:val="nil"/>
                  </w:tcBorders>
                  <w:vAlign w:val="center"/>
                </w:tcPr>
                <w:p w14:paraId="4E9DCFB9">
                  <w:pPr>
                    <w:adjustRightInd w:val="0"/>
                    <w:snapToGrid w:val="0"/>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w:t>
                  </w:r>
                </w:p>
              </w:tc>
              <w:tc>
                <w:tcPr>
                  <w:tcW w:w="766" w:type="pct"/>
                  <w:tcBorders>
                    <w:tl2br w:val="nil"/>
                    <w:tr2bl w:val="nil"/>
                  </w:tcBorders>
                  <w:vAlign w:val="center"/>
                </w:tcPr>
                <w:p w14:paraId="25796D39">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DA002</w:t>
                  </w:r>
                </w:p>
              </w:tc>
              <w:tc>
                <w:tcPr>
                  <w:tcW w:w="1062" w:type="pct"/>
                  <w:tcBorders>
                    <w:tl2br w:val="nil"/>
                    <w:tr2bl w:val="nil"/>
                  </w:tcBorders>
                  <w:vAlign w:val="top"/>
                </w:tcPr>
                <w:p w14:paraId="687C14CC">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非甲烷总烃</w:t>
                  </w:r>
                </w:p>
              </w:tc>
              <w:tc>
                <w:tcPr>
                  <w:tcW w:w="942" w:type="pct"/>
                  <w:tcBorders>
                    <w:tl2br w:val="nil"/>
                    <w:tr2bl w:val="nil"/>
                  </w:tcBorders>
                  <w:vAlign w:val="center"/>
                </w:tcPr>
                <w:p w14:paraId="7542A0B7">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2.43</w:t>
                  </w:r>
                </w:p>
              </w:tc>
              <w:tc>
                <w:tcPr>
                  <w:tcW w:w="943" w:type="pct"/>
                  <w:tcBorders>
                    <w:tl2br w:val="nil"/>
                    <w:tr2bl w:val="nil"/>
                  </w:tcBorders>
                  <w:vAlign w:val="center"/>
                </w:tcPr>
                <w:p w14:paraId="2AA31D70">
                  <w:pPr>
                    <w:keepNext w:val="0"/>
                    <w:keepLines w:val="0"/>
                    <w:widowControl/>
                    <w:suppressLineNumbers w:val="0"/>
                    <w:jc w:val="center"/>
                    <w:textAlignment w:val="center"/>
                    <w:rPr>
                      <w:rFonts w:hint="eastAsia"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0.168</w:t>
                  </w:r>
                </w:p>
              </w:tc>
              <w:tc>
                <w:tcPr>
                  <w:tcW w:w="958" w:type="pct"/>
                  <w:tcBorders>
                    <w:tl2br w:val="nil"/>
                    <w:tr2bl w:val="nil"/>
                  </w:tcBorders>
                  <w:vAlign w:val="center"/>
                </w:tcPr>
                <w:p w14:paraId="57C5528F">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0.151</w:t>
                  </w:r>
                </w:p>
              </w:tc>
            </w:tr>
            <w:tr w14:paraId="100A3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5000" w:type="pct"/>
                  <w:gridSpan w:val="6"/>
                  <w:tcBorders>
                    <w:tl2br w:val="nil"/>
                    <w:tr2bl w:val="nil"/>
                  </w:tcBorders>
                  <w:vAlign w:val="center"/>
                </w:tcPr>
                <w:p w14:paraId="277A01B1">
                  <w:pPr>
                    <w:adjustRightInd w:val="0"/>
                    <w:snapToGrid w:val="0"/>
                    <w:jc w:val="center"/>
                    <w:rPr>
                      <w:b/>
                      <w:bCs/>
                      <w:color w:val="auto"/>
                      <w:sz w:val="21"/>
                      <w:szCs w:val="21"/>
                      <w:highlight w:val="none"/>
                    </w:rPr>
                  </w:pPr>
                  <w:r>
                    <w:rPr>
                      <w:b/>
                      <w:bCs/>
                      <w:color w:val="auto"/>
                      <w:sz w:val="21"/>
                      <w:szCs w:val="21"/>
                      <w:highlight w:val="none"/>
                    </w:rPr>
                    <w:t>有组织排放总计</w:t>
                  </w:r>
                </w:p>
              </w:tc>
            </w:tr>
            <w:tr w14:paraId="3CC45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1092" w:type="pct"/>
                  <w:gridSpan w:val="2"/>
                  <w:vMerge w:val="restart"/>
                  <w:tcBorders>
                    <w:tl2br w:val="nil"/>
                    <w:tr2bl w:val="nil"/>
                  </w:tcBorders>
                  <w:vAlign w:val="center"/>
                </w:tcPr>
                <w:p w14:paraId="02F9A59E">
                  <w:pPr>
                    <w:adjustRightInd w:val="0"/>
                    <w:snapToGrid w:val="0"/>
                    <w:jc w:val="center"/>
                    <w:rPr>
                      <w:color w:val="auto"/>
                      <w:sz w:val="21"/>
                      <w:szCs w:val="21"/>
                      <w:highlight w:val="none"/>
                    </w:rPr>
                  </w:pPr>
                  <w:r>
                    <w:rPr>
                      <w:color w:val="auto"/>
                      <w:sz w:val="21"/>
                      <w:szCs w:val="21"/>
                      <w:highlight w:val="none"/>
                    </w:rPr>
                    <w:t>有组织排放总计</w:t>
                  </w:r>
                </w:p>
              </w:tc>
              <w:tc>
                <w:tcPr>
                  <w:tcW w:w="2948" w:type="pct"/>
                  <w:gridSpan w:val="3"/>
                  <w:tcBorders>
                    <w:tl2br w:val="nil"/>
                    <w:tr2bl w:val="nil"/>
                  </w:tcBorders>
                  <w:vAlign w:val="center"/>
                </w:tcPr>
                <w:p w14:paraId="200A5EC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Times New Roman" w:cs="Times New Roman"/>
                      <w:color w:val="auto"/>
                      <w:sz w:val="21"/>
                      <w:szCs w:val="21"/>
                      <w:highlight w:val="none"/>
                    </w:rPr>
                  </w:pPr>
                  <w:r>
                    <w:rPr>
                      <w:rFonts w:ascii="Times New Roman" w:hAnsi="Times New Roman" w:eastAsia="Times New Roman" w:cs="Times New Roman"/>
                      <w:color w:val="auto"/>
                      <w:sz w:val="21"/>
                      <w:szCs w:val="21"/>
                      <w:highlight w:val="none"/>
                    </w:rPr>
                    <w:t>SO</w:t>
                  </w:r>
                  <w:r>
                    <w:rPr>
                      <w:rFonts w:ascii="Times New Roman" w:hAnsi="Times New Roman" w:eastAsia="Times New Roman" w:cs="Times New Roman"/>
                      <w:color w:val="auto"/>
                      <w:sz w:val="21"/>
                      <w:szCs w:val="21"/>
                      <w:highlight w:val="none"/>
                      <w:vertAlign w:val="subscript"/>
                    </w:rPr>
                    <w:t>2</w:t>
                  </w:r>
                </w:p>
              </w:tc>
              <w:tc>
                <w:tcPr>
                  <w:tcW w:w="958" w:type="pct"/>
                  <w:tcBorders>
                    <w:tl2br w:val="nil"/>
                    <w:tr2bl w:val="nil"/>
                  </w:tcBorders>
                  <w:vAlign w:val="center"/>
                </w:tcPr>
                <w:p w14:paraId="5AA93F32">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r>
            <w:tr w14:paraId="5A1FC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1092" w:type="pct"/>
                  <w:gridSpan w:val="2"/>
                  <w:vMerge w:val="continue"/>
                  <w:tcBorders>
                    <w:tl2br w:val="nil"/>
                    <w:tr2bl w:val="nil"/>
                  </w:tcBorders>
                  <w:vAlign w:val="center"/>
                </w:tcPr>
                <w:p w14:paraId="465812EB">
                  <w:pPr>
                    <w:adjustRightInd w:val="0"/>
                    <w:snapToGrid w:val="0"/>
                    <w:jc w:val="center"/>
                    <w:rPr>
                      <w:color w:val="auto"/>
                      <w:sz w:val="21"/>
                      <w:szCs w:val="21"/>
                      <w:highlight w:val="none"/>
                    </w:rPr>
                  </w:pPr>
                </w:p>
              </w:tc>
              <w:tc>
                <w:tcPr>
                  <w:tcW w:w="2948" w:type="pct"/>
                  <w:gridSpan w:val="3"/>
                  <w:tcBorders>
                    <w:tl2br w:val="nil"/>
                    <w:tr2bl w:val="nil"/>
                  </w:tcBorders>
                  <w:vAlign w:val="center"/>
                </w:tcPr>
                <w:p w14:paraId="7FF07EC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Times New Roman" w:cs="Times New Roman"/>
                      <w:color w:val="auto"/>
                      <w:sz w:val="21"/>
                      <w:szCs w:val="21"/>
                      <w:highlight w:val="none"/>
                      <w:lang w:eastAsia="zh-CN"/>
                    </w:rPr>
                  </w:pPr>
                  <w:r>
                    <w:rPr>
                      <w:rFonts w:ascii="Times New Roman" w:hAnsi="Times New Roman" w:eastAsia="Times New Roman" w:cs="Times New Roman"/>
                      <w:color w:val="auto"/>
                      <w:sz w:val="21"/>
                      <w:szCs w:val="21"/>
                      <w:highlight w:val="none"/>
                    </w:rPr>
                    <w:t>NOx</w:t>
                  </w:r>
                </w:p>
              </w:tc>
              <w:tc>
                <w:tcPr>
                  <w:tcW w:w="958" w:type="pct"/>
                  <w:tcBorders>
                    <w:tl2br w:val="nil"/>
                    <w:tr2bl w:val="nil"/>
                  </w:tcBorders>
                  <w:vAlign w:val="center"/>
                </w:tcPr>
                <w:p w14:paraId="6D0554F5">
                  <w:pPr>
                    <w:keepNext w:val="0"/>
                    <w:keepLines w:val="0"/>
                    <w:widowControl/>
                    <w:suppressLineNumbers w:val="0"/>
                    <w:jc w:val="center"/>
                    <w:textAlignment w:val="center"/>
                    <w:rPr>
                      <w:color w:val="auto"/>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r>
            <w:tr w14:paraId="30F2AF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1092" w:type="pct"/>
                  <w:gridSpan w:val="2"/>
                  <w:vMerge w:val="continue"/>
                  <w:tcBorders>
                    <w:tl2br w:val="nil"/>
                    <w:tr2bl w:val="nil"/>
                  </w:tcBorders>
                  <w:vAlign w:val="center"/>
                </w:tcPr>
                <w:p w14:paraId="6757893D">
                  <w:pPr>
                    <w:adjustRightInd w:val="0"/>
                    <w:snapToGrid w:val="0"/>
                    <w:jc w:val="center"/>
                    <w:rPr>
                      <w:color w:val="auto"/>
                      <w:sz w:val="21"/>
                      <w:szCs w:val="21"/>
                      <w:highlight w:val="none"/>
                    </w:rPr>
                  </w:pPr>
                </w:p>
              </w:tc>
              <w:tc>
                <w:tcPr>
                  <w:tcW w:w="2948" w:type="pct"/>
                  <w:gridSpan w:val="3"/>
                  <w:tcBorders>
                    <w:tl2br w:val="nil"/>
                    <w:tr2bl w:val="nil"/>
                  </w:tcBorders>
                  <w:vAlign w:val="center"/>
                </w:tcPr>
                <w:p w14:paraId="4B8B7511">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eastAsia="Times New Roman" w:cs="Times New Roman"/>
                      <w:color w:val="auto"/>
                      <w:sz w:val="21"/>
                      <w:szCs w:val="21"/>
                      <w:highlight w:val="none"/>
                      <w:lang w:eastAsia="zh-CN"/>
                    </w:rPr>
                  </w:pPr>
                  <w:r>
                    <w:rPr>
                      <w:rFonts w:ascii="Times New Roman" w:hAnsi="Times New Roman" w:eastAsia="Times New Roman" w:cs="Times New Roman"/>
                      <w:color w:val="auto"/>
                      <w:sz w:val="21"/>
                      <w:szCs w:val="21"/>
                      <w:highlight w:val="none"/>
                    </w:rPr>
                    <w:t>颗粒物</w:t>
                  </w:r>
                </w:p>
              </w:tc>
              <w:tc>
                <w:tcPr>
                  <w:tcW w:w="958" w:type="pct"/>
                  <w:tcBorders>
                    <w:tl2br w:val="nil"/>
                    <w:tr2bl w:val="nil"/>
                  </w:tcBorders>
                  <w:vAlign w:val="center"/>
                </w:tcPr>
                <w:p w14:paraId="2ED037FD">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singl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 xml:space="preserve">0.013 </w:t>
                  </w:r>
                </w:p>
              </w:tc>
            </w:tr>
            <w:tr w14:paraId="20FAD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cantSplit/>
                <w:trHeight w:val="340" w:hRule="atLeast"/>
                <w:jc w:val="center"/>
              </w:trPr>
              <w:tc>
                <w:tcPr>
                  <w:tcW w:w="1092" w:type="pct"/>
                  <w:gridSpan w:val="2"/>
                  <w:vMerge w:val="continue"/>
                  <w:tcBorders>
                    <w:tl2br w:val="nil"/>
                    <w:tr2bl w:val="nil"/>
                  </w:tcBorders>
                  <w:vAlign w:val="center"/>
                </w:tcPr>
                <w:p w14:paraId="6E483776">
                  <w:pPr>
                    <w:adjustRightInd w:val="0"/>
                    <w:snapToGrid w:val="0"/>
                    <w:jc w:val="center"/>
                    <w:rPr>
                      <w:color w:val="auto"/>
                      <w:sz w:val="21"/>
                      <w:szCs w:val="21"/>
                      <w:highlight w:val="none"/>
                    </w:rPr>
                  </w:pPr>
                </w:p>
              </w:tc>
              <w:tc>
                <w:tcPr>
                  <w:tcW w:w="2948" w:type="pct"/>
                  <w:gridSpan w:val="3"/>
                  <w:tcBorders>
                    <w:tl2br w:val="nil"/>
                    <w:tr2bl w:val="nil"/>
                  </w:tcBorders>
                  <w:vAlign w:val="center"/>
                </w:tcPr>
                <w:p w14:paraId="4311129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ascii="Times New Roman" w:hAnsi="Times New Roman" w:eastAsia="Times New Roman" w:cs="Times New Roman"/>
                      <w:color w:val="auto"/>
                      <w:sz w:val="21"/>
                      <w:szCs w:val="21"/>
                      <w:highlight w:val="none"/>
                    </w:rPr>
                  </w:pPr>
                  <w:r>
                    <w:rPr>
                      <w:rFonts w:hint="eastAsia" w:ascii="Times New Roman" w:hAnsi="Times New Roman" w:eastAsia="宋体" w:cs="Times New Roman"/>
                      <w:i w:val="0"/>
                      <w:iCs w:val="0"/>
                      <w:color w:val="auto"/>
                      <w:kern w:val="0"/>
                      <w:sz w:val="21"/>
                      <w:szCs w:val="21"/>
                      <w:highlight w:val="none"/>
                      <w:u w:val="none"/>
                      <w:lang w:val="en-US" w:eastAsia="zh-CN" w:bidi="ar"/>
                    </w:rPr>
                    <w:t>非甲烷总烃</w:t>
                  </w:r>
                </w:p>
              </w:tc>
              <w:tc>
                <w:tcPr>
                  <w:tcW w:w="958" w:type="pct"/>
                  <w:tcBorders>
                    <w:tl2br w:val="nil"/>
                    <w:tr2bl w:val="nil"/>
                  </w:tcBorders>
                  <w:vAlign w:val="center"/>
                </w:tcPr>
                <w:p w14:paraId="5A05AB7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0.151</w:t>
                  </w:r>
                </w:p>
              </w:tc>
            </w:tr>
          </w:tbl>
          <w:p w14:paraId="5AED1E47">
            <w:pPr>
              <w:snapToGrid w:val="0"/>
              <w:jc w:val="center"/>
              <w:rPr>
                <w:b/>
                <w:color w:val="auto"/>
                <w:szCs w:val="21"/>
                <w:highlight w:val="none"/>
              </w:rPr>
            </w:pPr>
            <w:r>
              <w:rPr>
                <w:b/>
                <w:color w:val="auto"/>
                <w:szCs w:val="21"/>
                <w:highlight w:val="none"/>
              </w:rPr>
              <w:t>表4-</w:t>
            </w:r>
            <w:r>
              <w:rPr>
                <w:rFonts w:hint="eastAsia"/>
                <w:b/>
                <w:color w:val="auto"/>
                <w:szCs w:val="21"/>
                <w:highlight w:val="none"/>
                <w:lang w:val="en-US" w:eastAsia="zh-CN"/>
              </w:rPr>
              <w:t>10</w:t>
            </w:r>
            <w:r>
              <w:rPr>
                <w:b/>
                <w:color w:val="auto"/>
                <w:szCs w:val="21"/>
                <w:highlight w:val="none"/>
              </w:rPr>
              <w:t xml:space="preserve">  大气污染物年排放量核算表</w:t>
            </w:r>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56"/>
              <w:gridCol w:w="2878"/>
              <w:gridCol w:w="2885"/>
            </w:tblGrid>
            <w:tr w14:paraId="59863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6" w:type="pct"/>
                  <w:tcBorders>
                    <w:tl2br w:val="nil"/>
                    <w:tr2bl w:val="nil"/>
                  </w:tcBorders>
                  <w:vAlign w:val="center"/>
                </w:tcPr>
                <w:p w14:paraId="6DF21F41">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序号</w:t>
                  </w:r>
                </w:p>
              </w:tc>
              <w:tc>
                <w:tcPr>
                  <w:tcW w:w="1669" w:type="pct"/>
                  <w:tcBorders>
                    <w:tl2br w:val="nil"/>
                    <w:tr2bl w:val="nil"/>
                  </w:tcBorders>
                  <w:vAlign w:val="center"/>
                </w:tcPr>
                <w:p w14:paraId="1D686E60">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w:t>
                  </w:r>
                </w:p>
              </w:tc>
              <w:tc>
                <w:tcPr>
                  <w:tcW w:w="1673" w:type="pct"/>
                  <w:tcBorders>
                    <w:tl2br w:val="nil"/>
                    <w:tr2bl w:val="nil"/>
                  </w:tcBorders>
                  <w:vAlign w:val="center"/>
                </w:tcPr>
                <w:p w14:paraId="0D22B403">
                  <w:pPr>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年排放量（t/a）</w:t>
                  </w:r>
                </w:p>
              </w:tc>
            </w:tr>
            <w:tr w14:paraId="5DB0F2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6" w:type="pct"/>
                  <w:tcBorders>
                    <w:tl2br w:val="nil"/>
                    <w:tr2bl w:val="nil"/>
                  </w:tcBorders>
                  <w:vAlign w:val="center"/>
                </w:tcPr>
                <w:p w14:paraId="3EDF096D">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1</w:t>
                  </w:r>
                </w:p>
              </w:tc>
              <w:tc>
                <w:tcPr>
                  <w:tcW w:w="1669" w:type="pct"/>
                  <w:tcBorders>
                    <w:tl2br w:val="nil"/>
                    <w:tr2bl w:val="nil"/>
                  </w:tcBorders>
                  <w:vAlign w:val="center"/>
                </w:tcPr>
                <w:p w14:paraId="44117C38">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bCs/>
                      <w:color w:val="auto"/>
                      <w:sz w:val="21"/>
                      <w:szCs w:val="21"/>
                      <w:highlight w:val="none"/>
                    </w:rPr>
                  </w:pPr>
                  <w:r>
                    <w:rPr>
                      <w:rFonts w:hint="default" w:ascii="Times New Roman" w:hAnsi="Times New Roman" w:eastAsia="Times New Roman" w:cs="Times New Roman"/>
                      <w:color w:val="auto"/>
                      <w:sz w:val="21"/>
                      <w:szCs w:val="21"/>
                      <w:highlight w:val="none"/>
                    </w:rPr>
                    <w:t>SO</w:t>
                  </w:r>
                  <w:r>
                    <w:rPr>
                      <w:rFonts w:hint="default" w:ascii="Times New Roman" w:hAnsi="Times New Roman" w:eastAsia="Times New Roman" w:cs="Times New Roman"/>
                      <w:color w:val="auto"/>
                      <w:sz w:val="21"/>
                      <w:szCs w:val="21"/>
                      <w:highlight w:val="none"/>
                      <w:vertAlign w:val="subscript"/>
                    </w:rPr>
                    <w:t>2</w:t>
                  </w:r>
                </w:p>
              </w:tc>
              <w:tc>
                <w:tcPr>
                  <w:tcW w:w="1673" w:type="pct"/>
                  <w:tcBorders>
                    <w:tl2br w:val="nil"/>
                    <w:tr2bl w:val="nil"/>
                  </w:tcBorders>
                  <w:vAlign w:val="center"/>
                </w:tcPr>
                <w:p w14:paraId="37462EC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0.088 </w:t>
                  </w:r>
                </w:p>
              </w:tc>
            </w:tr>
            <w:tr w14:paraId="1BDD4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6" w:type="pct"/>
                  <w:tcBorders>
                    <w:tl2br w:val="nil"/>
                    <w:tr2bl w:val="nil"/>
                  </w:tcBorders>
                  <w:vAlign w:val="center"/>
                </w:tcPr>
                <w:p w14:paraId="2C0B307C">
                  <w:pPr>
                    <w:jc w:val="center"/>
                    <w:rPr>
                      <w:rFonts w:hint="default" w:ascii="Times New Roman" w:hAnsi="Times New Roman" w:cs="Times New Roman"/>
                      <w:bCs/>
                      <w:color w:val="auto"/>
                      <w:sz w:val="21"/>
                      <w:szCs w:val="21"/>
                      <w:highlight w:val="none"/>
                    </w:rPr>
                  </w:pPr>
                  <w:r>
                    <w:rPr>
                      <w:rFonts w:hint="default" w:ascii="Times New Roman" w:hAnsi="Times New Roman" w:cs="Times New Roman"/>
                      <w:bCs/>
                      <w:color w:val="auto"/>
                      <w:sz w:val="21"/>
                      <w:szCs w:val="21"/>
                      <w:highlight w:val="none"/>
                    </w:rPr>
                    <w:t>2</w:t>
                  </w:r>
                </w:p>
              </w:tc>
              <w:tc>
                <w:tcPr>
                  <w:tcW w:w="1669" w:type="pct"/>
                  <w:tcBorders>
                    <w:tl2br w:val="nil"/>
                    <w:tr2bl w:val="nil"/>
                  </w:tcBorders>
                  <w:vAlign w:val="center"/>
                </w:tcPr>
                <w:p w14:paraId="4635D276">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Times New Roman" w:cs="Times New Roman"/>
                      <w:color w:val="auto"/>
                      <w:sz w:val="21"/>
                      <w:szCs w:val="21"/>
                      <w:highlight w:val="none"/>
                    </w:rPr>
                    <w:t>NOx</w:t>
                  </w:r>
                </w:p>
              </w:tc>
              <w:tc>
                <w:tcPr>
                  <w:tcW w:w="1673" w:type="pct"/>
                  <w:tcBorders>
                    <w:tl2br w:val="nil"/>
                    <w:tr2bl w:val="nil"/>
                  </w:tcBorders>
                  <w:vAlign w:val="center"/>
                </w:tcPr>
                <w:p w14:paraId="1AA19DE3">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0.265 </w:t>
                  </w:r>
                </w:p>
              </w:tc>
            </w:tr>
            <w:tr w14:paraId="0BE158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6" w:type="pct"/>
                  <w:tcBorders>
                    <w:tl2br w:val="nil"/>
                    <w:tr2bl w:val="nil"/>
                  </w:tcBorders>
                  <w:vAlign w:val="center"/>
                </w:tcPr>
                <w:p w14:paraId="184FE2C0">
                  <w:pPr>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3</w:t>
                  </w:r>
                </w:p>
              </w:tc>
              <w:tc>
                <w:tcPr>
                  <w:tcW w:w="1669" w:type="pct"/>
                  <w:tcBorders>
                    <w:tl2br w:val="nil"/>
                    <w:tr2bl w:val="nil"/>
                  </w:tcBorders>
                  <w:vAlign w:val="center"/>
                </w:tcPr>
                <w:p w14:paraId="4A20AB03">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u w:val="none"/>
                      <w:lang w:eastAsia="zh-CN"/>
                    </w:rPr>
                  </w:pPr>
                  <w:r>
                    <w:rPr>
                      <w:rFonts w:hint="default" w:ascii="Times New Roman" w:hAnsi="Times New Roman" w:eastAsia="Times New Roman" w:cs="Times New Roman"/>
                      <w:color w:val="auto"/>
                      <w:sz w:val="21"/>
                      <w:szCs w:val="21"/>
                      <w:highlight w:val="none"/>
                    </w:rPr>
                    <w:t>颗粒物</w:t>
                  </w:r>
                </w:p>
              </w:tc>
              <w:tc>
                <w:tcPr>
                  <w:tcW w:w="1673" w:type="pct"/>
                  <w:tcBorders>
                    <w:tl2br w:val="nil"/>
                    <w:tr2bl w:val="nil"/>
                  </w:tcBorders>
                  <w:vAlign w:val="center"/>
                </w:tcPr>
                <w:p w14:paraId="1556C8E6">
                  <w:pPr>
                    <w:keepNext w:val="0"/>
                    <w:keepLines w:val="0"/>
                    <w:widowControl/>
                    <w:suppressLineNumbers w:val="0"/>
                    <w:jc w:val="center"/>
                    <w:textAlignment w:val="center"/>
                    <w:rPr>
                      <w:rFonts w:hint="default" w:ascii="Times New Roman" w:hAnsi="Times New Roman" w:cs="Times New Roman"/>
                      <w:color w:val="auto"/>
                      <w:sz w:val="21"/>
                      <w:szCs w:val="21"/>
                      <w:highlight w:val="none"/>
                      <w:u w:val="none"/>
                      <w:lang w:val="en-US" w:eastAsia="zh-CN"/>
                    </w:rPr>
                  </w:pPr>
                  <w:r>
                    <w:rPr>
                      <w:rFonts w:hint="default" w:ascii="Times New Roman" w:hAnsi="Times New Roman" w:eastAsia="宋体" w:cs="Times New Roman"/>
                      <w:i w:val="0"/>
                      <w:iCs w:val="0"/>
                      <w:color w:val="000000"/>
                      <w:kern w:val="0"/>
                      <w:sz w:val="21"/>
                      <w:szCs w:val="21"/>
                      <w:u w:val="none"/>
                      <w:lang w:val="en-US" w:eastAsia="zh-CN" w:bidi="ar"/>
                    </w:rPr>
                    <w:t xml:space="preserve">0.013 </w:t>
                  </w:r>
                </w:p>
              </w:tc>
            </w:tr>
            <w:tr w14:paraId="21AE6D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6" w:type="pct"/>
                  <w:tcBorders>
                    <w:tl2br w:val="nil"/>
                    <w:tr2bl w:val="nil"/>
                  </w:tcBorders>
                  <w:vAlign w:val="center"/>
                </w:tcPr>
                <w:p w14:paraId="1B770A4A">
                  <w:pPr>
                    <w:jc w:val="center"/>
                    <w:rPr>
                      <w:rFonts w:hint="default" w:ascii="Times New Roman" w:hAnsi="Times New Roman"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1669" w:type="pct"/>
                  <w:tcBorders>
                    <w:tl2br w:val="nil"/>
                    <w:tr2bl w:val="nil"/>
                  </w:tcBorders>
                  <w:shd w:val="clear" w:color="auto" w:fill="auto"/>
                  <w:vAlign w:val="center"/>
                </w:tcPr>
                <w:p w14:paraId="2A50C959">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Times New Roman" w:cs="Times New Roman"/>
                      <w:color w:val="auto"/>
                      <w:kern w:val="2"/>
                      <w:sz w:val="21"/>
                      <w:szCs w:val="21"/>
                      <w:highlight w:val="none"/>
                      <w:lang w:val="en-US" w:eastAsia="zh-CN" w:bidi="ar-SA"/>
                    </w:rPr>
                  </w:pPr>
                  <w:r>
                    <w:rPr>
                      <w:rFonts w:hint="eastAsia" w:ascii="Times New Roman" w:hAnsi="Times New Roman" w:eastAsia="宋体" w:cs="Times New Roman"/>
                      <w:i w:val="0"/>
                      <w:iCs w:val="0"/>
                      <w:color w:val="auto"/>
                      <w:kern w:val="0"/>
                      <w:sz w:val="21"/>
                      <w:szCs w:val="21"/>
                      <w:highlight w:val="none"/>
                      <w:u w:val="none"/>
                      <w:lang w:val="en-US" w:eastAsia="zh-CN" w:bidi="ar"/>
                    </w:rPr>
                    <w:t>非甲烷总烃</w:t>
                  </w:r>
                </w:p>
              </w:tc>
              <w:tc>
                <w:tcPr>
                  <w:tcW w:w="1673" w:type="pct"/>
                  <w:tcBorders>
                    <w:tl2br w:val="nil"/>
                    <w:tr2bl w:val="nil"/>
                  </w:tcBorders>
                  <w:shd w:val="clear" w:color="auto" w:fill="auto"/>
                  <w:vAlign w:val="center"/>
                </w:tcPr>
                <w:p w14:paraId="777C286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ascii="Times New Roman" w:hAnsi="Times New Roman" w:eastAsia="宋体" w:cs="Times New Roman"/>
                      <w:i w:val="0"/>
                      <w:iCs w:val="0"/>
                      <w:color w:val="auto"/>
                      <w:kern w:val="0"/>
                      <w:sz w:val="21"/>
                      <w:szCs w:val="21"/>
                      <w:highlight w:val="none"/>
                      <w:u w:val="none"/>
                      <w:lang w:val="en-US" w:eastAsia="zh-CN" w:bidi="ar"/>
                    </w:rPr>
                    <w:t>0.151</w:t>
                  </w:r>
                </w:p>
              </w:tc>
            </w:tr>
          </w:tbl>
          <w:p w14:paraId="28E78CBD">
            <w:pPr>
              <w:pStyle w:val="157"/>
              <w:ind w:firstLine="480"/>
              <w:rPr>
                <w:rFonts w:hint="eastAsia"/>
                <w:color w:val="auto"/>
                <w:highlight w:val="none"/>
                <w:u w:val="none"/>
                <w:lang w:bidi="ar"/>
              </w:rPr>
            </w:pPr>
            <w:r>
              <w:rPr>
                <w:rFonts w:hint="eastAsia"/>
                <w:color w:val="auto"/>
                <w:highlight w:val="none"/>
                <w:u w:val="none"/>
                <w:lang w:bidi="ar"/>
              </w:rPr>
              <w:t>（6）监测要求</w:t>
            </w:r>
          </w:p>
          <w:p w14:paraId="65C16B38">
            <w:pPr>
              <w:pStyle w:val="157"/>
              <w:ind w:firstLine="480"/>
              <w:rPr>
                <w:rFonts w:hint="eastAsia"/>
                <w:color w:val="auto"/>
                <w:highlight w:val="none"/>
                <w:u w:val="none"/>
                <w:lang w:bidi="ar"/>
              </w:rPr>
            </w:pPr>
            <w:r>
              <w:rPr>
                <w:rFonts w:hint="eastAsia"/>
                <w:color w:val="auto"/>
                <w:highlight w:val="none"/>
                <w:u w:val="none"/>
                <w:lang w:bidi="ar"/>
              </w:rPr>
              <w:t>根据</w:t>
            </w:r>
            <w:r>
              <w:rPr>
                <w:rFonts w:hint="default" w:ascii="Times New Roman" w:hAnsi="Times New Roman" w:eastAsia="宋体" w:cs="Times New Roman"/>
                <w:color w:val="auto"/>
                <w:highlight w:val="none"/>
                <w:u w:val="none"/>
              </w:rPr>
              <w:t>《排污许可证申请与核发技术规</w:t>
            </w:r>
            <w:r>
              <w:rPr>
                <w:rFonts w:hint="default" w:ascii="Times New Roman" w:hAnsi="Times New Roman" w:cs="Times New Roman"/>
                <w:color w:val="auto"/>
                <w:highlight w:val="none"/>
                <w:u w:val="none"/>
              </w:rPr>
              <w:t>范 锅炉》（HJ 953-2018）</w:t>
            </w:r>
            <w:r>
              <w:rPr>
                <w:rFonts w:hint="eastAsia" w:cs="Times New Roman"/>
                <w:color w:val="auto"/>
                <w:highlight w:val="none"/>
                <w:u w:val="none"/>
                <w:lang w:eastAsia="zh-CN"/>
              </w:rPr>
              <w:t>、</w:t>
            </w:r>
            <w:r>
              <w:rPr>
                <w:rFonts w:hint="eastAsia"/>
                <w:sz w:val="24"/>
              </w:rPr>
              <w:t>《排污单位自行监测技术指南 总则》(HJ 819-2017)</w:t>
            </w:r>
            <w:r>
              <w:rPr>
                <w:rFonts w:hint="eastAsia"/>
                <w:sz w:val="24"/>
                <w:lang w:eastAsia="zh-CN"/>
              </w:rPr>
              <w:t>、</w:t>
            </w:r>
            <w:r>
              <w:rPr>
                <w:rFonts w:hint="eastAsia"/>
                <w:color w:val="auto"/>
                <w:highlight w:val="none"/>
                <w:u w:val="none"/>
                <w:lang w:bidi="ar"/>
              </w:rPr>
              <w:t>《排污单位自行监测技术指南 火力发电及锅炉》（HJ820-2017），本项目废气监测计划见下表。</w:t>
            </w:r>
          </w:p>
          <w:p w14:paraId="0F72A90C">
            <w:pPr>
              <w:snapToGrid w:val="0"/>
              <w:jc w:val="center"/>
              <w:rPr>
                <w:rFonts w:hint="eastAsia"/>
                <w:b/>
                <w:color w:val="auto"/>
                <w:szCs w:val="21"/>
                <w:highlight w:val="none"/>
              </w:rPr>
            </w:pPr>
          </w:p>
          <w:p w14:paraId="4479C938">
            <w:pPr>
              <w:snapToGrid w:val="0"/>
              <w:jc w:val="center"/>
              <w:rPr>
                <w:rFonts w:hint="eastAsia"/>
                <w:b/>
                <w:color w:val="auto"/>
                <w:szCs w:val="21"/>
                <w:highlight w:val="none"/>
              </w:rPr>
            </w:pPr>
            <w:r>
              <w:rPr>
                <w:rFonts w:hint="eastAsia"/>
                <w:b/>
                <w:color w:val="auto"/>
                <w:szCs w:val="21"/>
                <w:highlight w:val="none"/>
              </w:rPr>
              <w:t>表 4-1</w:t>
            </w:r>
            <w:r>
              <w:rPr>
                <w:rFonts w:hint="eastAsia"/>
                <w:b/>
                <w:color w:val="auto"/>
                <w:szCs w:val="21"/>
                <w:highlight w:val="none"/>
                <w:lang w:val="en-US" w:eastAsia="zh-CN"/>
              </w:rPr>
              <w:t>1</w:t>
            </w:r>
            <w:r>
              <w:rPr>
                <w:rFonts w:hint="eastAsia"/>
                <w:b/>
                <w:color w:val="auto"/>
                <w:szCs w:val="21"/>
                <w:highlight w:val="none"/>
              </w:rPr>
              <w:t xml:space="preserve">    废气污染物排放监测工作计划表</w:t>
            </w:r>
          </w:p>
          <w:tbl>
            <w:tblPr>
              <w:tblStyle w:val="156"/>
              <w:tblW w:w="4998" w:type="pct"/>
              <w:tblInd w:w="-1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953"/>
              <w:gridCol w:w="2100"/>
              <w:gridCol w:w="3553"/>
              <w:gridCol w:w="2010"/>
            </w:tblGrid>
            <w:tr w14:paraId="0BB31D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553" w:type="pct"/>
                  <w:tcBorders>
                    <w:tl2br w:val="nil"/>
                    <w:tr2bl w:val="nil"/>
                  </w:tcBorders>
                  <w:vAlign w:val="center"/>
                </w:tcPr>
                <w:p w14:paraId="38915C88">
                  <w:pPr>
                    <w:jc w:val="center"/>
                    <w:rPr>
                      <w:bCs/>
                      <w:color w:val="auto"/>
                      <w:szCs w:val="21"/>
                      <w:highlight w:val="none"/>
                    </w:rPr>
                  </w:pPr>
                  <w:r>
                    <w:rPr>
                      <w:bCs/>
                      <w:color w:val="auto"/>
                      <w:szCs w:val="21"/>
                      <w:highlight w:val="none"/>
                    </w:rPr>
                    <w:t>要素</w:t>
                  </w:r>
                </w:p>
              </w:tc>
              <w:tc>
                <w:tcPr>
                  <w:tcW w:w="1218" w:type="pct"/>
                  <w:tcBorders>
                    <w:tl2br w:val="nil"/>
                    <w:tr2bl w:val="nil"/>
                  </w:tcBorders>
                  <w:vAlign w:val="center"/>
                </w:tcPr>
                <w:p w14:paraId="244FFD80">
                  <w:pPr>
                    <w:jc w:val="center"/>
                    <w:rPr>
                      <w:bCs/>
                      <w:color w:val="auto"/>
                      <w:szCs w:val="21"/>
                      <w:highlight w:val="none"/>
                    </w:rPr>
                  </w:pPr>
                  <w:r>
                    <w:rPr>
                      <w:bCs/>
                      <w:color w:val="auto"/>
                      <w:szCs w:val="21"/>
                      <w:highlight w:val="none"/>
                    </w:rPr>
                    <w:t>测点位置</w:t>
                  </w:r>
                </w:p>
              </w:tc>
              <w:tc>
                <w:tcPr>
                  <w:tcW w:w="2061" w:type="pct"/>
                  <w:tcBorders>
                    <w:tl2br w:val="nil"/>
                    <w:tr2bl w:val="nil"/>
                  </w:tcBorders>
                  <w:vAlign w:val="center"/>
                </w:tcPr>
                <w:p w14:paraId="5A708332">
                  <w:pPr>
                    <w:jc w:val="center"/>
                    <w:rPr>
                      <w:bCs/>
                      <w:color w:val="auto"/>
                      <w:szCs w:val="21"/>
                      <w:highlight w:val="none"/>
                    </w:rPr>
                  </w:pPr>
                  <w:r>
                    <w:rPr>
                      <w:bCs/>
                      <w:color w:val="auto"/>
                      <w:szCs w:val="21"/>
                      <w:highlight w:val="none"/>
                    </w:rPr>
                    <w:t>监测因子</w:t>
                  </w:r>
                </w:p>
              </w:tc>
              <w:tc>
                <w:tcPr>
                  <w:tcW w:w="1166" w:type="pct"/>
                  <w:tcBorders>
                    <w:tl2br w:val="nil"/>
                    <w:tr2bl w:val="nil"/>
                  </w:tcBorders>
                  <w:vAlign w:val="center"/>
                </w:tcPr>
                <w:p w14:paraId="4006D87A">
                  <w:pPr>
                    <w:jc w:val="center"/>
                    <w:rPr>
                      <w:bCs/>
                      <w:color w:val="auto"/>
                      <w:szCs w:val="21"/>
                      <w:highlight w:val="none"/>
                    </w:rPr>
                  </w:pPr>
                  <w:r>
                    <w:rPr>
                      <w:bCs/>
                      <w:color w:val="auto"/>
                      <w:szCs w:val="21"/>
                      <w:highlight w:val="none"/>
                    </w:rPr>
                    <w:t>监测频次</w:t>
                  </w:r>
                </w:p>
              </w:tc>
            </w:tr>
            <w:tr w14:paraId="7B3A1F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53" w:type="pct"/>
                  <w:vMerge w:val="restart"/>
                  <w:tcBorders>
                    <w:tl2br w:val="nil"/>
                    <w:tr2bl w:val="nil"/>
                  </w:tcBorders>
                  <w:vAlign w:val="center"/>
                </w:tcPr>
                <w:p w14:paraId="267C0334">
                  <w:pPr>
                    <w:jc w:val="center"/>
                    <w:rPr>
                      <w:bCs/>
                      <w:color w:val="auto"/>
                      <w:szCs w:val="21"/>
                      <w:highlight w:val="none"/>
                    </w:rPr>
                  </w:pPr>
                  <w:r>
                    <w:rPr>
                      <w:bCs/>
                      <w:color w:val="auto"/>
                      <w:szCs w:val="21"/>
                      <w:highlight w:val="none"/>
                    </w:rPr>
                    <w:t>废气</w:t>
                  </w:r>
                </w:p>
              </w:tc>
              <w:tc>
                <w:tcPr>
                  <w:tcW w:w="1218" w:type="pct"/>
                  <w:tcBorders>
                    <w:tl2br w:val="nil"/>
                    <w:tr2bl w:val="nil"/>
                  </w:tcBorders>
                  <w:vAlign w:val="center"/>
                </w:tcPr>
                <w:p w14:paraId="4406CC5C">
                  <w:pPr>
                    <w:jc w:val="center"/>
                    <w:rPr>
                      <w:bCs/>
                      <w:color w:val="auto"/>
                      <w:szCs w:val="21"/>
                      <w:highlight w:val="none"/>
                    </w:rPr>
                  </w:pPr>
                  <w:r>
                    <w:rPr>
                      <w:rFonts w:hint="eastAsia"/>
                      <w:bCs/>
                      <w:color w:val="auto"/>
                      <w:szCs w:val="21"/>
                      <w:highlight w:val="none"/>
                      <w:lang w:val="en-US" w:eastAsia="zh-CN"/>
                    </w:rPr>
                    <w:t>DA001</w:t>
                  </w:r>
                </w:p>
              </w:tc>
              <w:tc>
                <w:tcPr>
                  <w:tcW w:w="2061" w:type="pct"/>
                  <w:tcBorders>
                    <w:tl2br w:val="nil"/>
                    <w:tr2bl w:val="nil"/>
                  </w:tcBorders>
                  <w:vAlign w:val="center"/>
                </w:tcPr>
                <w:p w14:paraId="1EE19CDC">
                  <w:pPr>
                    <w:jc w:val="center"/>
                    <w:rPr>
                      <w:bCs/>
                      <w:color w:val="auto"/>
                      <w:szCs w:val="21"/>
                      <w:highlight w:val="none"/>
                    </w:rPr>
                  </w:pPr>
                  <w:r>
                    <w:rPr>
                      <w:bCs/>
                      <w:color w:val="auto"/>
                      <w:szCs w:val="21"/>
                      <w:highlight w:val="none"/>
                    </w:rPr>
                    <w:t>SO</w:t>
                  </w:r>
                  <w:r>
                    <w:rPr>
                      <w:bCs/>
                      <w:color w:val="auto"/>
                      <w:szCs w:val="21"/>
                      <w:highlight w:val="none"/>
                      <w:vertAlign w:val="subscript"/>
                    </w:rPr>
                    <w:t>2</w:t>
                  </w:r>
                  <w:r>
                    <w:rPr>
                      <w:bCs/>
                      <w:color w:val="auto"/>
                      <w:szCs w:val="21"/>
                      <w:highlight w:val="none"/>
                    </w:rPr>
                    <w:t>、NOx、颗粒物、烟气黑度</w:t>
                  </w:r>
                </w:p>
              </w:tc>
              <w:tc>
                <w:tcPr>
                  <w:tcW w:w="1166" w:type="pct"/>
                  <w:tcBorders>
                    <w:tl2br w:val="nil"/>
                    <w:tr2bl w:val="nil"/>
                  </w:tcBorders>
                  <w:vAlign w:val="center"/>
                </w:tcPr>
                <w:p w14:paraId="6A6E95BF">
                  <w:pPr>
                    <w:jc w:val="center"/>
                    <w:rPr>
                      <w:bCs/>
                      <w:color w:val="auto"/>
                      <w:szCs w:val="21"/>
                      <w:highlight w:val="none"/>
                    </w:rPr>
                  </w:pPr>
                  <w:r>
                    <w:rPr>
                      <w:bCs/>
                      <w:color w:val="auto"/>
                      <w:szCs w:val="21"/>
                      <w:highlight w:val="none"/>
                    </w:rPr>
                    <w:t>每月一次</w:t>
                  </w:r>
                </w:p>
              </w:tc>
            </w:tr>
            <w:tr w14:paraId="106911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53" w:type="pct"/>
                  <w:vMerge w:val="continue"/>
                  <w:tcBorders>
                    <w:tl2br w:val="nil"/>
                    <w:tr2bl w:val="nil"/>
                  </w:tcBorders>
                  <w:vAlign w:val="center"/>
                </w:tcPr>
                <w:p w14:paraId="622E7933">
                  <w:pPr>
                    <w:jc w:val="center"/>
                    <w:rPr>
                      <w:bCs/>
                      <w:color w:val="auto"/>
                      <w:szCs w:val="21"/>
                      <w:highlight w:val="none"/>
                    </w:rPr>
                  </w:pPr>
                </w:p>
              </w:tc>
              <w:tc>
                <w:tcPr>
                  <w:tcW w:w="1218" w:type="pct"/>
                  <w:tcBorders>
                    <w:tl2br w:val="nil"/>
                    <w:tr2bl w:val="nil"/>
                  </w:tcBorders>
                  <w:vAlign w:val="center"/>
                </w:tcPr>
                <w:p w14:paraId="78A42EC3">
                  <w:pPr>
                    <w:jc w:val="center"/>
                    <w:rPr>
                      <w:rFonts w:hint="default"/>
                      <w:bCs/>
                      <w:color w:val="auto"/>
                      <w:szCs w:val="21"/>
                      <w:highlight w:val="none"/>
                      <w:lang w:val="en-US" w:eastAsia="zh-CN"/>
                    </w:rPr>
                  </w:pPr>
                  <w:r>
                    <w:rPr>
                      <w:rFonts w:hint="eastAsia"/>
                      <w:bCs/>
                      <w:color w:val="auto"/>
                      <w:szCs w:val="21"/>
                      <w:highlight w:val="none"/>
                      <w:lang w:val="en-US" w:eastAsia="zh-CN"/>
                    </w:rPr>
                    <w:t>DA002</w:t>
                  </w:r>
                </w:p>
              </w:tc>
              <w:tc>
                <w:tcPr>
                  <w:tcW w:w="2061" w:type="pct"/>
                  <w:tcBorders>
                    <w:tl2br w:val="nil"/>
                    <w:tr2bl w:val="nil"/>
                  </w:tcBorders>
                  <w:vAlign w:val="center"/>
                </w:tcPr>
                <w:p w14:paraId="09B6BD7A">
                  <w:pPr>
                    <w:jc w:val="center"/>
                    <w:rPr>
                      <w:rFonts w:hint="eastAsia" w:eastAsia="宋体"/>
                      <w:bCs/>
                      <w:color w:val="auto"/>
                      <w:szCs w:val="21"/>
                      <w:highlight w:val="none"/>
                      <w:lang w:val="en-US" w:eastAsia="zh-CN"/>
                    </w:rPr>
                  </w:pPr>
                  <w:r>
                    <w:rPr>
                      <w:rFonts w:hint="eastAsia"/>
                      <w:bCs/>
                      <w:color w:val="auto"/>
                      <w:szCs w:val="21"/>
                      <w:highlight w:val="none"/>
                      <w:lang w:val="en-US" w:eastAsia="zh-CN"/>
                    </w:rPr>
                    <w:t>非甲烷总烃</w:t>
                  </w:r>
                </w:p>
              </w:tc>
              <w:tc>
                <w:tcPr>
                  <w:tcW w:w="1166" w:type="pct"/>
                  <w:tcBorders>
                    <w:tl2br w:val="nil"/>
                    <w:tr2bl w:val="nil"/>
                  </w:tcBorders>
                  <w:vAlign w:val="center"/>
                </w:tcPr>
                <w:p w14:paraId="1782973A">
                  <w:pPr>
                    <w:jc w:val="center"/>
                    <w:rPr>
                      <w:bCs/>
                      <w:color w:val="auto"/>
                      <w:szCs w:val="21"/>
                      <w:highlight w:val="none"/>
                    </w:rPr>
                  </w:pPr>
                  <w:r>
                    <w:rPr>
                      <w:bCs/>
                      <w:color w:val="auto"/>
                      <w:szCs w:val="21"/>
                      <w:highlight w:val="none"/>
                    </w:rPr>
                    <w:t>每</w:t>
                  </w:r>
                  <w:r>
                    <w:rPr>
                      <w:rFonts w:hint="eastAsia"/>
                      <w:bCs/>
                      <w:color w:val="auto"/>
                      <w:szCs w:val="21"/>
                      <w:highlight w:val="none"/>
                      <w:lang w:val="en-US" w:eastAsia="zh-CN"/>
                    </w:rPr>
                    <w:t>季度</w:t>
                  </w:r>
                  <w:r>
                    <w:rPr>
                      <w:bCs/>
                      <w:color w:val="auto"/>
                      <w:szCs w:val="21"/>
                      <w:highlight w:val="none"/>
                    </w:rPr>
                    <w:t>一次</w:t>
                  </w:r>
                </w:p>
              </w:tc>
            </w:tr>
            <w:tr w14:paraId="1277ED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553" w:type="pct"/>
                  <w:vMerge w:val="continue"/>
                  <w:tcBorders>
                    <w:tl2br w:val="nil"/>
                    <w:tr2bl w:val="nil"/>
                  </w:tcBorders>
                  <w:vAlign w:val="center"/>
                </w:tcPr>
                <w:p w14:paraId="5B92AB70">
                  <w:pPr>
                    <w:jc w:val="center"/>
                    <w:rPr>
                      <w:bCs/>
                      <w:color w:val="auto"/>
                      <w:szCs w:val="21"/>
                      <w:highlight w:val="none"/>
                    </w:rPr>
                  </w:pPr>
                </w:p>
              </w:tc>
              <w:tc>
                <w:tcPr>
                  <w:tcW w:w="1218" w:type="pct"/>
                  <w:tcBorders>
                    <w:tl2br w:val="nil"/>
                    <w:tr2bl w:val="nil"/>
                  </w:tcBorders>
                  <w:vAlign w:val="center"/>
                </w:tcPr>
                <w:p w14:paraId="7DD9FEC9">
                  <w:pPr>
                    <w:jc w:val="center"/>
                    <w:rPr>
                      <w:bCs/>
                      <w:color w:val="auto"/>
                      <w:szCs w:val="21"/>
                      <w:highlight w:val="none"/>
                    </w:rPr>
                  </w:pPr>
                  <w:r>
                    <w:rPr>
                      <w:bCs/>
                      <w:color w:val="auto"/>
                      <w:szCs w:val="21"/>
                      <w:highlight w:val="none"/>
                    </w:rPr>
                    <w:t>项目厂界上风向</w:t>
                  </w:r>
                </w:p>
              </w:tc>
              <w:tc>
                <w:tcPr>
                  <w:tcW w:w="2061" w:type="pct"/>
                  <w:vMerge w:val="restart"/>
                  <w:tcBorders>
                    <w:tl2br w:val="nil"/>
                    <w:tr2bl w:val="nil"/>
                  </w:tcBorders>
                  <w:vAlign w:val="center"/>
                </w:tcPr>
                <w:p w14:paraId="3FC10D37">
                  <w:pPr>
                    <w:jc w:val="center"/>
                    <w:rPr>
                      <w:rFonts w:hint="default" w:eastAsia="宋体"/>
                      <w:bCs/>
                      <w:color w:val="auto"/>
                      <w:szCs w:val="21"/>
                      <w:highlight w:val="none"/>
                      <w:lang w:val="en-US" w:eastAsia="zh-CN"/>
                    </w:rPr>
                  </w:pPr>
                  <w:r>
                    <w:rPr>
                      <w:bCs/>
                      <w:color w:val="auto"/>
                      <w:szCs w:val="21"/>
                      <w:highlight w:val="none"/>
                    </w:rPr>
                    <w:t>颗粒物</w:t>
                  </w:r>
                  <w:r>
                    <w:rPr>
                      <w:rFonts w:hint="eastAsia"/>
                      <w:bCs/>
                      <w:color w:val="auto"/>
                      <w:szCs w:val="21"/>
                      <w:highlight w:val="none"/>
                      <w:lang w:eastAsia="zh-CN"/>
                    </w:rPr>
                    <w:t>、</w:t>
                  </w:r>
                  <w:r>
                    <w:rPr>
                      <w:rFonts w:hint="eastAsia"/>
                      <w:bCs/>
                      <w:color w:val="auto"/>
                      <w:szCs w:val="21"/>
                      <w:highlight w:val="none"/>
                      <w:lang w:val="en-US" w:eastAsia="zh-CN"/>
                    </w:rPr>
                    <w:t>非甲烷总烃</w:t>
                  </w:r>
                </w:p>
              </w:tc>
              <w:tc>
                <w:tcPr>
                  <w:tcW w:w="1166" w:type="pct"/>
                  <w:tcBorders>
                    <w:tl2br w:val="nil"/>
                    <w:tr2bl w:val="nil"/>
                  </w:tcBorders>
                  <w:vAlign w:val="center"/>
                </w:tcPr>
                <w:p w14:paraId="4673C6DA">
                  <w:pPr>
                    <w:jc w:val="center"/>
                    <w:rPr>
                      <w:bCs/>
                      <w:color w:val="auto"/>
                      <w:szCs w:val="21"/>
                      <w:highlight w:val="none"/>
                    </w:rPr>
                  </w:pPr>
                  <w:r>
                    <w:rPr>
                      <w:bCs/>
                      <w:color w:val="auto"/>
                      <w:szCs w:val="21"/>
                      <w:highlight w:val="none"/>
                    </w:rPr>
                    <w:t>每半年一次</w:t>
                  </w:r>
                </w:p>
              </w:tc>
            </w:tr>
            <w:tr w14:paraId="0163C9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553" w:type="pct"/>
                  <w:vMerge w:val="continue"/>
                  <w:tcBorders>
                    <w:tl2br w:val="nil"/>
                    <w:tr2bl w:val="nil"/>
                  </w:tcBorders>
                  <w:vAlign w:val="center"/>
                </w:tcPr>
                <w:p w14:paraId="5B8AED51">
                  <w:pPr>
                    <w:jc w:val="center"/>
                    <w:rPr>
                      <w:bCs/>
                      <w:color w:val="auto"/>
                      <w:szCs w:val="21"/>
                      <w:highlight w:val="none"/>
                    </w:rPr>
                  </w:pPr>
                </w:p>
              </w:tc>
              <w:tc>
                <w:tcPr>
                  <w:tcW w:w="1218" w:type="pct"/>
                  <w:tcBorders>
                    <w:tl2br w:val="nil"/>
                    <w:tr2bl w:val="nil"/>
                  </w:tcBorders>
                  <w:vAlign w:val="center"/>
                </w:tcPr>
                <w:p w14:paraId="60849431">
                  <w:pPr>
                    <w:jc w:val="center"/>
                    <w:rPr>
                      <w:bCs/>
                      <w:color w:val="auto"/>
                      <w:szCs w:val="21"/>
                      <w:highlight w:val="none"/>
                    </w:rPr>
                  </w:pPr>
                  <w:r>
                    <w:rPr>
                      <w:bCs/>
                      <w:color w:val="auto"/>
                      <w:szCs w:val="21"/>
                      <w:highlight w:val="none"/>
                    </w:rPr>
                    <w:t>项目厂界下风向</w:t>
                  </w:r>
                </w:p>
              </w:tc>
              <w:tc>
                <w:tcPr>
                  <w:tcW w:w="2061" w:type="pct"/>
                  <w:vMerge w:val="continue"/>
                  <w:tcBorders>
                    <w:tl2br w:val="nil"/>
                    <w:tr2bl w:val="nil"/>
                  </w:tcBorders>
                  <w:vAlign w:val="center"/>
                </w:tcPr>
                <w:p w14:paraId="3AF4F5D6">
                  <w:pPr>
                    <w:jc w:val="center"/>
                    <w:rPr>
                      <w:bCs/>
                      <w:color w:val="auto"/>
                      <w:szCs w:val="21"/>
                      <w:highlight w:val="none"/>
                    </w:rPr>
                  </w:pPr>
                </w:p>
              </w:tc>
              <w:tc>
                <w:tcPr>
                  <w:tcW w:w="1166" w:type="pct"/>
                  <w:tcBorders>
                    <w:tl2br w:val="nil"/>
                    <w:tr2bl w:val="nil"/>
                  </w:tcBorders>
                  <w:vAlign w:val="center"/>
                </w:tcPr>
                <w:p w14:paraId="065CED31">
                  <w:pPr>
                    <w:jc w:val="center"/>
                    <w:rPr>
                      <w:bCs/>
                      <w:color w:val="auto"/>
                      <w:szCs w:val="21"/>
                      <w:highlight w:val="none"/>
                    </w:rPr>
                  </w:pPr>
                  <w:r>
                    <w:rPr>
                      <w:bCs/>
                      <w:color w:val="auto"/>
                      <w:szCs w:val="21"/>
                      <w:highlight w:val="none"/>
                    </w:rPr>
                    <w:t>每半年一次</w:t>
                  </w:r>
                </w:p>
              </w:tc>
            </w:tr>
          </w:tbl>
          <w:p w14:paraId="50798066">
            <w:pPr>
              <w:snapToGrid w:val="0"/>
              <w:jc w:val="center"/>
              <w:rPr>
                <w:rFonts w:hint="eastAsia"/>
                <w:b/>
                <w:color w:val="auto"/>
                <w:szCs w:val="21"/>
                <w:highlight w:val="none"/>
              </w:rPr>
            </w:pPr>
          </w:p>
          <w:p w14:paraId="1A25DD68">
            <w:pPr>
              <w:widowControl/>
              <w:snapToGrid w:val="0"/>
              <w:spacing w:line="360" w:lineRule="auto"/>
              <w:ind w:left="630"/>
              <w:contextualSpacing/>
              <w:jc w:val="left"/>
              <w:rPr>
                <w:rFonts w:hint="eastAsia"/>
                <w:b/>
                <w:color w:val="auto"/>
                <w:sz w:val="24"/>
                <w:highlight w:val="none"/>
              </w:rPr>
            </w:pPr>
            <w:r>
              <w:rPr>
                <w:rFonts w:hint="eastAsia"/>
                <w:b/>
                <w:color w:val="auto"/>
                <w:sz w:val="24"/>
                <w:highlight w:val="none"/>
                <w:lang w:val="en-US" w:eastAsia="zh-CN"/>
              </w:rPr>
              <w:t>4.2</w:t>
            </w:r>
            <w:r>
              <w:rPr>
                <w:b/>
                <w:color w:val="auto"/>
                <w:sz w:val="24"/>
                <w:highlight w:val="none"/>
              </w:rPr>
              <w:t>废水</w:t>
            </w:r>
          </w:p>
          <w:p w14:paraId="0F4373EC">
            <w:pPr>
              <w:spacing w:line="360" w:lineRule="auto"/>
              <w:ind w:firstLine="480" w:firstLineChars="200"/>
              <w:rPr>
                <w:rFonts w:hint="default" w:ascii="Times New Roman" w:hAnsi="Times New Roman" w:eastAsia="宋体" w:cs="Times New Roman"/>
                <w:color w:val="auto"/>
                <w:sz w:val="24"/>
                <w:highlight w:val="none"/>
                <w:u w:val="none"/>
                <w:lang w:val="en-US" w:eastAsia="zh-CN"/>
              </w:rPr>
            </w:pPr>
            <w:r>
              <w:rPr>
                <w:rFonts w:hint="default" w:ascii="Times New Roman" w:hAnsi="Times New Roman" w:eastAsia="宋体" w:cs="Times New Roman"/>
                <w:color w:val="auto"/>
                <w:sz w:val="24"/>
                <w:highlight w:val="none"/>
                <w:u w:val="none"/>
                <w:lang w:val="en-US" w:eastAsia="zh-CN"/>
              </w:rPr>
              <w:t>本次为锅炉技改项目，其产品产量规模、生产工艺、原辅材料、劳动定员等均保持不变，由于本次技改是将</w:t>
            </w:r>
            <w:r>
              <w:rPr>
                <w:rFonts w:hint="eastAsia" w:ascii="Times New Roman" w:hAnsi="Times New Roman" w:eastAsia="宋体" w:cs="Times New Roman"/>
                <w:color w:val="auto"/>
                <w:sz w:val="24"/>
                <w:highlight w:val="none"/>
                <w:u w:val="none"/>
                <w:lang w:val="en-US" w:eastAsia="zh-CN"/>
              </w:rPr>
              <w:t>1</w:t>
            </w:r>
            <w:r>
              <w:rPr>
                <w:rFonts w:hint="default" w:ascii="Times New Roman" w:hAnsi="Times New Roman" w:eastAsia="宋体" w:cs="Times New Roman"/>
                <w:color w:val="auto"/>
                <w:sz w:val="24"/>
                <w:highlight w:val="none"/>
                <w:u w:val="none"/>
                <w:lang w:val="en-US" w:eastAsia="zh-CN"/>
              </w:rPr>
              <w:t>台2.0t/h生物质锅炉改造为</w:t>
            </w:r>
            <w:r>
              <w:rPr>
                <w:rFonts w:hint="eastAsia" w:ascii="Times New Roman" w:hAnsi="Times New Roman" w:eastAsia="宋体" w:cs="Times New Roman"/>
                <w:color w:val="auto"/>
                <w:sz w:val="24"/>
                <w:highlight w:val="none"/>
                <w:u w:val="none"/>
                <w:lang w:val="en-US" w:eastAsia="zh-CN"/>
              </w:rPr>
              <w:t>1</w:t>
            </w:r>
            <w:r>
              <w:rPr>
                <w:rFonts w:hint="default" w:ascii="Times New Roman" w:hAnsi="Times New Roman" w:eastAsia="宋体" w:cs="Times New Roman"/>
                <w:color w:val="auto"/>
                <w:sz w:val="24"/>
                <w:highlight w:val="none"/>
                <w:u w:val="none"/>
                <w:lang w:val="en-US" w:eastAsia="zh-CN"/>
              </w:rPr>
              <w:t>台2.1t/h 生物质锅炉，锅炉吨位改变量较小，因此除尘废水这一块用水量基本未发生变化。因此</w:t>
            </w:r>
            <w:r>
              <w:rPr>
                <w:color w:val="auto"/>
                <w:sz w:val="24"/>
                <w:highlight w:val="none"/>
                <w:u w:val="none"/>
              </w:rPr>
              <w:t>锅炉排污水及软化处理废水</w:t>
            </w:r>
            <w:r>
              <w:rPr>
                <w:rFonts w:hint="eastAsia"/>
                <w:color w:val="auto"/>
                <w:sz w:val="24"/>
                <w:highlight w:val="none"/>
                <w:u w:val="none"/>
                <w:lang w:eastAsia="zh-CN"/>
              </w:rPr>
              <w:t>、</w:t>
            </w:r>
            <w:r>
              <w:rPr>
                <w:rFonts w:hint="eastAsia"/>
                <w:color w:val="auto"/>
                <w:sz w:val="24"/>
                <w:highlight w:val="none"/>
                <w:u w:val="none"/>
                <w:lang w:val="en-US" w:eastAsia="zh-CN"/>
              </w:rPr>
              <w:t>水膜除尘废水</w:t>
            </w:r>
            <w:r>
              <w:rPr>
                <w:rFonts w:hint="default" w:ascii="Times New Roman" w:hAnsi="Times New Roman" w:eastAsia="宋体" w:cs="Times New Roman"/>
                <w:color w:val="auto"/>
                <w:sz w:val="24"/>
                <w:highlight w:val="none"/>
                <w:u w:val="none"/>
                <w:lang w:val="en-US" w:eastAsia="zh-CN"/>
              </w:rPr>
              <w:t>较原已批复未发生变化，无生产废水及生活污水增加，原有处理工艺措施能满足回用途径及水质要求。</w:t>
            </w:r>
          </w:p>
          <w:p w14:paraId="72847B1F">
            <w:pPr>
              <w:widowControl/>
              <w:snapToGrid w:val="0"/>
              <w:spacing w:line="360" w:lineRule="auto"/>
              <w:ind w:left="630"/>
              <w:contextualSpacing/>
              <w:jc w:val="left"/>
              <w:rPr>
                <w:rFonts w:hint="eastAsia" w:eastAsia="宋体"/>
                <w:b/>
                <w:color w:val="auto"/>
                <w:sz w:val="24"/>
                <w:highlight w:val="none"/>
              </w:rPr>
            </w:pPr>
            <w:r>
              <w:rPr>
                <w:rFonts w:hint="eastAsia" w:eastAsia="宋体"/>
                <w:b/>
                <w:color w:val="auto"/>
                <w:sz w:val="24"/>
                <w:highlight w:val="none"/>
                <w:lang w:val="en-US" w:eastAsia="zh-CN"/>
              </w:rPr>
              <w:t>4.3</w:t>
            </w:r>
            <w:r>
              <w:rPr>
                <w:rFonts w:hint="eastAsia" w:eastAsia="宋体"/>
                <w:b/>
                <w:color w:val="auto"/>
                <w:sz w:val="24"/>
                <w:highlight w:val="none"/>
              </w:rPr>
              <w:t>噪声</w:t>
            </w:r>
          </w:p>
          <w:p w14:paraId="3FB7BBAC">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（1）噪声源及其声级值</w:t>
            </w:r>
          </w:p>
          <w:p w14:paraId="53477724">
            <w:pPr>
              <w:spacing w:line="360" w:lineRule="auto"/>
              <w:ind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本次</w:t>
            </w:r>
            <w:r>
              <w:rPr>
                <w:rFonts w:hint="eastAsia" w:cs="Times New Roman"/>
                <w:color w:val="auto"/>
                <w:sz w:val="24"/>
                <w:highlight w:val="none"/>
                <w:lang w:val="en-US" w:eastAsia="zh-CN"/>
              </w:rPr>
              <w:t>技改</w:t>
            </w:r>
            <w:r>
              <w:rPr>
                <w:rFonts w:hint="eastAsia" w:ascii="Times New Roman" w:hAnsi="Times New Roman" w:eastAsia="宋体" w:cs="Times New Roman"/>
                <w:color w:val="auto"/>
                <w:sz w:val="24"/>
                <w:highlight w:val="none"/>
                <w:lang w:val="en-US" w:eastAsia="zh-CN"/>
              </w:rPr>
              <w:t>项目噪声源主要为设备噪声等，噪声源强约为 65~85dB(A)。项目采用设置厂房隔声、距离衰减等措施降低噪声。各噪声源强级距厂界距离见下表 4-1</w:t>
            </w:r>
            <w:r>
              <w:rPr>
                <w:rFonts w:hint="eastAsia" w:cs="Times New Roman"/>
                <w:color w:val="auto"/>
                <w:sz w:val="24"/>
                <w:highlight w:val="none"/>
                <w:lang w:val="en-US" w:eastAsia="zh-CN"/>
              </w:rPr>
              <w:t>4</w:t>
            </w:r>
            <w:r>
              <w:rPr>
                <w:rFonts w:hint="eastAsia" w:ascii="Times New Roman" w:hAnsi="Times New Roman" w:eastAsia="宋体" w:cs="Times New Roman"/>
                <w:color w:val="auto"/>
                <w:sz w:val="24"/>
                <w:highlight w:val="none"/>
                <w:lang w:val="en-US" w:eastAsia="zh-CN"/>
              </w:rPr>
              <w:t>。</w:t>
            </w:r>
          </w:p>
          <w:p w14:paraId="624ED2F0">
            <w:pPr>
              <w:spacing w:line="360" w:lineRule="auto"/>
              <w:ind w:firstLine="418" w:firstLineChars="200"/>
              <w:jc w:val="center"/>
              <w:rPr>
                <w:color w:val="auto"/>
                <w:sz w:val="24"/>
                <w:highlight w:val="none"/>
              </w:rPr>
            </w:pPr>
            <w:r>
              <w:rPr>
                <w:b/>
                <w:bCs/>
                <w:color w:val="auto"/>
                <w:spacing w:val="-1"/>
                <w:highlight w:val="none"/>
              </w:rPr>
              <w:t>表</w:t>
            </w:r>
            <w:r>
              <w:rPr>
                <w:color w:val="auto"/>
                <w:spacing w:val="-54"/>
                <w:highlight w:val="none"/>
              </w:rPr>
              <w:t xml:space="preserve"> </w:t>
            </w:r>
            <w:r>
              <w:rPr>
                <w:rFonts w:ascii="Times New Roman" w:hAnsi="Times New Roman" w:eastAsia="Times New Roman" w:cs="Times New Roman"/>
                <w:b/>
                <w:bCs/>
                <w:color w:val="auto"/>
                <w:spacing w:val="-1"/>
                <w:highlight w:val="none"/>
              </w:rPr>
              <w:t>4-1</w:t>
            </w:r>
            <w:r>
              <w:rPr>
                <w:rFonts w:hint="eastAsia" w:cs="Times New Roman"/>
                <w:b/>
                <w:bCs/>
                <w:color w:val="auto"/>
                <w:spacing w:val="-1"/>
                <w:highlight w:val="none"/>
                <w:lang w:val="en-US" w:eastAsia="zh-CN"/>
              </w:rPr>
              <w:t>2</w:t>
            </w:r>
            <w:r>
              <w:rPr>
                <w:rFonts w:hint="eastAsia" w:ascii="Times New Roman" w:hAnsi="Times New Roman" w:eastAsia="宋体" w:cs="Times New Roman"/>
                <w:b/>
                <w:bCs/>
                <w:color w:val="auto"/>
                <w:spacing w:val="-1"/>
                <w:highlight w:val="none"/>
                <w:lang w:val="en-US" w:eastAsia="zh-CN"/>
              </w:rPr>
              <w:t xml:space="preserve"> </w:t>
            </w:r>
            <w:r>
              <w:rPr>
                <w:rFonts w:hint="eastAsia" w:cs="Times New Roman"/>
                <w:b/>
                <w:bCs/>
                <w:color w:val="auto"/>
                <w:spacing w:val="-1"/>
                <w:highlight w:val="none"/>
                <w:lang w:val="en-US" w:eastAsia="zh-CN"/>
              </w:rPr>
              <w:t xml:space="preserve"> </w:t>
            </w:r>
            <w:r>
              <w:rPr>
                <w:rFonts w:hint="eastAsia"/>
                <w:b/>
                <w:bCs/>
                <w:color w:val="auto"/>
                <w:spacing w:val="-1"/>
                <w:highlight w:val="none"/>
                <w:lang w:eastAsia="zh-CN"/>
              </w:rPr>
              <w:t>技改</w:t>
            </w:r>
            <w:r>
              <w:rPr>
                <w:b/>
                <w:bCs/>
                <w:color w:val="auto"/>
                <w:spacing w:val="-1"/>
                <w:highlight w:val="none"/>
              </w:rPr>
              <w:t>项目主要设备运行噪声排放</w:t>
            </w:r>
            <w:r>
              <w:rPr>
                <w:b/>
                <w:bCs/>
                <w:color w:val="auto"/>
                <w:spacing w:val="-2"/>
                <w:highlight w:val="none"/>
              </w:rPr>
              <w:t>情况一览表</w:t>
            </w:r>
            <w:r>
              <w:rPr>
                <w:color w:val="auto"/>
                <w:spacing w:val="-2"/>
                <w:highlight w:val="none"/>
              </w:rPr>
              <w:t xml:space="preserve">   </w:t>
            </w:r>
            <w:r>
              <w:rPr>
                <w:b/>
                <w:bCs/>
                <w:color w:val="auto"/>
                <w:spacing w:val="-2"/>
                <w:highlight w:val="none"/>
              </w:rPr>
              <w:t>单位：</w:t>
            </w:r>
            <w:r>
              <w:rPr>
                <w:rFonts w:ascii="Times New Roman" w:hAnsi="Times New Roman" w:eastAsia="Times New Roman" w:cs="Times New Roman"/>
                <w:b/>
                <w:bCs/>
                <w:color w:val="auto"/>
                <w:spacing w:val="-2"/>
                <w:highlight w:val="none"/>
              </w:rPr>
              <w:t>dB</w:t>
            </w:r>
            <w:r>
              <w:rPr>
                <w:b/>
                <w:bCs/>
                <w:color w:val="auto"/>
                <w:spacing w:val="-2"/>
                <w:highlight w:val="none"/>
              </w:rPr>
              <w:t>（</w:t>
            </w:r>
            <w:r>
              <w:rPr>
                <w:rFonts w:ascii="Times New Roman" w:hAnsi="Times New Roman" w:eastAsia="Times New Roman" w:cs="Times New Roman"/>
                <w:b/>
                <w:bCs/>
                <w:color w:val="auto"/>
                <w:spacing w:val="-2"/>
                <w:highlight w:val="none"/>
              </w:rPr>
              <w:t>A</w:t>
            </w:r>
            <w:r>
              <w:rPr>
                <w:b/>
                <w:bCs/>
                <w:color w:val="auto"/>
                <w:spacing w:val="-2"/>
                <w:highlight w:val="none"/>
              </w:rPr>
              <w:t>）</w:t>
            </w:r>
          </w:p>
          <w:tbl>
            <w:tblPr>
              <w:tblStyle w:val="156"/>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113" w:type="dxa"/>
                <w:left w:w="113" w:type="dxa"/>
                <w:bottom w:w="113" w:type="dxa"/>
                <w:right w:w="113" w:type="dxa"/>
              </w:tblCellMar>
            </w:tblPr>
            <w:tblGrid>
              <w:gridCol w:w="497"/>
              <w:gridCol w:w="436"/>
              <w:gridCol w:w="436"/>
              <w:gridCol w:w="490"/>
              <w:gridCol w:w="506"/>
              <w:gridCol w:w="506"/>
              <w:gridCol w:w="490"/>
              <w:gridCol w:w="828"/>
              <w:gridCol w:w="650"/>
              <w:gridCol w:w="822"/>
              <w:gridCol w:w="829"/>
              <w:gridCol w:w="436"/>
              <w:gridCol w:w="826"/>
              <w:gridCol w:w="860"/>
            </w:tblGrid>
            <w:tr w14:paraId="7F28C5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13" w:type="dxa"/>
                  <w:left w:w="113" w:type="dxa"/>
                  <w:bottom w:w="113" w:type="dxa"/>
                  <w:right w:w="113" w:type="dxa"/>
                </w:tblCellMar>
              </w:tblPrEx>
              <w:trPr>
                <w:trHeight w:val="287" w:hRule="atLeast"/>
              </w:trPr>
              <w:tc>
                <w:tcPr>
                  <w:tcW w:w="299" w:type="pct"/>
                  <w:vMerge w:val="restart"/>
                  <w:tcBorders>
                    <w:tl2br w:val="nil"/>
                    <w:tr2bl w:val="nil"/>
                  </w:tcBorders>
                  <w:textDirection w:val="tbRlV"/>
                  <w:vAlign w:val="center"/>
                </w:tcPr>
                <w:p w14:paraId="066D6EE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序 号</w:t>
                  </w:r>
                </w:p>
              </w:tc>
              <w:tc>
                <w:tcPr>
                  <w:tcW w:w="260" w:type="pct"/>
                  <w:vMerge w:val="restart"/>
                  <w:tcBorders>
                    <w:tl2br w:val="nil"/>
                    <w:tr2bl w:val="nil"/>
                  </w:tcBorders>
                  <w:vAlign w:val="center"/>
                </w:tcPr>
                <w:p w14:paraId="15B2B33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p>
                <w:p w14:paraId="78C81B73">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p>
                <w:p w14:paraId="7B0AC1E3">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区域</w:t>
                  </w:r>
                </w:p>
              </w:tc>
              <w:tc>
                <w:tcPr>
                  <w:tcW w:w="260" w:type="pct"/>
                  <w:vMerge w:val="restart"/>
                  <w:tcBorders>
                    <w:tl2br w:val="nil"/>
                    <w:tr2bl w:val="nil"/>
                  </w:tcBorders>
                  <w:vAlign w:val="center"/>
                </w:tcPr>
                <w:p w14:paraId="78A53040">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设备</w:t>
                  </w:r>
                </w:p>
                <w:p w14:paraId="276E3B95">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名称</w:t>
                  </w:r>
                </w:p>
              </w:tc>
              <w:tc>
                <w:tcPr>
                  <w:tcW w:w="301" w:type="pct"/>
                  <w:vMerge w:val="restart"/>
                  <w:tcBorders>
                    <w:tl2br w:val="nil"/>
                    <w:tr2bl w:val="nil"/>
                  </w:tcBorders>
                  <w:textDirection w:val="tbRlV"/>
                  <w:vAlign w:val="center"/>
                </w:tcPr>
                <w:p w14:paraId="11755E7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数 量</w:t>
                  </w:r>
                </w:p>
              </w:tc>
              <w:tc>
                <w:tcPr>
                  <w:tcW w:w="762" w:type="pct"/>
                  <w:gridSpan w:val="3"/>
                  <w:tcBorders>
                    <w:tl2br w:val="nil"/>
                    <w:tr2bl w:val="nil"/>
                  </w:tcBorders>
                  <w:vAlign w:val="center"/>
                </w:tcPr>
                <w:p w14:paraId="1EB370F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空间相对</w:t>
                  </w:r>
                </w:p>
                <w:p w14:paraId="07B922A9">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位置 （m）</w:t>
                  </w:r>
                </w:p>
              </w:tc>
              <w:tc>
                <w:tcPr>
                  <w:tcW w:w="491" w:type="pct"/>
                  <w:vMerge w:val="restart"/>
                  <w:tcBorders>
                    <w:tl2br w:val="nil"/>
                    <w:tr2bl w:val="nil"/>
                  </w:tcBorders>
                  <w:vAlign w:val="center"/>
                </w:tcPr>
                <w:p w14:paraId="2EBDB3FC">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噪声源（多台叠加）/dB(A)</w:t>
                  </w:r>
                </w:p>
              </w:tc>
              <w:tc>
                <w:tcPr>
                  <w:tcW w:w="388" w:type="pct"/>
                  <w:vMerge w:val="restart"/>
                  <w:tcBorders>
                    <w:tl2br w:val="nil"/>
                    <w:tr2bl w:val="nil"/>
                  </w:tcBorders>
                  <w:vAlign w:val="center"/>
                </w:tcPr>
                <w:p w14:paraId="39C05F87">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p>
                <w:p w14:paraId="773516F9">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治理措施</w:t>
                  </w:r>
                </w:p>
              </w:tc>
              <w:tc>
                <w:tcPr>
                  <w:tcW w:w="487" w:type="pct"/>
                  <w:vMerge w:val="restart"/>
                  <w:tcBorders>
                    <w:tl2br w:val="nil"/>
                    <w:tr2bl w:val="nil"/>
                  </w:tcBorders>
                  <w:vAlign w:val="center"/>
                </w:tcPr>
                <w:p w14:paraId="5C6E92D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距室边界</w:t>
                  </w:r>
                </w:p>
                <w:p w14:paraId="727F7619">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近距</w:t>
                  </w:r>
                </w:p>
                <w:p w14:paraId="66D64840">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（m）</w:t>
                  </w:r>
                </w:p>
              </w:tc>
              <w:tc>
                <w:tcPr>
                  <w:tcW w:w="491" w:type="pct"/>
                  <w:vMerge w:val="restart"/>
                  <w:tcBorders>
                    <w:tl2br w:val="nil"/>
                    <w:tr2bl w:val="nil"/>
                  </w:tcBorders>
                  <w:vAlign w:val="center"/>
                </w:tcPr>
                <w:p w14:paraId="16E0AAE3">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室内边界声级 /dB(A)</w:t>
                  </w:r>
                </w:p>
              </w:tc>
              <w:tc>
                <w:tcPr>
                  <w:tcW w:w="261" w:type="pct"/>
                  <w:vMerge w:val="restart"/>
                  <w:tcBorders>
                    <w:tl2br w:val="nil"/>
                    <w:tr2bl w:val="nil"/>
                  </w:tcBorders>
                  <w:vAlign w:val="center"/>
                </w:tcPr>
                <w:p w14:paraId="7340C65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p>
                <w:p w14:paraId="2035A3F0">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p>
                <w:p w14:paraId="3BA7929F">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p>
                <w:p w14:paraId="4B26E39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运行</w:t>
                  </w:r>
                </w:p>
                <w:p w14:paraId="724FC59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时段</w:t>
                  </w:r>
                </w:p>
              </w:tc>
              <w:tc>
                <w:tcPr>
                  <w:tcW w:w="491" w:type="pct"/>
                  <w:vMerge w:val="restart"/>
                  <w:tcBorders>
                    <w:tl2br w:val="nil"/>
                    <w:tr2bl w:val="nil"/>
                  </w:tcBorders>
                  <w:vAlign w:val="center"/>
                </w:tcPr>
                <w:p w14:paraId="51E13B5F">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建筑物插入损</w:t>
                  </w:r>
                </w:p>
                <w:p w14:paraId="650A928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失/dB(A)</w:t>
                  </w:r>
                </w:p>
              </w:tc>
              <w:tc>
                <w:tcPr>
                  <w:tcW w:w="504" w:type="pct"/>
                  <w:vMerge w:val="restart"/>
                  <w:tcBorders>
                    <w:tl2br w:val="nil"/>
                    <w:tr2bl w:val="nil"/>
                  </w:tcBorders>
                  <w:vAlign w:val="center"/>
                </w:tcPr>
                <w:p w14:paraId="316B46B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建筑物</w:t>
                  </w:r>
                </w:p>
                <w:p w14:paraId="4A6D56B9">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外边界</w:t>
                  </w:r>
                </w:p>
                <w:p w14:paraId="5C52116D">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噪声</w:t>
                  </w:r>
                </w:p>
                <w:p w14:paraId="401F930E">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21"/>
                      <w:sz w:val="21"/>
                      <w:szCs w:val="21"/>
                      <w:highlight w:val="none"/>
                      <w:u w:val="none"/>
                    </w:rPr>
                  </w:pPr>
                  <w:r>
                    <w:rPr>
                      <w:rFonts w:hint="default" w:ascii="Times New Roman" w:hAnsi="Times New Roman" w:eastAsia="宋体" w:cs="Times New Roman"/>
                      <w:color w:val="auto"/>
                      <w:kern w:val="21"/>
                      <w:sz w:val="21"/>
                      <w:szCs w:val="21"/>
                      <w:highlight w:val="none"/>
                      <w:u w:val="none"/>
                    </w:rPr>
                    <w:t>/dB(A)</w:t>
                  </w:r>
                </w:p>
              </w:tc>
            </w:tr>
            <w:tr w14:paraId="2FA958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13" w:type="dxa"/>
                  <w:left w:w="113" w:type="dxa"/>
                  <w:bottom w:w="113" w:type="dxa"/>
                  <w:right w:w="113" w:type="dxa"/>
                </w:tblCellMar>
              </w:tblPrEx>
              <w:trPr>
                <w:trHeight w:val="156" w:hRule="atLeast"/>
              </w:trPr>
              <w:tc>
                <w:tcPr>
                  <w:tcW w:w="299" w:type="pct"/>
                  <w:vMerge w:val="continue"/>
                  <w:tcBorders>
                    <w:tl2br w:val="nil"/>
                    <w:tr2bl w:val="nil"/>
                  </w:tcBorders>
                  <w:textDirection w:val="tbRlV"/>
                  <w:vAlign w:val="center"/>
                </w:tcPr>
                <w:p w14:paraId="31C73BB0">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260" w:type="pct"/>
                  <w:vMerge w:val="continue"/>
                  <w:tcBorders>
                    <w:tl2br w:val="nil"/>
                    <w:tr2bl w:val="nil"/>
                  </w:tcBorders>
                  <w:vAlign w:val="center"/>
                </w:tcPr>
                <w:p w14:paraId="7CC717FD">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260" w:type="pct"/>
                  <w:vMerge w:val="continue"/>
                  <w:tcBorders>
                    <w:tl2br w:val="nil"/>
                    <w:tr2bl w:val="nil"/>
                  </w:tcBorders>
                  <w:vAlign w:val="center"/>
                </w:tcPr>
                <w:p w14:paraId="4300934D">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301" w:type="pct"/>
                  <w:vMerge w:val="continue"/>
                  <w:tcBorders>
                    <w:tl2br w:val="nil"/>
                    <w:tr2bl w:val="nil"/>
                  </w:tcBorders>
                  <w:textDirection w:val="tbRlV"/>
                  <w:vAlign w:val="center"/>
                </w:tcPr>
                <w:p w14:paraId="7AB8AA18">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227" w:type="pct"/>
                  <w:tcBorders>
                    <w:tl2br w:val="nil"/>
                    <w:tr2bl w:val="nil"/>
                  </w:tcBorders>
                  <w:vAlign w:val="center"/>
                </w:tcPr>
                <w:p w14:paraId="19085BAE">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X</w:t>
                  </w:r>
                </w:p>
              </w:tc>
              <w:tc>
                <w:tcPr>
                  <w:tcW w:w="240" w:type="pct"/>
                  <w:tcBorders>
                    <w:tl2br w:val="nil"/>
                    <w:tr2bl w:val="nil"/>
                  </w:tcBorders>
                  <w:vAlign w:val="center"/>
                </w:tcPr>
                <w:p w14:paraId="6E45FCB7">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Y</w:t>
                  </w:r>
                </w:p>
              </w:tc>
              <w:tc>
                <w:tcPr>
                  <w:tcW w:w="294" w:type="pct"/>
                  <w:tcBorders>
                    <w:tl2br w:val="nil"/>
                    <w:tr2bl w:val="nil"/>
                  </w:tcBorders>
                  <w:vAlign w:val="center"/>
                </w:tcPr>
                <w:p w14:paraId="06319455">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Z</w:t>
                  </w:r>
                </w:p>
              </w:tc>
              <w:tc>
                <w:tcPr>
                  <w:tcW w:w="491" w:type="pct"/>
                  <w:vMerge w:val="continue"/>
                  <w:tcBorders>
                    <w:tl2br w:val="nil"/>
                    <w:tr2bl w:val="nil"/>
                  </w:tcBorders>
                  <w:vAlign w:val="center"/>
                </w:tcPr>
                <w:p w14:paraId="2E29B975">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388" w:type="pct"/>
                  <w:vMerge w:val="continue"/>
                  <w:tcBorders>
                    <w:tl2br w:val="nil"/>
                    <w:tr2bl w:val="nil"/>
                  </w:tcBorders>
                  <w:vAlign w:val="center"/>
                </w:tcPr>
                <w:p w14:paraId="6FD66420">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487" w:type="pct"/>
                  <w:vMerge w:val="continue"/>
                  <w:tcBorders>
                    <w:tl2br w:val="nil"/>
                    <w:tr2bl w:val="nil"/>
                  </w:tcBorders>
                  <w:vAlign w:val="center"/>
                </w:tcPr>
                <w:p w14:paraId="34BA439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491" w:type="pct"/>
                  <w:vMerge w:val="continue"/>
                  <w:tcBorders>
                    <w:tl2br w:val="nil"/>
                    <w:tr2bl w:val="nil"/>
                  </w:tcBorders>
                  <w:vAlign w:val="center"/>
                </w:tcPr>
                <w:p w14:paraId="2DE3B75D">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261" w:type="pct"/>
                  <w:vMerge w:val="continue"/>
                  <w:tcBorders>
                    <w:tl2br w:val="nil"/>
                    <w:tr2bl w:val="nil"/>
                  </w:tcBorders>
                  <w:vAlign w:val="center"/>
                </w:tcPr>
                <w:p w14:paraId="32B80275">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491" w:type="pct"/>
                  <w:vMerge w:val="continue"/>
                  <w:tcBorders>
                    <w:tl2br w:val="nil"/>
                    <w:tr2bl w:val="nil"/>
                  </w:tcBorders>
                  <w:vAlign w:val="center"/>
                </w:tcPr>
                <w:p w14:paraId="57F0AF87">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504" w:type="pct"/>
                  <w:vMerge w:val="continue"/>
                  <w:tcBorders>
                    <w:tl2br w:val="nil"/>
                    <w:tr2bl w:val="nil"/>
                  </w:tcBorders>
                  <w:vAlign w:val="center"/>
                </w:tcPr>
                <w:p w14:paraId="6076A168">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r>
            <w:tr w14:paraId="70C77D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13" w:type="dxa"/>
                  <w:left w:w="113" w:type="dxa"/>
                  <w:bottom w:w="113" w:type="dxa"/>
                  <w:right w:w="113" w:type="dxa"/>
                </w:tblCellMar>
              </w:tblPrEx>
              <w:trPr>
                <w:trHeight w:val="90" w:hRule="atLeast"/>
              </w:trPr>
              <w:tc>
                <w:tcPr>
                  <w:tcW w:w="299" w:type="pct"/>
                  <w:tcBorders>
                    <w:tl2br w:val="nil"/>
                    <w:tr2bl w:val="nil"/>
                  </w:tcBorders>
                  <w:vAlign w:val="center"/>
                </w:tcPr>
                <w:p w14:paraId="7F4525A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p w14:paraId="396AF6A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1</w:t>
                  </w:r>
                </w:p>
              </w:tc>
              <w:tc>
                <w:tcPr>
                  <w:tcW w:w="260" w:type="pct"/>
                  <w:vMerge w:val="restart"/>
                  <w:tcBorders>
                    <w:tl2br w:val="nil"/>
                    <w:tr2bl w:val="nil"/>
                  </w:tcBorders>
                  <w:vAlign w:val="center"/>
                </w:tcPr>
                <w:p w14:paraId="384CD81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锅炉 房</w:t>
                  </w:r>
                </w:p>
              </w:tc>
              <w:tc>
                <w:tcPr>
                  <w:tcW w:w="260" w:type="pct"/>
                  <w:tcBorders>
                    <w:tl2br w:val="nil"/>
                    <w:tr2bl w:val="nil"/>
                  </w:tcBorders>
                  <w:vAlign w:val="center"/>
                </w:tcPr>
                <w:p w14:paraId="3E5370A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风机</w:t>
                  </w:r>
                </w:p>
              </w:tc>
              <w:tc>
                <w:tcPr>
                  <w:tcW w:w="301" w:type="pct"/>
                  <w:tcBorders>
                    <w:tl2br w:val="nil"/>
                    <w:tr2bl w:val="nil"/>
                  </w:tcBorders>
                  <w:vAlign w:val="center"/>
                </w:tcPr>
                <w:p w14:paraId="0B511DA7">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1</w:t>
                  </w:r>
                </w:p>
                <w:p w14:paraId="5009658E">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台</w:t>
                  </w:r>
                </w:p>
              </w:tc>
              <w:tc>
                <w:tcPr>
                  <w:tcW w:w="436" w:type="dxa"/>
                  <w:tcBorders>
                    <w:tl2br w:val="nil"/>
                    <w:tr2bl w:val="nil"/>
                  </w:tcBorders>
                  <w:vAlign w:val="center"/>
                </w:tcPr>
                <w:p w14:paraId="321C220C">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color w:val="auto"/>
                      <w:kern w:val="0"/>
                      <w:sz w:val="21"/>
                      <w:szCs w:val="21"/>
                      <w:highlight w:val="none"/>
                      <w:u w:val="none"/>
                      <w:lang w:val="en-US" w:eastAsia="zh-CN"/>
                    </w:rPr>
                  </w:pPr>
                  <w:r>
                    <w:rPr>
                      <w:rFonts w:hint="eastAsia" w:cs="Times New Roman"/>
                      <w:color w:val="auto"/>
                      <w:sz w:val="21"/>
                      <w:szCs w:val="21"/>
                      <w:highlight w:val="none"/>
                      <w:lang w:val="en-US" w:eastAsia="zh-CN"/>
                    </w:rPr>
                    <w:t>-40</w:t>
                  </w:r>
                </w:p>
              </w:tc>
              <w:tc>
                <w:tcPr>
                  <w:tcW w:w="436" w:type="dxa"/>
                  <w:tcBorders>
                    <w:tl2br w:val="nil"/>
                    <w:tr2bl w:val="nil"/>
                  </w:tcBorders>
                  <w:vAlign w:val="center"/>
                </w:tcPr>
                <w:p w14:paraId="1069AB75">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color w:val="auto"/>
                      <w:kern w:val="0"/>
                      <w:sz w:val="21"/>
                      <w:szCs w:val="21"/>
                      <w:highlight w:val="none"/>
                      <w:u w:val="none"/>
                      <w:lang w:val="en-US" w:eastAsia="zh-CN"/>
                    </w:rPr>
                  </w:pPr>
                  <w:r>
                    <w:rPr>
                      <w:rFonts w:hint="eastAsia" w:cs="Times New Roman"/>
                      <w:color w:val="auto"/>
                      <w:sz w:val="21"/>
                      <w:szCs w:val="21"/>
                      <w:highlight w:val="none"/>
                      <w:lang w:val="en-US" w:eastAsia="zh-CN"/>
                    </w:rPr>
                    <w:t>-31</w:t>
                  </w:r>
                </w:p>
              </w:tc>
              <w:tc>
                <w:tcPr>
                  <w:tcW w:w="294" w:type="pct"/>
                  <w:tcBorders>
                    <w:tl2br w:val="nil"/>
                    <w:tr2bl w:val="nil"/>
                  </w:tcBorders>
                  <w:vAlign w:val="center"/>
                </w:tcPr>
                <w:p w14:paraId="69457F73">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1.0</w:t>
                  </w:r>
                </w:p>
              </w:tc>
              <w:tc>
                <w:tcPr>
                  <w:tcW w:w="491" w:type="pct"/>
                  <w:tcBorders>
                    <w:tl2br w:val="nil"/>
                    <w:tr2bl w:val="nil"/>
                  </w:tcBorders>
                  <w:vAlign w:val="center"/>
                </w:tcPr>
                <w:p w14:paraId="724F4A7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cs="Times New Roman"/>
                      <w:color w:val="auto"/>
                      <w:kern w:val="0"/>
                      <w:sz w:val="21"/>
                      <w:szCs w:val="21"/>
                      <w:highlight w:val="none"/>
                      <w:u w:val="none"/>
                      <w:lang w:val="en-US" w:eastAsia="zh-CN"/>
                    </w:rPr>
                    <w:t>83</w:t>
                  </w:r>
                </w:p>
              </w:tc>
              <w:tc>
                <w:tcPr>
                  <w:tcW w:w="388" w:type="pct"/>
                  <w:vMerge w:val="restart"/>
                  <w:tcBorders>
                    <w:tl2br w:val="nil"/>
                    <w:tr2bl w:val="nil"/>
                  </w:tcBorders>
                  <w:vAlign w:val="center"/>
                </w:tcPr>
                <w:p w14:paraId="3F8A219D">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eastAsia" w:ascii="Times New Roman" w:hAnsi="Times New Roman" w:eastAsia="宋体" w:cs="Times New Roman"/>
                      <w:color w:val="auto"/>
                      <w:kern w:val="0"/>
                      <w:sz w:val="21"/>
                      <w:szCs w:val="21"/>
                      <w:highlight w:val="none"/>
                      <w:u w:val="none"/>
                      <w:lang w:val="en-US" w:eastAsia="zh-CN"/>
                    </w:rPr>
                  </w:pPr>
                  <w:r>
                    <w:rPr>
                      <w:rFonts w:hint="default" w:ascii="Times New Roman" w:hAnsi="Times New Roman" w:eastAsia="宋体" w:cs="Times New Roman"/>
                      <w:color w:val="auto"/>
                      <w:kern w:val="0"/>
                      <w:sz w:val="21"/>
                      <w:szCs w:val="21"/>
                      <w:highlight w:val="none"/>
                      <w:u w:val="none"/>
                    </w:rPr>
                    <w:t>隔声、减震</w:t>
                  </w:r>
                  <w:r>
                    <w:rPr>
                      <w:rFonts w:hint="eastAsia" w:ascii="Times New Roman" w:cs="Times New Roman"/>
                      <w:color w:val="auto"/>
                      <w:kern w:val="0"/>
                      <w:sz w:val="21"/>
                      <w:szCs w:val="21"/>
                      <w:highlight w:val="none"/>
                      <w:u w:val="none"/>
                      <w:lang w:val="en-US" w:eastAsia="zh-CN"/>
                    </w:rPr>
                    <w:t>等</w:t>
                  </w:r>
                </w:p>
              </w:tc>
              <w:tc>
                <w:tcPr>
                  <w:tcW w:w="487" w:type="pct"/>
                  <w:tcBorders>
                    <w:tl2br w:val="nil"/>
                    <w:tr2bl w:val="nil"/>
                  </w:tcBorders>
                  <w:vAlign w:val="center"/>
                </w:tcPr>
                <w:p w14:paraId="2E3059F0">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cs="Times New Roman"/>
                      <w:color w:val="auto"/>
                      <w:kern w:val="0"/>
                      <w:sz w:val="21"/>
                      <w:szCs w:val="21"/>
                      <w:highlight w:val="none"/>
                      <w:u w:val="none"/>
                      <w:lang w:val="en-US" w:eastAsia="zh-CN"/>
                    </w:rPr>
                    <w:t>15</w:t>
                  </w:r>
                </w:p>
              </w:tc>
              <w:tc>
                <w:tcPr>
                  <w:tcW w:w="491" w:type="pct"/>
                  <w:tcBorders>
                    <w:tl2br w:val="nil"/>
                    <w:tr2bl w:val="nil"/>
                  </w:tcBorders>
                  <w:vAlign w:val="center"/>
                </w:tcPr>
                <w:p w14:paraId="7CE18B7C">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63.24</w:t>
                  </w:r>
                </w:p>
              </w:tc>
              <w:tc>
                <w:tcPr>
                  <w:tcW w:w="261" w:type="pct"/>
                  <w:vMerge w:val="continue"/>
                  <w:tcBorders>
                    <w:tl2br w:val="nil"/>
                    <w:tr2bl w:val="nil"/>
                  </w:tcBorders>
                  <w:vAlign w:val="center"/>
                </w:tcPr>
                <w:p w14:paraId="15C8905C">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p>
              </w:tc>
              <w:tc>
                <w:tcPr>
                  <w:tcW w:w="491" w:type="pct"/>
                  <w:tcBorders>
                    <w:tl2br w:val="nil"/>
                    <w:tr2bl w:val="nil"/>
                  </w:tcBorders>
                  <w:vAlign w:val="center"/>
                </w:tcPr>
                <w:p w14:paraId="3D676803">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20</w:t>
                  </w:r>
                </w:p>
              </w:tc>
              <w:tc>
                <w:tcPr>
                  <w:tcW w:w="504" w:type="pct"/>
                  <w:tcBorders>
                    <w:tl2br w:val="nil"/>
                    <w:tr2bl w:val="nil"/>
                  </w:tcBorders>
                  <w:vAlign w:val="center"/>
                </w:tcPr>
                <w:p w14:paraId="76BD9676">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43.24</w:t>
                  </w:r>
                </w:p>
              </w:tc>
            </w:tr>
            <w:tr w14:paraId="2274FC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13" w:type="dxa"/>
                  <w:left w:w="113" w:type="dxa"/>
                  <w:bottom w:w="113" w:type="dxa"/>
                  <w:right w:w="113" w:type="dxa"/>
                </w:tblCellMar>
              </w:tblPrEx>
              <w:trPr>
                <w:trHeight w:val="90" w:hRule="atLeast"/>
              </w:trPr>
              <w:tc>
                <w:tcPr>
                  <w:tcW w:w="299" w:type="pct"/>
                  <w:tcBorders>
                    <w:tl2br w:val="nil"/>
                    <w:tr2bl w:val="nil"/>
                  </w:tcBorders>
                  <w:vAlign w:val="center"/>
                </w:tcPr>
                <w:p w14:paraId="6B5B0003">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p w14:paraId="165441F7">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2</w:t>
                  </w:r>
                </w:p>
              </w:tc>
              <w:tc>
                <w:tcPr>
                  <w:tcW w:w="260" w:type="pct"/>
                  <w:vMerge w:val="continue"/>
                  <w:tcBorders>
                    <w:tl2br w:val="nil"/>
                    <w:tr2bl w:val="nil"/>
                  </w:tcBorders>
                  <w:vAlign w:val="center"/>
                </w:tcPr>
                <w:p w14:paraId="4CBA4FCC">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260" w:type="pct"/>
                  <w:tcBorders>
                    <w:tl2br w:val="nil"/>
                    <w:tr2bl w:val="nil"/>
                  </w:tcBorders>
                  <w:vAlign w:val="center"/>
                </w:tcPr>
                <w:p w14:paraId="7B073C1B">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锅炉</w:t>
                  </w:r>
                </w:p>
              </w:tc>
              <w:tc>
                <w:tcPr>
                  <w:tcW w:w="301" w:type="pct"/>
                  <w:tcBorders>
                    <w:tl2br w:val="nil"/>
                    <w:tr2bl w:val="nil"/>
                  </w:tcBorders>
                  <w:vAlign w:val="center"/>
                </w:tcPr>
                <w:p w14:paraId="2203E29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1</w:t>
                  </w:r>
                </w:p>
                <w:p w14:paraId="490216C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台</w:t>
                  </w:r>
                </w:p>
              </w:tc>
              <w:tc>
                <w:tcPr>
                  <w:tcW w:w="436" w:type="dxa"/>
                  <w:tcBorders>
                    <w:tl2br w:val="nil"/>
                    <w:tr2bl w:val="nil"/>
                  </w:tcBorders>
                  <w:vAlign w:val="center"/>
                </w:tcPr>
                <w:p w14:paraId="3F94D419">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color w:val="auto"/>
                      <w:kern w:val="0"/>
                      <w:sz w:val="21"/>
                      <w:szCs w:val="21"/>
                      <w:highlight w:val="none"/>
                      <w:u w:val="none"/>
                      <w:lang w:val="en-US" w:eastAsia="zh-CN"/>
                    </w:rPr>
                  </w:pPr>
                  <w:r>
                    <w:rPr>
                      <w:rFonts w:hint="eastAsia" w:cs="Times New Roman"/>
                      <w:color w:val="auto"/>
                      <w:sz w:val="21"/>
                      <w:szCs w:val="21"/>
                      <w:highlight w:val="none"/>
                      <w:lang w:val="en-US" w:eastAsia="zh-CN"/>
                    </w:rPr>
                    <w:t>-42</w:t>
                  </w:r>
                </w:p>
              </w:tc>
              <w:tc>
                <w:tcPr>
                  <w:tcW w:w="436" w:type="dxa"/>
                  <w:tcBorders>
                    <w:tl2br w:val="nil"/>
                    <w:tr2bl w:val="nil"/>
                  </w:tcBorders>
                  <w:vAlign w:val="center"/>
                </w:tcPr>
                <w:p w14:paraId="18C9723E">
                  <w:pPr>
                    <w:keepNext w:val="0"/>
                    <w:keepLines w:val="0"/>
                    <w:pageBreakBefore w:val="0"/>
                    <w:widowControl w:val="0"/>
                    <w:kinsoku/>
                    <w:wordWrap/>
                    <w:overflowPunct/>
                    <w:topLinePunct w:val="0"/>
                    <w:autoSpaceDE/>
                    <w:autoSpaceDN/>
                    <w:bidi w:val="0"/>
                    <w:adjustRightInd/>
                    <w:spacing w:line="240" w:lineRule="auto"/>
                    <w:ind w:left="0" w:leftChars="0"/>
                    <w:jc w:val="center"/>
                    <w:textAlignment w:val="auto"/>
                    <w:rPr>
                      <w:rFonts w:hint="default" w:ascii="Times New Roman" w:hAnsi="Times New Roman" w:eastAsia="宋体" w:cs="Times New Roman"/>
                      <w:color w:val="auto"/>
                      <w:kern w:val="0"/>
                      <w:sz w:val="21"/>
                      <w:szCs w:val="21"/>
                      <w:highlight w:val="none"/>
                      <w:u w:val="none"/>
                      <w:lang w:val="en-US" w:eastAsia="zh-CN"/>
                    </w:rPr>
                  </w:pPr>
                  <w:r>
                    <w:rPr>
                      <w:rFonts w:hint="eastAsia" w:cs="Times New Roman"/>
                      <w:color w:val="auto"/>
                      <w:sz w:val="21"/>
                      <w:szCs w:val="21"/>
                      <w:highlight w:val="none"/>
                      <w:lang w:val="en-US" w:eastAsia="zh-CN"/>
                    </w:rPr>
                    <w:t>-33</w:t>
                  </w:r>
                </w:p>
              </w:tc>
              <w:tc>
                <w:tcPr>
                  <w:tcW w:w="294" w:type="pct"/>
                  <w:tcBorders>
                    <w:tl2br w:val="nil"/>
                    <w:tr2bl w:val="nil"/>
                  </w:tcBorders>
                  <w:vAlign w:val="center"/>
                </w:tcPr>
                <w:p w14:paraId="49B2770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r>
                    <w:rPr>
                      <w:rFonts w:hint="default" w:ascii="Times New Roman" w:hAnsi="Times New Roman" w:eastAsia="宋体" w:cs="Times New Roman"/>
                      <w:color w:val="auto"/>
                      <w:kern w:val="0"/>
                      <w:sz w:val="21"/>
                      <w:szCs w:val="21"/>
                      <w:highlight w:val="none"/>
                      <w:u w:val="none"/>
                    </w:rPr>
                    <w:t>1.8</w:t>
                  </w:r>
                </w:p>
              </w:tc>
              <w:tc>
                <w:tcPr>
                  <w:tcW w:w="491" w:type="pct"/>
                  <w:tcBorders>
                    <w:tl2br w:val="nil"/>
                    <w:tr2bl w:val="nil"/>
                  </w:tcBorders>
                  <w:vAlign w:val="center"/>
                </w:tcPr>
                <w:p w14:paraId="5DBE64D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cs="Times New Roman"/>
                      <w:color w:val="auto"/>
                      <w:kern w:val="0"/>
                      <w:sz w:val="21"/>
                      <w:szCs w:val="21"/>
                      <w:highlight w:val="none"/>
                      <w:u w:val="none"/>
                      <w:lang w:val="en-US" w:eastAsia="zh-CN"/>
                    </w:rPr>
                    <w:t>83</w:t>
                  </w:r>
                </w:p>
              </w:tc>
              <w:tc>
                <w:tcPr>
                  <w:tcW w:w="388" w:type="pct"/>
                  <w:vMerge w:val="continue"/>
                  <w:tcBorders>
                    <w:tl2br w:val="nil"/>
                    <w:tr2bl w:val="nil"/>
                  </w:tcBorders>
                  <w:vAlign w:val="center"/>
                </w:tcPr>
                <w:p w14:paraId="4A826F61">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rPr>
                  </w:pPr>
                </w:p>
              </w:tc>
              <w:tc>
                <w:tcPr>
                  <w:tcW w:w="487" w:type="pct"/>
                  <w:tcBorders>
                    <w:tl2br w:val="nil"/>
                    <w:tr2bl w:val="nil"/>
                  </w:tcBorders>
                  <w:vAlign w:val="center"/>
                </w:tcPr>
                <w:p w14:paraId="1C4C945F">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cs="Times New Roman"/>
                      <w:color w:val="auto"/>
                      <w:kern w:val="0"/>
                      <w:sz w:val="21"/>
                      <w:szCs w:val="21"/>
                      <w:highlight w:val="none"/>
                      <w:u w:val="none"/>
                      <w:lang w:val="en-US" w:eastAsia="zh-CN"/>
                    </w:rPr>
                    <w:t>10</w:t>
                  </w:r>
                </w:p>
              </w:tc>
              <w:tc>
                <w:tcPr>
                  <w:tcW w:w="491" w:type="pct"/>
                  <w:tcBorders>
                    <w:tl2br w:val="nil"/>
                    <w:tr2bl w:val="nil"/>
                  </w:tcBorders>
                  <w:vAlign w:val="center"/>
                </w:tcPr>
                <w:p w14:paraId="15C35FDA">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65</w:t>
                  </w:r>
                </w:p>
              </w:tc>
              <w:tc>
                <w:tcPr>
                  <w:tcW w:w="261" w:type="pct"/>
                  <w:vMerge w:val="continue"/>
                  <w:tcBorders>
                    <w:tl2br w:val="nil"/>
                    <w:tr2bl w:val="nil"/>
                  </w:tcBorders>
                  <w:vAlign w:val="center"/>
                </w:tcPr>
                <w:p w14:paraId="75791BF5">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p>
              </w:tc>
              <w:tc>
                <w:tcPr>
                  <w:tcW w:w="491" w:type="pct"/>
                  <w:tcBorders>
                    <w:tl2br w:val="nil"/>
                    <w:tr2bl w:val="nil"/>
                  </w:tcBorders>
                  <w:vAlign w:val="center"/>
                </w:tcPr>
                <w:p w14:paraId="364888D9">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20</w:t>
                  </w:r>
                </w:p>
              </w:tc>
              <w:tc>
                <w:tcPr>
                  <w:tcW w:w="504" w:type="pct"/>
                  <w:tcBorders>
                    <w:tl2br w:val="nil"/>
                    <w:tr2bl w:val="nil"/>
                  </w:tcBorders>
                  <w:vAlign w:val="center"/>
                </w:tcPr>
                <w:p w14:paraId="6BAF57C5">
                  <w:pPr>
                    <w:pStyle w:val="51"/>
                    <w:keepNext w:val="0"/>
                    <w:keepLines w:val="0"/>
                    <w:pageBreakBefore w:val="0"/>
                    <w:widowControl/>
                    <w:kinsoku w:val="0"/>
                    <w:wordWrap/>
                    <w:overflowPunct/>
                    <w:topLinePunct w:val="0"/>
                    <w:autoSpaceDE w:val="0"/>
                    <w:autoSpaceDN w:val="0"/>
                    <w:bidi w:val="0"/>
                    <w:adjustRightInd w:val="0"/>
                    <w:snapToGrid w:val="0"/>
                    <w:spacing w:line="24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45</w:t>
                  </w:r>
                </w:p>
              </w:tc>
            </w:tr>
            <w:tr w14:paraId="2CA6A9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13" w:type="dxa"/>
                  <w:left w:w="113" w:type="dxa"/>
                  <w:bottom w:w="113" w:type="dxa"/>
                  <w:right w:w="113" w:type="dxa"/>
                </w:tblCellMar>
              </w:tblPrEx>
              <w:trPr>
                <w:trHeight w:val="90" w:hRule="atLeast"/>
              </w:trPr>
              <w:tc>
                <w:tcPr>
                  <w:tcW w:w="5000" w:type="pct"/>
                  <w:gridSpan w:val="14"/>
                  <w:tcBorders>
                    <w:tl2br w:val="nil"/>
                    <w:tr2bl w:val="nil"/>
                  </w:tcBorders>
                  <w:vAlign w:val="center"/>
                </w:tcPr>
                <w:p w14:paraId="4210E291">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color w:val="auto"/>
                      <w:szCs w:val="21"/>
                      <w:highlight w:val="none"/>
                      <w:u w:val="none"/>
                    </w:rPr>
                  </w:pPr>
                  <w:r>
                    <w:rPr>
                      <w:rFonts w:hint="default"/>
                      <w:color w:val="auto"/>
                      <w:szCs w:val="21"/>
                      <w:highlight w:val="none"/>
                      <w:u w:val="none"/>
                    </w:rPr>
                    <w:t>说明：1、声源源强均考虑设备台数叠加；</w:t>
                  </w:r>
                </w:p>
                <w:p w14:paraId="7E1643F0">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color w:val="auto"/>
                      <w:szCs w:val="21"/>
                      <w:highlight w:val="none"/>
                      <w:u w:val="none"/>
                    </w:rPr>
                  </w:pPr>
                  <w:r>
                    <w:rPr>
                      <w:rFonts w:hint="default"/>
                      <w:color w:val="auto"/>
                      <w:szCs w:val="21"/>
                      <w:highlight w:val="none"/>
                      <w:u w:val="none"/>
                    </w:rPr>
                    <w:t>2、空间相对坐标以厂房</w:t>
                  </w:r>
                  <w:r>
                    <w:rPr>
                      <w:rFonts w:hint="eastAsia"/>
                      <w:color w:val="auto"/>
                      <w:szCs w:val="21"/>
                      <w:highlight w:val="none"/>
                      <w:u w:val="none"/>
                      <w:lang w:val="en-US" w:eastAsia="zh-CN"/>
                    </w:rPr>
                    <w:t>中心点</w:t>
                  </w:r>
                  <w:r>
                    <w:rPr>
                      <w:rFonts w:hint="default"/>
                      <w:color w:val="auto"/>
                      <w:szCs w:val="21"/>
                      <w:highlight w:val="none"/>
                      <w:u w:val="none"/>
                    </w:rPr>
                    <w:t>为原点；</w:t>
                  </w:r>
                </w:p>
                <w:p w14:paraId="699A3495">
                  <w:pPr>
                    <w:keepNext w:val="0"/>
                    <w:keepLines w:val="0"/>
                    <w:pageBreakBefore w:val="0"/>
                    <w:widowControl/>
                    <w:kinsoku/>
                    <w:wordWrap/>
                    <w:overflowPunct/>
                    <w:topLinePunct w:val="0"/>
                    <w:autoSpaceDE/>
                    <w:autoSpaceDN/>
                    <w:bidi w:val="0"/>
                    <w:adjustRightInd/>
                    <w:snapToGrid/>
                    <w:spacing w:line="240" w:lineRule="auto"/>
                    <w:jc w:val="left"/>
                    <w:textAlignment w:val="center"/>
                    <w:rPr>
                      <w:rFonts w:hint="default" w:ascii="Times New Roman" w:hAnsi="Times New Roman" w:eastAsia="宋体" w:cs="Times New Roman"/>
                      <w:color w:val="auto"/>
                      <w:kern w:val="0"/>
                      <w:sz w:val="21"/>
                      <w:szCs w:val="21"/>
                      <w:highlight w:val="none"/>
                      <w:u w:val="none"/>
                    </w:rPr>
                  </w:pPr>
                  <w:r>
                    <w:rPr>
                      <w:rFonts w:hint="default"/>
                      <w:color w:val="auto"/>
                      <w:szCs w:val="21"/>
                      <w:highlight w:val="none"/>
                      <w:u w:val="none"/>
                    </w:rPr>
                    <w:t>3、室内声源衰减为简化过程，将其视为半自由空间，即衰减量△L=L1-10lgr-8。</w:t>
                  </w:r>
                </w:p>
              </w:tc>
            </w:tr>
          </w:tbl>
          <w:p w14:paraId="1CA06C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sz w:val="24"/>
                <w:szCs w:val="24"/>
                <w:highlight w:val="none"/>
              </w:rPr>
            </w:pPr>
            <w:r>
              <w:rPr>
                <w:rFonts w:hint="default" w:ascii="Times New Roman" w:hAnsi="Times New Roman" w:eastAsia="宋体" w:cs="Times New Roman"/>
                <w:b w:val="0"/>
                <w:bCs/>
                <w:color w:val="auto"/>
                <w:sz w:val="24"/>
                <w:szCs w:val="24"/>
                <w:highlight w:val="none"/>
              </w:rPr>
              <w:t>（2）预测模式选择</w:t>
            </w:r>
          </w:p>
          <w:p w14:paraId="14C9BB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color w:val="auto"/>
                <w:sz w:val="24"/>
                <w:szCs w:val="24"/>
                <w:highlight w:val="none"/>
              </w:rPr>
            </w:pPr>
            <w:r>
              <w:rPr>
                <w:rFonts w:hint="default" w:ascii="Times New Roman" w:hAnsi="Times New Roman" w:cs="Times New Roman"/>
                <w:b w:val="0"/>
                <w:bCs/>
                <w:color w:val="auto"/>
                <w:sz w:val="24"/>
                <w:szCs w:val="24"/>
                <w:highlight w:val="none"/>
              </w:rPr>
              <w:t>本次评价主要针对生产车间设备噪声进行预测分析，在考虑室内吸声及距离衰减的情况下，对声源贡献值进行预测，预测模式如下：</w:t>
            </w:r>
          </w:p>
          <w:p w14:paraId="3F1DA6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b w:val="0"/>
                <w:bCs/>
                <w:color w:val="auto"/>
                <w:sz w:val="24"/>
                <w:szCs w:val="24"/>
                <w:highlight w:val="none"/>
                <w:lang w:eastAsia="zh-CN"/>
              </w:rPr>
            </w:pPr>
            <w:r>
              <w:rPr>
                <w:rFonts w:hint="eastAsia" w:ascii="Times New Roman" w:hAnsi="Times New Roman" w:cs="Times New Roman"/>
                <w:b w:val="0"/>
                <w:bCs/>
                <w:color w:val="auto"/>
                <w:sz w:val="24"/>
                <w:szCs w:val="24"/>
                <w:highlight w:val="none"/>
                <w:lang w:eastAsia="zh-CN"/>
              </w:rPr>
              <w:t>①</w:t>
            </w:r>
            <w:r>
              <w:rPr>
                <w:rFonts w:hint="default" w:ascii="Times New Roman" w:hAnsi="Times New Roman" w:cs="Times New Roman"/>
                <w:b w:val="0"/>
                <w:bCs/>
                <w:color w:val="auto"/>
                <w:sz w:val="24"/>
                <w:szCs w:val="24"/>
                <w:highlight w:val="none"/>
                <w:lang w:eastAsia="zh-CN"/>
              </w:rPr>
              <w:t>噪声距离衰减模式</w:t>
            </w:r>
          </w:p>
          <w:p w14:paraId="3E6D8E3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color w:val="auto"/>
                <w:highlight w:val="none"/>
              </w:rPr>
            </w:pPr>
            <w:r>
              <w:rPr>
                <w:color w:val="auto"/>
                <w:highlight w:val="none"/>
              </w:rPr>
              <w:drawing>
                <wp:inline distT="0" distB="0" distL="114300" distR="114300">
                  <wp:extent cx="2369820" cy="519430"/>
                  <wp:effectExtent l="0" t="0" r="11430" b="13970"/>
                  <wp:docPr id="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pic:cNvPicPr>
                            <a:picLocks noChangeAspect="1"/>
                          </pic:cNvPicPr>
                        </pic:nvPicPr>
                        <pic:blipFill>
                          <a:blip r:embed="rId12"/>
                          <a:stretch>
                            <a:fillRect/>
                          </a:stretch>
                        </pic:blipFill>
                        <pic:spPr>
                          <a:xfrm>
                            <a:off x="0" y="0"/>
                            <a:ext cx="2369820" cy="519430"/>
                          </a:xfrm>
                          <a:prstGeom prst="rect">
                            <a:avLst/>
                          </a:prstGeom>
                          <a:noFill/>
                          <a:ln>
                            <a:noFill/>
                          </a:ln>
                        </pic:spPr>
                      </pic:pic>
                    </a:graphicData>
                  </a:graphic>
                </wp:inline>
              </w:drawing>
            </w:r>
          </w:p>
          <w:p w14:paraId="4F21B5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 w:val="0"/>
                <w:bCs/>
                <w:color w:val="auto"/>
                <w:sz w:val="24"/>
                <w:szCs w:val="24"/>
                <w:highlight w:val="none"/>
                <w:lang w:eastAsia="zh-CN"/>
              </w:rPr>
            </w:pPr>
            <w:r>
              <w:rPr>
                <w:rFonts w:hint="eastAsia" w:ascii="Times New Roman" w:hAnsi="Times New Roman" w:cs="Times New Roman"/>
                <w:b w:val="0"/>
                <w:bCs/>
                <w:color w:val="auto"/>
                <w:sz w:val="24"/>
                <w:szCs w:val="24"/>
                <w:highlight w:val="none"/>
                <w:lang w:eastAsia="zh-CN"/>
              </w:rPr>
              <w:t>式中：LA(r0)——参考位置 r0处的 A 声级，dB(A)；</w:t>
            </w:r>
          </w:p>
          <w:p w14:paraId="0F1500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 w:val="0"/>
                <w:bCs/>
                <w:color w:val="auto"/>
                <w:sz w:val="24"/>
                <w:szCs w:val="24"/>
                <w:highlight w:val="none"/>
                <w:lang w:eastAsia="zh-CN"/>
              </w:rPr>
            </w:pPr>
            <w:r>
              <w:rPr>
                <w:rFonts w:hint="eastAsia" w:ascii="Times New Roman" w:hAnsi="Times New Roman" w:cs="Times New Roman"/>
                <w:b w:val="0"/>
                <w:bCs/>
                <w:color w:val="auto"/>
                <w:sz w:val="24"/>
                <w:szCs w:val="24"/>
                <w:highlight w:val="none"/>
                <w:lang w:eastAsia="zh-CN"/>
              </w:rPr>
              <w:t>LA(r)——距离声源r处的A声级，dB(A)；</w:t>
            </w:r>
          </w:p>
          <w:p w14:paraId="3C59873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 w:val="0"/>
                <w:bCs/>
                <w:color w:val="auto"/>
                <w:sz w:val="24"/>
                <w:szCs w:val="24"/>
                <w:highlight w:val="none"/>
                <w:lang w:eastAsia="zh-CN"/>
              </w:rPr>
            </w:pPr>
            <w:r>
              <w:rPr>
                <w:rFonts w:hint="eastAsia" w:ascii="Times New Roman" w:hAnsi="Times New Roman" w:cs="Times New Roman"/>
                <w:b w:val="0"/>
                <w:bCs/>
                <w:color w:val="auto"/>
                <w:sz w:val="24"/>
                <w:szCs w:val="24"/>
                <w:highlight w:val="none"/>
                <w:lang w:eastAsia="zh-CN"/>
              </w:rPr>
              <w:t>ΔL——声屏障、遮挡物、空气吸收及地面效应引起的衰减量；</w:t>
            </w:r>
          </w:p>
          <w:p w14:paraId="14D69A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Times New Roman" w:hAnsi="Times New Roman" w:cs="Times New Roman"/>
                <w:b w:val="0"/>
                <w:bCs/>
                <w:color w:val="auto"/>
                <w:sz w:val="24"/>
                <w:szCs w:val="24"/>
                <w:highlight w:val="none"/>
                <w:lang w:eastAsia="zh-CN"/>
              </w:rPr>
            </w:pPr>
            <w:r>
              <w:rPr>
                <w:rFonts w:hint="eastAsia" w:ascii="Times New Roman" w:hAnsi="Times New Roman" w:cs="Times New Roman"/>
                <w:b w:val="0"/>
                <w:bCs/>
                <w:color w:val="auto"/>
                <w:sz w:val="24"/>
                <w:szCs w:val="24"/>
                <w:highlight w:val="none"/>
                <w:lang w:eastAsia="zh-CN"/>
              </w:rPr>
              <w:t>r0、r——参考位置及预测点距声源的距离（m）。</w:t>
            </w:r>
          </w:p>
          <w:p w14:paraId="2A004B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olor w:val="auto"/>
                <w:highlight w:val="none"/>
                <w:lang w:eastAsia="zh-CN"/>
              </w:rPr>
            </w:pPr>
            <w:r>
              <w:rPr>
                <w:rFonts w:hint="eastAsia" w:ascii="Times New Roman" w:hAnsi="Times New Roman" w:cs="Times New Roman"/>
                <w:b w:val="0"/>
                <w:bCs/>
                <w:color w:val="auto"/>
                <w:sz w:val="24"/>
                <w:szCs w:val="24"/>
                <w:highlight w:val="none"/>
                <w:lang w:eastAsia="zh-CN"/>
              </w:rPr>
              <w:t>②项目声源在预测点产生的等效声级贡献值</w:t>
            </w:r>
          </w:p>
          <w:p w14:paraId="60BA6C80">
            <w:pPr>
              <w:spacing w:line="360" w:lineRule="auto"/>
              <w:ind w:firstLine="480" w:firstLineChars="200"/>
              <w:rPr>
                <w:color w:val="auto"/>
                <w:sz w:val="24"/>
                <w:highlight w:val="none"/>
              </w:rPr>
            </w:pPr>
            <w:r>
              <w:rPr>
                <w:rFonts w:hint="eastAsia" w:ascii="Times New Roman" w:hAnsi="Times New Roman" w:cs="Times New Roman"/>
                <w:b w:val="0"/>
                <w:bCs/>
                <w:color w:val="auto"/>
                <w:sz w:val="24"/>
                <w:szCs w:val="24"/>
                <w:highlight w:val="none"/>
                <w:lang w:eastAsia="zh-CN"/>
              </w:rPr>
              <w:t>项目声源在预测点产生的等效声级贡献值计算公式：</w:t>
            </w:r>
          </w:p>
          <w:p w14:paraId="1AE41CFE">
            <w:pPr>
              <w:spacing w:line="360" w:lineRule="auto"/>
              <w:ind w:firstLine="480" w:firstLineChars="200"/>
              <w:rPr>
                <w:color w:val="auto"/>
                <w:sz w:val="24"/>
                <w:highlight w:val="none"/>
              </w:rPr>
            </w:pPr>
            <w:r>
              <w:rPr>
                <w:color w:val="auto"/>
                <w:sz w:val="24"/>
                <w:highlight w:val="none"/>
              </w:rPr>
              <w:object>
                <v:shape id="_x0000_i1026" o:spt="75" type="#_x0000_t75" style="height:32.75pt;width:126.25pt;" o:ole="t" filled="f" o:preferrelative="t" stroked="f" coordsize="21600,21600">
                  <v:path/>
                  <v:fill on="f" focussize="0,0"/>
                  <v:stroke on="f" joinstyle="miter"/>
                  <v:imagedata r:id="rId14" o:title=""/>
                  <o:lock v:ext="edit" aspectratio="t"/>
                  <w10:wrap type="none"/>
                  <w10:anchorlock/>
                </v:shape>
                <o:OLEObject Type="Embed" ProgID="Equations" ShapeID="_x0000_i1026" DrawAspect="Content" ObjectID="_1468075726" r:id="rId13">
                  <o:LockedField>false</o:LockedField>
                </o:OLEObject>
              </w:object>
            </w:r>
          </w:p>
          <w:p w14:paraId="46974D45">
            <w:pPr>
              <w:spacing w:line="360" w:lineRule="auto"/>
              <w:ind w:firstLine="480" w:firstLineChars="200"/>
              <w:rPr>
                <w:color w:val="auto"/>
                <w:sz w:val="24"/>
                <w:highlight w:val="none"/>
              </w:rPr>
            </w:pPr>
            <w:r>
              <w:rPr>
                <w:color w:val="auto"/>
                <w:sz w:val="24"/>
                <w:highlight w:val="none"/>
              </w:rPr>
              <w:t>式中：</w:t>
            </w:r>
            <w:r>
              <w:rPr>
                <w:color w:val="auto"/>
                <w:sz w:val="24"/>
                <w:highlight w:val="none"/>
              </w:rPr>
              <w:object>
                <v:shape id="_x0000_i1027" o:spt="75" type="#_x0000_t75" style="height:18.7pt;width:20.55pt;" o:ole="t" filled="f" o:preferrelative="t" stroked="f" coordsize="21600,21600">
                  <v:path/>
                  <v:fill on="f" focussize="0,0"/>
                  <v:stroke on="f" joinstyle="miter"/>
                  <v:imagedata r:id="rId16" o:title=""/>
                  <o:lock v:ext="edit" aspectratio="t"/>
                  <w10:wrap type="none"/>
                  <w10:anchorlock/>
                </v:shape>
                <o:OLEObject Type="Embed" ProgID="Equations" ShapeID="_x0000_i1027" DrawAspect="Content" ObjectID="_1468075727" r:id="rId15">
                  <o:LockedField>false</o:LockedField>
                </o:OLEObject>
              </w:object>
            </w:r>
            <w:r>
              <w:rPr>
                <w:color w:val="auto"/>
                <w:sz w:val="24"/>
                <w:highlight w:val="none"/>
              </w:rPr>
              <w:t>—建设项目声源在预测点的等效声级贡献值，dB(A)；</w:t>
            </w:r>
          </w:p>
          <w:p w14:paraId="24BFFDB0">
            <w:pPr>
              <w:spacing w:line="360" w:lineRule="auto"/>
              <w:ind w:firstLine="480" w:firstLineChars="200"/>
              <w:rPr>
                <w:color w:val="auto"/>
                <w:sz w:val="24"/>
                <w:highlight w:val="none"/>
              </w:rPr>
            </w:pPr>
            <w:r>
              <w:rPr>
                <w:color w:val="auto"/>
                <w:sz w:val="24"/>
                <w:highlight w:val="none"/>
              </w:rPr>
              <w:t xml:space="preserve">      </w:t>
            </w:r>
            <w:r>
              <w:rPr>
                <w:color w:val="auto"/>
                <w:sz w:val="24"/>
                <w:highlight w:val="none"/>
              </w:rPr>
              <w:object>
                <v:shape id="_x0000_i1028" o:spt="75" type="#_x0000_t75" style="height:18.7pt;width:18.7pt;" o:ole="t" filled="f" o:preferrelative="t" stroked="f" coordsize="21600,21600">
                  <v:path/>
                  <v:fill on="f" focussize="0,0"/>
                  <v:stroke on="f" joinstyle="miter"/>
                  <v:imagedata r:id="rId18" o:title=""/>
                  <o:lock v:ext="edit" aspectratio="t"/>
                  <w10:wrap type="none"/>
                  <w10:anchorlock/>
                </v:shape>
                <o:OLEObject Type="Embed" ProgID="Equations" ShapeID="_x0000_i1028" DrawAspect="Content" ObjectID="_1468075728" r:id="rId17">
                  <o:LockedField>false</o:LockedField>
                </o:OLEObject>
              </w:object>
            </w:r>
            <w:r>
              <w:rPr>
                <w:color w:val="auto"/>
                <w:sz w:val="24"/>
                <w:highlight w:val="none"/>
              </w:rPr>
              <w:t>—</w:t>
            </w:r>
            <w:r>
              <w:rPr>
                <w:color w:val="auto"/>
                <w:sz w:val="24"/>
                <w:highlight w:val="none"/>
              </w:rPr>
              <w:object>
                <v:shape id="_x0000_i1029" o:spt="75" type="#_x0000_t75" style="height:13.1pt;width:6.55pt;" o:ole="t" filled="f" o:preferrelative="t" stroked="f" coordsize="21600,21600">
                  <v:path/>
                  <v:fill on="f" focussize="0,0"/>
                  <v:stroke on="f" joinstyle="miter"/>
                  <v:imagedata r:id="rId20" o:title=""/>
                  <o:lock v:ext="edit" aspectratio="t"/>
                  <w10:wrap type="none"/>
                  <w10:anchorlock/>
                </v:shape>
                <o:OLEObject Type="Embed" ProgID="Equations" ShapeID="_x0000_i1029" DrawAspect="Content" ObjectID="_1468075729" r:id="rId19">
                  <o:LockedField>false</o:LockedField>
                </o:OLEObject>
              </w:object>
            </w:r>
            <w:r>
              <w:rPr>
                <w:color w:val="auto"/>
                <w:sz w:val="24"/>
                <w:highlight w:val="none"/>
              </w:rPr>
              <w:t>声源在预测点产生的A声级，dB(A)；</w:t>
            </w:r>
          </w:p>
          <w:p w14:paraId="4F023770">
            <w:pPr>
              <w:spacing w:line="360" w:lineRule="auto"/>
              <w:ind w:firstLine="480" w:firstLineChars="200"/>
              <w:rPr>
                <w:color w:val="auto"/>
                <w:sz w:val="24"/>
                <w:highlight w:val="none"/>
              </w:rPr>
            </w:pPr>
            <w:r>
              <w:rPr>
                <w:color w:val="auto"/>
                <w:sz w:val="24"/>
                <w:highlight w:val="none"/>
              </w:rPr>
              <w:t xml:space="preserve">      </w:t>
            </w:r>
            <w:r>
              <w:rPr>
                <w:color w:val="auto"/>
                <w:sz w:val="24"/>
                <w:highlight w:val="none"/>
              </w:rPr>
              <w:object>
                <v:shape id="_x0000_i1030" o:spt="75" type="#_x0000_t75" style="height:13.1pt;width:10.3pt;" o:ole="t" filled="f" o:preferrelative="t" stroked="f" coordsize="21600,21600">
                  <v:path/>
                  <v:fill on="f" focussize="0,0"/>
                  <v:stroke on="f" joinstyle="miter"/>
                  <v:imagedata r:id="rId22" o:title=""/>
                  <o:lock v:ext="edit" aspectratio="t"/>
                  <w10:wrap type="none"/>
                  <w10:anchorlock/>
                </v:shape>
                <o:OLEObject Type="Embed" ProgID="Equations" ShapeID="_x0000_i1030" DrawAspect="Content" ObjectID="_1468075730" r:id="rId21">
                  <o:LockedField>false</o:LockedField>
                </o:OLEObject>
              </w:object>
            </w:r>
            <w:r>
              <w:rPr>
                <w:color w:val="auto"/>
                <w:sz w:val="24"/>
                <w:highlight w:val="none"/>
              </w:rPr>
              <w:t>—预测计算的时间段，s；</w:t>
            </w:r>
          </w:p>
          <w:p w14:paraId="1C01D895">
            <w:pPr>
              <w:spacing w:line="360" w:lineRule="auto"/>
              <w:ind w:firstLine="480" w:firstLineChars="200"/>
              <w:rPr>
                <w:color w:val="auto"/>
                <w:sz w:val="24"/>
                <w:highlight w:val="none"/>
              </w:rPr>
            </w:pPr>
            <w:r>
              <w:rPr>
                <w:color w:val="auto"/>
                <w:sz w:val="24"/>
                <w:highlight w:val="none"/>
              </w:rPr>
              <w:t xml:space="preserve">      </w:t>
            </w:r>
            <w:r>
              <w:rPr>
                <w:color w:val="auto"/>
                <w:sz w:val="24"/>
                <w:highlight w:val="none"/>
              </w:rPr>
              <w:object>
                <v:shape id="_x0000_i1031" o:spt="75" type="#_x0000_t75" style="height:18.7pt;width:8.4pt;" o:ole="t" filled="f" o:preferrelative="t" stroked="f" coordsize="21600,21600">
                  <v:path/>
                  <v:fill on="f" focussize="0,0"/>
                  <v:stroke on="f" joinstyle="miter"/>
                  <v:imagedata r:id="rId24" o:title=""/>
                  <o:lock v:ext="edit" aspectratio="t"/>
                  <w10:wrap type="none"/>
                  <w10:anchorlock/>
                </v:shape>
                <o:OLEObject Type="Embed" ProgID="Equations" ShapeID="_x0000_i1031" DrawAspect="Content" ObjectID="_1468075731" r:id="rId23">
                  <o:LockedField>false</o:LockedField>
                </o:OLEObject>
              </w:object>
            </w:r>
            <w:r>
              <w:rPr>
                <w:color w:val="auto"/>
                <w:sz w:val="24"/>
                <w:highlight w:val="none"/>
              </w:rPr>
              <w:t>—</w:t>
            </w:r>
            <w:r>
              <w:rPr>
                <w:color w:val="auto"/>
                <w:sz w:val="24"/>
                <w:highlight w:val="none"/>
              </w:rPr>
              <w:object>
                <v:shape id="_x0000_i1032" o:spt="75" type="#_x0000_t75" style="height:13.1pt;width:6.55pt;" o:ole="t" filled="f" o:preferrelative="t" stroked="f" coordsize="21600,21600">
                  <v:path/>
                  <v:fill on="f" focussize="0,0"/>
                  <v:stroke on="f" joinstyle="miter"/>
                  <v:imagedata r:id="rId20" o:title=""/>
                  <o:lock v:ext="edit" aspectratio="t"/>
                  <w10:wrap type="none"/>
                  <w10:anchorlock/>
                </v:shape>
                <o:OLEObject Type="Embed" ProgID="Equations" ShapeID="_x0000_i1032" DrawAspect="Content" ObjectID="_1468075732" r:id="rId25">
                  <o:LockedField>false</o:LockedField>
                </o:OLEObject>
              </w:object>
            </w:r>
            <w:r>
              <w:rPr>
                <w:color w:val="auto"/>
                <w:sz w:val="24"/>
                <w:highlight w:val="none"/>
              </w:rPr>
              <w:t>声源在</w:t>
            </w:r>
            <w:r>
              <w:rPr>
                <w:color w:val="auto"/>
                <w:sz w:val="24"/>
                <w:highlight w:val="none"/>
              </w:rPr>
              <w:object>
                <v:shape id="_x0000_i1033" o:spt="75" type="#_x0000_t75" style="height:13.1pt;width:10.3pt;" o:ole="t" filled="f" o:preferrelative="t" stroked="f" coordsize="21600,21600">
                  <v:path/>
                  <v:fill on="f" focussize="0,0"/>
                  <v:stroke on="f" joinstyle="miter"/>
                  <v:imagedata r:id="rId22" o:title=""/>
                  <o:lock v:ext="edit" aspectratio="t"/>
                  <w10:wrap type="none"/>
                  <w10:anchorlock/>
                </v:shape>
                <o:OLEObject Type="Embed" ProgID="Equations" ShapeID="_x0000_i1033" DrawAspect="Content" ObjectID="_1468075733" r:id="rId26">
                  <o:LockedField>false</o:LockedField>
                </o:OLEObject>
              </w:object>
            </w:r>
            <w:r>
              <w:rPr>
                <w:color w:val="auto"/>
                <w:sz w:val="24"/>
                <w:highlight w:val="none"/>
              </w:rPr>
              <w:t>时段内的运行时间，s。</w:t>
            </w:r>
          </w:p>
          <w:p w14:paraId="011AA478">
            <w:pPr>
              <w:spacing w:line="360" w:lineRule="auto"/>
              <w:ind w:firstLine="480" w:firstLineChars="200"/>
              <w:rPr>
                <w:color w:val="auto"/>
                <w:sz w:val="24"/>
                <w:highlight w:val="none"/>
              </w:rPr>
            </w:pPr>
            <w:r>
              <w:rPr>
                <w:rFonts w:hint="eastAsia"/>
                <w:color w:val="auto"/>
                <w:sz w:val="24"/>
                <w:highlight w:val="none"/>
                <w:lang w:eastAsia="zh-CN"/>
              </w:rPr>
              <w:t>③</w:t>
            </w:r>
            <w:r>
              <w:rPr>
                <w:color w:val="auto"/>
                <w:sz w:val="24"/>
                <w:highlight w:val="none"/>
              </w:rPr>
              <w:t>预测点的预测等效声级（Leq）</w:t>
            </w:r>
          </w:p>
          <w:p w14:paraId="1A2091B1">
            <w:pPr>
              <w:spacing w:line="360" w:lineRule="auto"/>
              <w:ind w:firstLine="480" w:firstLineChars="200"/>
              <w:rPr>
                <w:color w:val="auto"/>
                <w:sz w:val="24"/>
                <w:highlight w:val="none"/>
              </w:rPr>
            </w:pPr>
            <w:r>
              <w:rPr>
                <w:color w:val="auto"/>
                <w:sz w:val="24"/>
                <w:highlight w:val="none"/>
              </w:rPr>
              <w:object>
                <v:shape id="_x0000_i1034" o:spt="75" type="#_x0000_t75" style="height:20.55pt;width:171.1pt;" o:ole="t" filled="f" o:preferrelative="t" stroked="f" coordsize="21600,21600">
                  <v:path/>
                  <v:fill on="f" focussize="0,0"/>
                  <v:stroke on="f" joinstyle="miter"/>
                  <v:imagedata r:id="rId28" o:title=""/>
                  <o:lock v:ext="edit" aspectratio="t"/>
                  <w10:wrap type="none"/>
                  <w10:anchorlock/>
                </v:shape>
                <o:OLEObject Type="Embed" ProgID="Equations" ShapeID="_x0000_i1034" DrawAspect="Content" ObjectID="_1468075734" r:id="rId27">
                  <o:LockedField>false</o:LockedField>
                </o:OLEObject>
              </w:object>
            </w:r>
          </w:p>
          <w:p w14:paraId="7D4B6D77">
            <w:pPr>
              <w:spacing w:line="360" w:lineRule="auto"/>
              <w:ind w:firstLine="480" w:firstLineChars="200"/>
              <w:rPr>
                <w:color w:val="auto"/>
                <w:sz w:val="24"/>
                <w:highlight w:val="none"/>
              </w:rPr>
            </w:pPr>
            <w:r>
              <w:rPr>
                <w:color w:val="auto"/>
                <w:sz w:val="24"/>
                <w:highlight w:val="none"/>
              </w:rPr>
              <w:t>式中：</w:t>
            </w:r>
            <w:r>
              <w:rPr>
                <w:color w:val="auto"/>
                <w:sz w:val="24"/>
                <w:highlight w:val="none"/>
              </w:rPr>
              <w:object>
                <v:shape id="_x0000_i1035" o:spt="75" type="#_x0000_t75" style="height:18.7pt;width:20.55pt;" o:ole="t" filled="f" o:preferrelative="t" stroked="f" coordsize="21600,21600">
                  <v:path/>
                  <v:fill on="f" focussize="0,0"/>
                  <v:stroke on="f" joinstyle="miter"/>
                  <v:imagedata r:id="rId16" o:title=""/>
                  <o:lock v:ext="edit" aspectratio="t"/>
                  <w10:wrap type="none"/>
                  <w10:anchorlock/>
                </v:shape>
                <o:OLEObject Type="Embed" ProgID="Equations" ShapeID="_x0000_i1035" DrawAspect="Content" ObjectID="_1468075735" r:id="rId29">
                  <o:LockedField>false</o:LockedField>
                </o:OLEObject>
              </w:object>
            </w:r>
            <w:r>
              <w:rPr>
                <w:color w:val="auto"/>
                <w:sz w:val="24"/>
                <w:highlight w:val="none"/>
              </w:rPr>
              <w:t>—建设项目声源在预测点的等效声级贡献值，dB(A)；</w:t>
            </w:r>
          </w:p>
          <w:p w14:paraId="59D4F05F">
            <w:pPr>
              <w:spacing w:line="360" w:lineRule="auto"/>
              <w:ind w:firstLine="480" w:firstLineChars="200"/>
              <w:rPr>
                <w:color w:val="auto"/>
                <w:sz w:val="24"/>
                <w:highlight w:val="none"/>
              </w:rPr>
            </w:pPr>
            <w:r>
              <w:rPr>
                <w:color w:val="auto"/>
                <w:sz w:val="24"/>
                <w:highlight w:val="none"/>
              </w:rPr>
              <w:t xml:space="preserve">      </w:t>
            </w:r>
            <w:r>
              <w:rPr>
                <w:color w:val="auto"/>
                <w:sz w:val="24"/>
                <w:highlight w:val="none"/>
              </w:rPr>
              <w:object>
                <v:shape id="_x0000_i1036" o:spt="75" type="#_x0000_t75" style="height:18.7pt;width:20.55pt;" o:ole="t" filled="f" o:preferrelative="t" stroked="f" coordsize="21600,21600">
                  <v:path/>
                  <v:fill on="f" focussize="0,0"/>
                  <v:stroke on="f" joinstyle="miter"/>
                  <v:imagedata r:id="rId31" o:title=""/>
                  <o:lock v:ext="edit" aspectratio="t"/>
                  <w10:wrap type="none"/>
                  <w10:anchorlock/>
                </v:shape>
                <o:OLEObject Type="Embed" ProgID="Equations" ShapeID="_x0000_i1036" DrawAspect="Content" ObjectID="_1468075736" r:id="rId30">
                  <o:LockedField>false</o:LockedField>
                </o:OLEObject>
              </w:object>
            </w:r>
            <w:r>
              <w:rPr>
                <w:color w:val="auto"/>
                <w:sz w:val="24"/>
                <w:highlight w:val="none"/>
              </w:rPr>
              <w:t>—预测点的背景值，dB(A)。</w:t>
            </w:r>
          </w:p>
          <w:p w14:paraId="00CDDE3A">
            <w:pPr>
              <w:pStyle w:val="157"/>
              <w:ind w:firstLine="480"/>
              <w:rPr>
                <w:rFonts w:hint="eastAsia"/>
                <w:color w:val="auto"/>
                <w:highlight w:val="none"/>
                <w:u w:val="none"/>
                <w:lang w:bidi="ar"/>
              </w:rPr>
            </w:pPr>
            <w:r>
              <w:rPr>
                <w:rFonts w:hint="eastAsia"/>
                <w:color w:val="auto"/>
                <w:highlight w:val="none"/>
                <w:u w:val="none"/>
                <w:lang w:bidi="ar"/>
              </w:rPr>
              <w:t>（3）噪声预测结果</w:t>
            </w:r>
          </w:p>
          <w:p w14:paraId="71AD18BB">
            <w:pPr>
              <w:pStyle w:val="157"/>
              <w:ind w:firstLine="480"/>
              <w:rPr>
                <w:rFonts w:hint="eastAsia"/>
                <w:color w:val="auto"/>
                <w:highlight w:val="none"/>
                <w:u w:val="none"/>
                <w:lang w:bidi="ar"/>
              </w:rPr>
            </w:pPr>
            <w:r>
              <w:rPr>
                <w:rFonts w:hint="eastAsia"/>
                <w:color w:val="auto"/>
                <w:highlight w:val="none"/>
                <w:u w:val="none"/>
                <w:lang w:bidi="ar"/>
              </w:rPr>
              <w:t>根据《环境影响评价技术导则 声环境》(HJ2.4-2021)的技术要求，预测结果见表4-1</w:t>
            </w:r>
            <w:r>
              <w:rPr>
                <w:rFonts w:hint="eastAsia"/>
                <w:color w:val="auto"/>
                <w:highlight w:val="none"/>
                <w:u w:val="none"/>
                <w:lang w:val="en-US" w:eastAsia="zh-CN" w:bidi="ar"/>
              </w:rPr>
              <w:t>3</w:t>
            </w:r>
            <w:r>
              <w:rPr>
                <w:rFonts w:hint="eastAsia"/>
                <w:color w:val="auto"/>
                <w:highlight w:val="none"/>
                <w:u w:val="none"/>
                <w:lang w:bidi="ar"/>
              </w:rPr>
              <w:t>、表4-</w:t>
            </w:r>
            <w:r>
              <w:rPr>
                <w:rFonts w:hint="eastAsia"/>
                <w:color w:val="auto"/>
                <w:highlight w:val="none"/>
                <w:u w:val="none"/>
                <w:lang w:val="en-US" w:eastAsia="zh-CN" w:bidi="ar"/>
              </w:rPr>
              <w:t>14</w:t>
            </w:r>
            <w:r>
              <w:rPr>
                <w:rFonts w:hint="eastAsia"/>
                <w:color w:val="auto"/>
                <w:highlight w:val="none"/>
                <w:u w:val="none"/>
                <w:lang w:bidi="ar"/>
              </w:rPr>
              <w:t>。</w:t>
            </w:r>
          </w:p>
          <w:p w14:paraId="08F61ACD">
            <w:pPr>
              <w:keepNext w:val="0"/>
              <w:keepLines w:val="0"/>
              <w:widowControl/>
              <w:suppressLineNumbers w:val="0"/>
              <w:jc w:val="center"/>
              <w:rPr>
                <w:rFonts w:hint="eastAsia"/>
                <w:b/>
                <w:color w:val="auto"/>
                <w:szCs w:val="21"/>
                <w:highlight w:val="none"/>
                <w:u w:val="none"/>
                <w:lang w:val="en-US" w:eastAsia="zh-CN"/>
              </w:rPr>
            </w:pPr>
            <w:r>
              <w:rPr>
                <w:b/>
                <w:color w:val="auto"/>
                <w:szCs w:val="21"/>
                <w:highlight w:val="none"/>
                <w:u w:val="none"/>
              </w:rPr>
              <w:t>表4-</w:t>
            </w:r>
            <w:r>
              <w:rPr>
                <w:rFonts w:hint="eastAsia"/>
                <w:b/>
                <w:color w:val="auto"/>
                <w:szCs w:val="21"/>
                <w:highlight w:val="none"/>
                <w:u w:val="none"/>
                <w:lang w:val="en-US" w:eastAsia="zh-CN"/>
              </w:rPr>
              <w:t>13</w:t>
            </w:r>
            <w:r>
              <w:rPr>
                <w:b/>
                <w:color w:val="auto"/>
                <w:szCs w:val="21"/>
                <w:highlight w:val="none"/>
                <w:u w:val="none"/>
              </w:rPr>
              <w:t xml:space="preserve">  </w:t>
            </w:r>
            <w:r>
              <w:rPr>
                <w:rFonts w:hint="eastAsia"/>
                <w:b/>
                <w:color w:val="auto"/>
                <w:szCs w:val="21"/>
                <w:highlight w:val="none"/>
                <w:u w:val="none"/>
                <w:lang w:val="en-US" w:eastAsia="zh-CN"/>
              </w:rPr>
              <w:t>项目运行期设备噪声至厂界的贡献值统计表（</w:t>
            </w:r>
            <w:r>
              <w:rPr>
                <w:rFonts w:hint="default"/>
                <w:b/>
                <w:color w:val="auto"/>
                <w:szCs w:val="21"/>
                <w:highlight w:val="none"/>
                <w:u w:val="none"/>
                <w:lang w:val="en-US" w:eastAsia="zh-CN"/>
              </w:rPr>
              <w:t>dB(A)</w:t>
            </w:r>
            <w:r>
              <w:rPr>
                <w:rFonts w:hint="eastAsia"/>
                <w:b/>
                <w:color w:val="auto"/>
                <w:szCs w:val="21"/>
                <w:highlight w:val="none"/>
                <w:u w:val="none"/>
                <w:lang w:val="en-US" w:eastAsia="zh-CN"/>
              </w:rPr>
              <w:t>）</w:t>
            </w:r>
          </w:p>
          <w:tbl>
            <w:tblPr>
              <w:tblStyle w:val="43"/>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2199"/>
              <w:gridCol w:w="3453"/>
            </w:tblGrid>
            <w:tr w14:paraId="787468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53" w:hRule="atLeast"/>
              </w:trPr>
              <w:tc>
                <w:tcPr>
                  <w:tcW w:w="2826" w:type="dxa"/>
                  <w:tcBorders>
                    <w:tl2br w:val="nil"/>
                    <w:tr2bl w:val="nil"/>
                  </w:tcBorders>
                  <w:vAlign w:val="center"/>
                </w:tcPr>
                <w:p w14:paraId="61C2FB2F">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编号</w:t>
                  </w:r>
                </w:p>
              </w:tc>
              <w:tc>
                <w:tcPr>
                  <w:tcW w:w="2199" w:type="dxa"/>
                  <w:tcBorders>
                    <w:tl2br w:val="nil"/>
                    <w:tr2bl w:val="nil"/>
                  </w:tcBorders>
                  <w:vAlign w:val="center"/>
                </w:tcPr>
                <w:p w14:paraId="3C14E519">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噪声源</w:t>
                  </w:r>
                </w:p>
              </w:tc>
              <w:tc>
                <w:tcPr>
                  <w:tcW w:w="3453" w:type="dxa"/>
                  <w:tcBorders>
                    <w:tl2br w:val="nil"/>
                    <w:tr2bl w:val="nil"/>
                  </w:tcBorders>
                  <w:vAlign w:val="center"/>
                </w:tcPr>
                <w:p w14:paraId="6A2629D9">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各设备至厂界最大噪声</w:t>
                  </w:r>
                  <w:r>
                    <w:rPr>
                      <w:rFonts w:hint="default" w:ascii="Times New Roman" w:hAnsi="Times New Roman" w:eastAsia="宋体" w:cs="Times New Roman"/>
                      <w:color w:val="auto"/>
                      <w:kern w:val="0"/>
                      <w:sz w:val="21"/>
                      <w:szCs w:val="21"/>
                      <w:highlight w:val="none"/>
                      <w:u w:val="none"/>
                      <w:lang w:val="en-US" w:eastAsia="zh-CN"/>
                    </w:rPr>
                    <w:t>/dB(A)</w:t>
                  </w:r>
                </w:p>
              </w:tc>
            </w:tr>
            <w:tr w14:paraId="2B45CF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826" w:type="dxa"/>
                  <w:tcBorders>
                    <w:tl2br w:val="nil"/>
                    <w:tr2bl w:val="nil"/>
                  </w:tcBorders>
                  <w:vAlign w:val="center"/>
                </w:tcPr>
                <w:p w14:paraId="76226C76">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1</w:t>
                  </w:r>
                </w:p>
              </w:tc>
              <w:tc>
                <w:tcPr>
                  <w:tcW w:w="2199" w:type="dxa"/>
                  <w:tcBorders>
                    <w:tl2br w:val="nil"/>
                    <w:tr2bl w:val="nil"/>
                  </w:tcBorders>
                  <w:vAlign w:val="center"/>
                </w:tcPr>
                <w:p w14:paraId="578413D4">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风机</w:t>
                  </w:r>
                </w:p>
              </w:tc>
              <w:tc>
                <w:tcPr>
                  <w:tcW w:w="3453" w:type="dxa"/>
                  <w:tcBorders>
                    <w:tl2br w:val="nil"/>
                    <w:tr2bl w:val="nil"/>
                  </w:tcBorders>
                  <w:vAlign w:val="center"/>
                </w:tcPr>
                <w:p w14:paraId="2F9308E3">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43.24</w:t>
                  </w:r>
                </w:p>
              </w:tc>
            </w:tr>
            <w:tr w14:paraId="4E3195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2826" w:type="dxa"/>
                  <w:tcBorders>
                    <w:tl2br w:val="nil"/>
                    <w:tr2bl w:val="nil"/>
                  </w:tcBorders>
                  <w:vAlign w:val="center"/>
                </w:tcPr>
                <w:p w14:paraId="22EA0B83">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2</w:t>
                  </w:r>
                </w:p>
              </w:tc>
              <w:tc>
                <w:tcPr>
                  <w:tcW w:w="2199" w:type="dxa"/>
                  <w:tcBorders>
                    <w:tl2br w:val="nil"/>
                    <w:tr2bl w:val="nil"/>
                  </w:tcBorders>
                  <w:vAlign w:val="center"/>
                </w:tcPr>
                <w:p w14:paraId="3138F8AA">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锅炉</w:t>
                  </w:r>
                </w:p>
              </w:tc>
              <w:tc>
                <w:tcPr>
                  <w:tcW w:w="3453" w:type="dxa"/>
                  <w:tcBorders>
                    <w:tl2br w:val="nil"/>
                    <w:tr2bl w:val="nil"/>
                  </w:tcBorders>
                  <w:vAlign w:val="center"/>
                </w:tcPr>
                <w:p w14:paraId="729D2D94">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cs="Times New Roman"/>
                      <w:color w:val="auto"/>
                      <w:kern w:val="0"/>
                      <w:sz w:val="21"/>
                      <w:szCs w:val="21"/>
                      <w:highlight w:val="none"/>
                      <w:u w:val="none"/>
                      <w:lang w:val="en-US" w:eastAsia="zh-CN"/>
                    </w:rPr>
                    <w:t>45</w:t>
                  </w:r>
                </w:p>
              </w:tc>
            </w:tr>
            <w:tr w14:paraId="76B30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trPr>
              <w:tc>
                <w:tcPr>
                  <w:tcW w:w="5025" w:type="dxa"/>
                  <w:gridSpan w:val="2"/>
                  <w:tcBorders>
                    <w:tl2br w:val="nil"/>
                    <w:tr2bl w:val="nil"/>
                  </w:tcBorders>
                  <w:vAlign w:val="center"/>
                </w:tcPr>
                <w:p w14:paraId="7F95B149">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eastAsia" w:ascii="Times New Roman" w:hAnsi="Times New Roman" w:eastAsia="宋体" w:cs="Times New Roman"/>
                      <w:color w:val="auto"/>
                      <w:kern w:val="0"/>
                      <w:sz w:val="21"/>
                      <w:szCs w:val="21"/>
                      <w:highlight w:val="none"/>
                      <w:u w:val="none"/>
                      <w:lang w:val="en-US" w:eastAsia="zh-CN"/>
                    </w:rPr>
                  </w:pPr>
                  <w:r>
                    <w:rPr>
                      <w:rFonts w:hint="eastAsia" w:ascii="Times New Roman" w:hAnsi="Times New Roman" w:eastAsia="宋体" w:cs="Times New Roman"/>
                      <w:color w:val="auto"/>
                      <w:kern w:val="0"/>
                      <w:sz w:val="21"/>
                      <w:szCs w:val="21"/>
                      <w:highlight w:val="none"/>
                      <w:u w:val="none"/>
                      <w:lang w:val="en-US" w:eastAsia="zh-CN"/>
                    </w:rPr>
                    <w:t>噪声叠加情况</w:t>
                  </w:r>
                </w:p>
              </w:tc>
              <w:tc>
                <w:tcPr>
                  <w:tcW w:w="3453" w:type="dxa"/>
                  <w:tcBorders>
                    <w:tl2br w:val="nil"/>
                    <w:tr2bl w:val="nil"/>
                  </w:tcBorders>
                  <w:vAlign w:val="center"/>
                </w:tcPr>
                <w:p w14:paraId="0A825115">
                  <w:pPr>
                    <w:pStyle w:val="51"/>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eastAsia="宋体" w:cs="Times New Roman"/>
                      <w:color w:val="auto"/>
                      <w:kern w:val="0"/>
                      <w:sz w:val="21"/>
                      <w:szCs w:val="21"/>
                      <w:highlight w:val="none"/>
                      <w:u w:val="none"/>
                      <w:lang w:val="en-US" w:eastAsia="zh-CN"/>
                    </w:rPr>
                  </w:pPr>
                  <w:r>
                    <w:rPr>
                      <w:rFonts w:hint="eastAsia" w:ascii="Times New Roman" w:cs="Times New Roman"/>
                      <w:color w:val="auto"/>
                      <w:kern w:val="0"/>
                      <w:sz w:val="21"/>
                      <w:szCs w:val="21"/>
                      <w:highlight w:val="none"/>
                      <w:u w:val="none"/>
                      <w:lang w:val="en-US" w:eastAsia="zh-CN"/>
                    </w:rPr>
                    <w:t>47.22</w:t>
                  </w:r>
                </w:p>
              </w:tc>
            </w:tr>
          </w:tbl>
          <w:p w14:paraId="091C086C">
            <w:pPr>
              <w:pStyle w:val="152"/>
              <w:ind w:firstLine="422" w:firstLineChars="200"/>
              <w:jc w:val="center"/>
              <w:rPr>
                <w:rFonts w:hint="eastAsia" w:ascii="Times New Roman" w:cs="Times New Roman"/>
                <w:b/>
                <w:bCs/>
                <w:color w:val="auto"/>
                <w:sz w:val="21"/>
                <w:szCs w:val="21"/>
                <w:highlight w:val="none"/>
              </w:rPr>
            </w:pPr>
          </w:p>
          <w:p w14:paraId="39BA6FC1">
            <w:pPr>
              <w:pStyle w:val="152"/>
              <w:ind w:firstLine="422" w:firstLineChars="200"/>
              <w:jc w:val="center"/>
              <w:rPr>
                <w:rFonts w:hint="eastAsia" w:ascii="Times New Roman" w:cs="Times New Roman"/>
                <w:b/>
                <w:bCs/>
                <w:color w:val="auto"/>
                <w:sz w:val="21"/>
                <w:szCs w:val="21"/>
                <w:highlight w:val="none"/>
              </w:rPr>
            </w:pPr>
          </w:p>
          <w:p w14:paraId="70F9DBA2">
            <w:pPr>
              <w:pStyle w:val="152"/>
              <w:ind w:firstLine="422" w:firstLineChars="200"/>
              <w:jc w:val="center"/>
              <w:rPr>
                <w:rFonts w:hint="eastAsia" w:ascii="Times New Roman" w:cs="Times New Roman"/>
                <w:b/>
                <w:bCs/>
                <w:color w:val="auto"/>
                <w:sz w:val="21"/>
                <w:szCs w:val="21"/>
                <w:highlight w:val="none"/>
              </w:rPr>
            </w:pPr>
          </w:p>
          <w:p w14:paraId="254ECAD4">
            <w:pPr>
              <w:pStyle w:val="152"/>
              <w:ind w:firstLine="422" w:firstLineChars="200"/>
              <w:jc w:val="center"/>
              <w:rPr>
                <w:rFonts w:hint="eastAsia" w:ascii="Times New Roman" w:cs="Times New Roman"/>
                <w:b/>
                <w:bCs/>
                <w:color w:val="auto"/>
                <w:sz w:val="21"/>
                <w:szCs w:val="21"/>
                <w:highlight w:val="none"/>
              </w:rPr>
            </w:pPr>
          </w:p>
          <w:p w14:paraId="13A96D95">
            <w:pPr>
              <w:pStyle w:val="152"/>
              <w:ind w:firstLine="422" w:firstLineChars="200"/>
              <w:jc w:val="center"/>
              <w:rPr>
                <w:rFonts w:ascii="Times New Roman" w:cs="Times New Roman"/>
                <w:b/>
                <w:bCs/>
                <w:color w:val="auto"/>
                <w:sz w:val="21"/>
                <w:szCs w:val="21"/>
                <w:highlight w:val="none"/>
              </w:rPr>
            </w:pPr>
            <w:r>
              <w:rPr>
                <w:rFonts w:hint="eastAsia" w:ascii="Times New Roman" w:cs="Times New Roman"/>
                <w:b/>
                <w:bCs/>
                <w:color w:val="auto"/>
                <w:sz w:val="21"/>
                <w:szCs w:val="21"/>
                <w:highlight w:val="none"/>
              </w:rPr>
              <w:t>表</w:t>
            </w:r>
            <w:r>
              <w:rPr>
                <w:rFonts w:hint="eastAsia" w:ascii="Times New Roman" w:cs="Times New Roman"/>
                <w:b/>
                <w:bCs/>
                <w:color w:val="auto"/>
                <w:sz w:val="21"/>
                <w:szCs w:val="21"/>
                <w:highlight w:val="none"/>
                <w:lang w:val="en-US" w:eastAsia="zh-CN"/>
              </w:rPr>
              <w:t>4</w:t>
            </w:r>
            <w:r>
              <w:rPr>
                <w:rFonts w:hint="eastAsia" w:ascii="Times New Roman" w:cs="Times New Roman"/>
                <w:b/>
                <w:bCs/>
                <w:color w:val="auto"/>
                <w:sz w:val="21"/>
                <w:szCs w:val="21"/>
                <w:highlight w:val="none"/>
              </w:rPr>
              <w:t>-</w:t>
            </w:r>
            <w:r>
              <w:rPr>
                <w:rFonts w:hint="eastAsia" w:ascii="Times New Roman" w:cs="Times New Roman"/>
                <w:b/>
                <w:bCs/>
                <w:color w:val="auto"/>
                <w:sz w:val="21"/>
                <w:szCs w:val="21"/>
                <w:highlight w:val="none"/>
                <w:lang w:val="en-US" w:eastAsia="zh-CN"/>
              </w:rPr>
              <w:t>14</w:t>
            </w:r>
            <w:r>
              <w:rPr>
                <w:rFonts w:hint="eastAsia" w:ascii="Times New Roman" w:cs="Times New Roman"/>
                <w:b/>
                <w:bCs/>
                <w:color w:val="auto"/>
                <w:sz w:val="21"/>
                <w:szCs w:val="21"/>
                <w:highlight w:val="none"/>
              </w:rPr>
              <w:t xml:space="preserve">  评价区域环境噪声预测结果  等效声级Leq：dB（A）</w:t>
            </w:r>
          </w:p>
          <w:tbl>
            <w:tblPr>
              <w:tblStyle w:val="43"/>
              <w:tblW w:w="5000"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9"/>
              <w:gridCol w:w="1078"/>
              <w:gridCol w:w="1416"/>
              <w:gridCol w:w="913"/>
              <w:gridCol w:w="1304"/>
              <w:gridCol w:w="885"/>
              <w:gridCol w:w="1232"/>
              <w:gridCol w:w="1232"/>
            </w:tblGrid>
            <w:tr w14:paraId="70763A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49" w:type="pct"/>
                  <w:gridSpan w:val="2"/>
                  <w:tcBorders>
                    <w:tl2br w:val="nil"/>
                    <w:tr2bl w:val="nil"/>
                  </w:tcBorders>
                  <w:vAlign w:val="center"/>
                </w:tcPr>
                <w:p w14:paraId="061A3AB2">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预测点及时段</w:t>
                  </w:r>
                </w:p>
              </w:tc>
              <w:tc>
                <w:tcPr>
                  <w:tcW w:w="821" w:type="pct"/>
                  <w:tcBorders>
                    <w:tl2br w:val="nil"/>
                    <w:tr2bl w:val="nil"/>
                  </w:tcBorders>
                  <w:vAlign w:val="center"/>
                </w:tcPr>
                <w:p w14:paraId="344418A1">
                  <w:pPr>
                    <w:pStyle w:val="152"/>
                    <w:keepNext w:val="0"/>
                    <w:keepLines w:val="0"/>
                    <w:pageBreakBefore w:val="0"/>
                    <w:kinsoku/>
                    <w:wordWrap/>
                    <w:overflowPunct/>
                    <w:topLinePunct w:val="0"/>
                    <w:bidi w:val="0"/>
                    <w:spacing w:line="360" w:lineRule="exact"/>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厂房与预测点距离(m)</w:t>
                  </w:r>
                </w:p>
              </w:tc>
              <w:tc>
                <w:tcPr>
                  <w:tcW w:w="529" w:type="pct"/>
                  <w:tcBorders>
                    <w:tl2br w:val="nil"/>
                    <w:tr2bl w:val="nil"/>
                  </w:tcBorders>
                  <w:vAlign w:val="center"/>
                </w:tcPr>
                <w:p w14:paraId="56DFAEA4">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贡献值</w:t>
                  </w:r>
                </w:p>
              </w:tc>
              <w:tc>
                <w:tcPr>
                  <w:tcW w:w="756" w:type="pct"/>
                  <w:tcBorders>
                    <w:tl2br w:val="nil"/>
                    <w:tr2bl w:val="nil"/>
                  </w:tcBorders>
                  <w:vAlign w:val="center"/>
                </w:tcPr>
                <w:p w14:paraId="66CB912F">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厂界昼间背景值/dB(A)</w:t>
                  </w:r>
                </w:p>
              </w:tc>
              <w:tc>
                <w:tcPr>
                  <w:tcW w:w="513" w:type="pct"/>
                  <w:tcBorders>
                    <w:tl2br w:val="nil"/>
                    <w:tr2bl w:val="nil"/>
                  </w:tcBorders>
                  <w:vAlign w:val="center"/>
                </w:tcPr>
                <w:p w14:paraId="00263BFB">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叠加值</w:t>
                  </w:r>
                </w:p>
              </w:tc>
              <w:tc>
                <w:tcPr>
                  <w:tcW w:w="714" w:type="pct"/>
                  <w:tcBorders>
                    <w:tl2br w:val="nil"/>
                    <w:tr2bl w:val="nil"/>
                  </w:tcBorders>
                  <w:vAlign w:val="center"/>
                </w:tcPr>
                <w:p w14:paraId="6FEE719D">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是否超标</w:t>
                  </w:r>
                </w:p>
              </w:tc>
              <w:tc>
                <w:tcPr>
                  <w:tcW w:w="714" w:type="pct"/>
                  <w:tcBorders>
                    <w:tl2br w:val="nil"/>
                    <w:tr2bl w:val="nil"/>
                  </w:tcBorders>
                  <w:vAlign w:val="center"/>
                </w:tcPr>
                <w:p w14:paraId="2DC7F251">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标准</w:t>
                  </w:r>
                </w:p>
              </w:tc>
            </w:tr>
            <w:tr w14:paraId="10E5DA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4" w:type="pct"/>
                  <w:vMerge w:val="restart"/>
                  <w:tcBorders>
                    <w:tl2br w:val="nil"/>
                    <w:tr2bl w:val="nil"/>
                  </w:tcBorders>
                  <w:vAlign w:val="center"/>
                </w:tcPr>
                <w:p w14:paraId="45379725">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昼间</w:t>
                  </w:r>
                </w:p>
              </w:tc>
              <w:tc>
                <w:tcPr>
                  <w:tcW w:w="624" w:type="pct"/>
                  <w:tcBorders>
                    <w:tl2br w:val="nil"/>
                    <w:tr2bl w:val="nil"/>
                  </w:tcBorders>
                  <w:vAlign w:val="center"/>
                </w:tcPr>
                <w:p w14:paraId="43CCE81B">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厂界</w:t>
                  </w:r>
                  <w:r>
                    <w:rPr>
                      <w:rFonts w:hint="eastAsia" w:ascii="Times New Roman" w:cs="Times New Roman"/>
                      <w:color w:val="auto"/>
                      <w:sz w:val="21"/>
                      <w:szCs w:val="21"/>
                      <w:highlight w:val="none"/>
                      <w:u w:val="none"/>
                    </w:rPr>
                    <w:t>东</w:t>
                  </w:r>
                </w:p>
              </w:tc>
              <w:tc>
                <w:tcPr>
                  <w:tcW w:w="821" w:type="pct"/>
                  <w:tcBorders>
                    <w:tl2br w:val="nil"/>
                    <w:tr2bl w:val="nil"/>
                  </w:tcBorders>
                  <w:vAlign w:val="center"/>
                </w:tcPr>
                <w:p w14:paraId="05C4CFD9">
                  <w:pPr>
                    <w:pStyle w:val="152"/>
                    <w:keepNext w:val="0"/>
                    <w:keepLines w:val="0"/>
                    <w:pageBreakBefore w:val="0"/>
                    <w:kinsoku/>
                    <w:wordWrap/>
                    <w:overflowPunct/>
                    <w:topLinePunct w:val="0"/>
                    <w:bidi w:val="0"/>
                    <w:spacing w:line="360" w:lineRule="exact"/>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58</w:t>
                  </w:r>
                </w:p>
              </w:tc>
              <w:tc>
                <w:tcPr>
                  <w:tcW w:w="529" w:type="pct"/>
                  <w:tcBorders>
                    <w:tl2br w:val="nil"/>
                    <w:tr2bl w:val="nil"/>
                  </w:tcBorders>
                  <w:vAlign w:val="center"/>
                </w:tcPr>
                <w:p w14:paraId="71956471">
                  <w:pPr>
                    <w:pStyle w:val="152"/>
                    <w:keepNext w:val="0"/>
                    <w:keepLines w:val="0"/>
                    <w:pageBreakBefore w:val="0"/>
                    <w:kinsoku/>
                    <w:wordWrap/>
                    <w:overflowPunct/>
                    <w:topLinePunct w:val="0"/>
                    <w:bidi w:val="0"/>
                    <w:spacing w:line="360" w:lineRule="exact"/>
                    <w:jc w:val="center"/>
                    <w:rPr>
                      <w:rFonts w:hint="default" w:ascii="Times New Roman" w:eastAsia="宋体"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11.96</w:t>
                  </w:r>
                </w:p>
              </w:tc>
              <w:tc>
                <w:tcPr>
                  <w:tcW w:w="756" w:type="pct"/>
                  <w:tcBorders>
                    <w:tl2br w:val="nil"/>
                    <w:tr2bl w:val="nil"/>
                  </w:tcBorders>
                  <w:vAlign w:val="center"/>
                </w:tcPr>
                <w:p w14:paraId="7F1EB1A8">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57</w:t>
                  </w:r>
                </w:p>
              </w:tc>
              <w:tc>
                <w:tcPr>
                  <w:tcW w:w="513" w:type="pct"/>
                  <w:tcBorders>
                    <w:tl2br w:val="nil"/>
                    <w:tr2bl w:val="nil"/>
                  </w:tcBorders>
                  <w:vAlign w:val="center"/>
                </w:tcPr>
                <w:p w14:paraId="58D1A1B8">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57</w:t>
                  </w:r>
                </w:p>
              </w:tc>
              <w:tc>
                <w:tcPr>
                  <w:tcW w:w="714" w:type="pct"/>
                  <w:tcBorders>
                    <w:tl2br w:val="nil"/>
                    <w:tr2bl w:val="nil"/>
                  </w:tcBorders>
                  <w:vAlign w:val="center"/>
                </w:tcPr>
                <w:p w14:paraId="1BA186EF">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否</w:t>
                  </w:r>
                </w:p>
              </w:tc>
              <w:tc>
                <w:tcPr>
                  <w:tcW w:w="714" w:type="pct"/>
                  <w:vMerge w:val="restart"/>
                  <w:tcBorders>
                    <w:tl2br w:val="nil"/>
                    <w:tr2bl w:val="nil"/>
                  </w:tcBorders>
                  <w:vAlign w:val="center"/>
                </w:tcPr>
                <w:p w14:paraId="06B127F8">
                  <w:pPr>
                    <w:pStyle w:val="152"/>
                    <w:keepNext w:val="0"/>
                    <w:keepLines w:val="0"/>
                    <w:pageBreakBefore w:val="0"/>
                    <w:kinsoku/>
                    <w:wordWrap/>
                    <w:overflowPunct/>
                    <w:topLinePunct w:val="0"/>
                    <w:bidi w:val="0"/>
                    <w:spacing w:line="360" w:lineRule="exact"/>
                    <w:jc w:val="center"/>
                    <w:rPr>
                      <w:rFonts w:hint="eastAsia" w:ascii="Times New Roman" w:eastAsia="宋体" w:cs="Times New Roman"/>
                      <w:color w:val="auto"/>
                      <w:sz w:val="21"/>
                      <w:szCs w:val="21"/>
                      <w:highlight w:val="none"/>
                      <w:u w:val="none"/>
                      <w:lang w:eastAsia="zh-CN"/>
                    </w:rPr>
                  </w:pPr>
                  <w:r>
                    <w:rPr>
                      <w:rFonts w:hint="eastAsia" w:ascii="Times New Roman" w:cs="Times New Roman"/>
                      <w:color w:val="auto"/>
                      <w:sz w:val="21"/>
                      <w:szCs w:val="21"/>
                      <w:highlight w:val="none"/>
                      <w:u w:val="none"/>
                    </w:rPr>
                    <w:t>6</w:t>
                  </w:r>
                  <w:r>
                    <w:rPr>
                      <w:rFonts w:hint="eastAsia" w:ascii="Times New Roman" w:cs="Times New Roman"/>
                      <w:color w:val="auto"/>
                      <w:sz w:val="21"/>
                      <w:szCs w:val="21"/>
                      <w:highlight w:val="none"/>
                      <w:u w:val="none"/>
                      <w:lang w:val="en-US" w:eastAsia="zh-CN"/>
                    </w:rPr>
                    <w:t>0</w:t>
                  </w:r>
                </w:p>
              </w:tc>
            </w:tr>
            <w:tr w14:paraId="05C46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4" w:type="pct"/>
                  <w:vMerge w:val="continue"/>
                  <w:tcBorders>
                    <w:tl2br w:val="nil"/>
                    <w:tr2bl w:val="nil"/>
                  </w:tcBorders>
                  <w:vAlign w:val="center"/>
                </w:tcPr>
                <w:p w14:paraId="3E1C2C72">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c>
                <w:tcPr>
                  <w:tcW w:w="624" w:type="pct"/>
                  <w:tcBorders>
                    <w:tl2br w:val="nil"/>
                    <w:tr2bl w:val="nil"/>
                  </w:tcBorders>
                  <w:vAlign w:val="center"/>
                </w:tcPr>
                <w:p w14:paraId="3580BAAB">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厂界</w:t>
                  </w:r>
                  <w:r>
                    <w:rPr>
                      <w:rFonts w:hint="eastAsia" w:ascii="Times New Roman" w:cs="Times New Roman"/>
                      <w:color w:val="auto"/>
                      <w:sz w:val="21"/>
                      <w:szCs w:val="21"/>
                      <w:highlight w:val="none"/>
                      <w:u w:val="none"/>
                    </w:rPr>
                    <w:t>南</w:t>
                  </w:r>
                </w:p>
              </w:tc>
              <w:tc>
                <w:tcPr>
                  <w:tcW w:w="821" w:type="pct"/>
                  <w:tcBorders>
                    <w:tl2br w:val="nil"/>
                    <w:tr2bl w:val="nil"/>
                  </w:tcBorders>
                  <w:vAlign w:val="center"/>
                </w:tcPr>
                <w:p w14:paraId="7921E3F3">
                  <w:pPr>
                    <w:pStyle w:val="152"/>
                    <w:keepNext w:val="0"/>
                    <w:keepLines w:val="0"/>
                    <w:pageBreakBefore w:val="0"/>
                    <w:kinsoku/>
                    <w:wordWrap/>
                    <w:overflowPunct/>
                    <w:topLinePunct w:val="0"/>
                    <w:bidi w:val="0"/>
                    <w:spacing w:line="360" w:lineRule="exact"/>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9</w:t>
                  </w:r>
                </w:p>
              </w:tc>
              <w:tc>
                <w:tcPr>
                  <w:tcW w:w="529" w:type="pct"/>
                  <w:tcBorders>
                    <w:tl2br w:val="nil"/>
                    <w:tr2bl w:val="nil"/>
                  </w:tcBorders>
                  <w:vAlign w:val="center"/>
                </w:tcPr>
                <w:p w14:paraId="52745405">
                  <w:pPr>
                    <w:pStyle w:val="152"/>
                    <w:keepNext w:val="0"/>
                    <w:keepLines w:val="0"/>
                    <w:pageBreakBefore w:val="0"/>
                    <w:kinsoku/>
                    <w:wordWrap/>
                    <w:overflowPunct/>
                    <w:topLinePunct w:val="0"/>
                    <w:bidi w:val="0"/>
                    <w:spacing w:line="360" w:lineRule="exact"/>
                    <w:jc w:val="center"/>
                    <w:rPr>
                      <w:rFonts w:hint="default" w:ascii="Times New Roman" w:eastAsia="宋体"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28.14</w:t>
                  </w:r>
                </w:p>
              </w:tc>
              <w:tc>
                <w:tcPr>
                  <w:tcW w:w="756" w:type="pct"/>
                  <w:tcBorders>
                    <w:tl2br w:val="nil"/>
                    <w:tr2bl w:val="nil"/>
                  </w:tcBorders>
                  <w:vAlign w:val="center"/>
                </w:tcPr>
                <w:p w14:paraId="6A568D9D">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58</w:t>
                  </w:r>
                </w:p>
              </w:tc>
              <w:tc>
                <w:tcPr>
                  <w:tcW w:w="513" w:type="pct"/>
                  <w:tcBorders>
                    <w:tl2br w:val="nil"/>
                    <w:tr2bl w:val="nil"/>
                  </w:tcBorders>
                  <w:vAlign w:val="center"/>
                </w:tcPr>
                <w:p w14:paraId="2A8CC394">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58</w:t>
                  </w:r>
                </w:p>
              </w:tc>
              <w:tc>
                <w:tcPr>
                  <w:tcW w:w="714" w:type="pct"/>
                  <w:tcBorders>
                    <w:tl2br w:val="nil"/>
                    <w:tr2bl w:val="nil"/>
                  </w:tcBorders>
                  <w:vAlign w:val="center"/>
                </w:tcPr>
                <w:p w14:paraId="269C376E">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否</w:t>
                  </w:r>
                </w:p>
              </w:tc>
              <w:tc>
                <w:tcPr>
                  <w:tcW w:w="714" w:type="pct"/>
                  <w:vMerge w:val="continue"/>
                  <w:tcBorders>
                    <w:tl2br w:val="nil"/>
                    <w:tr2bl w:val="nil"/>
                  </w:tcBorders>
                  <w:vAlign w:val="center"/>
                </w:tcPr>
                <w:p w14:paraId="54A21550">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r>
            <w:tr w14:paraId="00375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trPr>
              <w:tc>
                <w:tcPr>
                  <w:tcW w:w="324" w:type="pct"/>
                  <w:vMerge w:val="continue"/>
                  <w:tcBorders>
                    <w:tl2br w:val="nil"/>
                    <w:tr2bl w:val="nil"/>
                  </w:tcBorders>
                  <w:vAlign w:val="center"/>
                </w:tcPr>
                <w:p w14:paraId="66DFEBDE">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c>
                <w:tcPr>
                  <w:tcW w:w="624" w:type="pct"/>
                  <w:tcBorders>
                    <w:tl2br w:val="nil"/>
                    <w:tr2bl w:val="nil"/>
                  </w:tcBorders>
                  <w:vAlign w:val="center"/>
                </w:tcPr>
                <w:p w14:paraId="647E4600">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厂界</w:t>
                  </w:r>
                  <w:r>
                    <w:rPr>
                      <w:rFonts w:hint="eastAsia" w:ascii="Times New Roman" w:cs="Times New Roman"/>
                      <w:color w:val="auto"/>
                      <w:sz w:val="21"/>
                      <w:szCs w:val="21"/>
                      <w:highlight w:val="none"/>
                      <w:u w:val="none"/>
                    </w:rPr>
                    <w:t>西</w:t>
                  </w:r>
                </w:p>
              </w:tc>
              <w:tc>
                <w:tcPr>
                  <w:tcW w:w="821" w:type="pct"/>
                  <w:tcBorders>
                    <w:tl2br w:val="nil"/>
                    <w:tr2bl w:val="nil"/>
                  </w:tcBorders>
                  <w:vAlign w:val="center"/>
                </w:tcPr>
                <w:p w14:paraId="13DC7B07">
                  <w:pPr>
                    <w:pStyle w:val="152"/>
                    <w:keepNext w:val="0"/>
                    <w:keepLines w:val="0"/>
                    <w:pageBreakBefore w:val="0"/>
                    <w:kinsoku/>
                    <w:wordWrap/>
                    <w:overflowPunct/>
                    <w:topLinePunct w:val="0"/>
                    <w:bidi w:val="0"/>
                    <w:spacing w:line="360" w:lineRule="exact"/>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20</w:t>
                  </w:r>
                </w:p>
              </w:tc>
              <w:tc>
                <w:tcPr>
                  <w:tcW w:w="529" w:type="pct"/>
                  <w:tcBorders>
                    <w:tl2br w:val="nil"/>
                    <w:tr2bl w:val="nil"/>
                  </w:tcBorders>
                  <w:vAlign w:val="center"/>
                </w:tcPr>
                <w:p w14:paraId="060CA39F">
                  <w:pPr>
                    <w:keepNext w:val="0"/>
                    <w:keepLines w:val="0"/>
                    <w:pageBreakBefore w:val="0"/>
                    <w:kinsoku/>
                    <w:wordWrap/>
                    <w:overflowPunct/>
                    <w:topLinePunct w:val="0"/>
                    <w:bidi w:val="0"/>
                    <w:snapToGrid w:val="0"/>
                    <w:spacing w:line="360" w:lineRule="exact"/>
                    <w:jc w:val="center"/>
                    <w:rPr>
                      <w:rFonts w:hint="default" w:ascii="Times New Roman" w:hAnsi="Times New Roman" w:eastAsia="宋体" w:cs="Times New Roman"/>
                      <w:color w:val="auto"/>
                      <w:kern w:val="2"/>
                      <w:sz w:val="21"/>
                      <w:szCs w:val="21"/>
                      <w:highlight w:val="none"/>
                      <w:u w:val="none"/>
                      <w:lang w:val="en-US" w:eastAsia="zh-CN" w:bidi="ar-SA"/>
                    </w:rPr>
                  </w:pPr>
                  <w:r>
                    <w:rPr>
                      <w:rFonts w:hint="eastAsia" w:cs="Times New Roman"/>
                      <w:color w:val="auto"/>
                      <w:kern w:val="2"/>
                      <w:sz w:val="21"/>
                      <w:szCs w:val="21"/>
                      <w:highlight w:val="none"/>
                      <w:u w:val="none"/>
                      <w:lang w:val="en-US" w:eastAsia="zh-CN" w:bidi="ar-SA"/>
                    </w:rPr>
                    <w:t>21.20</w:t>
                  </w:r>
                </w:p>
              </w:tc>
              <w:tc>
                <w:tcPr>
                  <w:tcW w:w="756" w:type="pct"/>
                  <w:tcBorders>
                    <w:tl2br w:val="nil"/>
                    <w:tr2bl w:val="nil"/>
                  </w:tcBorders>
                  <w:vAlign w:val="center"/>
                </w:tcPr>
                <w:p w14:paraId="4D0C3F6C">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56</w:t>
                  </w:r>
                </w:p>
              </w:tc>
              <w:tc>
                <w:tcPr>
                  <w:tcW w:w="513" w:type="pct"/>
                  <w:tcBorders>
                    <w:tl2br w:val="nil"/>
                    <w:tr2bl w:val="nil"/>
                  </w:tcBorders>
                  <w:vAlign w:val="center"/>
                </w:tcPr>
                <w:p w14:paraId="23A2CE88">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56</w:t>
                  </w:r>
                </w:p>
              </w:tc>
              <w:tc>
                <w:tcPr>
                  <w:tcW w:w="714" w:type="pct"/>
                  <w:tcBorders>
                    <w:tl2br w:val="nil"/>
                    <w:tr2bl w:val="nil"/>
                  </w:tcBorders>
                  <w:vAlign w:val="center"/>
                </w:tcPr>
                <w:p w14:paraId="550E3934">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否</w:t>
                  </w:r>
                </w:p>
              </w:tc>
              <w:tc>
                <w:tcPr>
                  <w:tcW w:w="714" w:type="pct"/>
                  <w:vMerge w:val="continue"/>
                  <w:tcBorders>
                    <w:tl2br w:val="nil"/>
                    <w:tr2bl w:val="nil"/>
                  </w:tcBorders>
                  <w:vAlign w:val="center"/>
                </w:tcPr>
                <w:p w14:paraId="788AD7B1">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r>
            <w:tr w14:paraId="1B5E60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4" w:type="pct"/>
                  <w:vMerge w:val="continue"/>
                  <w:tcBorders>
                    <w:tl2br w:val="nil"/>
                    <w:tr2bl w:val="nil"/>
                  </w:tcBorders>
                  <w:vAlign w:val="center"/>
                </w:tcPr>
                <w:p w14:paraId="5ABFBC79">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c>
                <w:tcPr>
                  <w:tcW w:w="624" w:type="pct"/>
                  <w:tcBorders>
                    <w:tl2br w:val="nil"/>
                    <w:tr2bl w:val="nil"/>
                  </w:tcBorders>
                  <w:vAlign w:val="center"/>
                </w:tcPr>
                <w:p w14:paraId="11103D21">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厂界</w:t>
                  </w:r>
                  <w:r>
                    <w:rPr>
                      <w:rFonts w:hint="eastAsia" w:ascii="Times New Roman" w:cs="Times New Roman"/>
                      <w:color w:val="auto"/>
                      <w:sz w:val="21"/>
                      <w:szCs w:val="21"/>
                      <w:highlight w:val="none"/>
                      <w:u w:val="none"/>
                    </w:rPr>
                    <w:t>北</w:t>
                  </w:r>
                </w:p>
              </w:tc>
              <w:tc>
                <w:tcPr>
                  <w:tcW w:w="821" w:type="pct"/>
                  <w:tcBorders>
                    <w:tl2br w:val="nil"/>
                    <w:tr2bl w:val="nil"/>
                  </w:tcBorders>
                  <w:vAlign w:val="center"/>
                </w:tcPr>
                <w:p w14:paraId="5DF6EE72">
                  <w:pPr>
                    <w:pStyle w:val="152"/>
                    <w:keepNext w:val="0"/>
                    <w:keepLines w:val="0"/>
                    <w:pageBreakBefore w:val="0"/>
                    <w:kinsoku/>
                    <w:wordWrap/>
                    <w:overflowPunct/>
                    <w:topLinePunct w:val="0"/>
                    <w:bidi w:val="0"/>
                    <w:spacing w:line="360" w:lineRule="exact"/>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72</w:t>
                  </w:r>
                </w:p>
              </w:tc>
              <w:tc>
                <w:tcPr>
                  <w:tcW w:w="529" w:type="pct"/>
                  <w:tcBorders>
                    <w:tl2br w:val="nil"/>
                    <w:tr2bl w:val="nil"/>
                  </w:tcBorders>
                  <w:vAlign w:val="center"/>
                </w:tcPr>
                <w:p w14:paraId="579EA68A">
                  <w:pPr>
                    <w:pStyle w:val="152"/>
                    <w:keepNext w:val="0"/>
                    <w:keepLines w:val="0"/>
                    <w:pageBreakBefore w:val="0"/>
                    <w:kinsoku/>
                    <w:wordWrap/>
                    <w:overflowPunct/>
                    <w:topLinePunct w:val="0"/>
                    <w:bidi w:val="0"/>
                    <w:spacing w:line="360" w:lineRule="exact"/>
                    <w:jc w:val="center"/>
                    <w:rPr>
                      <w:rFonts w:hint="default" w:ascii="Times New Roman" w:eastAsia="宋体"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10.08</w:t>
                  </w:r>
                </w:p>
              </w:tc>
              <w:tc>
                <w:tcPr>
                  <w:tcW w:w="756" w:type="pct"/>
                  <w:tcBorders>
                    <w:tl2br w:val="nil"/>
                    <w:tr2bl w:val="nil"/>
                  </w:tcBorders>
                  <w:vAlign w:val="center"/>
                </w:tcPr>
                <w:p w14:paraId="44A7F3BE">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54</w:t>
                  </w:r>
                </w:p>
              </w:tc>
              <w:tc>
                <w:tcPr>
                  <w:tcW w:w="513" w:type="pct"/>
                  <w:tcBorders>
                    <w:tl2br w:val="nil"/>
                    <w:tr2bl w:val="nil"/>
                  </w:tcBorders>
                  <w:vAlign w:val="center"/>
                </w:tcPr>
                <w:p w14:paraId="0C4DFEB5">
                  <w:pPr>
                    <w:keepNext w:val="0"/>
                    <w:keepLines w:val="0"/>
                    <w:pageBreakBefore w:val="0"/>
                    <w:widowControl/>
                    <w:kinsoku/>
                    <w:wordWrap/>
                    <w:overflowPunct/>
                    <w:topLinePunct w:val="0"/>
                    <w:bidi w:val="0"/>
                    <w:spacing w:line="360" w:lineRule="exact"/>
                    <w:jc w:val="center"/>
                    <w:textAlignment w:val="center"/>
                    <w:rPr>
                      <w:rFonts w:hint="default" w:ascii="Times New Roman" w:eastAsia="宋体" w:cs="Times New Roman"/>
                      <w:color w:val="auto"/>
                      <w:sz w:val="21"/>
                      <w:szCs w:val="21"/>
                      <w:highlight w:val="none"/>
                      <w:u w:val="none"/>
                      <w:lang w:val="en-US" w:eastAsia="zh-CN"/>
                    </w:rPr>
                  </w:pPr>
                  <w:r>
                    <w:rPr>
                      <w:rFonts w:hint="eastAsia" w:cs="Times New Roman"/>
                      <w:color w:val="auto"/>
                      <w:sz w:val="21"/>
                      <w:szCs w:val="21"/>
                      <w:highlight w:val="none"/>
                      <w:u w:val="none"/>
                      <w:lang w:val="en-US" w:eastAsia="zh-CN"/>
                    </w:rPr>
                    <w:t>54</w:t>
                  </w:r>
                </w:p>
              </w:tc>
              <w:tc>
                <w:tcPr>
                  <w:tcW w:w="714" w:type="pct"/>
                  <w:tcBorders>
                    <w:tl2br w:val="nil"/>
                    <w:tr2bl w:val="nil"/>
                  </w:tcBorders>
                  <w:vAlign w:val="center"/>
                </w:tcPr>
                <w:p w14:paraId="0D31F660">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r>
                    <w:rPr>
                      <w:rFonts w:hint="eastAsia" w:ascii="Times New Roman" w:cs="Times New Roman"/>
                      <w:color w:val="auto"/>
                      <w:sz w:val="21"/>
                      <w:szCs w:val="21"/>
                      <w:highlight w:val="none"/>
                      <w:u w:val="none"/>
                    </w:rPr>
                    <w:t>否</w:t>
                  </w:r>
                </w:p>
              </w:tc>
              <w:tc>
                <w:tcPr>
                  <w:tcW w:w="714" w:type="pct"/>
                  <w:vMerge w:val="continue"/>
                  <w:tcBorders>
                    <w:tl2br w:val="nil"/>
                    <w:tr2bl w:val="nil"/>
                  </w:tcBorders>
                  <w:vAlign w:val="center"/>
                </w:tcPr>
                <w:p w14:paraId="465E0C4F">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r>
            <w:tr w14:paraId="5D2724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24" w:type="pct"/>
                  <w:vMerge w:val="continue"/>
                  <w:tcBorders>
                    <w:tl2br w:val="nil"/>
                    <w:tr2bl w:val="nil"/>
                  </w:tcBorders>
                  <w:vAlign w:val="center"/>
                </w:tcPr>
                <w:p w14:paraId="10000E4C">
                  <w:pPr>
                    <w:pStyle w:val="152"/>
                    <w:keepNext w:val="0"/>
                    <w:keepLines w:val="0"/>
                    <w:pageBreakBefore w:val="0"/>
                    <w:kinsoku/>
                    <w:wordWrap/>
                    <w:overflowPunct/>
                    <w:topLinePunct w:val="0"/>
                    <w:bidi w:val="0"/>
                    <w:spacing w:line="360" w:lineRule="exact"/>
                    <w:jc w:val="center"/>
                    <w:rPr>
                      <w:rFonts w:ascii="Times New Roman" w:cs="Times New Roman"/>
                      <w:color w:val="auto"/>
                      <w:sz w:val="21"/>
                      <w:szCs w:val="21"/>
                      <w:highlight w:val="none"/>
                      <w:u w:val="none"/>
                    </w:rPr>
                  </w:pPr>
                </w:p>
              </w:tc>
              <w:tc>
                <w:tcPr>
                  <w:tcW w:w="624" w:type="pct"/>
                  <w:tcBorders>
                    <w:tl2br w:val="nil"/>
                    <w:tr2bl w:val="nil"/>
                  </w:tcBorders>
                  <w:vAlign w:val="center"/>
                </w:tcPr>
                <w:p w14:paraId="04511E0C">
                  <w:pPr>
                    <w:pStyle w:val="152"/>
                    <w:keepNext w:val="0"/>
                    <w:keepLines w:val="0"/>
                    <w:pageBreakBefore w:val="0"/>
                    <w:kinsoku/>
                    <w:wordWrap/>
                    <w:overflowPunct/>
                    <w:topLinePunct w:val="0"/>
                    <w:bidi w:val="0"/>
                    <w:spacing w:line="360" w:lineRule="exact"/>
                    <w:jc w:val="center"/>
                    <w:rPr>
                      <w:rFonts w:hint="eastAsia" w:ascii="Times New Roman" w:cs="Times New Roman"/>
                      <w:color w:val="auto"/>
                      <w:sz w:val="21"/>
                      <w:szCs w:val="21"/>
                      <w:highlight w:val="none"/>
                      <w:u w:val="none"/>
                      <w:lang w:val="en-US" w:eastAsia="zh-CN"/>
                    </w:rPr>
                  </w:pPr>
                  <w:r>
                    <w:rPr>
                      <w:rFonts w:hint="eastAsia" w:ascii="Times New Roman" w:hAnsi="Times New Roman"/>
                      <w:sz w:val="21"/>
                      <w:szCs w:val="21"/>
                      <w:u w:val="none" w:color="auto"/>
                    </w:rPr>
                    <w:t>大富村居民点</w:t>
                  </w:r>
                  <w:r>
                    <w:rPr>
                      <w:rFonts w:ascii="Times New Roman" w:hAnsi="Times New Roman"/>
                      <w:sz w:val="21"/>
                      <w:szCs w:val="21"/>
                      <w:u w:val="none" w:color="auto"/>
                    </w:rPr>
                    <w:t>1</w:t>
                  </w:r>
                </w:p>
              </w:tc>
              <w:tc>
                <w:tcPr>
                  <w:tcW w:w="821" w:type="pct"/>
                  <w:tcBorders>
                    <w:tl2br w:val="nil"/>
                    <w:tr2bl w:val="nil"/>
                  </w:tcBorders>
                  <w:vAlign w:val="center"/>
                </w:tcPr>
                <w:p w14:paraId="1C9C07A6">
                  <w:pPr>
                    <w:pStyle w:val="152"/>
                    <w:keepNext w:val="0"/>
                    <w:keepLines w:val="0"/>
                    <w:pageBreakBefore w:val="0"/>
                    <w:kinsoku/>
                    <w:wordWrap/>
                    <w:overflowPunct/>
                    <w:topLinePunct w:val="0"/>
                    <w:bidi w:val="0"/>
                    <w:spacing w:line="360" w:lineRule="exact"/>
                    <w:jc w:val="center"/>
                    <w:rPr>
                      <w:rFonts w:hint="default" w:ascii="Times New Roman" w:cs="Times New Roman"/>
                      <w:color w:val="auto"/>
                      <w:sz w:val="21"/>
                      <w:szCs w:val="21"/>
                      <w:highlight w:val="yellow"/>
                      <w:u w:val="none"/>
                      <w:lang w:val="en-US" w:eastAsia="zh-CN"/>
                    </w:rPr>
                  </w:pPr>
                  <w:r>
                    <w:rPr>
                      <w:rFonts w:hint="eastAsia" w:ascii="Times New Roman" w:cs="Times New Roman"/>
                      <w:color w:val="auto"/>
                      <w:sz w:val="21"/>
                      <w:szCs w:val="21"/>
                      <w:highlight w:val="none"/>
                      <w:u w:val="none"/>
                      <w:lang w:val="en-US" w:eastAsia="zh-CN"/>
                    </w:rPr>
                    <w:t>128</w:t>
                  </w:r>
                </w:p>
              </w:tc>
              <w:tc>
                <w:tcPr>
                  <w:tcW w:w="529" w:type="pct"/>
                  <w:tcBorders>
                    <w:tl2br w:val="nil"/>
                    <w:tr2bl w:val="nil"/>
                  </w:tcBorders>
                  <w:vAlign w:val="center"/>
                </w:tcPr>
                <w:p w14:paraId="7448652D">
                  <w:pPr>
                    <w:pStyle w:val="152"/>
                    <w:keepNext w:val="0"/>
                    <w:keepLines w:val="0"/>
                    <w:pageBreakBefore w:val="0"/>
                    <w:kinsoku/>
                    <w:wordWrap/>
                    <w:overflowPunct/>
                    <w:topLinePunct w:val="0"/>
                    <w:bidi w:val="0"/>
                    <w:spacing w:line="360" w:lineRule="exact"/>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5.08</w:t>
                  </w:r>
                </w:p>
              </w:tc>
              <w:tc>
                <w:tcPr>
                  <w:tcW w:w="756" w:type="pct"/>
                  <w:tcBorders>
                    <w:tl2br w:val="nil"/>
                    <w:tr2bl w:val="nil"/>
                  </w:tcBorders>
                  <w:vAlign w:val="center"/>
                </w:tcPr>
                <w:p w14:paraId="31215ED8">
                  <w:pPr>
                    <w:keepNext w:val="0"/>
                    <w:keepLines w:val="0"/>
                    <w:pageBreakBefore w:val="0"/>
                    <w:widowControl/>
                    <w:kinsoku/>
                    <w:wordWrap/>
                    <w:overflowPunct/>
                    <w:topLinePunct w:val="0"/>
                    <w:bidi w:val="0"/>
                    <w:spacing w:line="360" w:lineRule="exact"/>
                    <w:jc w:val="center"/>
                    <w:textAlignment w:val="center"/>
                    <w:rPr>
                      <w:rFonts w:hint="default"/>
                      <w:color w:val="auto"/>
                      <w:szCs w:val="21"/>
                      <w:highlight w:val="yellow"/>
                      <w:lang w:val="en-US" w:eastAsia="zh-CN"/>
                    </w:rPr>
                  </w:pPr>
                  <w:r>
                    <w:rPr>
                      <w:rFonts w:hint="eastAsia"/>
                      <w:color w:val="auto"/>
                      <w:szCs w:val="21"/>
                      <w:highlight w:val="none"/>
                      <w:lang w:val="en-US" w:eastAsia="zh-CN"/>
                    </w:rPr>
                    <w:t>50</w:t>
                  </w:r>
                </w:p>
              </w:tc>
              <w:tc>
                <w:tcPr>
                  <w:tcW w:w="513" w:type="pct"/>
                  <w:tcBorders>
                    <w:tl2br w:val="nil"/>
                    <w:tr2bl w:val="nil"/>
                  </w:tcBorders>
                  <w:vAlign w:val="center"/>
                </w:tcPr>
                <w:p w14:paraId="7261456F">
                  <w:pPr>
                    <w:keepNext w:val="0"/>
                    <w:keepLines w:val="0"/>
                    <w:pageBreakBefore w:val="0"/>
                    <w:widowControl/>
                    <w:kinsoku/>
                    <w:wordWrap/>
                    <w:overflowPunct/>
                    <w:topLinePunct w:val="0"/>
                    <w:bidi w:val="0"/>
                    <w:spacing w:line="360" w:lineRule="exact"/>
                    <w:jc w:val="center"/>
                    <w:textAlignment w:val="center"/>
                    <w:rPr>
                      <w:rFonts w:hint="default"/>
                      <w:color w:val="auto"/>
                      <w:szCs w:val="21"/>
                      <w:highlight w:val="none"/>
                      <w:lang w:val="en-US" w:eastAsia="zh-CN"/>
                    </w:rPr>
                  </w:pPr>
                  <w:r>
                    <w:rPr>
                      <w:rFonts w:hint="eastAsia"/>
                      <w:color w:val="auto"/>
                      <w:szCs w:val="21"/>
                      <w:highlight w:val="none"/>
                      <w:lang w:val="en-US" w:eastAsia="zh-CN"/>
                    </w:rPr>
                    <w:t>50</w:t>
                  </w:r>
                </w:p>
              </w:tc>
              <w:tc>
                <w:tcPr>
                  <w:tcW w:w="714" w:type="pct"/>
                  <w:tcBorders>
                    <w:tl2br w:val="nil"/>
                    <w:tr2bl w:val="nil"/>
                  </w:tcBorders>
                  <w:vAlign w:val="center"/>
                </w:tcPr>
                <w:p w14:paraId="6EBEB4C1">
                  <w:pPr>
                    <w:pStyle w:val="152"/>
                    <w:keepNext w:val="0"/>
                    <w:keepLines w:val="0"/>
                    <w:pageBreakBefore w:val="0"/>
                    <w:kinsoku/>
                    <w:wordWrap/>
                    <w:overflowPunct/>
                    <w:topLinePunct w:val="0"/>
                    <w:bidi w:val="0"/>
                    <w:spacing w:line="360" w:lineRule="exact"/>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否</w:t>
                  </w:r>
                </w:p>
              </w:tc>
              <w:tc>
                <w:tcPr>
                  <w:tcW w:w="714" w:type="pct"/>
                  <w:tcBorders>
                    <w:tl2br w:val="nil"/>
                    <w:tr2bl w:val="nil"/>
                  </w:tcBorders>
                  <w:vAlign w:val="center"/>
                </w:tcPr>
                <w:p w14:paraId="6942606F">
                  <w:pPr>
                    <w:pStyle w:val="152"/>
                    <w:keepNext w:val="0"/>
                    <w:keepLines w:val="0"/>
                    <w:pageBreakBefore w:val="0"/>
                    <w:kinsoku/>
                    <w:wordWrap/>
                    <w:overflowPunct/>
                    <w:topLinePunct w:val="0"/>
                    <w:bidi w:val="0"/>
                    <w:spacing w:line="360" w:lineRule="exact"/>
                    <w:jc w:val="center"/>
                    <w:rPr>
                      <w:rFonts w:hint="default" w:ascii="Times New Roman" w:eastAsia="宋体"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60</w:t>
                  </w:r>
                </w:p>
              </w:tc>
            </w:tr>
          </w:tbl>
          <w:p w14:paraId="634A1BEF">
            <w:pPr>
              <w:pStyle w:val="158"/>
              <w:keepNext w:val="0"/>
              <w:keepLines w:val="0"/>
              <w:pageBreakBefore w:val="0"/>
              <w:widowControl w:val="0"/>
              <w:kinsoku/>
              <w:wordWrap/>
              <w:overflowPunct/>
              <w:topLinePunct w:val="0"/>
              <w:autoSpaceDE/>
              <w:autoSpaceDN/>
              <w:bidi w:val="0"/>
              <w:adjustRightInd/>
              <w:snapToGrid w:val="0"/>
              <w:spacing w:line="520" w:lineRule="exact"/>
              <w:ind w:firstLine="471"/>
              <w:jc w:val="left"/>
              <w:textAlignment w:val="auto"/>
              <w:rPr>
                <w:rFonts w:eastAsia="宋体"/>
                <w:b w:val="0"/>
                <w:color w:val="auto"/>
                <w:spacing w:val="0"/>
                <w:sz w:val="24"/>
                <w:highlight w:val="none"/>
                <w:u w:val="none"/>
                <w:lang w:val="zh-CN" w:eastAsia="zh-CN"/>
              </w:rPr>
            </w:pPr>
            <w:r>
              <w:rPr>
                <w:rFonts w:hint="eastAsia"/>
                <w:b w:val="0"/>
                <w:color w:val="auto"/>
                <w:spacing w:val="0"/>
                <w:sz w:val="24"/>
                <w:highlight w:val="none"/>
                <w:u w:val="none"/>
                <w:lang w:val="en-US" w:eastAsia="zh-CN"/>
              </w:rPr>
              <w:t>由表4-14可知</w:t>
            </w:r>
            <w:r>
              <w:rPr>
                <w:b w:val="0"/>
                <w:color w:val="auto"/>
                <w:spacing w:val="0"/>
                <w:sz w:val="24"/>
                <w:highlight w:val="none"/>
                <w:u w:val="none"/>
                <w:lang w:val="zh-CN" w:eastAsia="zh-CN"/>
              </w:rPr>
              <w:t>，本次</w:t>
            </w:r>
            <w:r>
              <w:rPr>
                <w:rFonts w:hint="eastAsia"/>
                <w:b w:val="0"/>
                <w:color w:val="auto"/>
                <w:spacing w:val="0"/>
                <w:sz w:val="24"/>
                <w:highlight w:val="none"/>
                <w:u w:val="none"/>
                <w:lang w:val="zh-CN" w:eastAsia="zh-CN"/>
              </w:rPr>
              <w:t>技改</w:t>
            </w:r>
            <w:r>
              <w:rPr>
                <w:b w:val="0"/>
                <w:color w:val="auto"/>
                <w:spacing w:val="0"/>
                <w:sz w:val="24"/>
                <w:highlight w:val="none"/>
                <w:u w:val="none"/>
                <w:lang w:val="zh-CN" w:eastAsia="zh-CN"/>
              </w:rPr>
              <w:t>项目</w:t>
            </w:r>
            <w:r>
              <w:rPr>
                <w:rFonts w:hint="eastAsia"/>
                <w:b w:val="0"/>
                <w:color w:val="auto"/>
                <w:spacing w:val="0"/>
                <w:sz w:val="24"/>
                <w:highlight w:val="none"/>
                <w:u w:val="none"/>
                <w:lang w:val="en-US" w:eastAsia="zh-CN"/>
              </w:rPr>
              <w:t>噪声在厂界贡献值很低，远小于</w:t>
            </w:r>
            <w:r>
              <w:rPr>
                <w:b w:val="0"/>
                <w:color w:val="auto"/>
                <w:spacing w:val="0"/>
                <w:sz w:val="24"/>
                <w:highlight w:val="none"/>
                <w:u w:val="none"/>
                <w:lang w:val="zh-CN" w:eastAsia="zh-CN"/>
              </w:rPr>
              <w:t>《工业企业厂界环境噪声排放标准》（GB12348-2008）中</w:t>
            </w:r>
            <w:r>
              <w:rPr>
                <w:rFonts w:hint="eastAsia"/>
                <w:b w:val="0"/>
                <w:color w:val="auto"/>
                <w:spacing w:val="0"/>
                <w:sz w:val="24"/>
                <w:highlight w:val="none"/>
                <w:u w:val="none"/>
                <w:lang w:val="en-US" w:eastAsia="zh-CN"/>
              </w:rPr>
              <w:t>2</w:t>
            </w:r>
            <w:r>
              <w:rPr>
                <w:b w:val="0"/>
                <w:color w:val="auto"/>
                <w:spacing w:val="0"/>
                <w:sz w:val="24"/>
                <w:highlight w:val="none"/>
                <w:u w:val="none"/>
                <w:lang w:val="zh-CN" w:eastAsia="zh-CN"/>
              </w:rPr>
              <w:t>类标准限值的要求</w:t>
            </w:r>
            <w:r>
              <w:rPr>
                <w:rFonts w:hint="eastAsia"/>
                <w:b w:val="0"/>
                <w:color w:val="auto"/>
                <w:spacing w:val="0"/>
                <w:sz w:val="24"/>
                <w:highlight w:val="none"/>
                <w:u w:val="none"/>
                <w:lang w:val="zh-CN" w:eastAsia="zh-CN"/>
              </w:rPr>
              <w:t>，</w:t>
            </w:r>
            <w:r>
              <w:rPr>
                <w:rFonts w:hint="eastAsia"/>
                <w:b w:val="0"/>
                <w:color w:val="auto"/>
                <w:spacing w:val="0"/>
                <w:sz w:val="24"/>
                <w:highlight w:val="none"/>
                <w:u w:val="none"/>
                <w:lang w:val="en-US" w:eastAsia="zh-CN"/>
              </w:rPr>
              <w:t>结合现有工程噪声的检测报告，</w:t>
            </w:r>
            <w:r>
              <w:rPr>
                <w:b w:val="0"/>
                <w:color w:val="auto"/>
                <w:spacing w:val="0"/>
                <w:sz w:val="24"/>
                <w:highlight w:val="none"/>
                <w:u w:val="none"/>
                <w:lang w:val="zh-CN" w:eastAsia="zh-CN"/>
              </w:rPr>
              <w:t>本次</w:t>
            </w:r>
            <w:r>
              <w:rPr>
                <w:rFonts w:hint="eastAsia"/>
                <w:b w:val="0"/>
                <w:color w:val="auto"/>
                <w:spacing w:val="0"/>
                <w:sz w:val="24"/>
                <w:highlight w:val="none"/>
                <w:u w:val="none"/>
                <w:lang w:val="zh-CN" w:eastAsia="zh-CN"/>
              </w:rPr>
              <w:t>技改</w:t>
            </w:r>
            <w:r>
              <w:rPr>
                <w:b w:val="0"/>
                <w:color w:val="auto"/>
                <w:spacing w:val="0"/>
                <w:sz w:val="24"/>
                <w:highlight w:val="none"/>
                <w:u w:val="none"/>
                <w:lang w:val="zh-CN" w:eastAsia="zh-CN"/>
              </w:rPr>
              <w:t>项目在设备全部开启的情况下，采取基础减震、墙体隔声、距离衰减等措施后，</w:t>
            </w:r>
            <w:r>
              <w:rPr>
                <w:rFonts w:hint="eastAsia"/>
                <w:b w:val="0"/>
                <w:color w:val="auto"/>
                <w:spacing w:val="0"/>
                <w:sz w:val="24"/>
                <w:highlight w:val="none"/>
                <w:u w:val="none"/>
                <w:lang w:val="en-US" w:eastAsia="zh-CN"/>
              </w:rPr>
              <w:t>各</w:t>
            </w:r>
            <w:r>
              <w:rPr>
                <w:b w:val="0"/>
                <w:color w:val="auto"/>
                <w:spacing w:val="0"/>
                <w:sz w:val="24"/>
                <w:highlight w:val="none"/>
                <w:u w:val="none"/>
                <w:lang w:val="zh-CN" w:eastAsia="zh-CN"/>
              </w:rPr>
              <w:t>厂界噪声均可满足《工业企业厂界环境噪声排放标准》（GB12348-2008）中</w:t>
            </w:r>
            <w:r>
              <w:rPr>
                <w:rFonts w:hint="eastAsia"/>
                <w:b w:val="0"/>
                <w:color w:val="auto"/>
                <w:spacing w:val="0"/>
                <w:sz w:val="24"/>
                <w:highlight w:val="none"/>
                <w:u w:val="none"/>
                <w:lang w:val="en-US" w:eastAsia="zh-CN"/>
              </w:rPr>
              <w:t>2</w:t>
            </w:r>
            <w:r>
              <w:rPr>
                <w:b w:val="0"/>
                <w:color w:val="auto"/>
                <w:spacing w:val="0"/>
                <w:sz w:val="24"/>
                <w:highlight w:val="none"/>
                <w:u w:val="none"/>
                <w:lang w:val="zh-CN" w:eastAsia="zh-CN"/>
              </w:rPr>
              <w:t>类标准限</w:t>
            </w:r>
            <w:r>
              <w:rPr>
                <w:rFonts w:eastAsia="宋体"/>
                <w:b w:val="0"/>
                <w:color w:val="auto"/>
                <w:spacing w:val="0"/>
                <w:sz w:val="24"/>
                <w:highlight w:val="none"/>
                <w:u w:val="none"/>
                <w:lang w:val="zh-CN" w:eastAsia="zh-CN"/>
              </w:rPr>
              <w:t>值的要求</w:t>
            </w:r>
            <w:r>
              <w:rPr>
                <w:rFonts w:hint="eastAsia"/>
                <w:b w:val="0"/>
                <w:color w:val="auto"/>
                <w:spacing w:val="0"/>
                <w:sz w:val="24"/>
                <w:highlight w:val="none"/>
                <w:u w:val="none"/>
                <w:lang w:val="zh-CN" w:eastAsia="zh-CN"/>
              </w:rPr>
              <w:t>；</w:t>
            </w:r>
            <w:r>
              <w:rPr>
                <w:rFonts w:hint="eastAsia"/>
                <w:b w:val="0"/>
                <w:color w:val="auto"/>
                <w:spacing w:val="0"/>
                <w:sz w:val="24"/>
                <w:highlight w:val="none"/>
                <w:u w:val="none"/>
                <w:lang w:val="en-US" w:eastAsia="zh-CN"/>
              </w:rPr>
              <w:t>敏感点</w:t>
            </w:r>
            <w:r>
              <w:rPr>
                <w:rFonts w:hint="eastAsia" w:eastAsia="宋体"/>
                <w:b w:val="0"/>
                <w:color w:val="auto"/>
                <w:spacing w:val="0"/>
                <w:sz w:val="24"/>
                <w:highlight w:val="none"/>
                <w:u w:val="none"/>
                <w:lang w:val="en-US" w:eastAsia="zh-CN"/>
              </w:rPr>
              <w:t>东北面约46m的大富村居民点1</w:t>
            </w:r>
            <w:r>
              <w:rPr>
                <w:rFonts w:eastAsia="宋体"/>
                <w:b w:val="0"/>
                <w:color w:val="auto"/>
                <w:spacing w:val="0"/>
                <w:sz w:val="24"/>
                <w:highlight w:val="none"/>
                <w:u w:val="none"/>
                <w:lang w:val="zh-CN" w:eastAsia="zh-CN"/>
              </w:rPr>
              <w:t>满足《</w:t>
            </w:r>
            <w:r>
              <w:rPr>
                <w:rFonts w:hint="default" w:eastAsia="宋体"/>
                <w:b w:val="0"/>
                <w:color w:val="auto"/>
                <w:spacing w:val="0"/>
                <w:sz w:val="24"/>
                <w:highlight w:val="none"/>
                <w:u w:val="none"/>
                <w:lang w:val="zh-CN" w:eastAsia="zh-CN"/>
              </w:rPr>
              <w:t>声环境质量标准</w:t>
            </w:r>
            <w:r>
              <w:rPr>
                <w:rFonts w:eastAsia="宋体"/>
                <w:b w:val="0"/>
                <w:color w:val="auto"/>
                <w:spacing w:val="0"/>
                <w:sz w:val="24"/>
                <w:highlight w:val="none"/>
                <w:u w:val="none"/>
                <w:lang w:val="zh-CN" w:eastAsia="zh-CN"/>
              </w:rPr>
              <w:t>》（GB3096-2008）中</w:t>
            </w:r>
            <w:r>
              <w:rPr>
                <w:rFonts w:hint="eastAsia" w:eastAsia="宋体"/>
                <w:b w:val="0"/>
                <w:color w:val="auto"/>
                <w:spacing w:val="0"/>
                <w:sz w:val="24"/>
                <w:highlight w:val="none"/>
                <w:u w:val="none"/>
                <w:lang w:val="en-US" w:eastAsia="zh-CN"/>
              </w:rPr>
              <w:t>2</w:t>
            </w:r>
            <w:r>
              <w:rPr>
                <w:rFonts w:eastAsia="宋体"/>
                <w:b w:val="0"/>
                <w:color w:val="auto"/>
                <w:spacing w:val="0"/>
                <w:sz w:val="24"/>
                <w:highlight w:val="none"/>
                <w:u w:val="none"/>
                <w:lang w:val="zh-CN" w:eastAsia="zh-CN"/>
              </w:rPr>
              <w:t>类标准限值。</w:t>
            </w:r>
          </w:p>
          <w:p w14:paraId="364DFC3C">
            <w:pPr>
              <w:pStyle w:val="158"/>
              <w:keepNext w:val="0"/>
              <w:keepLines w:val="0"/>
              <w:pageBreakBefore w:val="0"/>
              <w:widowControl w:val="0"/>
              <w:kinsoku/>
              <w:wordWrap/>
              <w:overflowPunct/>
              <w:topLinePunct w:val="0"/>
              <w:autoSpaceDE/>
              <w:autoSpaceDN/>
              <w:bidi w:val="0"/>
              <w:adjustRightInd/>
              <w:snapToGrid w:val="0"/>
              <w:spacing w:line="520" w:lineRule="exact"/>
              <w:ind w:firstLine="471"/>
              <w:jc w:val="left"/>
              <w:textAlignment w:val="auto"/>
              <w:rPr>
                <w:b w:val="0"/>
                <w:color w:val="auto"/>
                <w:spacing w:val="0"/>
                <w:sz w:val="24"/>
                <w:highlight w:val="none"/>
                <w:u w:val="none"/>
                <w:lang w:val="zh-CN" w:eastAsia="zh-CN"/>
              </w:rPr>
            </w:pPr>
            <w:r>
              <w:rPr>
                <w:rFonts w:hint="eastAsia"/>
                <w:b w:val="0"/>
                <w:color w:val="auto"/>
                <w:spacing w:val="0"/>
                <w:sz w:val="24"/>
                <w:highlight w:val="none"/>
                <w:u w:val="none"/>
                <w:lang w:val="zh-CN" w:eastAsia="zh-CN"/>
              </w:rPr>
              <w:t>综上，经采取合理布局、选用低噪声设备、基础减震、密闭隔声、加强对噪声设备的维护和保养，减少因机械磨损而增加的噪声。严格实行降噪措施，避免人为原因造成的作业噪声等措施后，项目营运期噪声对周围声环境敏感点影响较小。</w:t>
            </w:r>
          </w:p>
          <w:p w14:paraId="5647B264">
            <w:pPr>
              <w:pStyle w:val="158"/>
              <w:keepNext w:val="0"/>
              <w:keepLines w:val="0"/>
              <w:pageBreakBefore w:val="0"/>
              <w:widowControl w:val="0"/>
              <w:kinsoku/>
              <w:wordWrap/>
              <w:overflowPunct/>
              <w:topLinePunct w:val="0"/>
              <w:autoSpaceDE/>
              <w:autoSpaceDN/>
              <w:bidi w:val="0"/>
              <w:adjustRightInd/>
              <w:snapToGrid w:val="0"/>
              <w:spacing w:line="520" w:lineRule="exact"/>
              <w:ind w:firstLine="471"/>
              <w:jc w:val="left"/>
              <w:textAlignment w:val="auto"/>
              <w:rPr>
                <w:b w:val="0"/>
                <w:color w:val="auto"/>
                <w:spacing w:val="0"/>
                <w:sz w:val="24"/>
                <w:highlight w:val="none"/>
                <w:u w:val="none"/>
                <w:lang w:val="zh-CN" w:eastAsia="zh-CN"/>
              </w:rPr>
            </w:pPr>
            <w:r>
              <w:rPr>
                <w:b w:val="0"/>
                <w:color w:val="auto"/>
                <w:spacing w:val="0"/>
                <w:sz w:val="24"/>
                <w:highlight w:val="none"/>
                <w:u w:val="none"/>
                <w:lang w:val="zh-CN" w:eastAsia="zh-CN"/>
              </w:rPr>
              <w:t>（4）监测要求</w:t>
            </w:r>
          </w:p>
          <w:p w14:paraId="63F71F42">
            <w:pPr>
              <w:pStyle w:val="158"/>
              <w:keepNext w:val="0"/>
              <w:keepLines w:val="0"/>
              <w:pageBreakBefore w:val="0"/>
              <w:widowControl w:val="0"/>
              <w:kinsoku/>
              <w:wordWrap/>
              <w:overflowPunct/>
              <w:topLinePunct w:val="0"/>
              <w:autoSpaceDE/>
              <w:autoSpaceDN/>
              <w:bidi w:val="0"/>
              <w:adjustRightInd/>
              <w:snapToGrid w:val="0"/>
              <w:spacing w:line="520" w:lineRule="exact"/>
              <w:ind w:firstLine="471"/>
              <w:jc w:val="left"/>
              <w:textAlignment w:val="auto"/>
              <w:rPr>
                <w:b w:val="0"/>
                <w:color w:val="auto"/>
                <w:spacing w:val="0"/>
                <w:sz w:val="24"/>
                <w:highlight w:val="none"/>
                <w:u w:val="none"/>
                <w:lang w:val="zh-CN" w:eastAsia="zh-CN"/>
              </w:rPr>
            </w:pPr>
            <w:r>
              <w:rPr>
                <w:b w:val="0"/>
                <w:color w:val="auto"/>
                <w:spacing w:val="0"/>
                <w:sz w:val="24"/>
                <w:highlight w:val="none"/>
                <w:u w:val="none"/>
                <w:lang w:val="zh-CN" w:eastAsia="zh-CN"/>
              </w:rPr>
              <w:t>根据</w:t>
            </w:r>
            <w:r>
              <w:rPr>
                <w:rFonts w:hint="eastAsia"/>
                <w:b w:val="0"/>
                <w:color w:val="auto"/>
                <w:spacing w:val="0"/>
                <w:sz w:val="24"/>
                <w:highlight w:val="none"/>
                <w:u w:val="none"/>
                <w:lang w:val="en-US" w:eastAsia="zh-CN"/>
              </w:rPr>
              <w:t>《排污许可证申请与核发技术规范 工业噪声</w:t>
            </w:r>
            <w:r>
              <w:rPr>
                <w:b w:val="0"/>
                <w:color w:val="auto"/>
                <w:spacing w:val="0"/>
                <w:sz w:val="24"/>
                <w:highlight w:val="none"/>
                <w:u w:val="none"/>
                <w:lang w:val="zh-CN" w:eastAsia="zh-CN"/>
              </w:rPr>
              <w:t>》（</w:t>
            </w:r>
            <w:r>
              <w:rPr>
                <w:rFonts w:hint="default"/>
                <w:b w:val="0"/>
                <w:color w:val="auto"/>
                <w:spacing w:val="0"/>
                <w:sz w:val="24"/>
                <w:highlight w:val="none"/>
                <w:u w:val="none"/>
                <w:lang w:val="en-US" w:eastAsia="zh-CN"/>
              </w:rPr>
              <w:t>HJ1301-2023</w:t>
            </w:r>
            <w:r>
              <w:rPr>
                <w:b w:val="0"/>
                <w:color w:val="auto"/>
                <w:spacing w:val="0"/>
                <w:sz w:val="24"/>
                <w:highlight w:val="none"/>
                <w:u w:val="none"/>
                <w:lang w:val="zh-CN" w:eastAsia="zh-CN"/>
              </w:rPr>
              <w:t>），本项目噪声监测计划见下表。</w:t>
            </w:r>
          </w:p>
          <w:p w14:paraId="02562BC7">
            <w:pPr>
              <w:jc w:val="center"/>
              <w:rPr>
                <w:b/>
                <w:color w:val="auto"/>
                <w:szCs w:val="21"/>
                <w:highlight w:val="none"/>
              </w:rPr>
            </w:pPr>
            <w:r>
              <w:rPr>
                <w:b/>
                <w:color w:val="auto"/>
                <w:szCs w:val="21"/>
                <w:highlight w:val="none"/>
              </w:rPr>
              <w:t>表4-</w:t>
            </w:r>
            <w:r>
              <w:rPr>
                <w:rFonts w:hint="eastAsia"/>
                <w:b/>
                <w:color w:val="auto"/>
                <w:szCs w:val="21"/>
                <w:highlight w:val="none"/>
                <w:lang w:val="en-US" w:eastAsia="zh-CN"/>
              </w:rPr>
              <w:t xml:space="preserve">15 </w:t>
            </w:r>
            <w:r>
              <w:rPr>
                <w:b/>
                <w:color w:val="auto"/>
                <w:szCs w:val="21"/>
                <w:highlight w:val="none"/>
              </w:rPr>
              <w:t xml:space="preserve">  营运期噪声监测计划一览表</w:t>
            </w:r>
          </w:p>
          <w:tbl>
            <w:tblPr>
              <w:tblStyle w:val="42"/>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2547"/>
              <w:gridCol w:w="1226"/>
              <w:gridCol w:w="3618"/>
            </w:tblGrid>
            <w:tr w14:paraId="6E8F93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pct"/>
                  <w:tcBorders>
                    <w:tl2br w:val="nil"/>
                    <w:tr2bl w:val="nil"/>
                  </w:tcBorders>
                  <w:vAlign w:val="center"/>
                </w:tcPr>
                <w:p w14:paraId="556B7ABE">
                  <w:pPr>
                    <w:pStyle w:val="102"/>
                    <w:adjustRightInd/>
                    <w:snapToGrid/>
                    <w:spacing w:line="240" w:lineRule="auto"/>
                    <w:rPr>
                      <w:color w:val="auto"/>
                      <w:highlight w:val="none"/>
                    </w:rPr>
                  </w:pPr>
                  <w:r>
                    <w:rPr>
                      <w:color w:val="auto"/>
                      <w:highlight w:val="none"/>
                    </w:rPr>
                    <w:t>类别</w:t>
                  </w:r>
                </w:p>
              </w:tc>
              <w:tc>
                <w:tcPr>
                  <w:tcW w:w="1477" w:type="pct"/>
                  <w:tcBorders>
                    <w:tl2br w:val="nil"/>
                    <w:tr2bl w:val="nil"/>
                  </w:tcBorders>
                  <w:vAlign w:val="center"/>
                </w:tcPr>
                <w:p w14:paraId="56F903CB">
                  <w:pPr>
                    <w:pStyle w:val="102"/>
                    <w:adjustRightInd/>
                    <w:snapToGrid/>
                    <w:spacing w:line="240" w:lineRule="auto"/>
                    <w:rPr>
                      <w:color w:val="auto"/>
                      <w:highlight w:val="none"/>
                    </w:rPr>
                  </w:pPr>
                  <w:r>
                    <w:rPr>
                      <w:color w:val="auto"/>
                      <w:highlight w:val="none"/>
                    </w:rPr>
                    <w:t>监测点位</w:t>
                  </w:r>
                </w:p>
              </w:tc>
              <w:tc>
                <w:tcPr>
                  <w:tcW w:w="711" w:type="pct"/>
                  <w:tcBorders>
                    <w:tl2br w:val="nil"/>
                    <w:tr2bl w:val="nil"/>
                  </w:tcBorders>
                  <w:vAlign w:val="center"/>
                </w:tcPr>
                <w:p w14:paraId="3160530B">
                  <w:pPr>
                    <w:pStyle w:val="102"/>
                    <w:adjustRightInd/>
                    <w:snapToGrid/>
                    <w:spacing w:line="240" w:lineRule="auto"/>
                    <w:rPr>
                      <w:color w:val="auto"/>
                      <w:highlight w:val="none"/>
                    </w:rPr>
                  </w:pPr>
                  <w:r>
                    <w:rPr>
                      <w:color w:val="auto"/>
                      <w:highlight w:val="none"/>
                    </w:rPr>
                    <w:t>监测项目</w:t>
                  </w:r>
                </w:p>
              </w:tc>
              <w:tc>
                <w:tcPr>
                  <w:tcW w:w="2098" w:type="pct"/>
                  <w:tcBorders>
                    <w:tl2br w:val="nil"/>
                    <w:tr2bl w:val="nil"/>
                  </w:tcBorders>
                  <w:vAlign w:val="center"/>
                </w:tcPr>
                <w:p w14:paraId="11DD2293">
                  <w:pPr>
                    <w:pStyle w:val="102"/>
                    <w:adjustRightInd/>
                    <w:snapToGrid/>
                    <w:spacing w:line="240" w:lineRule="auto"/>
                    <w:rPr>
                      <w:color w:val="auto"/>
                      <w:highlight w:val="none"/>
                    </w:rPr>
                  </w:pPr>
                  <w:r>
                    <w:rPr>
                      <w:color w:val="auto"/>
                      <w:highlight w:val="none"/>
                    </w:rPr>
                    <w:t>监测频次</w:t>
                  </w:r>
                </w:p>
              </w:tc>
            </w:tr>
            <w:tr w14:paraId="42A39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12" w:type="pct"/>
                  <w:tcBorders>
                    <w:tl2br w:val="nil"/>
                    <w:tr2bl w:val="nil"/>
                  </w:tcBorders>
                  <w:vAlign w:val="center"/>
                </w:tcPr>
                <w:p w14:paraId="518BA071">
                  <w:pPr>
                    <w:pStyle w:val="53"/>
                    <w:adjustRightInd/>
                    <w:snapToGrid/>
                    <w:spacing w:beforeLines="0" w:afterLines="0" w:line="240" w:lineRule="auto"/>
                    <w:ind w:left="0" w:right="0" w:firstLine="0"/>
                    <w:rPr>
                      <w:rFonts w:ascii="Times New Roman" w:eastAsia="宋体"/>
                      <w:color w:val="auto"/>
                      <w:sz w:val="21"/>
                      <w:szCs w:val="21"/>
                      <w:highlight w:val="none"/>
                    </w:rPr>
                  </w:pPr>
                  <w:r>
                    <w:rPr>
                      <w:rFonts w:ascii="Times New Roman" w:eastAsia="宋体"/>
                      <w:color w:val="auto"/>
                      <w:sz w:val="21"/>
                      <w:szCs w:val="21"/>
                      <w:highlight w:val="none"/>
                    </w:rPr>
                    <w:t>噪声</w:t>
                  </w:r>
                </w:p>
              </w:tc>
              <w:tc>
                <w:tcPr>
                  <w:tcW w:w="1477" w:type="pct"/>
                  <w:tcBorders>
                    <w:tl2br w:val="nil"/>
                    <w:tr2bl w:val="nil"/>
                  </w:tcBorders>
                  <w:vAlign w:val="center"/>
                </w:tcPr>
                <w:p w14:paraId="63516BCB">
                  <w:pPr>
                    <w:pStyle w:val="53"/>
                    <w:adjustRightInd/>
                    <w:snapToGrid/>
                    <w:spacing w:beforeLines="0" w:afterLines="0" w:line="240" w:lineRule="auto"/>
                    <w:ind w:left="0" w:right="0" w:firstLine="0"/>
                    <w:rPr>
                      <w:rFonts w:hint="eastAsia" w:ascii="Times New Roman" w:eastAsia="宋体"/>
                      <w:color w:val="auto"/>
                      <w:sz w:val="21"/>
                      <w:szCs w:val="21"/>
                      <w:highlight w:val="none"/>
                      <w:lang w:eastAsia="zh-CN"/>
                    </w:rPr>
                  </w:pPr>
                  <w:r>
                    <w:rPr>
                      <w:rFonts w:hint="eastAsia" w:ascii="Times New Roman" w:eastAsia="宋体"/>
                      <w:color w:val="auto"/>
                      <w:sz w:val="21"/>
                      <w:szCs w:val="21"/>
                      <w:highlight w:val="none"/>
                    </w:rPr>
                    <w:t>厂界东、南、西、北四周</w:t>
                  </w:r>
                  <w:r>
                    <w:rPr>
                      <w:rFonts w:hint="eastAsia" w:ascii="Times New Roman" w:eastAsia="宋体"/>
                      <w:color w:val="auto"/>
                      <w:sz w:val="21"/>
                      <w:szCs w:val="21"/>
                      <w:highlight w:val="none"/>
                      <w:lang w:eastAsia="zh-CN"/>
                    </w:rPr>
                    <w:t>、大富村居民点1</w:t>
                  </w:r>
                </w:p>
              </w:tc>
              <w:tc>
                <w:tcPr>
                  <w:tcW w:w="711" w:type="pct"/>
                  <w:tcBorders>
                    <w:tl2br w:val="nil"/>
                    <w:tr2bl w:val="nil"/>
                  </w:tcBorders>
                  <w:vAlign w:val="center"/>
                </w:tcPr>
                <w:p w14:paraId="37D9D40C">
                  <w:pPr>
                    <w:pStyle w:val="53"/>
                    <w:adjustRightInd/>
                    <w:snapToGrid/>
                    <w:spacing w:beforeLines="0" w:afterLines="0" w:line="240" w:lineRule="auto"/>
                    <w:ind w:left="0" w:right="0" w:firstLine="0"/>
                    <w:rPr>
                      <w:rFonts w:ascii="Times New Roman" w:eastAsia="宋体"/>
                      <w:color w:val="auto"/>
                      <w:sz w:val="21"/>
                      <w:szCs w:val="21"/>
                      <w:highlight w:val="none"/>
                    </w:rPr>
                  </w:pPr>
                  <w:r>
                    <w:rPr>
                      <w:rFonts w:hint="eastAsia" w:ascii="Times New Roman" w:eastAsia="宋体"/>
                      <w:color w:val="auto"/>
                      <w:sz w:val="21"/>
                      <w:szCs w:val="21"/>
                      <w:highlight w:val="none"/>
                    </w:rPr>
                    <w:t>LAeq</w:t>
                  </w:r>
                </w:p>
              </w:tc>
              <w:tc>
                <w:tcPr>
                  <w:tcW w:w="2098" w:type="pct"/>
                  <w:tcBorders>
                    <w:tl2br w:val="nil"/>
                    <w:tr2bl w:val="nil"/>
                  </w:tcBorders>
                  <w:vAlign w:val="center"/>
                </w:tcPr>
                <w:p w14:paraId="44CCC21F">
                  <w:pPr>
                    <w:pStyle w:val="53"/>
                    <w:adjustRightInd/>
                    <w:snapToGrid/>
                    <w:spacing w:beforeLines="0" w:afterLines="0" w:line="240" w:lineRule="auto"/>
                    <w:ind w:left="0" w:right="0" w:firstLine="0"/>
                    <w:rPr>
                      <w:rFonts w:hint="eastAsia" w:ascii="Times New Roman" w:eastAsia="宋体"/>
                      <w:color w:val="auto"/>
                      <w:sz w:val="21"/>
                      <w:szCs w:val="21"/>
                      <w:highlight w:val="none"/>
                      <w:lang w:eastAsia="zh-CN"/>
                    </w:rPr>
                  </w:pPr>
                  <w:r>
                    <w:rPr>
                      <w:rFonts w:hint="eastAsia" w:ascii="Times New Roman" w:eastAsia="宋体"/>
                      <w:color w:val="auto"/>
                      <w:sz w:val="21"/>
                      <w:szCs w:val="21"/>
                      <w:highlight w:val="none"/>
                      <w:lang w:eastAsia="zh-CN"/>
                    </w:rPr>
                    <w:t>每季度一次，每次各点昼间监测一次</w:t>
                  </w:r>
                </w:p>
              </w:tc>
            </w:tr>
          </w:tbl>
          <w:p w14:paraId="6C45E376">
            <w:pPr>
              <w:adjustRightInd w:val="0"/>
              <w:spacing w:line="360" w:lineRule="auto"/>
              <w:ind w:firstLine="482" w:firstLineChars="200"/>
              <w:rPr>
                <w:b/>
                <w:bCs/>
                <w:color w:val="auto"/>
                <w:sz w:val="24"/>
                <w:highlight w:val="none"/>
              </w:rPr>
            </w:pPr>
            <w:r>
              <w:rPr>
                <w:rFonts w:hint="eastAsia"/>
                <w:b/>
                <w:color w:val="auto"/>
                <w:sz w:val="24"/>
                <w:highlight w:val="none"/>
                <w:lang w:val="en-US" w:eastAsia="zh-CN"/>
              </w:rPr>
              <w:t>4.4</w:t>
            </w:r>
            <w:r>
              <w:rPr>
                <w:b/>
                <w:color w:val="auto"/>
                <w:sz w:val="24"/>
                <w:highlight w:val="none"/>
              </w:rPr>
              <w:t>固体废物</w:t>
            </w:r>
          </w:p>
          <w:p w14:paraId="7D43CDE6">
            <w:pPr>
              <w:pStyle w:val="51"/>
              <w:keepNext w:val="0"/>
              <w:keepLines w:val="0"/>
              <w:pageBreakBefore w:val="0"/>
              <w:widowControl w:val="0"/>
              <w:kinsoku/>
              <w:wordWrap/>
              <w:overflowPunct/>
              <w:topLinePunct w:val="0"/>
              <w:bidi w:val="0"/>
              <w:snapToGrid/>
              <w:spacing w:line="520" w:lineRule="exact"/>
              <w:ind w:firstLine="448" w:firstLineChars="200"/>
              <w:textAlignment w:val="auto"/>
              <w:rPr>
                <w:rFonts w:hint="eastAsia"/>
                <w:b/>
                <w:bCs w:val="0"/>
                <w:color w:val="auto"/>
                <w:sz w:val="24"/>
                <w:szCs w:val="24"/>
                <w:highlight w:val="none"/>
                <w:lang w:eastAsia="zh-CN"/>
              </w:rPr>
            </w:pPr>
            <w:r>
              <w:rPr>
                <w:color w:val="auto"/>
                <w:spacing w:val="-8"/>
                <w:highlight w:val="none"/>
              </w:rPr>
              <w:t>本次</w:t>
            </w:r>
            <w:r>
              <w:rPr>
                <w:rFonts w:hint="eastAsia"/>
                <w:color w:val="auto"/>
                <w:spacing w:val="-8"/>
                <w:highlight w:val="none"/>
                <w:lang w:eastAsia="zh-CN"/>
              </w:rPr>
              <w:t>技改</w:t>
            </w:r>
            <w:r>
              <w:rPr>
                <w:color w:val="auto"/>
                <w:spacing w:val="-8"/>
                <w:highlight w:val="none"/>
              </w:rPr>
              <w:t>项目</w:t>
            </w:r>
            <w:r>
              <w:rPr>
                <w:rFonts w:hint="default" w:ascii="Times New Roman" w:hAnsi="Times New Roman" w:eastAsia="宋体" w:cs="Times New Roman"/>
                <w:color w:val="auto"/>
                <w:sz w:val="24"/>
                <w:highlight w:val="none"/>
                <w:u w:val="none" w:color="auto"/>
                <w:lang w:eastAsia="zh-CN"/>
              </w:rPr>
              <w:t>不新增员工，</w:t>
            </w:r>
            <w:r>
              <w:rPr>
                <w:rFonts w:hint="eastAsia" w:ascii="Times New Roman" w:cs="Times New Roman"/>
                <w:color w:val="auto"/>
                <w:sz w:val="24"/>
                <w:highlight w:val="none"/>
                <w:u w:val="none" w:color="auto"/>
                <w:lang w:val="en-US" w:eastAsia="zh-CN"/>
              </w:rPr>
              <w:t>不新增生活垃圾。</w:t>
            </w:r>
            <w:r>
              <w:rPr>
                <w:color w:val="auto"/>
                <w:spacing w:val="-8"/>
                <w:highlight w:val="none"/>
              </w:rPr>
              <w:t>营运过程产生的固体废物主要为</w:t>
            </w:r>
            <w:r>
              <w:rPr>
                <w:rFonts w:hint="eastAsia"/>
                <w:color w:val="auto"/>
                <w:spacing w:val="-8"/>
                <w:highlight w:val="none"/>
                <w:lang w:eastAsia="zh-CN"/>
              </w:rPr>
              <w:t>锅炉灰渣、污泥、除尘灰、饱和或者废弃的离子交换树脂</w:t>
            </w:r>
            <w:r>
              <w:rPr>
                <w:color w:val="auto"/>
                <w:spacing w:val="-1"/>
                <w:highlight w:val="none"/>
              </w:rPr>
              <w:t>。</w:t>
            </w:r>
          </w:p>
          <w:p w14:paraId="45EEE3DA">
            <w:pPr>
              <w:keepNext w:val="0"/>
              <w:keepLines w:val="0"/>
              <w:pageBreakBefore w:val="0"/>
              <w:widowControl w:val="0"/>
              <w:kinsoku/>
              <w:wordWrap/>
              <w:overflowPunct/>
              <w:topLinePunct w:val="0"/>
              <w:bidi w:val="0"/>
              <w:snapToGrid/>
              <w:spacing w:line="520" w:lineRule="exact"/>
              <w:jc w:val="center"/>
              <w:textAlignment w:val="auto"/>
              <w:rPr>
                <w:b/>
                <w:color w:val="auto"/>
                <w:szCs w:val="21"/>
                <w:highlight w:val="none"/>
              </w:rPr>
            </w:pPr>
          </w:p>
          <w:p w14:paraId="1749641F">
            <w:pPr>
              <w:keepNext w:val="0"/>
              <w:keepLines w:val="0"/>
              <w:pageBreakBefore w:val="0"/>
              <w:widowControl w:val="0"/>
              <w:kinsoku/>
              <w:wordWrap/>
              <w:overflowPunct/>
              <w:topLinePunct w:val="0"/>
              <w:bidi w:val="0"/>
              <w:snapToGrid/>
              <w:spacing w:line="520" w:lineRule="exact"/>
              <w:jc w:val="center"/>
              <w:textAlignment w:val="auto"/>
              <w:rPr>
                <w:b/>
                <w:color w:val="auto"/>
                <w:szCs w:val="21"/>
                <w:highlight w:val="none"/>
              </w:rPr>
            </w:pPr>
          </w:p>
          <w:p w14:paraId="2609A2DF">
            <w:pPr>
              <w:keepNext w:val="0"/>
              <w:keepLines w:val="0"/>
              <w:pageBreakBefore w:val="0"/>
              <w:widowControl w:val="0"/>
              <w:kinsoku/>
              <w:wordWrap/>
              <w:overflowPunct/>
              <w:topLinePunct w:val="0"/>
              <w:bidi w:val="0"/>
              <w:snapToGrid/>
              <w:spacing w:line="520" w:lineRule="exact"/>
              <w:jc w:val="center"/>
              <w:textAlignment w:val="auto"/>
              <w:rPr>
                <w:b/>
                <w:color w:val="auto"/>
                <w:szCs w:val="21"/>
                <w:highlight w:val="none"/>
              </w:rPr>
            </w:pPr>
            <w:r>
              <w:rPr>
                <w:b/>
                <w:color w:val="auto"/>
                <w:szCs w:val="21"/>
                <w:highlight w:val="none"/>
              </w:rPr>
              <w:t>表4-</w:t>
            </w:r>
            <w:r>
              <w:rPr>
                <w:rFonts w:hint="eastAsia"/>
                <w:b/>
                <w:color w:val="auto"/>
                <w:szCs w:val="21"/>
                <w:highlight w:val="none"/>
                <w:lang w:val="en-US" w:eastAsia="zh-CN"/>
              </w:rPr>
              <w:t>16</w:t>
            </w:r>
            <w:r>
              <w:rPr>
                <w:b/>
                <w:color w:val="auto"/>
                <w:szCs w:val="21"/>
                <w:highlight w:val="none"/>
              </w:rPr>
              <w:t xml:space="preserve">  项目固废分类及处置情况一览表</w:t>
            </w:r>
          </w:p>
          <w:tbl>
            <w:tblPr>
              <w:tblStyle w:val="156"/>
              <w:tblW w:w="4996"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98"/>
              <w:gridCol w:w="764"/>
              <w:gridCol w:w="650"/>
              <w:gridCol w:w="1250"/>
              <w:gridCol w:w="336"/>
              <w:gridCol w:w="673"/>
              <w:gridCol w:w="812"/>
              <w:gridCol w:w="771"/>
              <w:gridCol w:w="957"/>
              <w:gridCol w:w="916"/>
              <w:gridCol w:w="1085"/>
            </w:tblGrid>
            <w:tr w14:paraId="4C1A13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231" w:type="pct"/>
                  <w:tcBorders>
                    <w:tl2br w:val="nil"/>
                    <w:tr2bl w:val="nil"/>
                  </w:tcBorders>
                  <w:vAlign w:val="center"/>
                </w:tcPr>
                <w:p w14:paraId="787C196F">
                  <w:pPr>
                    <w:pStyle w:val="152"/>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序号</w:t>
                  </w:r>
                </w:p>
              </w:tc>
              <w:tc>
                <w:tcPr>
                  <w:tcW w:w="443" w:type="pct"/>
                  <w:tcBorders>
                    <w:tl2br w:val="nil"/>
                    <w:tr2bl w:val="nil"/>
                  </w:tcBorders>
                  <w:vAlign w:val="center"/>
                </w:tcPr>
                <w:p w14:paraId="4ADE4767">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固废</w:t>
                  </w:r>
                </w:p>
                <w:p w14:paraId="6D37BACE">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名称</w:t>
                  </w:r>
                </w:p>
              </w:tc>
              <w:tc>
                <w:tcPr>
                  <w:tcW w:w="377" w:type="pct"/>
                  <w:tcBorders>
                    <w:tl2br w:val="nil"/>
                    <w:tr2bl w:val="nil"/>
                  </w:tcBorders>
                  <w:vAlign w:val="center"/>
                </w:tcPr>
                <w:p w14:paraId="7CE9A455">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产生</w:t>
                  </w:r>
                </w:p>
                <w:p w14:paraId="155FF61F">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工序</w:t>
                  </w:r>
                </w:p>
              </w:tc>
              <w:tc>
                <w:tcPr>
                  <w:tcW w:w="725" w:type="pct"/>
                  <w:tcBorders>
                    <w:tl2br w:val="nil"/>
                    <w:tr2bl w:val="nil"/>
                  </w:tcBorders>
                  <w:vAlign w:val="center"/>
                </w:tcPr>
                <w:p w14:paraId="3B91A8A1">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属性及代</w:t>
                  </w:r>
                </w:p>
                <w:p w14:paraId="3596BAA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码</w:t>
                  </w:r>
                </w:p>
              </w:tc>
              <w:tc>
                <w:tcPr>
                  <w:tcW w:w="195" w:type="pct"/>
                  <w:tcBorders>
                    <w:tl2br w:val="nil"/>
                    <w:tr2bl w:val="nil"/>
                  </w:tcBorders>
                  <w:textDirection w:val="tbRlV"/>
                  <w:vAlign w:val="center"/>
                </w:tcPr>
                <w:p w14:paraId="59737D9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形 态</w:t>
                  </w:r>
                </w:p>
              </w:tc>
              <w:tc>
                <w:tcPr>
                  <w:tcW w:w="390" w:type="pct"/>
                  <w:tcBorders>
                    <w:tl2br w:val="nil"/>
                    <w:tr2bl w:val="nil"/>
                  </w:tcBorders>
                  <w:vAlign w:val="center"/>
                </w:tcPr>
                <w:p w14:paraId="2F3A8172">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环境</w:t>
                  </w:r>
                </w:p>
                <w:p w14:paraId="0E2B6031">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危险</w:t>
                  </w:r>
                </w:p>
                <w:p w14:paraId="22C851F5">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特性</w:t>
                  </w:r>
                </w:p>
              </w:tc>
              <w:tc>
                <w:tcPr>
                  <w:tcW w:w="471" w:type="pct"/>
                  <w:tcBorders>
                    <w:tl2br w:val="nil"/>
                    <w:tr2bl w:val="nil"/>
                  </w:tcBorders>
                  <w:vAlign w:val="center"/>
                </w:tcPr>
                <w:p w14:paraId="377FD9AB">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估算产生量</w:t>
                  </w:r>
                </w:p>
              </w:tc>
              <w:tc>
                <w:tcPr>
                  <w:tcW w:w="447" w:type="pct"/>
                  <w:tcBorders>
                    <w:tl2br w:val="nil"/>
                    <w:tr2bl w:val="nil"/>
                  </w:tcBorders>
                  <w:vAlign w:val="center"/>
                </w:tcPr>
                <w:p w14:paraId="740A04FC">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贮存方式</w:t>
                  </w:r>
                </w:p>
              </w:tc>
              <w:tc>
                <w:tcPr>
                  <w:tcW w:w="555" w:type="pct"/>
                  <w:tcBorders>
                    <w:tl2br w:val="nil"/>
                    <w:tr2bl w:val="nil"/>
                  </w:tcBorders>
                  <w:vAlign w:val="center"/>
                </w:tcPr>
                <w:p w14:paraId="62047604">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利用处置方式</w:t>
                  </w:r>
                </w:p>
                <w:p w14:paraId="346A2A8D">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和去向</w:t>
                  </w:r>
                </w:p>
              </w:tc>
              <w:tc>
                <w:tcPr>
                  <w:tcW w:w="531" w:type="pct"/>
                  <w:tcBorders>
                    <w:tl2br w:val="nil"/>
                    <w:tr2bl w:val="nil"/>
                  </w:tcBorders>
                  <w:vAlign w:val="center"/>
                </w:tcPr>
                <w:p w14:paraId="4F9028C5">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利用或处理量</w:t>
                  </w:r>
                </w:p>
              </w:tc>
              <w:tc>
                <w:tcPr>
                  <w:tcW w:w="629" w:type="pct"/>
                  <w:tcBorders>
                    <w:tl2br w:val="nil"/>
                    <w:tr2bl w:val="nil"/>
                  </w:tcBorders>
                  <w:vAlign w:val="center"/>
                </w:tcPr>
                <w:p w14:paraId="14D4CFF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环境管理要求</w:t>
                  </w:r>
                </w:p>
              </w:tc>
            </w:tr>
            <w:tr w14:paraId="6E28B8A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231" w:type="pct"/>
                  <w:tcBorders>
                    <w:tl2br w:val="nil"/>
                    <w:tr2bl w:val="nil"/>
                  </w:tcBorders>
                  <w:vAlign w:val="center"/>
                </w:tcPr>
                <w:p w14:paraId="0A80549B">
                  <w:pPr>
                    <w:pStyle w:val="152"/>
                    <w:jc w:val="center"/>
                    <w:rPr>
                      <w:rFonts w:hint="eastAsia" w:ascii="Times New Roman" w:cs="Times New Roman"/>
                      <w:color w:val="auto"/>
                      <w:sz w:val="21"/>
                      <w:szCs w:val="21"/>
                      <w:highlight w:val="none"/>
                      <w:u w:val="none"/>
                    </w:rPr>
                  </w:pPr>
                </w:p>
                <w:p w14:paraId="304F5F1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1</w:t>
                  </w:r>
                </w:p>
              </w:tc>
              <w:tc>
                <w:tcPr>
                  <w:tcW w:w="443" w:type="pct"/>
                  <w:tcBorders>
                    <w:tl2br w:val="nil"/>
                    <w:tr2bl w:val="nil"/>
                  </w:tcBorders>
                  <w:vAlign w:val="center"/>
                </w:tcPr>
                <w:p w14:paraId="7EAEACA1">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锅炉灰渣</w:t>
                  </w:r>
                </w:p>
              </w:tc>
              <w:tc>
                <w:tcPr>
                  <w:tcW w:w="377" w:type="pct"/>
                  <w:tcBorders>
                    <w:tl2br w:val="nil"/>
                    <w:tr2bl w:val="nil"/>
                  </w:tcBorders>
                  <w:vAlign w:val="center"/>
                </w:tcPr>
                <w:p w14:paraId="528E9AC4">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锅炉</w:t>
                  </w:r>
                </w:p>
              </w:tc>
              <w:tc>
                <w:tcPr>
                  <w:tcW w:w="725" w:type="pct"/>
                  <w:tcBorders>
                    <w:tl2br w:val="nil"/>
                    <w:tr2bl w:val="nil"/>
                  </w:tcBorders>
                  <w:vAlign w:val="center"/>
                </w:tcPr>
                <w:p w14:paraId="669255F0">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一般固废，</w:t>
                  </w:r>
                </w:p>
                <w:p w14:paraId="57FA9C3E">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900-999-64</w:t>
                  </w:r>
                </w:p>
              </w:tc>
              <w:tc>
                <w:tcPr>
                  <w:tcW w:w="195" w:type="pct"/>
                  <w:tcBorders>
                    <w:tl2br w:val="nil"/>
                    <w:tr2bl w:val="nil"/>
                  </w:tcBorders>
                  <w:textDirection w:val="tbRlV"/>
                  <w:vAlign w:val="center"/>
                </w:tcPr>
                <w:p w14:paraId="5073B679">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固 态</w:t>
                  </w:r>
                </w:p>
              </w:tc>
              <w:tc>
                <w:tcPr>
                  <w:tcW w:w="390" w:type="pct"/>
                  <w:tcBorders>
                    <w:tl2br w:val="nil"/>
                    <w:tr2bl w:val="nil"/>
                  </w:tcBorders>
                  <w:vAlign w:val="center"/>
                </w:tcPr>
                <w:p w14:paraId="2E35BF1D">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w:t>
                  </w:r>
                </w:p>
              </w:tc>
              <w:tc>
                <w:tcPr>
                  <w:tcW w:w="471" w:type="pct"/>
                  <w:tcBorders>
                    <w:tl2br w:val="nil"/>
                    <w:tr2bl w:val="nil"/>
                  </w:tcBorders>
                  <w:vAlign w:val="center"/>
                </w:tcPr>
                <w:p w14:paraId="7D91C33B">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3.8</w:t>
                  </w:r>
                  <w:r>
                    <w:rPr>
                      <w:rFonts w:hint="eastAsia" w:ascii="Times New Roman" w:cs="Times New Roman"/>
                      <w:color w:val="auto"/>
                      <w:sz w:val="21"/>
                      <w:szCs w:val="21"/>
                      <w:highlight w:val="none"/>
                      <w:u w:val="none"/>
                    </w:rPr>
                    <w:t>t/a</w:t>
                  </w:r>
                </w:p>
              </w:tc>
              <w:tc>
                <w:tcPr>
                  <w:tcW w:w="447" w:type="pct"/>
                  <w:tcBorders>
                    <w:tl2br w:val="nil"/>
                    <w:tr2bl w:val="nil"/>
                  </w:tcBorders>
                  <w:vAlign w:val="center"/>
                </w:tcPr>
                <w:p w14:paraId="2FAFD695">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一般固</w:t>
                  </w:r>
                </w:p>
                <w:p w14:paraId="538EFF94">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废暂存</w:t>
                  </w:r>
                </w:p>
                <w:p w14:paraId="337C7DE8">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间</w:t>
                  </w:r>
                </w:p>
              </w:tc>
              <w:tc>
                <w:tcPr>
                  <w:tcW w:w="555" w:type="pct"/>
                  <w:tcBorders>
                    <w:tl2br w:val="nil"/>
                    <w:tr2bl w:val="nil"/>
                  </w:tcBorders>
                  <w:vAlign w:val="center"/>
                </w:tcPr>
                <w:p w14:paraId="42407A7E">
                  <w:pPr>
                    <w:pStyle w:val="152"/>
                    <w:jc w:val="center"/>
                    <w:rPr>
                      <w:rFonts w:hint="eastAsia"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rPr>
                    <w:t>外售周边居民作为农</w:t>
                  </w:r>
                  <w:r>
                    <w:rPr>
                      <w:rFonts w:hint="eastAsia" w:ascii="Times New Roman" w:cs="Times New Roman"/>
                      <w:color w:val="auto"/>
                      <w:sz w:val="21"/>
                      <w:szCs w:val="21"/>
                      <w:highlight w:val="none"/>
                      <w:u w:val="none"/>
                      <w:lang w:val="en-US" w:eastAsia="zh-CN"/>
                    </w:rPr>
                    <w:t>肥</w:t>
                  </w:r>
                </w:p>
              </w:tc>
              <w:tc>
                <w:tcPr>
                  <w:tcW w:w="531" w:type="pct"/>
                  <w:tcBorders>
                    <w:tl2br w:val="nil"/>
                    <w:tr2bl w:val="nil"/>
                  </w:tcBorders>
                  <w:vAlign w:val="center"/>
                </w:tcPr>
                <w:p w14:paraId="158DF422">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3.8</w:t>
                  </w:r>
                  <w:r>
                    <w:rPr>
                      <w:rFonts w:hint="eastAsia" w:ascii="Times New Roman" w:cs="Times New Roman"/>
                      <w:color w:val="auto"/>
                      <w:sz w:val="21"/>
                      <w:szCs w:val="21"/>
                      <w:highlight w:val="none"/>
                      <w:u w:val="none"/>
                    </w:rPr>
                    <w:t>t/a</w:t>
                  </w:r>
                </w:p>
              </w:tc>
              <w:tc>
                <w:tcPr>
                  <w:tcW w:w="629" w:type="pct"/>
                  <w:vMerge w:val="restart"/>
                  <w:tcBorders>
                    <w:tl2br w:val="nil"/>
                    <w:tr2bl w:val="nil"/>
                  </w:tcBorders>
                  <w:vAlign w:val="center"/>
                </w:tcPr>
                <w:p w14:paraId="129F8DC0">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定期</w:t>
                  </w:r>
                </w:p>
                <w:p w14:paraId="6C90868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处理，并</w:t>
                  </w:r>
                </w:p>
                <w:p w14:paraId="4902328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做好台账记录</w:t>
                  </w:r>
                </w:p>
                <w:p w14:paraId="7574F688">
                  <w:pPr>
                    <w:pStyle w:val="152"/>
                    <w:jc w:val="center"/>
                    <w:rPr>
                      <w:rFonts w:hint="eastAsia" w:ascii="Times New Roman" w:cs="Times New Roman"/>
                      <w:color w:val="auto"/>
                      <w:sz w:val="21"/>
                      <w:szCs w:val="21"/>
                      <w:highlight w:val="none"/>
                      <w:u w:val="none"/>
                    </w:rPr>
                  </w:pPr>
                </w:p>
              </w:tc>
            </w:tr>
            <w:tr w14:paraId="0E64ED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231" w:type="pct"/>
                  <w:tcBorders>
                    <w:tl2br w:val="nil"/>
                    <w:tr2bl w:val="nil"/>
                  </w:tcBorders>
                  <w:vAlign w:val="center"/>
                </w:tcPr>
                <w:p w14:paraId="04CFE345">
                  <w:pPr>
                    <w:pStyle w:val="152"/>
                    <w:jc w:val="center"/>
                    <w:rPr>
                      <w:rFonts w:hint="eastAsia" w:ascii="Times New Roman" w:eastAsia="宋体" w:cs="Times New Roman"/>
                      <w:color w:val="auto"/>
                      <w:sz w:val="21"/>
                      <w:szCs w:val="21"/>
                      <w:highlight w:val="none"/>
                      <w:u w:val="none"/>
                      <w:lang w:val="en-US" w:eastAsia="zh-CN"/>
                    </w:rPr>
                  </w:pPr>
                  <w:r>
                    <w:rPr>
                      <w:rFonts w:hint="eastAsia" w:ascii="Times New Roman" w:cs="Times New Roman"/>
                      <w:color w:val="auto"/>
                      <w:sz w:val="21"/>
                      <w:szCs w:val="21"/>
                      <w:highlight w:val="none"/>
                      <w:u w:val="none"/>
                    </w:rPr>
                    <w:t>2</w:t>
                  </w:r>
                </w:p>
              </w:tc>
              <w:tc>
                <w:tcPr>
                  <w:tcW w:w="443" w:type="pct"/>
                  <w:tcBorders>
                    <w:tl2br w:val="nil"/>
                    <w:tr2bl w:val="nil"/>
                  </w:tcBorders>
                  <w:shd w:val="clear" w:color="auto" w:fill="auto"/>
                  <w:vAlign w:val="center"/>
                </w:tcPr>
                <w:p w14:paraId="7E26C962">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水膜除尘</w:t>
                  </w:r>
                  <w:r>
                    <w:rPr>
                      <w:rFonts w:hint="eastAsia" w:ascii="Times New Roman" w:cs="Times New Roman"/>
                      <w:color w:val="auto"/>
                      <w:sz w:val="21"/>
                      <w:szCs w:val="21"/>
                      <w:highlight w:val="none"/>
                      <w:u w:val="none"/>
                    </w:rPr>
                    <w:t>收集的除尘灰</w:t>
                  </w:r>
                </w:p>
              </w:tc>
              <w:tc>
                <w:tcPr>
                  <w:tcW w:w="377" w:type="pct"/>
                  <w:tcBorders>
                    <w:tl2br w:val="nil"/>
                    <w:tr2bl w:val="nil"/>
                  </w:tcBorders>
                  <w:shd w:val="clear" w:color="auto" w:fill="auto"/>
                  <w:vAlign w:val="center"/>
                </w:tcPr>
                <w:p w14:paraId="62568387">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废气</w:t>
                  </w:r>
                </w:p>
                <w:p w14:paraId="5C93B71A">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治理</w:t>
                  </w:r>
                </w:p>
              </w:tc>
              <w:tc>
                <w:tcPr>
                  <w:tcW w:w="725" w:type="pct"/>
                  <w:tcBorders>
                    <w:tl2br w:val="nil"/>
                    <w:tr2bl w:val="nil"/>
                  </w:tcBorders>
                  <w:shd w:val="clear" w:color="auto" w:fill="auto"/>
                  <w:vAlign w:val="center"/>
                </w:tcPr>
                <w:p w14:paraId="2596013A">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一般固废，</w:t>
                  </w:r>
                </w:p>
                <w:p w14:paraId="5D2C78C8">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900-999-66</w:t>
                  </w:r>
                </w:p>
              </w:tc>
              <w:tc>
                <w:tcPr>
                  <w:tcW w:w="195" w:type="pct"/>
                  <w:tcBorders>
                    <w:tl2br w:val="nil"/>
                    <w:tr2bl w:val="nil"/>
                  </w:tcBorders>
                  <w:shd w:val="clear" w:color="auto" w:fill="auto"/>
                  <w:textDirection w:val="tbRlV"/>
                  <w:vAlign w:val="center"/>
                </w:tcPr>
                <w:p w14:paraId="1A56AE15">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固 态</w:t>
                  </w:r>
                </w:p>
              </w:tc>
              <w:tc>
                <w:tcPr>
                  <w:tcW w:w="390" w:type="pct"/>
                  <w:tcBorders>
                    <w:tl2br w:val="nil"/>
                    <w:tr2bl w:val="nil"/>
                  </w:tcBorders>
                  <w:shd w:val="clear" w:color="auto" w:fill="auto"/>
                  <w:vAlign w:val="center"/>
                </w:tcPr>
                <w:p w14:paraId="3B54532F">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w:t>
                  </w:r>
                </w:p>
              </w:tc>
              <w:tc>
                <w:tcPr>
                  <w:tcW w:w="471" w:type="pct"/>
                  <w:tcBorders>
                    <w:tl2br w:val="nil"/>
                    <w:tr2bl w:val="nil"/>
                  </w:tcBorders>
                  <w:shd w:val="clear" w:color="auto" w:fill="auto"/>
                  <w:vAlign w:val="center"/>
                </w:tcPr>
                <w:p w14:paraId="20A216A1">
                  <w:pPr>
                    <w:pStyle w:val="152"/>
                    <w:jc w:val="center"/>
                    <w:rPr>
                      <w:rFonts w:hint="default"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0.</w:t>
                  </w:r>
                  <w:r>
                    <w:rPr>
                      <w:rFonts w:hint="eastAsia" w:ascii="Times New Roman" w:cs="Times New Roman"/>
                      <w:color w:val="auto"/>
                      <w:sz w:val="21"/>
                      <w:szCs w:val="21"/>
                      <w:highlight w:val="none"/>
                      <w:u w:val="none"/>
                      <w:lang w:val="en-US" w:eastAsia="zh-CN"/>
                    </w:rPr>
                    <w:t>12</w:t>
                  </w:r>
                  <w:r>
                    <w:rPr>
                      <w:rFonts w:hint="eastAsia" w:ascii="Times New Roman" w:cs="Times New Roman"/>
                      <w:color w:val="auto"/>
                      <w:sz w:val="21"/>
                      <w:szCs w:val="21"/>
                      <w:highlight w:val="none"/>
                      <w:u w:val="none"/>
                    </w:rPr>
                    <w:t>t/a</w:t>
                  </w:r>
                </w:p>
              </w:tc>
              <w:tc>
                <w:tcPr>
                  <w:tcW w:w="447" w:type="pct"/>
                  <w:tcBorders>
                    <w:tl2br w:val="nil"/>
                    <w:tr2bl w:val="nil"/>
                  </w:tcBorders>
                  <w:shd w:val="clear" w:color="auto" w:fill="auto"/>
                  <w:vAlign w:val="center"/>
                </w:tcPr>
                <w:p w14:paraId="49EA804E">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一般固</w:t>
                  </w:r>
                </w:p>
                <w:p w14:paraId="2BC3F073">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废暂存</w:t>
                  </w:r>
                </w:p>
                <w:p w14:paraId="213E2307">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间</w:t>
                  </w:r>
                </w:p>
              </w:tc>
              <w:tc>
                <w:tcPr>
                  <w:tcW w:w="555" w:type="pct"/>
                  <w:tcBorders>
                    <w:tl2br w:val="nil"/>
                    <w:tr2bl w:val="nil"/>
                  </w:tcBorders>
                  <w:shd w:val="clear" w:color="auto" w:fill="auto"/>
                  <w:vAlign w:val="center"/>
                </w:tcPr>
                <w:p w14:paraId="37807437">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综合利用</w:t>
                  </w:r>
                </w:p>
              </w:tc>
              <w:tc>
                <w:tcPr>
                  <w:tcW w:w="531" w:type="pct"/>
                  <w:tcBorders>
                    <w:tl2br w:val="nil"/>
                    <w:tr2bl w:val="nil"/>
                  </w:tcBorders>
                  <w:shd w:val="clear" w:color="auto" w:fill="auto"/>
                  <w:vAlign w:val="center"/>
                </w:tcPr>
                <w:p w14:paraId="6C3F1B04">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0.</w:t>
                  </w:r>
                  <w:r>
                    <w:rPr>
                      <w:rFonts w:hint="eastAsia" w:ascii="Times New Roman" w:cs="Times New Roman"/>
                      <w:color w:val="auto"/>
                      <w:sz w:val="21"/>
                      <w:szCs w:val="21"/>
                      <w:highlight w:val="none"/>
                      <w:u w:val="none"/>
                      <w:lang w:val="en-US" w:eastAsia="zh-CN"/>
                    </w:rPr>
                    <w:t>12</w:t>
                  </w:r>
                  <w:r>
                    <w:rPr>
                      <w:rFonts w:hint="eastAsia" w:ascii="Times New Roman" w:cs="Times New Roman"/>
                      <w:color w:val="auto"/>
                      <w:sz w:val="21"/>
                      <w:szCs w:val="21"/>
                      <w:highlight w:val="none"/>
                      <w:u w:val="none"/>
                    </w:rPr>
                    <w:t>t/a</w:t>
                  </w:r>
                </w:p>
              </w:tc>
              <w:tc>
                <w:tcPr>
                  <w:tcW w:w="629" w:type="pct"/>
                  <w:vMerge w:val="continue"/>
                  <w:tcBorders>
                    <w:tl2br w:val="nil"/>
                    <w:tr2bl w:val="nil"/>
                  </w:tcBorders>
                  <w:vAlign w:val="center"/>
                </w:tcPr>
                <w:p w14:paraId="60B27C7F">
                  <w:pPr>
                    <w:pStyle w:val="152"/>
                    <w:jc w:val="center"/>
                    <w:rPr>
                      <w:rFonts w:hint="eastAsia" w:ascii="Times New Roman" w:cs="Times New Roman"/>
                      <w:color w:val="auto"/>
                      <w:sz w:val="21"/>
                      <w:szCs w:val="21"/>
                      <w:highlight w:val="none"/>
                      <w:u w:val="none"/>
                    </w:rPr>
                  </w:pPr>
                </w:p>
              </w:tc>
            </w:tr>
            <w:tr w14:paraId="24A52C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555" w:hRule="atLeast"/>
              </w:trPr>
              <w:tc>
                <w:tcPr>
                  <w:tcW w:w="231" w:type="pct"/>
                  <w:tcBorders>
                    <w:tl2br w:val="nil"/>
                    <w:tr2bl w:val="nil"/>
                  </w:tcBorders>
                  <w:vAlign w:val="center"/>
                </w:tcPr>
                <w:p w14:paraId="30138186">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3</w:t>
                  </w:r>
                </w:p>
              </w:tc>
              <w:tc>
                <w:tcPr>
                  <w:tcW w:w="443" w:type="pct"/>
                  <w:tcBorders>
                    <w:tl2br w:val="nil"/>
                    <w:tr2bl w:val="nil"/>
                  </w:tcBorders>
                  <w:shd w:val="clear" w:color="auto" w:fill="auto"/>
                  <w:vAlign w:val="center"/>
                </w:tcPr>
                <w:p w14:paraId="313BF549">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饱和或者废弃</w:t>
                  </w:r>
                </w:p>
                <w:p w14:paraId="46A0AEFD">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的离子交换树脂</w:t>
                  </w:r>
                </w:p>
              </w:tc>
              <w:tc>
                <w:tcPr>
                  <w:tcW w:w="377" w:type="pct"/>
                  <w:tcBorders>
                    <w:tl2br w:val="nil"/>
                    <w:tr2bl w:val="nil"/>
                  </w:tcBorders>
                  <w:shd w:val="clear" w:color="auto" w:fill="auto"/>
                  <w:vAlign w:val="center"/>
                </w:tcPr>
                <w:p w14:paraId="3F6CA861">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软化</w:t>
                  </w:r>
                </w:p>
                <w:p w14:paraId="3509C065">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水处 理</w:t>
                  </w:r>
                </w:p>
              </w:tc>
              <w:tc>
                <w:tcPr>
                  <w:tcW w:w="725" w:type="pct"/>
                  <w:tcBorders>
                    <w:tl2br w:val="nil"/>
                    <w:tr2bl w:val="nil"/>
                  </w:tcBorders>
                  <w:shd w:val="clear" w:color="auto" w:fill="auto"/>
                  <w:vAlign w:val="center"/>
                </w:tcPr>
                <w:p w14:paraId="48EEE18D">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一般固废，</w:t>
                  </w:r>
                </w:p>
                <w:p w14:paraId="3896BE5E">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900-</w:t>
                  </w:r>
                  <w:r>
                    <w:rPr>
                      <w:rFonts w:hint="eastAsia" w:ascii="Times New Roman" w:cs="Times New Roman"/>
                      <w:color w:val="auto"/>
                      <w:sz w:val="21"/>
                      <w:szCs w:val="21"/>
                      <w:highlight w:val="none"/>
                      <w:u w:val="none"/>
                      <w:lang w:val="en-US" w:eastAsia="zh-CN"/>
                    </w:rPr>
                    <w:t>008</w:t>
                  </w:r>
                  <w:r>
                    <w:rPr>
                      <w:rFonts w:hint="eastAsia" w:ascii="Times New Roman" w:cs="Times New Roman"/>
                      <w:color w:val="auto"/>
                      <w:sz w:val="21"/>
                      <w:szCs w:val="21"/>
                      <w:highlight w:val="none"/>
                      <w:u w:val="none"/>
                    </w:rPr>
                    <w:t>-</w:t>
                  </w:r>
                  <w:r>
                    <w:rPr>
                      <w:rFonts w:hint="eastAsia" w:ascii="Times New Roman" w:cs="Times New Roman"/>
                      <w:color w:val="auto"/>
                      <w:sz w:val="21"/>
                      <w:szCs w:val="21"/>
                      <w:highlight w:val="none"/>
                      <w:u w:val="none"/>
                      <w:lang w:val="en-US" w:eastAsia="zh-CN"/>
                    </w:rPr>
                    <w:t>S59</w:t>
                  </w:r>
                </w:p>
              </w:tc>
              <w:tc>
                <w:tcPr>
                  <w:tcW w:w="195" w:type="pct"/>
                  <w:tcBorders>
                    <w:tl2br w:val="nil"/>
                    <w:tr2bl w:val="nil"/>
                  </w:tcBorders>
                  <w:shd w:val="clear" w:color="auto" w:fill="auto"/>
                  <w:textDirection w:val="tbRlV"/>
                  <w:vAlign w:val="center"/>
                </w:tcPr>
                <w:p w14:paraId="55D691D8">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固 态</w:t>
                  </w:r>
                </w:p>
              </w:tc>
              <w:tc>
                <w:tcPr>
                  <w:tcW w:w="390" w:type="pct"/>
                  <w:tcBorders>
                    <w:tl2br w:val="nil"/>
                    <w:tr2bl w:val="nil"/>
                  </w:tcBorders>
                  <w:shd w:val="clear" w:color="auto" w:fill="auto"/>
                  <w:vAlign w:val="center"/>
                </w:tcPr>
                <w:p w14:paraId="676AECB9">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w:t>
                  </w:r>
                </w:p>
              </w:tc>
              <w:tc>
                <w:tcPr>
                  <w:tcW w:w="471" w:type="pct"/>
                  <w:tcBorders>
                    <w:tl2br w:val="nil"/>
                    <w:tr2bl w:val="nil"/>
                  </w:tcBorders>
                  <w:shd w:val="clear" w:color="auto" w:fill="auto"/>
                  <w:vAlign w:val="center"/>
                </w:tcPr>
                <w:p w14:paraId="554CEBE2">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0.</w:t>
                  </w:r>
                  <w:r>
                    <w:rPr>
                      <w:rFonts w:hint="eastAsia" w:ascii="Times New Roman" w:cs="Times New Roman"/>
                      <w:color w:val="auto"/>
                      <w:sz w:val="21"/>
                      <w:szCs w:val="21"/>
                      <w:highlight w:val="none"/>
                      <w:u w:val="none"/>
                      <w:lang w:val="en-US" w:eastAsia="zh-CN"/>
                    </w:rPr>
                    <w:t>1</w:t>
                  </w:r>
                  <w:r>
                    <w:rPr>
                      <w:rFonts w:hint="eastAsia" w:ascii="Times New Roman" w:cs="Times New Roman"/>
                      <w:color w:val="auto"/>
                      <w:sz w:val="21"/>
                      <w:szCs w:val="21"/>
                      <w:highlight w:val="none"/>
                      <w:u w:val="none"/>
                    </w:rPr>
                    <w:t>t/a</w:t>
                  </w:r>
                </w:p>
              </w:tc>
              <w:tc>
                <w:tcPr>
                  <w:tcW w:w="447" w:type="pct"/>
                  <w:tcBorders>
                    <w:tl2br w:val="nil"/>
                    <w:tr2bl w:val="nil"/>
                  </w:tcBorders>
                  <w:shd w:val="clear" w:color="auto" w:fill="auto"/>
                  <w:vAlign w:val="center"/>
                </w:tcPr>
                <w:p w14:paraId="5E06C58A">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一般固</w:t>
                  </w:r>
                </w:p>
                <w:p w14:paraId="4DD4BB21">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废暂存</w:t>
                  </w:r>
                </w:p>
                <w:p w14:paraId="197DE9D5">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间</w:t>
                  </w:r>
                </w:p>
              </w:tc>
              <w:tc>
                <w:tcPr>
                  <w:tcW w:w="555" w:type="pct"/>
                  <w:tcBorders>
                    <w:tl2br w:val="nil"/>
                    <w:tr2bl w:val="nil"/>
                  </w:tcBorders>
                  <w:shd w:val="clear" w:color="auto" w:fill="auto"/>
                  <w:vAlign w:val="center"/>
                </w:tcPr>
                <w:p w14:paraId="0BDA4B8D">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 xml:space="preserve">交厂家回收     </w:t>
                  </w:r>
                </w:p>
              </w:tc>
              <w:tc>
                <w:tcPr>
                  <w:tcW w:w="531" w:type="pct"/>
                  <w:tcBorders>
                    <w:tl2br w:val="nil"/>
                    <w:tr2bl w:val="nil"/>
                  </w:tcBorders>
                  <w:shd w:val="clear" w:color="auto" w:fill="auto"/>
                  <w:vAlign w:val="center"/>
                </w:tcPr>
                <w:p w14:paraId="1F292704">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0.</w:t>
                  </w:r>
                  <w:r>
                    <w:rPr>
                      <w:rFonts w:hint="eastAsia" w:ascii="Times New Roman" w:cs="Times New Roman"/>
                      <w:color w:val="auto"/>
                      <w:sz w:val="21"/>
                      <w:szCs w:val="21"/>
                      <w:highlight w:val="none"/>
                      <w:u w:val="none"/>
                      <w:lang w:val="en-US" w:eastAsia="zh-CN"/>
                    </w:rPr>
                    <w:t>1</w:t>
                  </w:r>
                  <w:r>
                    <w:rPr>
                      <w:rFonts w:hint="eastAsia" w:ascii="Times New Roman" w:cs="Times New Roman"/>
                      <w:color w:val="auto"/>
                      <w:sz w:val="21"/>
                      <w:szCs w:val="21"/>
                      <w:highlight w:val="none"/>
                      <w:u w:val="none"/>
                    </w:rPr>
                    <w:t>/a</w:t>
                  </w:r>
                </w:p>
              </w:tc>
              <w:tc>
                <w:tcPr>
                  <w:tcW w:w="629" w:type="pct"/>
                  <w:vMerge w:val="continue"/>
                  <w:tcBorders>
                    <w:tl2br w:val="nil"/>
                    <w:tr2bl w:val="nil"/>
                  </w:tcBorders>
                  <w:vAlign w:val="center"/>
                </w:tcPr>
                <w:p w14:paraId="1BC47275">
                  <w:pPr>
                    <w:pStyle w:val="152"/>
                    <w:jc w:val="center"/>
                    <w:rPr>
                      <w:rFonts w:hint="eastAsia" w:ascii="Times New Roman" w:cs="Times New Roman"/>
                      <w:color w:val="auto"/>
                      <w:sz w:val="21"/>
                      <w:szCs w:val="21"/>
                      <w:highlight w:val="none"/>
                      <w:u w:val="none"/>
                    </w:rPr>
                  </w:pPr>
                </w:p>
              </w:tc>
            </w:tr>
            <w:tr w14:paraId="44777B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231" w:type="pct"/>
                  <w:tcBorders>
                    <w:tl2br w:val="nil"/>
                    <w:tr2bl w:val="nil"/>
                  </w:tcBorders>
                  <w:vAlign w:val="center"/>
                </w:tcPr>
                <w:p w14:paraId="34B917DE">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lang w:val="en-US" w:eastAsia="zh-CN"/>
                    </w:rPr>
                    <w:t>4</w:t>
                  </w:r>
                </w:p>
              </w:tc>
              <w:tc>
                <w:tcPr>
                  <w:tcW w:w="443" w:type="pct"/>
                  <w:tcBorders>
                    <w:tl2br w:val="nil"/>
                    <w:tr2bl w:val="nil"/>
                  </w:tcBorders>
                  <w:shd w:val="clear" w:color="auto" w:fill="auto"/>
                  <w:vAlign w:val="center"/>
                </w:tcPr>
                <w:p w14:paraId="42355D04">
                  <w:pPr>
                    <w:adjustRightInd w:val="0"/>
                    <w:snapToGrid w:val="0"/>
                    <w:jc w:val="center"/>
                    <w:rPr>
                      <w:rFonts w:hint="eastAsia" w:ascii="Times New Roman" w:hAnsi="Times New Roman" w:eastAsia="宋体" w:cs="Times New Roman"/>
                      <w:color w:val="auto"/>
                      <w:kern w:val="2"/>
                      <w:sz w:val="21"/>
                      <w:szCs w:val="21"/>
                      <w:highlight w:val="none"/>
                      <w:u w:val="none"/>
                      <w:lang w:val="en-US" w:eastAsia="zh-CN" w:bidi="ar-SA"/>
                    </w:rPr>
                  </w:pPr>
                  <w:r>
                    <w:rPr>
                      <w:rFonts w:hint="eastAsia"/>
                      <w:snapToGrid w:val="0"/>
                      <w:color w:val="auto"/>
                      <w:sz w:val="21"/>
                      <w:szCs w:val="21"/>
                      <w:highlight w:val="none"/>
                      <w:u w:val="none"/>
                      <w:lang w:eastAsia="zh-CN"/>
                    </w:rPr>
                    <w:t>废矿物油</w:t>
                  </w:r>
                </w:p>
              </w:tc>
              <w:tc>
                <w:tcPr>
                  <w:tcW w:w="377" w:type="pct"/>
                  <w:tcBorders>
                    <w:tl2br w:val="nil"/>
                    <w:tr2bl w:val="nil"/>
                  </w:tcBorders>
                  <w:shd w:val="clear" w:color="auto" w:fill="auto"/>
                  <w:vAlign w:val="center"/>
                </w:tcPr>
                <w:p w14:paraId="1BDEA93F">
                  <w:pPr>
                    <w:adjustRightInd w:val="0"/>
                    <w:snapToGrid w:val="0"/>
                    <w:jc w:val="center"/>
                    <w:rPr>
                      <w:rFonts w:hint="eastAsia" w:ascii="Times New Roman" w:hAnsi="Times New Roman" w:eastAsia="宋体" w:cs="Times New Roman"/>
                      <w:snapToGrid w:val="0"/>
                      <w:color w:val="auto"/>
                      <w:kern w:val="2"/>
                      <w:sz w:val="21"/>
                      <w:szCs w:val="21"/>
                      <w:highlight w:val="none"/>
                      <w:u w:val="none"/>
                      <w:lang w:val="en-US" w:eastAsia="zh-CN" w:bidi="ar-SA"/>
                    </w:rPr>
                  </w:pPr>
                  <w:r>
                    <w:rPr>
                      <w:rFonts w:hint="eastAsia" w:ascii="Times New Roman" w:hAnsi="Times New Roman" w:eastAsia="宋体" w:cs="Times New Roman"/>
                      <w:snapToGrid w:val="0"/>
                      <w:color w:val="auto"/>
                      <w:sz w:val="21"/>
                      <w:szCs w:val="21"/>
                      <w:highlight w:val="none"/>
                      <w:u w:val="none"/>
                    </w:rPr>
                    <w:t>设备维修</w:t>
                  </w:r>
                </w:p>
              </w:tc>
              <w:tc>
                <w:tcPr>
                  <w:tcW w:w="725" w:type="pct"/>
                  <w:tcBorders>
                    <w:tl2br w:val="nil"/>
                    <w:tr2bl w:val="nil"/>
                  </w:tcBorders>
                  <w:shd w:val="clear" w:color="auto" w:fill="auto"/>
                  <w:vAlign w:val="center"/>
                </w:tcPr>
                <w:p w14:paraId="6D044BB9">
                  <w:pPr>
                    <w:adjustRightInd w:val="0"/>
                    <w:snapToGrid w:val="0"/>
                    <w:jc w:val="center"/>
                    <w:rPr>
                      <w:rFonts w:hint="eastAsia" w:ascii="Times New Roman" w:hAnsi="Times New Roman" w:eastAsia="宋体" w:cs="Times New Roman"/>
                      <w:snapToGrid w:val="0"/>
                      <w:color w:val="auto"/>
                      <w:sz w:val="21"/>
                      <w:szCs w:val="21"/>
                      <w:highlight w:val="none"/>
                      <w:u w:val="none"/>
                    </w:rPr>
                  </w:pPr>
                  <w:r>
                    <w:rPr>
                      <w:rFonts w:hint="eastAsia" w:ascii="Times New Roman" w:hAnsi="Times New Roman" w:eastAsia="宋体" w:cs="Times New Roman"/>
                      <w:snapToGrid w:val="0"/>
                      <w:color w:val="auto"/>
                      <w:sz w:val="21"/>
                      <w:szCs w:val="21"/>
                      <w:highlight w:val="none"/>
                      <w:u w:val="none"/>
                      <w:lang w:val="en-US" w:eastAsia="zh-CN"/>
                    </w:rPr>
                    <w:t xml:space="preserve">危险废物， </w:t>
                  </w:r>
                </w:p>
                <w:p w14:paraId="2DB124E0">
                  <w:pPr>
                    <w:adjustRightInd w:val="0"/>
                    <w:snapToGrid w:val="0"/>
                    <w:jc w:val="center"/>
                    <w:rPr>
                      <w:rFonts w:hint="eastAsia" w:ascii="Times New Roman" w:hAnsi="Times New Roman" w:eastAsia="宋体" w:cs="Times New Roman"/>
                      <w:snapToGrid w:val="0"/>
                      <w:color w:val="auto"/>
                      <w:sz w:val="21"/>
                      <w:szCs w:val="21"/>
                      <w:highlight w:val="none"/>
                      <w:u w:val="none"/>
                    </w:rPr>
                  </w:pPr>
                  <w:r>
                    <w:rPr>
                      <w:rFonts w:hint="default" w:ascii="Times New Roman" w:hAnsi="Times New Roman" w:eastAsia="宋体" w:cs="Times New Roman"/>
                      <w:snapToGrid w:val="0"/>
                      <w:color w:val="auto"/>
                      <w:sz w:val="21"/>
                      <w:szCs w:val="21"/>
                      <w:highlight w:val="none"/>
                      <w:u w:val="none"/>
                      <w:lang w:val="en-US" w:eastAsia="zh-CN"/>
                    </w:rPr>
                    <w:t>HW08</w:t>
                  </w:r>
                  <w:r>
                    <w:rPr>
                      <w:rFonts w:hint="eastAsia" w:ascii="Times New Roman" w:hAnsi="Times New Roman" w:eastAsia="宋体" w:cs="Times New Roman"/>
                      <w:snapToGrid w:val="0"/>
                      <w:color w:val="auto"/>
                      <w:sz w:val="21"/>
                      <w:szCs w:val="21"/>
                      <w:highlight w:val="none"/>
                      <w:u w:val="none"/>
                      <w:lang w:val="en-US" w:eastAsia="zh-CN"/>
                    </w:rPr>
                    <w:t>，</w:t>
                  </w:r>
                  <w:r>
                    <w:rPr>
                      <w:rFonts w:hint="default" w:ascii="Times New Roman" w:hAnsi="Times New Roman" w:eastAsia="宋体" w:cs="Times New Roman"/>
                      <w:snapToGrid w:val="0"/>
                      <w:color w:val="auto"/>
                      <w:sz w:val="21"/>
                      <w:szCs w:val="21"/>
                      <w:highlight w:val="none"/>
                      <w:u w:val="none"/>
                      <w:lang w:val="en-US" w:eastAsia="zh-CN"/>
                    </w:rPr>
                    <w:t>900-214</w:t>
                  </w:r>
                </w:p>
                <w:p w14:paraId="24A91B5F">
                  <w:pPr>
                    <w:adjustRightInd w:val="0"/>
                    <w:snapToGrid w:val="0"/>
                    <w:jc w:val="center"/>
                    <w:rPr>
                      <w:rFonts w:hint="eastAsia" w:ascii="Times New Roman" w:hAnsi="Times New Roman" w:eastAsia="宋体" w:cs="Times New Roman"/>
                      <w:snapToGrid w:val="0"/>
                      <w:color w:val="auto"/>
                      <w:kern w:val="2"/>
                      <w:sz w:val="21"/>
                      <w:szCs w:val="21"/>
                      <w:highlight w:val="none"/>
                      <w:u w:val="none"/>
                      <w:lang w:val="en-US" w:eastAsia="zh-CN" w:bidi="ar-SA"/>
                    </w:rPr>
                  </w:pPr>
                  <w:r>
                    <w:rPr>
                      <w:rFonts w:hint="default" w:ascii="Times New Roman" w:hAnsi="Times New Roman" w:eastAsia="宋体" w:cs="Times New Roman"/>
                      <w:snapToGrid w:val="0"/>
                      <w:color w:val="auto"/>
                      <w:sz w:val="21"/>
                      <w:szCs w:val="21"/>
                      <w:highlight w:val="none"/>
                      <w:u w:val="none"/>
                      <w:lang w:val="en-US" w:eastAsia="zh-CN"/>
                    </w:rPr>
                    <w:t>-08</w:t>
                  </w:r>
                </w:p>
              </w:tc>
              <w:tc>
                <w:tcPr>
                  <w:tcW w:w="195" w:type="pct"/>
                  <w:tcBorders>
                    <w:tl2br w:val="nil"/>
                    <w:tr2bl w:val="nil"/>
                  </w:tcBorders>
                  <w:shd w:val="clear" w:color="auto" w:fill="auto"/>
                  <w:textDirection w:val="tbRlV"/>
                  <w:vAlign w:val="center"/>
                </w:tcPr>
                <w:p w14:paraId="0BF4AC2B">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固 态</w:t>
                  </w:r>
                </w:p>
              </w:tc>
              <w:tc>
                <w:tcPr>
                  <w:tcW w:w="390" w:type="pct"/>
                  <w:tcBorders>
                    <w:tl2br w:val="nil"/>
                    <w:tr2bl w:val="nil"/>
                  </w:tcBorders>
                  <w:shd w:val="clear" w:color="auto" w:fill="auto"/>
                  <w:vAlign w:val="center"/>
                </w:tcPr>
                <w:p w14:paraId="7A8F4966">
                  <w:pPr>
                    <w:pStyle w:val="152"/>
                    <w:jc w:val="center"/>
                    <w:rPr>
                      <w:rFonts w:hint="default"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T,I</w:t>
                  </w:r>
                </w:p>
              </w:tc>
              <w:tc>
                <w:tcPr>
                  <w:tcW w:w="471" w:type="pct"/>
                  <w:tcBorders>
                    <w:tl2br w:val="nil"/>
                    <w:tr2bl w:val="nil"/>
                  </w:tcBorders>
                  <w:shd w:val="clear" w:color="auto" w:fill="auto"/>
                  <w:vAlign w:val="center"/>
                </w:tcPr>
                <w:p w14:paraId="5F48D1A7">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0.002</w:t>
                  </w:r>
                  <w:r>
                    <w:rPr>
                      <w:rFonts w:hint="eastAsia" w:ascii="Times New Roman" w:cs="Times New Roman"/>
                      <w:color w:val="auto"/>
                      <w:sz w:val="21"/>
                      <w:szCs w:val="21"/>
                      <w:highlight w:val="none"/>
                      <w:u w:val="none"/>
                    </w:rPr>
                    <w:t>t/a</w:t>
                  </w:r>
                </w:p>
              </w:tc>
              <w:tc>
                <w:tcPr>
                  <w:tcW w:w="447" w:type="pct"/>
                  <w:tcBorders>
                    <w:tl2br w:val="nil"/>
                    <w:tr2bl w:val="nil"/>
                  </w:tcBorders>
                  <w:shd w:val="clear" w:color="auto" w:fill="auto"/>
                  <w:vAlign w:val="center"/>
                </w:tcPr>
                <w:p w14:paraId="568097D6">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危废暂存间</w:t>
                  </w:r>
                </w:p>
              </w:tc>
              <w:tc>
                <w:tcPr>
                  <w:tcW w:w="555" w:type="pct"/>
                  <w:tcBorders>
                    <w:tl2br w:val="nil"/>
                    <w:tr2bl w:val="nil"/>
                  </w:tcBorders>
                  <w:shd w:val="clear" w:color="auto" w:fill="auto"/>
                  <w:vAlign w:val="center"/>
                </w:tcPr>
                <w:p w14:paraId="28693EEE">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 xml:space="preserve">交由有资质的单位处置  </w:t>
                  </w:r>
                </w:p>
              </w:tc>
              <w:tc>
                <w:tcPr>
                  <w:tcW w:w="531" w:type="pct"/>
                  <w:tcBorders>
                    <w:tl2br w:val="nil"/>
                    <w:tr2bl w:val="nil"/>
                  </w:tcBorders>
                  <w:shd w:val="clear" w:color="auto" w:fill="auto"/>
                  <w:vAlign w:val="center"/>
                </w:tcPr>
                <w:p w14:paraId="48837E26">
                  <w:pPr>
                    <w:pStyle w:val="152"/>
                    <w:jc w:val="center"/>
                    <w:rPr>
                      <w:rFonts w:hint="eastAsia"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lang w:val="en-US" w:eastAsia="zh-CN"/>
                    </w:rPr>
                    <w:t>0.002</w:t>
                  </w:r>
                  <w:r>
                    <w:rPr>
                      <w:rFonts w:hint="eastAsia" w:ascii="Times New Roman" w:cs="Times New Roman"/>
                      <w:color w:val="auto"/>
                      <w:sz w:val="21"/>
                      <w:szCs w:val="21"/>
                      <w:highlight w:val="none"/>
                      <w:u w:val="none"/>
                    </w:rPr>
                    <w:t>t/a</w:t>
                  </w:r>
                </w:p>
              </w:tc>
              <w:tc>
                <w:tcPr>
                  <w:tcW w:w="629" w:type="pct"/>
                  <w:vMerge w:val="continue"/>
                  <w:tcBorders>
                    <w:tl2br w:val="nil"/>
                    <w:tr2bl w:val="nil"/>
                  </w:tcBorders>
                  <w:vAlign w:val="center"/>
                </w:tcPr>
                <w:p w14:paraId="35103ED1">
                  <w:pPr>
                    <w:pStyle w:val="152"/>
                    <w:jc w:val="center"/>
                    <w:rPr>
                      <w:rFonts w:hint="eastAsia" w:ascii="Times New Roman" w:cs="Times New Roman"/>
                      <w:color w:val="auto"/>
                      <w:sz w:val="21"/>
                      <w:szCs w:val="21"/>
                      <w:highlight w:val="none"/>
                      <w:u w:val="none"/>
                    </w:rPr>
                  </w:pPr>
                </w:p>
              </w:tc>
            </w:tr>
            <w:tr w14:paraId="511F6F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231" w:type="pct"/>
                  <w:tcBorders>
                    <w:tl2br w:val="nil"/>
                    <w:tr2bl w:val="nil"/>
                  </w:tcBorders>
                  <w:vAlign w:val="center"/>
                </w:tcPr>
                <w:p w14:paraId="6F1E8D5A">
                  <w:pPr>
                    <w:pStyle w:val="152"/>
                    <w:jc w:val="center"/>
                    <w:rPr>
                      <w:rFonts w:hint="default"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5</w:t>
                  </w:r>
                </w:p>
              </w:tc>
              <w:tc>
                <w:tcPr>
                  <w:tcW w:w="443" w:type="pct"/>
                  <w:tcBorders>
                    <w:tl2br w:val="nil"/>
                    <w:tr2bl w:val="nil"/>
                  </w:tcBorders>
                  <w:shd w:val="clear" w:color="auto" w:fill="auto"/>
                  <w:vAlign w:val="center"/>
                </w:tcPr>
                <w:p w14:paraId="26A451DA">
                  <w:pPr>
                    <w:adjustRightInd w:val="0"/>
                    <w:snapToGrid w:val="0"/>
                    <w:jc w:val="center"/>
                    <w:rPr>
                      <w:rFonts w:hint="eastAsia"/>
                      <w:snapToGrid w:val="0"/>
                      <w:color w:val="auto"/>
                      <w:sz w:val="21"/>
                      <w:szCs w:val="21"/>
                      <w:highlight w:val="none"/>
                      <w:u w:val="none"/>
                      <w:lang w:eastAsia="zh-CN"/>
                    </w:rPr>
                  </w:pPr>
                  <w:r>
                    <w:rPr>
                      <w:rFonts w:hint="eastAsia"/>
                      <w:snapToGrid w:val="0"/>
                      <w:color w:val="auto"/>
                      <w:sz w:val="21"/>
                      <w:szCs w:val="21"/>
                      <w:highlight w:val="none"/>
                      <w:u w:val="none"/>
                      <w:lang w:eastAsia="zh-CN"/>
                    </w:rPr>
                    <w:t>含油废抹布及手套</w:t>
                  </w:r>
                </w:p>
              </w:tc>
              <w:tc>
                <w:tcPr>
                  <w:tcW w:w="377" w:type="pct"/>
                  <w:tcBorders>
                    <w:tl2br w:val="nil"/>
                    <w:tr2bl w:val="nil"/>
                  </w:tcBorders>
                  <w:shd w:val="clear" w:color="auto" w:fill="auto"/>
                  <w:vAlign w:val="center"/>
                </w:tcPr>
                <w:p w14:paraId="2B659203">
                  <w:pPr>
                    <w:adjustRightInd w:val="0"/>
                    <w:snapToGrid w:val="0"/>
                    <w:jc w:val="center"/>
                    <w:rPr>
                      <w:rFonts w:hint="default" w:ascii="Times New Roman" w:hAnsi="Times New Roman" w:eastAsia="宋体" w:cs="Times New Roman"/>
                      <w:snapToGrid w:val="0"/>
                      <w:color w:val="auto"/>
                      <w:sz w:val="21"/>
                      <w:szCs w:val="21"/>
                      <w:highlight w:val="none"/>
                      <w:u w:val="none"/>
                      <w:lang w:val="en-US" w:eastAsia="zh-CN"/>
                    </w:rPr>
                  </w:pPr>
                  <w:r>
                    <w:rPr>
                      <w:rFonts w:hint="eastAsia" w:ascii="Times New Roman" w:hAnsi="Times New Roman" w:eastAsia="宋体" w:cs="Times New Roman"/>
                      <w:snapToGrid w:val="0"/>
                      <w:color w:val="auto"/>
                      <w:sz w:val="21"/>
                      <w:szCs w:val="21"/>
                      <w:highlight w:val="none"/>
                      <w:u w:val="none"/>
                      <w:lang w:val="en-US" w:eastAsia="zh-CN"/>
                    </w:rPr>
                    <w:t>维护保养</w:t>
                  </w:r>
                </w:p>
              </w:tc>
              <w:tc>
                <w:tcPr>
                  <w:tcW w:w="725" w:type="pct"/>
                  <w:tcBorders>
                    <w:tl2br w:val="nil"/>
                    <w:tr2bl w:val="nil"/>
                  </w:tcBorders>
                  <w:shd w:val="clear" w:color="auto" w:fill="auto"/>
                  <w:vAlign w:val="center"/>
                </w:tcPr>
                <w:p w14:paraId="50DCA988">
                  <w:pPr>
                    <w:adjustRightInd w:val="0"/>
                    <w:snapToGrid w:val="0"/>
                    <w:jc w:val="center"/>
                    <w:rPr>
                      <w:rFonts w:hint="default" w:ascii="Times New Roman" w:hAnsi="Times New Roman" w:eastAsia="宋体" w:cs="Times New Roman"/>
                      <w:snapToGrid w:val="0"/>
                      <w:color w:val="auto"/>
                      <w:sz w:val="21"/>
                      <w:szCs w:val="21"/>
                      <w:highlight w:val="none"/>
                      <w:u w:val="none"/>
                      <w:lang w:val="en-US" w:eastAsia="zh-CN"/>
                    </w:rPr>
                  </w:pPr>
                  <w:r>
                    <w:rPr>
                      <w:rFonts w:hint="eastAsia" w:ascii="Times New Roman" w:hAnsi="Times New Roman" w:eastAsia="宋体" w:cs="Times New Roman"/>
                      <w:snapToGrid w:val="0"/>
                      <w:color w:val="auto"/>
                      <w:sz w:val="21"/>
                      <w:szCs w:val="21"/>
                      <w:highlight w:val="none"/>
                      <w:u w:val="none"/>
                      <w:lang w:val="en-US" w:eastAsia="zh-CN"/>
                    </w:rPr>
                    <w:t>危险废物</w:t>
                  </w:r>
                  <w:r>
                    <w:rPr>
                      <w:rFonts w:hint="default" w:ascii="Times New Roman" w:hAnsi="Times New Roman" w:eastAsia="宋体" w:cs="Times New Roman"/>
                      <w:snapToGrid w:val="0"/>
                      <w:color w:val="auto"/>
                      <w:sz w:val="21"/>
                      <w:szCs w:val="21"/>
                      <w:highlight w:val="none"/>
                      <w:u w:val="none"/>
                      <w:lang w:val="en-US" w:eastAsia="zh-CN"/>
                    </w:rPr>
                    <w:t>HW</w:t>
                  </w:r>
                  <w:r>
                    <w:rPr>
                      <w:rFonts w:hint="eastAsia" w:ascii="Times New Roman" w:hAnsi="Times New Roman" w:eastAsia="宋体" w:cs="Times New Roman"/>
                      <w:snapToGrid w:val="0"/>
                      <w:color w:val="auto"/>
                      <w:sz w:val="21"/>
                      <w:szCs w:val="21"/>
                      <w:highlight w:val="none"/>
                      <w:u w:val="none"/>
                      <w:lang w:val="en-US" w:eastAsia="zh-CN"/>
                    </w:rPr>
                    <w:t>49，900-041-48</w:t>
                  </w:r>
                </w:p>
              </w:tc>
              <w:tc>
                <w:tcPr>
                  <w:tcW w:w="195" w:type="pct"/>
                  <w:tcBorders>
                    <w:tl2br w:val="nil"/>
                    <w:tr2bl w:val="nil"/>
                  </w:tcBorders>
                  <w:shd w:val="clear" w:color="auto" w:fill="auto"/>
                  <w:textDirection w:val="tbRlV"/>
                  <w:vAlign w:val="center"/>
                </w:tcPr>
                <w:p w14:paraId="1FE5549D">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固 态</w:t>
                  </w:r>
                </w:p>
              </w:tc>
              <w:tc>
                <w:tcPr>
                  <w:tcW w:w="390" w:type="pct"/>
                  <w:tcBorders>
                    <w:tl2br w:val="nil"/>
                    <w:tr2bl w:val="nil"/>
                  </w:tcBorders>
                  <w:shd w:val="clear" w:color="auto" w:fill="auto"/>
                  <w:vAlign w:val="center"/>
                </w:tcPr>
                <w:p w14:paraId="6CDE44CF">
                  <w:pPr>
                    <w:pStyle w:val="152"/>
                    <w:jc w:val="center"/>
                    <w:rPr>
                      <w:rFonts w:hint="eastAsia" w:ascii="Times New Roman" w:cs="Times New Roman"/>
                      <w:color w:val="auto"/>
                      <w:sz w:val="21"/>
                      <w:szCs w:val="21"/>
                      <w:highlight w:val="none"/>
                      <w:u w:val="none"/>
                    </w:rPr>
                  </w:pPr>
                  <w:r>
                    <w:rPr>
                      <w:rFonts w:hint="eastAsia" w:ascii="Times New Roman" w:cs="Times New Roman"/>
                      <w:color w:val="auto"/>
                      <w:sz w:val="21"/>
                      <w:szCs w:val="21"/>
                      <w:highlight w:val="none"/>
                      <w:u w:val="none"/>
                    </w:rPr>
                    <w:t>/</w:t>
                  </w:r>
                </w:p>
              </w:tc>
              <w:tc>
                <w:tcPr>
                  <w:tcW w:w="471" w:type="pct"/>
                  <w:tcBorders>
                    <w:tl2br w:val="nil"/>
                    <w:tr2bl w:val="nil"/>
                  </w:tcBorders>
                  <w:shd w:val="clear" w:color="auto" w:fill="auto"/>
                  <w:vAlign w:val="center"/>
                </w:tcPr>
                <w:p w14:paraId="21E78A0F">
                  <w:pPr>
                    <w:pStyle w:val="152"/>
                    <w:jc w:val="center"/>
                    <w:rPr>
                      <w:rFonts w:hint="eastAsia"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0.001</w:t>
                  </w:r>
                  <w:r>
                    <w:rPr>
                      <w:rFonts w:hint="eastAsia" w:ascii="Times New Roman" w:cs="Times New Roman"/>
                      <w:color w:val="auto"/>
                      <w:sz w:val="21"/>
                      <w:szCs w:val="21"/>
                      <w:highlight w:val="none"/>
                      <w:u w:val="none"/>
                    </w:rPr>
                    <w:t>t/a</w:t>
                  </w:r>
                </w:p>
              </w:tc>
              <w:tc>
                <w:tcPr>
                  <w:tcW w:w="447" w:type="pct"/>
                  <w:tcBorders>
                    <w:tl2br w:val="nil"/>
                    <w:tr2bl w:val="nil"/>
                  </w:tcBorders>
                  <w:shd w:val="clear" w:color="auto" w:fill="auto"/>
                  <w:vAlign w:val="center"/>
                </w:tcPr>
                <w:p w14:paraId="520DF006">
                  <w:pPr>
                    <w:pStyle w:val="152"/>
                    <w:jc w:val="center"/>
                    <w:rPr>
                      <w:rFonts w:hint="eastAsia"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危废暂存间</w:t>
                  </w:r>
                </w:p>
              </w:tc>
              <w:tc>
                <w:tcPr>
                  <w:tcW w:w="555" w:type="pct"/>
                  <w:tcBorders>
                    <w:tl2br w:val="nil"/>
                    <w:tr2bl w:val="nil"/>
                  </w:tcBorders>
                  <w:shd w:val="clear" w:color="auto" w:fill="auto"/>
                  <w:vAlign w:val="center"/>
                </w:tcPr>
                <w:p w14:paraId="0478C031">
                  <w:pPr>
                    <w:pStyle w:val="152"/>
                    <w:jc w:val="center"/>
                    <w:rPr>
                      <w:rFonts w:hint="eastAsia"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 xml:space="preserve">交由有资质的单位处置 </w:t>
                  </w:r>
                </w:p>
              </w:tc>
              <w:tc>
                <w:tcPr>
                  <w:tcW w:w="531" w:type="pct"/>
                  <w:tcBorders>
                    <w:tl2br w:val="nil"/>
                    <w:tr2bl w:val="nil"/>
                  </w:tcBorders>
                  <w:shd w:val="clear" w:color="auto" w:fill="auto"/>
                  <w:vAlign w:val="center"/>
                </w:tcPr>
                <w:p w14:paraId="46AB51A9">
                  <w:pPr>
                    <w:pStyle w:val="152"/>
                    <w:jc w:val="center"/>
                    <w:rPr>
                      <w:rFonts w:hint="eastAsia" w:ascii="Times New Roman" w:cs="Times New Roman"/>
                      <w:color w:val="auto"/>
                      <w:sz w:val="21"/>
                      <w:szCs w:val="21"/>
                      <w:highlight w:val="none"/>
                      <w:u w:val="none"/>
                      <w:lang w:val="en-US" w:eastAsia="zh-CN"/>
                    </w:rPr>
                  </w:pPr>
                  <w:r>
                    <w:rPr>
                      <w:rFonts w:hint="eastAsia" w:ascii="Times New Roman" w:cs="Times New Roman"/>
                      <w:color w:val="auto"/>
                      <w:sz w:val="21"/>
                      <w:szCs w:val="21"/>
                      <w:highlight w:val="none"/>
                      <w:u w:val="none"/>
                      <w:lang w:val="en-US" w:eastAsia="zh-CN"/>
                    </w:rPr>
                    <w:t>0.001</w:t>
                  </w:r>
                  <w:r>
                    <w:rPr>
                      <w:rFonts w:hint="eastAsia" w:ascii="Times New Roman" w:cs="Times New Roman"/>
                      <w:color w:val="auto"/>
                      <w:sz w:val="21"/>
                      <w:szCs w:val="21"/>
                      <w:highlight w:val="none"/>
                      <w:u w:val="none"/>
                    </w:rPr>
                    <w:t>t/a</w:t>
                  </w:r>
                </w:p>
              </w:tc>
              <w:tc>
                <w:tcPr>
                  <w:tcW w:w="629" w:type="pct"/>
                  <w:vMerge w:val="continue"/>
                  <w:tcBorders>
                    <w:tl2br w:val="nil"/>
                    <w:tr2bl w:val="nil"/>
                  </w:tcBorders>
                  <w:vAlign w:val="center"/>
                </w:tcPr>
                <w:p w14:paraId="6F1F7E98">
                  <w:pPr>
                    <w:pStyle w:val="152"/>
                    <w:jc w:val="center"/>
                    <w:rPr>
                      <w:rFonts w:hint="eastAsia" w:ascii="Times New Roman" w:cs="Times New Roman"/>
                      <w:color w:val="auto"/>
                      <w:sz w:val="21"/>
                      <w:szCs w:val="21"/>
                      <w:highlight w:val="none"/>
                      <w:u w:val="none"/>
                    </w:rPr>
                  </w:pPr>
                </w:p>
              </w:tc>
            </w:tr>
          </w:tbl>
          <w:p w14:paraId="2E58D77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（1）锅炉灰渣</w:t>
            </w:r>
          </w:p>
          <w:p w14:paraId="752B9FE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项目使用生物质成型燃料</w:t>
            </w:r>
            <w:r>
              <w:rPr>
                <w:rFonts w:hint="eastAsia" w:cs="Times New Roman"/>
                <w:color w:val="auto"/>
                <w:sz w:val="24"/>
                <w:highlight w:val="none"/>
                <w:u w:val="none" w:color="auto"/>
                <w:lang w:val="en-US" w:eastAsia="zh-CN"/>
              </w:rPr>
              <w:t>260</w:t>
            </w:r>
            <w:r>
              <w:rPr>
                <w:rFonts w:hint="default" w:ascii="Times New Roman" w:hAnsi="Times New Roman" w:eastAsia="宋体" w:cs="Times New Roman"/>
                <w:color w:val="auto"/>
                <w:sz w:val="24"/>
                <w:highlight w:val="none"/>
                <w:u w:val="none" w:color="auto"/>
                <w:lang w:eastAsia="zh-CN"/>
              </w:rPr>
              <w:t>t/a，产生灰渣约</w:t>
            </w:r>
            <w:r>
              <w:rPr>
                <w:rFonts w:hint="eastAsia" w:cs="Times New Roman"/>
                <w:color w:val="auto"/>
                <w:sz w:val="24"/>
                <w:highlight w:val="none"/>
                <w:u w:val="none" w:color="auto"/>
                <w:lang w:val="en-US" w:eastAsia="zh-CN"/>
              </w:rPr>
              <w:t>3.8t</w:t>
            </w:r>
            <w:r>
              <w:rPr>
                <w:rFonts w:hint="default" w:ascii="Times New Roman" w:hAnsi="Times New Roman" w:eastAsia="宋体" w:cs="Times New Roman"/>
                <w:color w:val="auto"/>
                <w:sz w:val="24"/>
                <w:highlight w:val="none"/>
                <w:u w:val="none" w:color="auto"/>
                <w:lang w:eastAsia="zh-CN"/>
              </w:rPr>
              <w:t>/a，外售周边居民作为农肥综合利用。</w:t>
            </w:r>
          </w:p>
          <w:p w14:paraId="1F95E6D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w:t>
            </w:r>
            <w:r>
              <w:rPr>
                <w:rFonts w:hint="eastAsia" w:cs="Times New Roman"/>
                <w:color w:val="auto"/>
                <w:sz w:val="24"/>
                <w:highlight w:val="none"/>
                <w:u w:val="none" w:color="auto"/>
                <w:lang w:val="en-US" w:eastAsia="zh-CN"/>
              </w:rPr>
              <w:t>2</w:t>
            </w:r>
            <w:r>
              <w:rPr>
                <w:rFonts w:hint="default" w:ascii="Times New Roman" w:hAnsi="Times New Roman" w:eastAsia="宋体" w:cs="Times New Roman"/>
                <w:color w:val="auto"/>
                <w:sz w:val="24"/>
                <w:highlight w:val="none"/>
                <w:u w:val="none" w:color="auto"/>
                <w:lang w:eastAsia="zh-CN"/>
              </w:rPr>
              <w:t>）水膜除尘收集的尘灰</w:t>
            </w:r>
          </w:p>
          <w:p w14:paraId="7C0E3D6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项目锅炉产生的烟尘经</w:t>
            </w:r>
            <w:r>
              <w:rPr>
                <w:rFonts w:hint="eastAsia" w:cs="Times New Roman"/>
                <w:color w:val="auto"/>
                <w:sz w:val="24"/>
                <w:highlight w:val="none"/>
                <w:u w:val="none" w:color="auto"/>
                <w:lang w:eastAsia="zh-CN"/>
              </w:rPr>
              <w:t>水膜除尘器</w:t>
            </w:r>
            <w:r>
              <w:rPr>
                <w:rFonts w:hint="default" w:ascii="Times New Roman" w:hAnsi="Times New Roman" w:eastAsia="宋体" w:cs="Times New Roman"/>
                <w:color w:val="auto"/>
                <w:sz w:val="24"/>
                <w:highlight w:val="none"/>
                <w:u w:val="none" w:color="auto"/>
                <w:lang w:eastAsia="zh-CN"/>
              </w:rPr>
              <w:t>处理，</w:t>
            </w:r>
            <w:r>
              <w:rPr>
                <w:rFonts w:hint="eastAsia" w:cs="Times New Roman"/>
                <w:color w:val="auto"/>
                <w:sz w:val="24"/>
                <w:highlight w:val="none"/>
                <w:u w:val="none" w:color="auto"/>
                <w:lang w:eastAsia="zh-CN"/>
              </w:rPr>
              <w:t>水膜除尘器</w:t>
            </w:r>
            <w:r>
              <w:rPr>
                <w:rFonts w:hint="default" w:ascii="Times New Roman" w:hAnsi="Times New Roman" w:eastAsia="宋体" w:cs="Times New Roman"/>
                <w:color w:val="auto"/>
                <w:sz w:val="24"/>
                <w:highlight w:val="none"/>
                <w:u w:val="none" w:color="auto"/>
                <w:lang w:eastAsia="zh-CN"/>
              </w:rPr>
              <w:t>收集的尘灰量约为</w:t>
            </w:r>
            <w:r>
              <w:rPr>
                <w:rFonts w:hint="eastAsia" w:cs="Times New Roman"/>
                <w:color w:val="auto"/>
                <w:sz w:val="24"/>
                <w:highlight w:val="none"/>
                <w:u w:val="none" w:color="auto"/>
                <w:lang w:val="en-US" w:eastAsia="zh-CN"/>
              </w:rPr>
              <w:t>0.12</w:t>
            </w:r>
            <w:r>
              <w:rPr>
                <w:rFonts w:hint="default" w:ascii="Times New Roman" w:hAnsi="Times New Roman" w:eastAsia="宋体" w:cs="Times New Roman"/>
                <w:color w:val="auto"/>
                <w:sz w:val="24"/>
                <w:highlight w:val="none"/>
                <w:u w:val="none" w:color="auto"/>
                <w:lang w:eastAsia="zh-CN"/>
              </w:rPr>
              <w:t>t/a</w:t>
            </w:r>
            <w:r>
              <w:rPr>
                <w:rFonts w:hint="eastAsia" w:cs="Times New Roman"/>
                <w:color w:val="auto"/>
                <w:sz w:val="24"/>
                <w:highlight w:val="none"/>
                <w:u w:val="none" w:color="auto"/>
                <w:lang w:eastAsia="zh-CN"/>
              </w:rPr>
              <w:t>，</w:t>
            </w:r>
            <w:r>
              <w:rPr>
                <w:rFonts w:hint="default" w:ascii="Times New Roman" w:hAnsi="Times New Roman" w:eastAsia="宋体" w:cs="Times New Roman"/>
                <w:color w:val="auto"/>
                <w:sz w:val="24"/>
                <w:highlight w:val="none"/>
                <w:u w:val="none" w:color="auto"/>
                <w:lang w:eastAsia="zh-CN"/>
              </w:rPr>
              <w:t>外售作肥料使用。</w:t>
            </w:r>
          </w:p>
          <w:p w14:paraId="6445DD1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w:t>
            </w:r>
            <w:r>
              <w:rPr>
                <w:rFonts w:hint="eastAsia" w:cs="Times New Roman"/>
                <w:color w:val="auto"/>
                <w:sz w:val="24"/>
                <w:highlight w:val="none"/>
                <w:u w:val="none" w:color="auto"/>
                <w:lang w:val="en-US" w:eastAsia="zh-CN"/>
              </w:rPr>
              <w:t>3</w:t>
            </w:r>
            <w:r>
              <w:rPr>
                <w:rFonts w:hint="default" w:ascii="Times New Roman" w:hAnsi="Times New Roman" w:eastAsia="宋体" w:cs="Times New Roman"/>
                <w:color w:val="auto"/>
                <w:sz w:val="24"/>
                <w:highlight w:val="none"/>
                <w:u w:val="none" w:color="auto"/>
                <w:lang w:eastAsia="zh-CN"/>
              </w:rPr>
              <w:t>）饱和或者废弃的离子交换树脂</w:t>
            </w:r>
          </w:p>
          <w:p w14:paraId="5A02DAC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highlight w:val="none"/>
                <w:u w:val="none" w:color="auto"/>
                <w:lang w:eastAsia="zh-CN"/>
              </w:rPr>
            </w:pPr>
            <w:r>
              <w:rPr>
                <w:rFonts w:hint="default" w:ascii="Times New Roman" w:hAnsi="Times New Roman" w:eastAsia="宋体" w:cs="Times New Roman"/>
                <w:color w:val="auto"/>
                <w:sz w:val="24"/>
                <w:highlight w:val="none"/>
                <w:u w:val="none" w:color="auto"/>
                <w:lang w:eastAsia="zh-CN"/>
              </w:rPr>
              <w:t>本项目锅炉软水制备过程中，离子交换树脂两年更换一次，更换一次产生废弃离子交换树脂</w:t>
            </w:r>
            <w:r>
              <w:rPr>
                <w:rFonts w:hint="eastAsia" w:cs="Times New Roman"/>
                <w:color w:val="auto"/>
                <w:sz w:val="24"/>
                <w:highlight w:val="none"/>
                <w:u w:val="none" w:color="auto"/>
                <w:lang w:val="en-US" w:eastAsia="zh-CN"/>
              </w:rPr>
              <w:t>0.2</w:t>
            </w:r>
            <w:r>
              <w:rPr>
                <w:rFonts w:hint="default" w:ascii="Times New Roman" w:hAnsi="Times New Roman" w:eastAsia="宋体" w:cs="Times New Roman"/>
                <w:color w:val="auto"/>
                <w:sz w:val="24"/>
                <w:highlight w:val="none"/>
                <w:u w:val="none" w:color="auto"/>
                <w:lang w:eastAsia="zh-CN"/>
              </w:rPr>
              <w:t>t，折合0.</w:t>
            </w:r>
            <w:r>
              <w:rPr>
                <w:rFonts w:hint="eastAsia" w:cs="Times New Roman"/>
                <w:color w:val="auto"/>
                <w:sz w:val="24"/>
                <w:highlight w:val="none"/>
                <w:u w:val="none" w:color="auto"/>
                <w:lang w:val="en-US" w:eastAsia="zh-CN"/>
              </w:rPr>
              <w:t>1</w:t>
            </w:r>
            <w:r>
              <w:rPr>
                <w:rFonts w:hint="default" w:ascii="Times New Roman" w:hAnsi="Times New Roman" w:eastAsia="宋体" w:cs="Times New Roman"/>
                <w:color w:val="auto"/>
                <w:sz w:val="24"/>
                <w:highlight w:val="none"/>
                <w:u w:val="none" w:color="auto"/>
                <w:lang w:eastAsia="zh-CN"/>
              </w:rPr>
              <w:t>t/a</w:t>
            </w:r>
            <w:r>
              <w:rPr>
                <w:rFonts w:hint="eastAsia" w:cs="Times New Roman"/>
                <w:color w:val="auto"/>
                <w:sz w:val="24"/>
                <w:highlight w:val="none"/>
                <w:u w:val="none" w:color="auto"/>
                <w:lang w:eastAsia="zh-CN"/>
              </w:rPr>
              <w:t>，</w:t>
            </w:r>
            <w:r>
              <w:rPr>
                <w:rFonts w:hint="default" w:ascii="Times New Roman" w:hAnsi="Times New Roman" w:eastAsia="宋体" w:cs="Times New Roman"/>
                <w:color w:val="auto"/>
                <w:sz w:val="24"/>
                <w:highlight w:val="none"/>
                <w:u w:val="none" w:color="auto"/>
                <w:lang w:eastAsia="zh-CN"/>
              </w:rPr>
              <w:t>属于一般固废，收集后定期交由厂家回收处理。</w:t>
            </w:r>
          </w:p>
          <w:p w14:paraId="17A47A32">
            <w:pPr>
              <w:spacing w:line="360" w:lineRule="auto"/>
              <w:ind w:firstLine="480" w:firstLineChars="200"/>
              <w:rPr>
                <w:rFonts w:hint="eastAsia" w:eastAsia="宋体"/>
                <w:color w:val="auto"/>
                <w:sz w:val="24"/>
                <w:highlight w:val="none"/>
                <w:lang w:eastAsia="zh-CN"/>
              </w:rPr>
            </w:pPr>
            <w:r>
              <w:rPr>
                <w:rFonts w:hint="eastAsia" w:cs="Times New Roman"/>
                <w:bCs/>
                <w:color w:val="auto"/>
                <w:sz w:val="24"/>
                <w:szCs w:val="24"/>
                <w:highlight w:val="none"/>
                <w:lang w:eastAsia="zh-CN"/>
              </w:rPr>
              <w:t>（</w:t>
            </w:r>
            <w:r>
              <w:rPr>
                <w:rFonts w:hint="eastAsia" w:cs="Times New Roman"/>
                <w:bCs/>
                <w:color w:val="auto"/>
                <w:sz w:val="24"/>
                <w:szCs w:val="24"/>
                <w:highlight w:val="none"/>
                <w:lang w:val="en-US" w:eastAsia="zh-CN"/>
              </w:rPr>
              <w:t>4</w:t>
            </w:r>
            <w:r>
              <w:rPr>
                <w:rFonts w:hint="eastAsia" w:cs="Times New Roman"/>
                <w:bCs/>
                <w:color w:val="auto"/>
                <w:sz w:val="24"/>
                <w:szCs w:val="24"/>
                <w:highlight w:val="none"/>
                <w:lang w:eastAsia="zh-CN"/>
              </w:rPr>
              <w:t>）</w:t>
            </w:r>
            <w:r>
              <w:rPr>
                <w:rFonts w:hint="eastAsia"/>
                <w:color w:val="auto"/>
                <w:sz w:val="24"/>
                <w:highlight w:val="none"/>
                <w:lang w:eastAsia="zh-CN"/>
              </w:rPr>
              <w:t>废矿物油</w:t>
            </w:r>
          </w:p>
          <w:p w14:paraId="43D400BC">
            <w:pPr>
              <w:adjustRightInd w:val="0"/>
              <w:snapToGrid w:val="0"/>
              <w:spacing w:line="360" w:lineRule="auto"/>
              <w:ind w:firstLine="480" w:firstLineChars="200"/>
              <w:rPr>
                <w:rFonts w:hint="eastAsia"/>
                <w:color w:val="auto"/>
                <w:sz w:val="24"/>
                <w:highlight w:val="none"/>
              </w:rPr>
            </w:pPr>
            <w:r>
              <w:rPr>
                <w:rFonts w:hint="eastAsia"/>
                <w:color w:val="auto"/>
                <w:sz w:val="24"/>
                <w:highlight w:val="none"/>
              </w:rPr>
              <w:t>项目</w:t>
            </w:r>
            <w:r>
              <w:rPr>
                <w:rFonts w:hint="eastAsia"/>
                <w:color w:val="auto"/>
                <w:sz w:val="24"/>
                <w:highlight w:val="none"/>
                <w:lang w:val="en-US" w:eastAsia="zh-CN"/>
              </w:rPr>
              <w:t>锅炉</w:t>
            </w:r>
            <w:r>
              <w:rPr>
                <w:rFonts w:hint="eastAsia"/>
                <w:color w:val="auto"/>
                <w:sz w:val="24"/>
                <w:highlight w:val="none"/>
              </w:rPr>
              <w:t>日常维护保养会产生少量</w:t>
            </w:r>
            <w:r>
              <w:rPr>
                <w:rFonts w:hint="eastAsia"/>
                <w:color w:val="auto"/>
                <w:sz w:val="24"/>
                <w:highlight w:val="none"/>
                <w:lang w:eastAsia="zh-CN"/>
              </w:rPr>
              <w:t>废矿物油</w:t>
            </w:r>
            <w:r>
              <w:rPr>
                <w:rFonts w:hint="eastAsia"/>
                <w:color w:val="auto"/>
                <w:sz w:val="24"/>
                <w:highlight w:val="none"/>
              </w:rPr>
              <w:t>，根据《国家危险废物名录》（20</w:t>
            </w:r>
            <w:r>
              <w:rPr>
                <w:color w:val="auto"/>
                <w:sz w:val="24"/>
                <w:highlight w:val="none"/>
              </w:rPr>
              <w:t>2</w:t>
            </w:r>
            <w:r>
              <w:rPr>
                <w:rFonts w:hint="eastAsia"/>
                <w:color w:val="auto"/>
                <w:sz w:val="24"/>
                <w:highlight w:val="none"/>
                <w:lang w:val="en-US" w:eastAsia="zh-CN"/>
              </w:rPr>
              <w:t>5年版</w:t>
            </w:r>
            <w:r>
              <w:rPr>
                <w:rFonts w:hint="eastAsia"/>
                <w:color w:val="auto"/>
                <w:sz w:val="24"/>
                <w:highlight w:val="none"/>
              </w:rPr>
              <w:t>），属于危险废物，危废类别：HW</w:t>
            </w:r>
            <w:r>
              <w:rPr>
                <w:color w:val="auto"/>
                <w:sz w:val="24"/>
                <w:highlight w:val="none"/>
              </w:rPr>
              <w:t>08</w:t>
            </w:r>
            <w:r>
              <w:rPr>
                <w:rFonts w:hint="eastAsia"/>
                <w:color w:val="auto"/>
                <w:sz w:val="24"/>
                <w:highlight w:val="none"/>
              </w:rPr>
              <w:t>废矿物油与含矿物油废物，废物代码为</w:t>
            </w:r>
            <w:r>
              <w:rPr>
                <w:color w:val="auto"/>
                <w:sz w:val="24"/>
                <w:highlight w:val="none"/>
              </w:rPr>
              <w:t>900-249-08</w:t>
            </w:r>
            <w:r>
              <w:rPr>
                <w:rFonts w:hint="eastAsia"/>
                <w:color w:val="auto"/>
                <w:sz w:val="24"/>
                <w:highlight w:val="none"/>
              </w:rPr>
              <w:t>，产生量约为</w:t>
            </w:r>
            <w:r>
              <w:rPr>
                <w:rFonts w:hint="eastAsia"/>
                <w:color w:val="auto"/>
                <w:sz w:val="24"/>
                <w:highlight w:val="none"/>
                <w:lang w:val="en-US" w:eastAsia="zh-CN"/>
              </w:rPr>
              <w:t>0.002</w:t>
            </w:r>
            <w:r>
              <w:rPr>
                <w:rFonts w:hint="eastAsia"/>
                <w:color w:val="auto"/>
                <w:sz w:val="24"/>
                <w:highlight w:val="none"/>
              </w:rPr>
              <w:t>t/a，</w:t>
            </w:r>
            <w:r>
              <w:rPr>
                <w:rFonts w:hint="default" w:ascii="Times New Roman" w:hAnsi="Times New Roman" w:eastAsia="宋体" w:cs="Times New Roman"/>
                <w:b w:val="0"/>
                <w:bCs/>
                <w:color w:val="auto"/>
                <w:sz w:val="24"/>
                <w:szCs w:val="24"/>
                <w:highlight w:val="none"/>
                <w:lang w:val="en-US" w:eastAsia="zh-CN"/>
              </w:rPr>
              <w:t>暂存于</w:t>
            </w:r>
            <w:r>
              <w:rPr>
                <w:rFonts w:hint="eastAsia" w:ascii="Times New Roman" w:hAnsi="Times New Roman" w:eastAsia="宋体" w:cs="Times New Roman"/>
                <w:b w:val="0"/>
                <w:bCs/>
                <w:color w:val="auto"/>
                <w:sz w:val="24"/>
                <w:szCs w:val="24"/>
                <w:highlight w:val="none"/>
                <w:lang w:val="en-US" w:eastAsia="zh-CN"/>
              </w:rPr>
              <w:t>危废暂存间</w:t>
            </w:r>
            <w:r>
              <w:rPr>
                <w:rFonts w:hint="default" w:ascii="Times New Roman" w:hAnsi="Times New Roman" w:eastAsia="宋体" w:cs="Times New Roman"/>
                <w:b w:val="0"/>
                <w:bCs/>
                <w:color w:val="auto"/>
                <w:sz w:val="24"/>
                <w:szCs w:val="24"/>
                <w:highlight w:val="none"/>
                <w:lang w:val="en-US" w:eastAsia="zh-CN"/>
              </w:rPr>
              <w:t>，定期交</w:t>
            </w:r>
            <w:r>
              <w:rPr>
                <w:rFonts w:hint="eastAsia" w:ascii="Times New Roman" w:hAnsi="Times New Roman" w:eastAsia="宋体" w:cs="Times New Roman"/>
                <w:b w:val="0"/>
                <w:bCs/>
                <w:color w:val="auto"/>
                <w:sz w:val="24"/>
                <w:szCs w:val="24"/>
                <w:highlight w:val="none"/>
                <w:lang w:val="en-US" w:eastAsia="zh-CN"/>
              </w:rPr>
              <w:t>由有</w:t>
            </w:r>
            <w:r>
              <w:rPr>
                <w:rFonts w:hint="default" w:ascii="Times New Roman" w:hAnsi="Times New Roman" w:eastAsia="宋体" w:cs="Times New Roman"/>
                <w:b w:val="0"/>
                <w:bCs/>
                <w:color w:val="auto"/>
                <w:sz w:val="24"/>
                <w:szCs w:val="24"/>
                <w:highlight w:val="none"/>
                <w:lang w:val="en-US" w:eastAsia="zh-CN"/>
              </w:rPr>
              <w:t>危险废物处理资质单位处理</w:t>
            </w:r>
            <w:r>
              <w:rPr>
                <w:rFonts w:hint="eastAsia"/>
                <w:color w:val="auto"/>
                <w:sz w:val="24"/>
                <w:highlight w:val="none"/>
              </w:rPr>
              <w:t>。</w:t>
            </w:r>
          </w:p>
          <w:p w14:paraId="42D85994">
            <w:pPr>
              <w:adjustRightInd w:val="0"/>
              <w:snapToGrid w:val="0"/>
              <w:spacing w:line="360" w:lineRule="auto"/>
              <w:ind w:firstLine="480" w:firstLineChars="200"/>
              <w:rPr>
                <w:rFonts w:hint="eastAsia" w:ascii="Times New Roman" w:hAnsi="Times New Roman" w:eastAsia="宋体" w:cs="Times New Roman"/>
                <w:color w:val="auto"/>
                <w:sz w:val="24"/>
                <w:highlight w:val="none"/>
                <w:u w:val="none" w:color="auto"/>
                <w:lang w:eastAsia="zh-CN"/>
              </w:rPr>
            </w:pPr>
            <w:r>
              <w:rPr>
                <w:rFonts w:hint="eastAsia" w:ascii="Times New Roman" w:hAnsi="Times New Roman" w:eastAsia="宋体" w:cs="Times New Roman"/>
                <w:color w:val="auto"/>
                <w:sz w:val="24"/>
                <w:highlight w:val="none"/>
                <w:u w:val="none" w:color="auto"/>
                <w:lang w:eastAsia="zh-CN"/>
              </w:rPr>
              <w:t>（</w:t>
            </w:r>
            <w:r>
              <w:rPr>
                <w:rFonts w:hint="eastAsia" w:ascii="Times New Roman" w:hAnsi="Times New Roman" w:eastAsia="宋体" w:cs="Times New Roman"/>
                <w:color w:val="auto"/>
                <w:sz w:val="24"/>
                <w:highlight w:val="none"/>
                <w:u w:val="none" w:color="auto"/>
                <w:lang w:val="en-US" w:eastAsia="zh-CN"/>
              </w:rPr>
              <w:t>5</w:t>
            </w:r>
            <w:r>
              <w:rPr>
                <w:rFonts w:hint="eastAsia" w:ascii="Times New Roman" w:hAnsi="Times New Roman" w:eastAsia="宋体" w:cs="Times New Roman"/>
                <w:color w:val="auto"/>
                <w:sz w:val="24"/>
                <w:highlight w:val="none"/>
                <w:u w:val="none" w:color="auto"/>
                <w:lang w:eastAsia="zh-CN"/>
              </w:rPr>
              <w:t>）</w:t>
            </w:r>
            <w:r>
              <w:rPr>
                <w:rFonts w:hint="eastAsia" w:ascii="Times New Roman" w:hAnsi="Times New Roman" w:eastAsia="宋体" w:cs="Times New Roman"/>
                <w:color w:val="auto"/>
                <w:sz w:val="24"/>
                <w:highlight w:val="none"/>
                <w:u w:val="none" w:color="auto"/>
                <w:lang w:val="en-US" w:eastAsia="zh-CN"/>
              </w:rPr>
              <w:t>含油废抹布及手套</w:t>
            </w:r>
          </w:p>
          <w:p w14:paraId="631F1A72">
            <w:pPr>
              <w:adjustRightInd w:val="0"/>
              <w:snapToGrid w:val="0"/>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 xml:space="preserve">项目定期对设备进行清洁维护，擦拭完后会产生含油废抹布手套，根据建设单位提供资料，废抹布手套的产生量约为 </w:t>
            </w:r>
            <w:r>
              <w:rPr>
                <w:rFonts w:hint="default" w:ascii="Times New Roman" w:hAnsi="Times New Roman" w:eastAsia="宋体" w:cs="Times New Roman"/>
                <w:color w:val="auto"/>
                <w:sz w:val="24"/>
                <w:highlight w:val="none"/>
                <w:lang w:val="en-US" w:eastAsia="zh-CN"/>
              </w:rPr>
              <w:t>0.001t/a</w:t>
            </w:r>
            <w:r>
              <w:rPr>
                <w:rFonts w:hint="eastAsia" w:ascii="Times New Roman" w:hAnsi="Times New Roman" w:eastAsia="宋体" w:cs="Times New Roman"/>
                <w:color w:val="auto"/>
                <w:sz w:val="24"/>
                <w:highlight w:val="none"/>
                <w:lang w:val="en-US" w:eastAsia="zh-CN"/>
              </w:rPr>
              <w:t>，废抹布手套属于《国家危险废物名录》</w:t>
            </w:r>
            <w:r>
              <w:rPr>
                <w:rFonts w:hint="default" w:ascii="Times New Roman" w:hAnsi="Times New Roman" w:eastAsia="宋体" w:cs="Times New Roman"/>
                <w:color w:val="auto"/>
                <w:sz w:val="24"/>
                <w:highlight w:val="none"/>
                <w:lang w:val="en-US" w:eastAsia="zh-CN"/>
              </w:rPr>
              <w:t>(202</w:t>
            </w:r>
            <w:r>
              <w:rPr>
                <w:rFonts w:hint="eastAsia" w:ascii="Times New Roman" w:hAnsi="Times New Roman" w:eastAsia="宋体" w:cs="Times New Roman"/>
                <w:color w:val="auto"/>
                <w:sz w:val="24"/>
                <w:highlight w:val="none"/>
                <w:lang w:val="en-US" w:eastAsia="zh-CN"/>
              </w:rPr>
              <w:t>5年版</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中</w:t>
            </w:r>
            <w:r>
              <w:rPr>
                <w:rFonts w:hint="default" w:ascii="Times New Roman" w:hAnsi="Times New Roman" w:eastAsia="宋体" w:cs="Times New Roman"/>
                <w:color w:val="auto"/>
                <w:sz w:val="24"/>
                <w:highlight w:val="none"/>
                <w:lang w:val="en-US" w:eastAsia="zh-CN"/>
              </w:rPr>
              <w:t xml:space="preserve">“HW49 </w:t>
            </w:r>
            <w:r>
              <w:rPr>
                <w:rFonts w:hint="eastAsia" w:ascii="Times New Roman" w:hAnsi="Times New Roman" w:eastAsia="宋体" w:cs="Times New Roman"/>
                <w:color w:val="auto"/>
                <w:sz w:val="24"/>
                <w:highlight w:val="none"/>
                <w:lang w:val="en-US" w:eastAsia="zh-CN"/>
              </w:rPr>
              <w:t>其他废物</w:t>
            </w:r>
            <w:r>
              <w:rPr>
                <w:rFonts w:hint="default" w:ascii="Times New Roman" w:hAnsi="Times New Roman"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lang w:val="en-US" w:eastAsia="zh-CN"/>
              </w:rPr>
              <w:t xml:space="preserve">非特定行业 </w:t>
            </w:r>
            <w:r>
              <w:rPr>
                <w:rFonts w:hint="default" w:ascii="Times New Roman" w:hAnsi="Times New Roman" w:eastAsia="宋体" w:cs="Times New Roman"/>
                <w:color w:val="auto"/>
                <w:sz w:val="24"/>
                <w:highlight w:val="none"/>
                <w:lang w:val="en-US" w:eastAsia="zh-CN"/>
              </w:rPr>
              <w:t>900-041-49”</w:t>
            </w:r>
            <w:r>
              <w:rPr>
                <w:rFonts w:hint="eastAsia" w:ascii="Times New Roman" w:hAnsi="Times New Roman" w:eastAsia="宋体" w:cs="Times New Roman"/>
                <w:color w:val="auto"/>
                <w:sz w:val="24"/>
                <w:highlight w:val="none"/>
                <w:lang w:val="en-US" w:eastAsia="zh-CN"/>
              </w:rPr>
              <w:t>，收集后危废间暂存定期交由危险废物处理资质的公司处理。</w:t>
            </w:r>
          </w:p>
          <w:p w14:paraId="508DBD92">
            <w:pPr>
              <w:adjustRightInd w:val="0"/>
              <w:snapToGrid w:val="0"/>
              <w:spacing w:line="360" w:lineRule="auto"/>
              <w:ind w:firstLine="480" w:firstLineChars="200"/>
              <w:rPr>
                <w:rFonts w:hint="eastAsia" w:ascii="Times New Roman" w:hAnsi="Times New Roman" w:eastAsia="宋体" w:cs="Times New Roman"/>
                <w:color w:val="auto"/>
                <w:sz w:val="24"/>
                <w:highlight w:val="none"/>
                <w:u w:val="none" w:color="auto"/>
                <w:lang w:eastAsia="zh-CN"/>
              </w:rPr>
            </w:pPr>
            <w:r>
              <w:rPr>
                <w:rFonts w:hint="eastAsia" w:ascii="Times New Roman" w:hAnsi="Times New Roman" w:eastAsia="宋体" w:cs="Times New Roman"/>
                <w:color w:val="auto"/>
                <w:sz w:val="24"/>
                <w:highlight w:val="none"/>
                <w:u w:val="none" w:color="auto"/>
                <w:lang w:eastAsia="zh-CN"/>
              </w:rPr>
              <w:t>（</w:t>
            </w:r>
            <w:r>
              <w:rPr>
                <w:rFonts w:hint="eastAsia" w:cs="Times New Roman"/>
                <w:color w:val="auto"/>
                <w:sz w:val="24"/>
                <w:highlight w:val="none"/>
                <w:u w:val="none" w:color="auto"/>
                <w:lang w:val="en-US" w:eastAsia="zh-CN"/>
              </w:rPr>
              <w:t>6</w:t>
            </w:r>
            <w:r>
              <w:rPr>
                <w:rFonts w:hint="eastAsia" w:ascii="Times New Roman" w:hAnsi="Times New Roman" w:eastAsia="宋体" w:cs="Times New Roman"/>
                <w:color w:val="auto"/>
                <w:sz w:val="24"/>
                <w:highlight w:val="none"/>
                <w:u w:val="none" w:color="auto"/>
                <w:lang w:eastAsia="zh-CN"/>
              </w:rPr>
              <w:t>）危险废物暂存场所（设施）污染防治措施及环境影响分析</w:t>
            </w:r>
          </w:p>
          <w:p w14:paraId="24086FC3">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本次评价要求</w:t>
            </w:r>
            <w:r>
              <w:rPr>
                <w:rFonts w:hint="eastAsia" w:cs="Times New Roman"/>
                <w:bCs/>
                <w:color w:val="auto"/>
                <w:sz w:val="24"/>
                <w:szCs w:val="24"/>
                <w:highlight w:val="none"/>
                <w:lang w:val="en-US" w:eastAsia="zh-CN"/>
              </w:rPr>
              <w:t>改建完善</w:t>
            </w:r>
            <w:r>
              <w:rPr>
                <w:rFonts w:hint="eastAsia" w:ascii="Times New Roman" w:hAnsi="Times New Roman" w:eastAsia="宋体" w:cs="Times New Roman"/>
                <w:bCs/>
                <w:color w:val="auto"/>
                <w:sz w:val="24"/>
                <w:szCs w:val="24"/>
                <w:highlight w:val="none"/>
              </w:rPr>
              <w:t>危废暂存间，面积</w:t>
            </w:r>
            <w:r>
              <w:rPr>
                <w:rFonts w:hint="eastAsia" w:cs="Times New Roman"/>
                <w:bCs/>
                <w:color w:val="auto"/>
                <w:sz w:val="24"/>
                <w:szCs w:val="24"/>
                <w:highlight w:val="none"/>
                <w:lang w:val="en-US" w:eastAsia="zh-CN"/>
              </w:rPr>
              <w:t>5</w:t>
            </w:r>
            <w:r>
              <w:rPr>
                <w:rFonts w:hint="eastAsia" w:ascii="Times New Roman" w:hAnsi="Times New Roman" w:eastAsia="宋体" w:cs="Times New Roman"/>
                <w:bCs/>
                <w:color w:val="auto"/>
                <w:sz w:val="24"/>
                <w:szCs w:val="24"/>
                <w:highlight w:val="none"/>
              </w:rPr>
              <w:t>m</w:t>
            </w:r>
            <w:r>
              <w:rPr>
                <w:rFonts w:hint="eastAsia" w:ascii="Times New Roman" w:hAnsi="Times New Roman" w:eastAsia="宋体" w:cs="Times New Roman"/>
                <w:bCs/>
                <w:color w:val="auto"/>
                <w:sz w:val="24"/>
                <w:szCs w:val="24"/>
                <w:highlight w:val="none"/>
                <w:vertAlign w:val="superscript"/>
              </w:rPr>
              <w:t>2</w:t>
            </w:r>
            <w:r>
              <w:rPr>
                <w:rFonts w:hint="eastAsia" w:ascii="Times New Roman" w:hAnsi="Times New Roman" w:eastAsia="宋体" w:cs="Times New Roman"/>
                <w:bCs/>
                <w:color w:val="auto"/>
                <w:sz w:val="24"/>
                <w:szCs w:val="24"/>
                <w:highlight w:val="none"/>
              </w:rPr>
              <w:t>，产生的危险废物委托有资质单位定期清运处置。为保证暂存的危险废物不对环境产生污染，危险废物暂存、转运、处置应严格按照《危险废物贮存污染控制标准》（GB18597-2023）和《危险废物收集贮存运输技术规范》（HJ 2025-2012）执行。本方案对危险废物暂存场地提出如下安全措施：</w:t>
            </w:r>
          </w:p>
          <w:p w14:paraId="7CA102D0">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①贮存设施应根据危险废物的形态、物理化学性质、包装形式和污染物迁移途径，采取必要的防风、防晒、防雨、防漏、防渗、防腐以及其他环境污染防治措施，不应露天堆放危险废物。</w:t>
            </w:r>
          </w:p>
          <w:p w14:paraId="3D0CCC7E">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②贮存设施应根据危险废物的类别、数量、形态、物理化学性质和污染防治等要求设置必要的贮存分区，避免不相容的危险废物接触、混合。</w:t>
            </w:r>
          </w:p>
          <w:p w14:paraId="3D21AC12">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③贮存设施或贮存分区内地面、墙面裙脚、堵截泄漏的围堰、接触危险废物的隔板和墙体等应采用坚固的材料建造，表面无裂缝。</w:t>
            </w:r>
          </w:p>
          <w:p w14:paraId="28422051">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④贮存设施地面与裙脚应采取表面防渗措施；表面防渗材料应与所接触的物料或污染物相容，可采用抗渗混凝土、高密度聚乙烯膜、钠基膨润土防水毯或其他防渗性能等效的材料。贮存的危险废物直接接触地面的，还应进行基础防渗，防渗层为至少1 m厚黏土层（渗透系数不大于10</w:t>
            </w:r>
            <w:r>
              <w:rPr>
                <w:rFonts w:hint="eastAsia" w:ascii="Times New Roman" w:hAnsi="Times New Roman" w:eastAsia="宋体" w:cs="Times New Roman"/>
                <w:bCs/>
                <w:color w:val="auto"/>
                <w:sz w:val="24"/>
                <w:szCs w:val="24"/>
                <w:highlight w:val="none"/>
                <w:vertAlign w:val="superscript"/>
              </w:rPr>
              <w:t xml:space="preserve">-7 </w:t>
            </w:r>
            <w:r>
              <w:rPr>
                <w:rFonts w:hint="eastAsia" w:ascii="Times New Roman" w:hAnsi="Times New Roman" w:eastAsia="宋体" w:cs="Times New Roman"/>
                <w:bCs/>
                <w:color w:val="auto"/>
                <w:sz w:val="24"/>
                <w:szCs w:val="24"/>
                <w:highlight w:val="none"/>
              </w:rPr>
              <w:t>cm/s），或至少2 mm厚高密度聚乙烯膜等人工防渗材料（渗透系数不大于10</w:t>
            </w:r>
            <w:r>
              <w:rPr>
                <w:rFonts w:hint="eastAsia" w:ascii="Times New Roman" w:hAnsi="Times New Roman" w:eastAsia="宋体" w:cs="Times New Roman"/>
                <w:bCs/>
                <w:color w:val="auto"/>
                <w:sz w:val="24"/>
                <w:szCs w:val="24"/>
                <w:highlight w:val="none"/>
                <w:vertAlign w:val="superscript"/>
              </w:rPr>
              <w:t>-10</w:t>
            </w:r>
            <w:r>
              <w:rPr>
                <w:rFonts w:hint="eastAsia" w:ascii="Times New Roman" w:hAnsi="Times New Roman" w:eastAsia="宋体" w:cs="Times New Roman"/>
                <w:bCs/>
                <w:color w:val="auto"/>
                <w:sz w:val="24"/>
                <w:szCs w:val="24"/>
                <w:highlight w:val="none"/>
              </w:rPr>
              <w:t xml:space="preserve"> cm/s），或其他防渗性能等效的材料。</w:t>
            </w:r>
          </w:p>
          <w:p w14:paraId="189E2888">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⑤同一贮存设施宜采用相同的防渗、防腐工艺（包括防渗、防腐结构或材料），防渗、防腐材料应覆盖所有可能与废物及其渗滤液、渗漏液等接触的构筑物表面；采用不同防渗、防腐工艺应分别建设贮存分区。</w:t>
            </w:r>
          </w:p>
          <w:p w14:paraId="5C918712">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⑥贮存设施应采取技术和管理措施防止无关人员进入。</w:t>
            </w:r>
          </w:p>
          <w:p w14:paraId="5B6E6098">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⑦贮存库内不同贮存分区之间应采取隔离措施。隔离措施可根据危险废物特性采用过道、隔板或隔墙等方式。</w:t>
            </w:r>
          </w:p>
          <w:p w14:paraId="6DF10BE7">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⑧在贮存库内或通过贮存分区方式贮存液态危险废物的，应具有液体泄漏堵截设施，堵截设施最小容积不应低于对应贮存区域最大液态废物容器容积或液态废物总储量1/10（二者取较大者）；用于贮存可能产生渗滤液的危险废物的贮存库或贮存分区应设计渗滤液收集设施，收集设施容积应满足渗滤液的收集要求。</w:t>
            </w:r>
          </w:p>
          <w:p w14:paraId="774D2EE7">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⑨建立档案制度，对暂存的废物种类、数量、特性、包装容器类别、存放库位、存入日期、运出日期等详细记录在案并长期保存，建立定期巡查、维护制度；</w:t>
            </w:r>
          </w:p>
          <w:p w14:paraId="37AE5170">
            <w:pPr>
              <w:adjustRightInd w:val="0"/>
              <w:snapToGrid w:val="0"/>
              <w:spacing w:line="360" w:lineRule="auto"/>
              <w:ind w:firstLine="480" w:firstLineChars="200"/>
              <w:rPr>
                <w:rFonts w:hint="eastAsia" w:ascii="Times New Roman" w:hAnsi="Times New Roman" w:eastAsia="宋体" w:cs="Times New Roman"/>
                <w:bCs/>
                <w:color w:val="auto"/>
                <w:sz w:val="24"/>
                <w:szCs w:val="24"/>
                <w:highlight w:val="none"/>
              </w:rPr>
            </w:pPr>
            <w:r>
              <w:rPr>
                <w:rFonts w:hint="eastAsia" w:ascii="Times New Roman" w:hAnsi="Times New Roman" w:eastAsia="宋体" w:cs="Times New Roman"/>
                <w:bCs/>
                <w:color w:val="auto"/>
                <w:sz w:val="24"/>
                <w:szCs w:val="24"/>
                <w:highlight w:val="none"/>
              </w:rPr>
              <w:t>⑩危险废物须定期委托危险废物处理资质单位处理，并建立转移联单及管理台账。</w:t>
            </w:r>
          </w:p>
          <w:p w14:paraId="76204882">
            <w:pPr>
              <w:pStyle w:val="51"/>
              <w:spacing w:line="360" w:lineRule="auto"/>
              <w:ind w:firstLine="472" w:firstLineChars="200"/>
              <w:rPr>
                <w:rFonts w:hint="eastAsia" w:ascii="Times New Roman" w:hAnsi="Times New Roman" w:cs="Times New Roman"/>
                <w:color w:val="auto"/>
                <w:spacing w:val="-2"/>
                <w:sz w:val="24"/>
                <w:highlight w:val="none"/>
                <w:lang w:val="en-US" w:eastAsia="zh-CN"/>
              </w:rPr>
            </w:pPr>
            <w:r>
              <w:rPr>
                <w:rFonts w:hint="eastAsia" w:ascii="Times New Roman" w:hAnsi="Times New Roman" w:cs="Times New Roman"/>
                <w:color w:val="auto"/>
                <w:spacing w:val="-2"/>
                <w:sz w:val="24"/>
                <w:highlight w:val="none"/>
                <w:lang w:val="en-US" w:eastAsia="zh-CN"/>
              </w:rPr>
              <w:t>经上述措施处理后，建设项目产生的固体废弃物不会对周围环境造成不良影响。</w:t>
            </w:r>
          </w:p>
          <w:p w14:paraId="7F3DC2B7">
            <w:pPr>
              <w:pStyle w:val="51"/>
              <w:spacing w:line="360" w:lineRule="auto"/>
              <w:jc w:val="both"/>
              <w:rPr>
                <w:rFonts w:ascii="Times New Roman"/>
                <w:b/>
                <w:bCs/>
                <w:color w:val="auto"/>
                <w:kern w:val="2"/>
                <w:highlight w:val="none"/>
              </w:rPr>
            </w:pPr>
            <w:r>
              <w:rPr>
                <w:rFonts w:ascii="Times New Roman"/>
                <w:b/>
                <w:bCs/>
                <w:color w:val="auto"/>
                <w:kern w:val="2"/>
                <w:highlight w:val="none"/>
              </w:rPr>
              <w:t>5、土壤</w:t>
            </w:r>
          </w:p>
          <w:p w14:paraId="33B9006A">
            <w:pPr>
              <w:spacing w:line="360" w:lineRule="auto"/>
              <w:ind w:firstLine="472" w:firstLineChars="200"/>
              <w:rPr>
                <w:rFonts w:hint="eastAsia"/>
                <w:color w:val="auto"/>
                <w:spacing w:val="-2"/>
                <w:sz w:val="24"/>
                <w:highlight w:val="none"/>
              </w:rPr>
            </w:pPr>
            <w:r>
              <w:rPr>
                <w:rFonts w:hint="eastAsia"/>
                <w:color w:val="auto"/>
                <w:spacing w:val="-2"/>
                <w:sz w:val="24"/>
                <w:highlight w:val="none"/>
              </w:rPr>
              <w:t>根据《环境影响评价技术导则－地下水环境》（HJ610-2016）附录 A 地下 水环境影响评价行业分类表，本项目属于“ 四十一、电力、热力生产和供应业- 91.热力生产和供应工程（包括建设单位自建自用的供热工程） ”, 项目属地下水环境评价项目类别Ⅳ类项目，故本评价不对地下水环境影响进行分析。</w:t>
            </w:r>
          </w:p>
          <w:p w14:paraId="58148C75">
            <w:pPr>
              <w:pStyle w:val="51"/>
              <w:spacing w:line="360" w:lineRule="auto"/>
              <w:jc w:val="both"/>
              <w:rPr>
                <w:rFonts w:hint="eastAsia" w:ascii="Times New Roman" w:eastAsia="宋体"/>
                <w:b/>
                <w:bCs/>
                <w:color w:val="auto"/>
                <w:kern w:val="2"/>
                <w:highlight w:val="none"/>
                <w:lang w:eastAsia="zh-CN"/>
              </w:rPr>
            </w:pPr>
            <w:r>
              <w:rPr>
                <w:rFonts w:hint="eastAsia" w:ascii="Times New Roman"/>
                <w:b/>
                <w:bCs/>
                <w:color w:val="auto"/>
                <w:kern w:val="2"/>
                <w:highlight w:val="none"/>
                <w:lang w:val="en-US" w:eastAsia="zh-CN"/>
              </w:rPr>
              <w:t>6</w:t>
            </w:r>
            <w:r>
              <w:rPr>
                <w:rFonts w:ascii="Times New Roman"/>
                <w:b/>
                <w:bCs/>
                <w:color w:val="auto"/>
                <w:kern w:val="2"/>
                <w:highlight w:val="none"/>
              </w:rPr>
              <w:t>、</w:t>
            </w:r>
            <w:r>
              <w:rPr>
                <w:rFonts w:hint="eastAsia" w:ascii="Times New Roman"/>
                <w:b/>
                <w:bCs/>
                <w:color w:val="auto"/>
                <w:kern w:val="2"/>
                <w:highlight w:val="none"/>
                <w:lang w:eastAsia="zh-CN"/>
              </w:rPr>
              <w:t>地下水</w:t>
            </w:r>
          </w:p>
          <w:p w14:paraId="2FBA491C">
            <w:pPr>
              <w:spacing w:line="360" w:lineRule="auto"/>
              <w:ind w:firstLine="472" w:firstLineChars="200"/>
              <w:rPr>
                <w:rFonts w:hint="eastAsia"/>
                <w:color w:val="auto"/>
                <w:spacing w:val="-2"/>
                <w:sz w:val="24"/>
                <w:highlight w:val="none"/>
              </w:rPr>
            </w:pPr>
            <w:r>
              <w:rPr>
                <w:rFonts w:hint="eastAsia"/>
                <w:color w:val="auto"/>
                <w:spacing w:val="-2"/>
                <w:sz w:val="24"/>
                <w:highlight w:val="none"/>
              </w:rPr>
              <w:t>根据《环境影响评价技术导则－地下水环境》（HJ610-2016）附录 A 地下 水环境影响评价行业分类表，本项目属于“ 四十一、电力、热力生产和供应业- 91.热力生产和供应工程（包括建设单位自建自用的供热工程） ”</w:t>
            </w:r>
            <w:r>
              <w:rPr>
                <w:rFonts w:hint="eastAsia"/>
                <w:color w:val="auto"/>
                <w:spacing w:val="-2"/>
                <w:sz w:val="24"/>
                <w:highlight w:val="none"/>
                <w:lang w:eastAsia="zh-CN"/>
              </w:rPr>
              <w:t>，</w:t>
            </w:r>
            <w:r>
              <w:rPr>
                <w:rFonts w:hint="eastAsia"/>
                <w:color w:val="auto"/>
                <w:spacing w:val="-2"/>
                <w:sz w:val="24"/>
                <w:highlight w:val="none"/>
              </w:rPr>
              <w:t>项目属地下水环境评价项目类别Ⅳ类项目，故本评价不对地下水环境影响进行分析。</w:t>
            </w:r>
          </w:p>
          <w:p w14:paraId="1C346ACB">
            <w:pPr>
              <w:spacing w:line="360" w:lineRule="auto"/>
              <w:ind w:firstLine="472" w:firstLineChars="200"/>
              <w:rPr>
                <w:rFonts w:hint="eastAsia"/>
                <w:color w:val="auto"/>
                <w:spacing w:val="-2"/>
                <w:sz w:val="24"/>
                <w:highlight w:val="none"/>
              </w:rPr>
            </w:pPr>
            <w:r>
              <w:rPr>
                <w:rFonts w:hint="eastAsia"/>
                <w:color w:val="auto"/>
                <w:spacing w:val="-2"/>
                <w:sz w:val="24"/>
                <w:highlight w:val="none"/>
              </w:rPr>
              <w:t>（</w:t>
            </w:r>
            <w:r>
              <w:rPr>
                <w:rFonts w:hint="eastAsia"/>
                <w:color w:val="auto"/>
                <w:spacing w:val="-2"/>
                <w:sz w:val="24"/>
                <w:highlight w:val="none"/>
                <w:lang w:val="en-US" w:eastAsia="zh-CN"/>
              </w:rPr>
              <w:t>1</w:t>
            </w:r>
            <w:r>
              <w:rPr>
                <w:rFonts w:hint="eastAsia"/>
                <w:color w:val="auto"/>
                <w:spacing w:val="-2"/>
                <w:sz w:val="24"/>
                <w:highlight w:val="none"/>
              </w:rPr>
              <w:t>）地下水防护措施</w:t>
            </w:r>
          </w:p>
          <w:p w14:paraId="4B54486A">
            <w:pPr>
              <w:spacing w:line="360" w:lineRule="auto"/>
              <w:ind w:firstLine="472" w:firstLineChars="200"/>
              <w:rPr>
                <w:rFonts w:hint="eastAsia"/>
                <w:color w:val="auto"/>
                <w:spacing w:val="-2"/>
                <w:sz w:val="24"/>
                <w:highlight w:val="none"/>
              </w:rPr>
            </w:pPr>
            <w:r>
              <w:rPr>
                <w:rFonts w:hint="eastAsia"/>
                <w:color w:val="auto"/>
                <w:spacing w:val="-2"/>
                <w:sz w:val="24"/>
                <w:highlight w:val="none"/>
              </w:rPr>
              <w:t>本项目用水为自来水，不开采地下水，不会引起区域地下水文环境的变化。对本项目场地提出地下水防渗分区要求，分区防渗措施详见表 4-</w:t>
            </w:r>
            <w:r>
              <w:rPr>
                <w:rFonts w:hint="eastAsia"/>
                <w:color w:val="auto"/>
                <w:spacing w:val="-2"/>
                <w:sz w:val="24"/>
                <w:highlight w:val="none"/>
                <w:lang w:val="en-US" w:eastAsia="zh-CN"/>
              </w:rPr>
              <w:t>17</w:t>
            </w:r>
            <w:r>
              <w:rPr>
                <w:rFonts w:hint="eastAsia"/>
                <w:color w:val="auto"/>
                <w:spacing w:val="-2"/>
                <w:sz w:val="24"/>
                <w:highlight w:val="none"/>
              </w:rPr>
              <w:t>。</w:t>
            </w:r>
          </w:p>
          <w:p w14:paraId="6279EDD7">
            <w:pPr>
              <w:snapToGrid w:val="0"/>
              <w:contextualSpacing/>
              <w:jc w:val="center"/>
              <w:rPr>
                <w:b/>
                <w:color w:val="auto"/>
                <w:szCs w:val="21"/>
                <w:highlight w:val="none"/>
              </w:rPr>
            </w:pPr>
            <w:r>
              <w:rPr>
                <w:b/>
                <w:color w:val="auto"/>
                <w:szCs w:val="21"/>
                <w:highlight w:val="none"/>
              </w:rPr>
              <w:t>表4</w:t>
            </w:r>
            <w:r>
              <w:rPr>
                <w:rFonts w:hint="eastAsia"/>
                <w:b/>
                <w:color w:val="auto"/>
                <w:szCs w:val="21"/>
                <w:highlight w:val="none"/>
              </w:rPr>
              <w:t>-</w:t>
            </w:r>
            <w:r>
              <w:rPr>
                <w:rFonts w:hint="eastAsia"/>
                <w:b/>
                <w:color w:val="auto"/>
                <w:szCs w:val="21"/>
                <w:highlight w:val="none"/>
                <w:lang w:val="en-US" w:eastAsia="zh-CN"/>
              </w:rPr>
              <w:t xml:space="preserve">17 </w:t>
            </w:r>
            <w:r>
              <w:rPr>
                <w:b/>
                <w:color w:val="auto"/>
                <w:szCs w:val="21"/>
                <w:highlight w:val="none"/>
              </w:rPr>
              <w:t xml:space="preserve"> </w:t>
            </w:r>
            <w:r>
              <w:rPr>
                <w:rFonts w:hint="eastAsia"/>
                <w:b/>
                <w:color w:val="auto"/>
                <w:szCs w:val="21"/>
                <w:highlight w:val="none"/>
              </w:rPr>
              <w:t>项目防渗分区保护措施一览</w:t>
            </w:r>
            <w:r>
              <w:rPr>
                <w:b/>
                <w:color w:val="auto"/>
                <w:szCs w:val="21"/>
                <w:highlight w:val="none"/>
              </w:rPr>
              <w:t>表</w:t>
            </w:r>
          </w:p>
          <w:tbl>
            <w:tblPr>
              <w:tblStyle w:val="42"/>
              <w:tblW w:w="5000" w:type="pct"/>
              <w:tblInd w:w="-1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885"/>
              <w:gridCol w:w="2464"/>
              <w:gridCol w:w="1428"/>
              <w:gridCol w:w="3068"/>
            </w:tblGrid>
            <w:tr w14:paraId="252D67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9" w:type="pct"/>
                  <w:tcBorders>
                    <w:tl2br w:val="nil"/>
                    <w:tr2bl w:val="nil"/>
                  </w:tcBorders>
                  <w:vAlign w:val="center"/>
                </w:tcPr>
                <w:p w14:paraId="6EE7C4CB">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b/>
                      <w:bCs/>
                      <w:snapToGrid w:val="0"/>
                      <w:color w:val="auto"/>
                      <w:sz w:val="21"/>
                      <w:szCs w:val="21"/>
                      <w:highlight w:val="none"/>
                    </w:rPr>
                  </w:pPr>
                  <w:r>
                    <w:rPr>
                      <w:b/>
                      <w:bCs/>
                      <w:snapToGrid w:val="0"/>
                      <w:color w:val="auto"/>
                      <w:sz w:val="21"/>
                      <w:szCs w:val="21"/>
                      <w:highlight w:val="none"/>
                    </w:rPr>
                    <w:t>序号</w:t>
                  </w:r>
                </w:p>
              </w:tc>
              <w:tc>
                <w:tcPr>
                  <w:tcW w:w="1942" w:type="pct"/>
                  <w:gridSpan w:val="2"/>
                  <w:tcBorders>
                    <w:tl2br w:val="nil"/>
                    <w:tr2bl w:val="nil"/>
                  </w:tcBorders>
                  <w:vAlign w:val="center"/>
                </w:tcPr>
                <w:p w14:paraId="12D7EBE6">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b/>
                      <w:bCs/>
                      <w:snapToGrid w:val="0"/>
                      <w:color w:val="auto"/>
                      <w:sz w:val="21"/>
                      <w:szCs w:val="21"/>
                      <w:highlight w:val="none"/>
                    </w:rPr>
                  </w:pPr>
                  <w:r>
                    <w:rPr>
                      <w:b/>
                      <w:bCs/>
                      <w:snapToGrid w:val="0"/>
                      <w:color w:val="auto"/>
                      <w:sz w:val="21"/>
                      <w:szCs w:val="21"/>
                      <w:highlight w:val="none"/>
                    </w:rPr>
                    <w:t>区域</w:t>
                  </w:r>
                </w:p>
              </w:tc>
              <w:tc>
                <w:tcPr>
                  <w:tcW w:w="828" w:type="pct"/>
                  <w:tcBorders>
                    <w:tl2br w:val="nil"/>
                    <w:tr2bl w:val="nil"/>
                  </w:tcBorders>
                  <w:vAlign w:val="center"/>
                </w:tcPr>
                <w:p w14:paraId="52A63B99">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b/>
                      <w:bCs/>
                      <w:snapToGrid w:val="0"/>
                      <w:color w:val="auto"/>
                      <w:sz w:val="21"/>
                      <w:szCs w:val="21"/>
                      <w:highlight w:val="none"/>
                    </w:rPr>
                  </w:pPr>
                  <w:r>
                    <w:rPr>
                      <w:b/>
                      <w:bCs/>
                      <w:snapToGrid w:val="0"/>
                      <w:color w:val="auto"/>
                      <w:sz w:val="21"/>
                      <w:szCs w:val="21"/>
                      <w:highlight w:val="none"/>
                    </w:rPr>
                    <w:t>潜在污染源</w:t>
                  </w:r>
                </w:p>
              </w:tc>
              <w:tc>
                <w:tcPr>
                  <w:tcW w:w="1779" w:type="pct"/>
                  <w:tcBorders>
                    <w:tl2br w:val="nil"/>
                    <w:tr2bl w:val="nil"/>
                  </w:tcBorders>
                  <w:vAlign w:val="center"/>
                </w:tcPr>
                <w:p w14:paraId="013E9909">
                  <w:pPr>
                    <w:keepNext w:val="0"/>
                    <w:keepLines w:val="0"/>
                    <w:pageBreakBefore w:val="0"/>
                    <w:kinsoku/>
                    <w:wordWrap/>
                    <w:overflowPunct/>
                    <w:topLinePunct w:val="0"/>
                    <w:autoSpaceDE/>
                    <w:autoSpaceDN/>
                    <w:bidi w:val="0"/>
                    <w:adjustRightInd w:val="0"/>
                    <w:snapToGrid w:val="0"/>
                    <w:ind w:right="0" w:firstLine="0" w:firstLineChars="0"/>
                    <w:jc w:val="center"/>
                    <w:textAlignment w:val="auto"/>
                    <w:rPr>
                      <w:b/>
                      <w:bCs/>
                      <w:snapToGrid w:val="0"/>
                      <w:color w:val="auto"/>
                      <w:sz w:val="21"/>
                      <w:szCs w:val="21"/>
                      <w:highlight w:val="none"/>
                    </w:rPr>
                  </w:pPr>
                  <w:r>
                    <w:rPr>
                      <w:b/>
                      <w:bCs/>
                      <w:snapToGrid w:val="0"/>
                      <w:color w:val="auto"/>
                      <w:sz w:val="21"/>
                      <w:szCs w:val="21"/>
                      <w:highlight w:val="none"/>
                    </w:rPr>
                    <w:t>要求措施</w:t>
                  </w:r>
                </w:p>
              </w:tc>
            </w:tr>
            <w:tr w14:paraId="44B1E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9" w:type="pct"/>
                  <w:tcBorders>
                    <w:tl2br w:val="nil"/>
                    <w:tr2bl w:val="nil"/>
                  </w:tcBorders>
                  <w:vAlign w:val="center"/>
                </w:tcPr>
                <w:p w14:paraId="4D8A340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highlight w:val="none"/>
                      <w:u w:val="none"/>
                      <w:vertAlign w:val="baseline"/>
                      <w:lang w:val="en-US" w:eastAsia="zh-CN"/>
                    </w:rPr>
                  </w:pPr>
                  <w:r>
                    <w:rPr>
                      <w:rFonts w:hint="default" w:eastAsia="宋体"/>
                      <w:color w:val="auto"/>
                      <w:sz w:val="21"/>
                      <w:szCs w:val="21"/>
                      <w:highlight w:val="none"/>
                      <w:u w:val="none"/>
                      <w:vertAlign w:val="baseline"/>
                      <w:lang w:val="en-US" w:eastAsia="zh-CN"/>
                    </w:rPr>
                    <w:t>1</w:t>
                  </w:r>
                </w:p>
              </w:tc>
              <w:tc>
                <w:tcPr>
                  <w:tcW w:w="513" w:type="pct"/>
                  <w:tcBorders>
                    <w:tl2br w:val="nil"/>
                    <w:tr2bl w:val="nil"/>
                  </w:tcBorders>
                  <w:vAlign w:val="center"/>
                </w:tcPr>
                <w:p w14:paraId="3F4181C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highlight w:val="none"/>
                      <w:u w:val="none"/>
                      <w:vertAlign w:val="baseline"/>
                      <w:lang w:val="en-US" w:eastAsia="zh-CN"/>
                    </w:rPr>
                  </w:pPr>
                  <w:r>
                    <w:rPr>
                      <w:rFonts w:hint="default" w:eastAsia="宋体"/>
                      <w:color w:val="auto"/>
                      <w:sz w:val="21"/>
                      <w:szCs w:val="21"/>
                      <w:highlight w:val="none"/>
                      <w:u w:val="none"/>
                      <w:vertAlign w:val="baseline"/>
                      <w:lang w:val="en-US" w:eastAsia="zh-CN"/>
                    </w:rPr>
                    <w:t>重点防渗区</w:t>
                  </w:r>
                </w:p>
              </w:tc>
              <w:tc>
                <w:tcPr>
                  <w:tcW w:w="1428" w:type="pct"/>
                  <w:tcBorders>
                    <w:tl2br w:val="nil"/>
                    <w:tr2bl w:val="nil"/>
                  </w:tcBorders>
                  <w:vAlign w:val="center"/>
                </w:tcPr>
                <w:p w14:paraId="4C3DB7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highlight w:val="none"/>
                      <w:u w:val="none"/>
                      <w:vertAlign w:val="baseline"/>
                      <w:lang w:val="en-US" w:eastAsia="zh-CN"/>
                    </w:rPr>
                  </w:pPr>
                  <w:r>
                    <w:rPr>
                      <w:rFonts w:hint="default" w:eastAsia="宋体"/>
                      <w:color w:val="auto"/>
                      <w:sz w:val="21"/>
                      <w:szCs w:val="21"/>
                      <w:highlight w:val="none"/>
                      <w:u w:val="none"/>
                      <w:vertAlign w:val="baseline"/>
                      <w:lang w:val="en-US" w:eastAsia="zh-CN"/>
                    </w:rPr>
                    <w:t>危险废物</w:t>
                  </w:r>
                  <w:r>
                    <w:rPr>
                      <w:rFonts w:hint="eastAsia"/>
                      <w:color w:val="auto"/>
                      <w:sz w:val="21"/>
                      <w:szCs w:val="21"/>
                      <w:highlight w:val="none"/>
                      <w:u w:val="none"/>
                      <w:vertAlign w:val="baseline"/>
                      <w:lang w:val="en-US" w:eastAsia="zh-CN"/>
                    </w:rPr>
                    <w:t>暂存间</w:t>
                  </w:r>
                </w:p>
              </w:tc>
              <w:tc>
                <w:tcPr>
                  <w:tcW w:w="828" w:type="pct"/>
                  <w:tcBorders>
                    <w:tl2br w:val="nil"/>
                    <w:tr2bl w:val="nil"/>
                  </w:tcBorders>
                  <w:vAlign w:val="center"/>
                </w:tcPr>
                <w:p w14:paraId="21441D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highlight w:val="none"/>
                      <w:u w:val="none"/>
                      <w:vertAlign w:val="baseline"/>
                      <w:lang w:val="en-US" w:eastAsia="zh-CN"/>
                    </w:rPr>
                  </w:pPr>
                  <w:r>
                    <w:rPr>
                      <w:rFonts w:hint="eastAsia" w:eastAsia="宋体"/>
                      <w:color w:val="auto"/>
                      <w:sz w:val="21"/>
                      <w:szCs w:val="21"/>
                      <w:highlight w:val="none"/>
                      <w:u w:val="none"/>
                      <w:vertAlign w:val="baseline"/>
                      <w:lang w:val="en-US" w:eastAsia="zh-CN"/>
                    </w:rPr>
                    <w:t>危险废物</w:t>
                  </w:r>
                </w:p>
              </w:tc>
              <w:tc>
                <w:tcPr>
                  <w:tcW w:w="1779" w:type="pct"/>
                  <w:tcBorders>
                    <w:tl2br w:val="nil"/>
                    <w:tr2bl w:val="nil"/>
                  </w:tcBorders>
                  <w:vAlign w:val="center"/>
                </w:tcPr>
                <w:p w14:paraId="0AD361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highlight w:val="none"/>
                      <w:u w:val="none"/>
                      <w:vertAlign w:val="baseline"/>
                      <w:lang w:val="en-US" w:eastAsia="zh-CN"/>
                    </w:rPr>
                  </w:pPr>
                  <w:r>
                    <w:rPr>
                      <w:rFonts w:hint="default" w:eastAsia="宋体"/>
                      <w:color w:val="auto"/>
                      <w:sz w:val="21"/>
                      <w:szCs w:val="21"/>
                      <w:highlight w:val="none"/>
                      <w:u w:val="none"/>
                      <w:vertAlign w:val="baseline"/>
                      <w:lang w:val="en-US" w:eastAsia="zh-CN"/>
                    </w:rPr>
                    <w:t>土工防渗膜 Mb≥6.0mm ，K≤1×10</w:t>
                  </w:r>
                  <w:r>
                    <w:rPr>
                      <w:rFonts w:hint="default" w:eastAsia="宋体"/>
                      <w:color w:val="auto"/>
                      <w:sz w:val="21"/>
                      <w:szCs w:val="21"/>
                      <w:highlight w:val="none"/>
                      <w:u w:val="none"/>
                      <w:vertAlign w:val="superscript"/>
                      <w:lang w:val="en-US" w:eastAsia="zh-CN"/>
                    </w:rPr>
                    <w:t>-7</w:t>
                  </w:r>
                  <w:r>
                    <w:rPr>
                      <w:rFonts w:hint="default" w:eastAsia="宋体"/>
                      <w:color w:val="auto"/>
                      <w:sz w:val="21"/>
                      <w:szCs w:val="21"/>
                      <w:highlight w:val="none"/>
                      <w:u w:val="none"/>
                      <w:vertAlign w:val="baseline"/>
                      <w:lang w:val="en-US" w:eastAsia="zh-CN"/>
                    </w:rPr>
                    <w:t>cm/s 土工防渗膜+混凝土硬化（C30）</w:t>
                  </w:r>
                </w:p>
              </w:tc>
            </w:tr>
            <w:tr w14:paraId="09E82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49" w:type="pct"/>
                  <w:tcBorders>
                    <w:tl2br w:val="nil"/>
                    <w:tr2bl w:val="nil"/>
                  </w:tcBorders>
                  <w:vAlign w:val="center"/>
                </w:tcPr>
                <w:p w14:paraId="3D6AB0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highlight w:val="none"/>
                      <w:u w:val="none"/>
                      <w:vertAlign w:val="baseline"/>
                      <w:lang w:val="en-US" w:eastAsia="zh-CN"/>
                    </w:rPr>
                  </w:pPr>
                  <w:r>
                    <w:rPr>
                      <w:rFonts w:hint="eastAsia" w:eastAsia="宋体"/>
                      <w:color w:val="auto"/>
                      <w:sz w:val="21"/>
                      <w:szCs w:val="21"/>
                      <w:highlight w:val="none"/>
                      <w:u w:val="none"/>
                      <w:vertAlign w:val="baseline"/>
                      <w:lang w:val="en-US" w:eastAsia="zh-CN"/>
                    </w:rPr>
                    <w:t>2</w:t>
                  </w:r>
                </w:p>
              </w:tc>
              <w:tc>
                <w:tcPr>
                  <w:tcW w:w="513" w:type="pct"/>
                  <w:tcBorders>
                    <w:tl2br w:val="nil"/>
                    <w:tr2bl w:val="nil"/>
                  </w:tcBorders>
                  <w:vAlign w:val="center"/>
                </w:tcPr>
                <w:p w14:paraId="76C77B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highlight w:val="none"/>
                      <w:u w:val="none"/>
                      <w:vertAlign w:val="baseline"/>
                      <w:lang w:val="en-US" w:eastAsia="zh-CN"/>
                    </w:rPr>
                  </w:pPr>
                  <w:r>
                    <w:rPr>
                      <w:rFonts w:hint="eastAsia" w:eastAsia="宋体"/>
                      <w:color w:val="auto"/>
                      <w:sz w:val="21"/>
                      <w:szCs w:val="21"/>
                      <w:highlight w:val="none"/>
                      <w:u w:val="none"/>
                      <w:vertAlign w:val="baseline"/>
                      <w:lang w:val="en-US" w:eastAsia="zh-CN"/>
                    </w:rPr>
                    <w:t>简单防渗</w:t>
                  </w:r>
                </w:p>
              </w:tc>
              <w:tc>
                <w:tcPr>
                  <w:tcW w:w="1428" w:type="pct"/>
                  <w:tcBorders>
                    <w:tl2br w:val="nil"/>
                    <w:tr2bl w:val="nil"/>
                  </w:tcBorders>
                  <w:vAlign w:val="center"/>
                </w:tcPr>
                <w:p w14:paraId="567460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highlight w:val="none"/>
                      <w:u w:val="none"/>
                      <w:vertAlign w:val="baseline"/>
                      <w:lang w:val="en-US" w:eastAsia="zh-CN"/>
                    </w:rPr>
                  </w:pPr>
                  <w:r>
                    <w:rPr>
                      <w:rFonts w:hint="default" w:eastAsia="宋体"/>
                      <w:color w:val="auto"/>
                      <w:sz w:val="21"/>
                      <w:szCs w:val="21"/>
                      <w:highlight w:val="none"/>
                      <w:u w:val="none"/>
                      <w:vertAlign w:val="baseline"/>
                      <w:lang w:val="en-US" w:eastAsia="zh-CN"/>
                    </w:rPr>
                    <w:t>锅炉房、燃料贮存区</w:t>
                  </w:r>
                  <w:r>
                    <w:rPr>
                      <w:rFonts w:hint="eastAsia"/>
                      <w:color w:val="auto"/>
                      <w:sz w:val="21"/>
                      <w:szCs w:val="21"/>
                      <w:highlight w:val="none"/>
                      <w:u w:val="none"/>
                      <w:vertAlign w:val="baseline"/>
                      <w:lang w:val="en-US" w:eastAsia="zh-CN"/>
                    </w:rPr>
                    <w:t>、水膜除尘废水沉淀池</w:t>
                  </w:r>
                </w:p>
              </w:tc>
              <w:tc>
                <w:tcPr>
                  <w:tcW w:w="828" w:type="pct"/>
                  <w:tcBorders>
                    <w:tl2br w:val="nil"/>
                    <w:tr2bl w:val="nil"/>
                  </w:tcBorders>
                  <w:vAlign w:val="center"/>
                </w:tcPr>
                <w:p w14:paraId="3B62CB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highlight w:val="none"/>
                      <w:u w:val="none"/>
                      <w:vertAlign w:val="baseline"/>
                      <w:lang w:val="en-US" w:eastAsia="zh-CN"/>
                    </w:rPr>
                  </w:pPr>
                  <w:r>
                    <w:rPr>
                      <w:rFonts w:hint="eastAsia" w:eastAsia="宋体"/>
                      <w:color w:val="auto"/>
                      <w:sz w:val="21"/>
                      <w:szCs w:val="21"/>
                      <w:highlight w:val="none"/>
                      <w:u w:val="none"/>
                      <w:vertAlign w:val="baseline"/>
                      <w:lang w:val="en-US" w:eastAsia="zh-CN"/>
                    </w:rPr>
                    <w:t>/</w:t>
                  </w:r>
                </w:p>
              </w:tc>
              <w:tc>
                <w:tcPr>
                  <w:tcW w:w="1779" w:type="pct"/>
                  <w:tcBorders>
                    <w:tl2br w:val="nil"/>
                    <w:tr2bl w:val="nil"/>
                  </w:tcBorders>
                  <w:vAlign w:val="center"/>
                </w:tcPr>
                <w:p w14:paraId="58B336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highlight w:val="none"/>
                      <w:u w:val="none"/>
                      <w:vertAlign w:val="baseline"/>
                      <w:lang w:val="en-US" w:eastAsia="zh-CN"/>
                    </w:rPr>
                  </w:pPr>
                  <w:r>
                    <w:rPr>
                      <w:rFonts w:hint="default" w:eastAsia="宋体"/>
                      <w:color w:val="auto"/>
                      <w:sz w:val="21"/>
                      <w:szCs w:val="21"/>
                      <w:highlight w:val="none"/>
                      <w:u w:val="none"/>
                      <w:vertAlign w:val="baseline"/>
                      <w:lang w:val="en-US" w:eastAsia="zh-CN"/>
                    </w:rPr>
                    <w:t>一般地面硬化：混凝土硬化（C30）</w:t>
                  </w:r>
                </w:p>
              </w:tc>
            </w:tr>
          </w:tbl>
          <w:p w14:paraId="0C083E80">
            <w:pPr>
              <w:spacing w:line="360" w:lineRule="auto"/>
              <w:ind w:firstLine="480" w:firstLineChars="200"/>
              <w:rPr>
                <w:color w:val="auto"/>
                <w:sz w:val="24"/>
                <w:highlight w:val="none"/>
              </w:rPr>
            </w:pPr>
            <w:r>
              <w:rPr>
                <w:rFonts w:hint="eastAsia"/>
                <w:color w:val="auto"/>
                <w:sz w:val="24"/>
                <w:highlight w:val="none"/>
              </w:rPr>
              <w:t>通过以上措施，可达到相关要求。建设单位在完全落实上述地下水污染防治措施后，本项目对地下水环境影响较小，地下水污染防治措施可行</w:t>
            </w:r>
            <w:r>
              <w:rPr>
                <w:color w:val="auto"/>
                <w:sz w:val="24"/>
                <w:highlight w:val="none"/>
              </w:rPr>
              <w:t>。</w:t>
            </w:r>
          </w:p>
          <w:p w14:paraId="11CDC0AE">
            <w:pPr>
              <w:spacing w:line="360" w:lineRule="auto"/>
              <w:rPr>
                <w:b/>
                <w:color w:val="auto"/>
                <w:sz w:val="24"/>
                <w:highlight w:val="none"/>
              </w:rPr>
            </w:pPr>
            <w:r>
              <w:rPr>
                <w:rFonts w:hint="eastAsia"/>
                <w:b/>
                <w:color w:val="auto"/>
                <w:sz w:val="24"/>
                <w:highlight w:val="none"/>
                <w:lang w:val="en-US" w:eastAsia="zh-CN"/>
              </w:rPr>
              <w:t>7</w:t>
            </w:r>
            <w:r>
              <w:rPr>
                <w:b/>
                <w:color w:val="auto"/>
                <w:sz w:val="24"/>
                <w:highlight w:val="none"/>
              </w:rPr>
              <w:t>、环境风险</w:t>
            </w:r>
          </w:p>
          <w:p w14:paraId="41EA211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环境风险是指突发性事故对环境（或健康）的危害程度。建设项目环境风险评价，主要是对建设项目运行期间发生的可预测突发性事件或事故（一般不包括人为破坏及自然灾害）引起有毒有害、易燃易爆等物质泄漏，或突发事件产生的新的有毒有害物质，所造成的对人身安全与环境的影响和损害，进行评估，提出防范、应急与减缓措施，以使建设项目事故率、损失和环境影响达到可接受水平。</w:t>
            </w:r>
          </w:p>
          <w:p w14:paraId="09F1142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次环评根据《建设项目环境风险评价技术导则》（HJ169-2018）的要求，并结合本项目实际情况，对本项目可能发生的事故进行风险识别，同时针对最大可信风险事故对环境造成的影响进行分析及评价，对此提出事故应急处理计划和</w:t>
            </w:r>
            <w:r>
              <w:rPr>
                <w:rFonts w:ascii="Segoe UI" w:hAnsi="Segoe UI" w:eastAsia="Segoe UI" w:cs="Segoe UI"/>
                <w:i w:val="0"/>
                <w:iCs w:val="0"/>
                <w:caps w:val="0"/>
                <w:color w:val="0F1115"/>
                <w:spacing w:val="0"/>
                <w:sz w:val="24"/>
                <w:szCs w:val="24"/>
                <w:shd w:val="clear" w:fill="FFFFFF"/>
              </w:rPr>
              <w:t>制定突发环境事件应急预案</w:t>
            </w:r>
            <w:r>
              <w:rPr>
                <w:rFonts w:hint="default" w:ascii="Times New Roman" w:hAnsi="Times New Roman" w:cs="Times New Roman"/>
                <w:color w:val="auto"/>
                <w:sz w:val="24"/>
                <w:highlight w:val="none"/>
              </w:rPr>
              <w:t>，以减少或控制本项目事故发生频率，减少事故风险对环境的危害。</w:t>
            </w:r>
          </w:p>
          <w:p w14:paraId="6EE0B66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 、评价依据</w:t>
            </w:r>
          </w:p>
          <w:p w14:paraId="1A9CE5BD">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（1）风险调查</w:t>
            </w:r>
          </w:p>
          <w:p w14:paraId="5A958988">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按《建设项目环境风险评价技术导则》（HJ169-2018）对本项目涉及的物质进行危险性识别，筛选环境风险评价因子。参照《建设项目环境风险评价技术导则》（HJ169-2018）附录B中的物质，可识别出我公司的环境风险物质为</w:t>
            </w:r>
            <w:r>
              <w:rPr>
                <w:rFonts w:hint="eastAsia" w:ascii="Times New Roman" w:hAnsi="Times New Roman" w:cs="Times New Roman"/>
                <w:color w:val="auto"/>
                <w:sz w:val="24"/>
                <w:highlight w:val="none"/>
                <w:lang w:val="en-US" w:eastAsia="zh-CN"/>
              </w:rPr>
              <w:t>废矿物油</w:t>
            </w:r>
            <w:r>
              <w:rPr>
                <w:rFonts w:hint="default" w:ascii="Times New Roman" w:hAnsi="Times New Roman" w:cs="Times New Roman"/>
                <w:color w:val="auto"/>
                <w:sz w:val="24"/>
                <w:highlight w:val="none"/>
              </w:rPr>
              <w:t>。</w:t>
            </w:r>
          </w:p>
          <w:p w14:paraId="721BC2B6">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（2）风险潜势初判</w:t>
            </w:r>
          </w:p>
          <w:p w14:paraId="1953499F">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根据《建设项目环境风险评价技术导则》（HJ169-2018）附录 B.1对主要化学品进行重大危险源辨识，我公司的环境风险物质为成型生物质燃料。</w:t>
            </w:r>
          </w:p>
          <w:p w14:paraId="7E388DD2">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单元内存在的危险化学品的数量根据处理危险化学品种类的多少区分为以下两种情况：</w:t>
            </w:r>
          </w:p>
          <w:p w14:paraId="2A5A4E3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①当单元内存在的危险物质为单一品种时，其数量等于或超过标准中规定的临界量，即定为重大危险源。</w:t>
            </w:r>
          </w:p>
          <w:p w14:paraId="76F46849">
            <w:pPr>
              <w:spacing w:line="360" w:lineRule="auto"/>
              <w:ind w:firstLine="480" w:firstLineChars="200"/>
              <w:rPr>
                <w:color w:val="auto"/>
                <w:sz w:val="24"/>
                <w:highlight w:val="none"/>
              </w:rPr>
            </w:pPr>
            <w:r>
              <w:rPr>
                <w:rFonts w:hint="default" w:ascii="Times New Roman" w:hAnsi="Times New Roman" w:cs="Times New Roman"/>
                <w:color w:val="auto"/>
                <w:sz w:val="24"/>
                <w:highlight w:val="none"/>
              </w:rPr>
              <w:t>②当单元内存在的危险物质为多品种时，则按下式计算，若满足即定为重大</w:t>
            </w:r>
            <w:r>
              <w:rPr>
                <w:color w:val="auto"/>
                <w:spacing w:val="0"/>
                <w:sz w:val="24"/>
                <w:highlight w:val="none"/>
              </w:rPr>
              <w:t>危险源。</w:t>
            </w:r>
          </w:p>
          <w:p w14:paraId="135E04A7">
            <w:pPr>
              <w:spacing w:line="360" w:lineRule="auto"/>
              <w:ind w:firstLine="420" w:firstLineChars="200"/>
              <w:jc w:val="center"/>
              <w:rPr>
                <w:rFonts w:hint="default" w:ascii="Times New Roman" w:hAnsi="Times New Roman" w:cs="Times New Roman"/>
                <w:color w:val="auto"/>
                <w:sz w:val="24"/>
                <w:highlight w:val="none"/>
              </w:rPr>
            </w:pPr>
            <w:r>
              <w:rPr>
                <w:rFonts w:hint="default" w:ascii="Times New Roman" w:hAnsi="Times New Roman" w:cs="Times New Roman"/>
                <w:color w:val="auto"/>
                <w:highlight w:val="none"/>
              </w:rPr>
              <w:drawing>
                <wp:inline distT="0" distB="0" distL="114300" distR="114300">
                  <wp:extent cx="1464310" cy="441960"/>
                  <wp:effectExtent l="0" t="0" r="0" b="0"/>
                  <wp:docPr id="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4"/>
                          <pic:cNvPicPr>
                            <a:picLocks noChangeAspect="1"/>
                          </pic:cNvPicPr>
                        </pic:nvPicPr>
                        <pic:blipFill>
                          <a:blip r:embed="rId32"/>
                          <a:stretch>
                            <a:fillRect/>
                          </a:stretch>
                        </pic:blipFill>
                        <pic:spPr>
                          <a:xfrm>
                            <a:off x="0" y="0"/>
                            <a:ext cx="1464310" cy="441960"/>
                          </a:xfrm>
                          <a:prstGeom prst="rect">
                            <a:avLst/>
                          </a:prstGeom>
                          <a:noFill/>
                          <a:ln>
                            <a:noFill/>
                          </a:ln>
                        </pic:spPr>
                      </pic:pic>
                    </a:graphicData>
                  </a:graphic>
                </wp:inline>
              </w:drawing>
            </w:r>
          </w:p>
          <w:p w14:paraId="35808B70">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式中：</w:t>
            </w:r>
            <w:r>
              <w:rPr>
                <w:rFonts w:hint="default" w:ascii="Times New Roman" w:hAnsi="Times New Roman" w:cs="Times New Roman"/>
                <w:i/>
                <w:color w:val="auto"/>
                <w:sz w:val="24"/>
                <w:highlight w:val="none"/>
              </w:rPr>
              <w:t>q</w:t>
            </w:r>
            <w:r>
              <w:rPr>
                <w:rFonts w:hint="default" w:ascii="Times New Roman" w:hAnsi="Times New Roman" w:cs="Times New Roman"/>
                <w:i/>
                <w:color w:val="auto"/>
                <w:sz w:val="24"/>
                <w:highlight w:val="none"/>
                <w:vertAlign w:val="subscript"/>
              </w:rPr>
              <w:t>1</w:t>
            </w:r>
            <w:r>
              <w:rPr>
                <w:rFonts w:hint="default" w:ascii="Times New Roman" w:hAnsi="Times New Roman" w:cs="Times New Roman"/>
                <w:i/>
                <w:color w:val="auto"/>
                <w:sz w:val="24"/>
                <w:highlight w:val="none"/>
              </w:rPr>
              <w:t>，q</w:t>
            </w:r>
            <w:r>
              <w:rPr>
                <w:rFonts w:hint="default" w:ascii="Times New Roman" w:hAnsi="Times New Roman" w:cs="Times New Roman"/>
                <w:i/>
                <w:color w:val="auto"/>
                <w:sz w:val="24"/>
                <w:highlight w:val="none"/>
                <w:vertAlign w:val="subscript"/>
              </w:rPr>
              <w:t>2</w:t>
            </w:r>
            <w:r>
              <w:rPr>
                <w:rFonts w:hint="default" w:ascii="Times New Roman" w:hAnsi="Times New Roman" w:cs="Times New Roman"/>
                <w:i/>
                <w:color w:val="auto"/>
                <w:sz w:val="24"/>
                <w:highlight w:val="none"/>
              </w:rPr>
              <w:t>，……，q</w:t>
            </w:r>
            <w:r>
              <w:rPr>
                <w:rFonts w:hint="default" w:ascii="Times New Roman" w:hAnsi="Times New Roman" w:cs="Times New Roman"/>
                <w:i/>
                <w:color w:val="auto"/>
                <w:sz w:val="24"/>
                <w:highlight w:val="none"/>
                <w:vertAlign w:val="subscript"/>
              </w:rPr>
              <w:t>n</w:t>
            </w:r>
            <w:r>
              <w:rPr>
                <w:rFonts w:hint="default" w:ascii="Times New Roman" w:hAnsi="Times New Roman" w:cs="Times New Roman"/>
                <w:color w:val="auto"/>
                <w:sz w:val="24"/>
                <w:highlight w:val="none"/>
              </w:rPr>
              <w:t>为每种危险物质实际存在量，t；</w:t>
            </w:r>
          </w:p>
          <w:p w14:paraId="54EE3F0A">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i/>
                <w:color w:val="auto"/>
                <w:sz w:val="24"/>
                <w:highlight w:val="none"/>
              </w:rPr>
              <w:t>Q</w:t>
            </w:r>
            <w:r>
              <w:rPr>
                <w:rFonts w:hint="default" w:ascii="Times New Roman" w:hAnsi="Times New Roman" w:cs="Times New Roman"/>
                <w:i/>
                <w:color w:val="auto"/>
                <w:sz w:val="24"/>
                <w:highlight w:val="none"/>
                <w:vertAlign w:val="subscript"/>
              </w:rPr>
              <w:t>1</w:t>
            </w:r>
            <w:r>
              <w:rPr>
                <w:rFonts w:hint="default" w:ascii="Times New Roman" w:hAnsi="Times New Roman" w:cs="Times New Roman"/>
                <w:i/>
                <w:color w:val="auto"/>
                <w:sz w:val="24"/>
                <w:highlight w:val="none"/>
              </w:rPr>
              <w:t>,Q</w:t>
            </w:r>
            <w:r>
              <w:rPr>
                <w:rFonts w:hint="default" w:ascii="Times New Roman" w:hAnsi="Times New Roman" w:cs="Times New Roman"/>
                <w:i/>
                <w:color w:val="auto"/>
                <w:sz w:val="24"/>
                <w:highlight w:val="none"/>
                <w:vertAlign w:val="subscript"/>
              </w:rPr>
              <w:t>2</w:t>
            </w:r>
            <w:r>
              <w:rPr>
                <w:rFonts w:hint="default" w:ascii="Times New Roman" w:hAnsi="Times New Roman" w:cs="Times New Roman"/>
                <w:i/>
                <w:color w:val="auto"/>
                <w:sz w:val="24"/>
                <w:highlight w:val="none"/>
              </w:rPr>
              <w:t>,……,Qn</w:t>
            </w:r>
            <w:r>
              <w:rPr>
                <w:rFonts w:hint="default" w:ascii="Times New Roman" w:hAnsi="Times New Roman" w:cs="Times New Roman"/>
                <w:color w:val="auto"/>
                <w:sz w:val="24"/>
                <w:highlight w:val="none"/>
              </w:rPr>
              <w:t>为与各危险物质相对应的临界量，t。</w:t>
            </w:r>
          </w:p>
          <w:p w14:paraId="44047209">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当Q＜1时，该项目环境风险潜势为I；</w:t>
            </w:r>
          </w:p>
          <w:p w14:paraId="50F87E90">
            <w:pPr>
              <w:spacing w:line="360" w:lineRule="auto"/>
              <w:ind w:firstLine="480" w:firstLineChars="200"/>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当Q≥1时，将Q值分为：（1）1≤Q＜10；（2）10≤Q＜100；（3）Q≥100。</w:t>
            </w:r>
          </w:p>
          <w:p w14:paraId="487024AB">
            <w:pPr>
              <w:spacing w:line="360" w:lineRule="auto"/>
              <w:ind w:firstLine="480" w:firstLineChars="200"/>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本项目可作为一个功能单元进行识别，应辨识的危险化学品包括危废。重大危险源辨识分析结果见表 4-</w:t>
            </w:r>
            <w:r>
              <w:rPr>
                <w:rFonts w:hint="eastAsia" w:cs="Times New Roman"/>
                <w:color w:val="auto"/>
                <w:sz w:val="24"/>
                <w:highlight w:val="none"/>
                <w:lang w:val="en-US" w:eastAsia="zh-CN"/>
              </w:rPr>
              <w:t>18</w:t>
            </w:r>
            <w:r>
              <w:rPr>
                <w:rFonts w:hint="default" w:ascii="Times New Roman" w:hAnsi="Times New Roman" w:cs="Times New Roman"/>
                <w:color w:val="auto"/>
                <w:sz w:val="24"/>
                <w:highlight w:val="none"/>
              </w:rPr>
              <w:t>。</w:t>
            </w:r>
          </w:p>
          <w:p w14:paraId="3F6156E5">
            <w:pPr>
              <w:snapToGrid w:val="0"/>
              <w:contextualSpacing/>
              <w:jc w:val="center"/>
              <w:rPr>
                <w:rFonts w:hint="default"/>
                <w:b/>
                <w:color w:val="auto"/>
                <w:szCs w:val="21"/>
                <w:highlight w:val="none"/>
                <w:lang w:val="en-US" w:eastAsia="zh-CN"/>
              </w:rPr>
            </w:pPr>
            <w:r>
              <w:rPr>
                <w:b/>
                <w:bCs/>
                <w:color w:val="auto"/>
                <w:spacing w:val="-2"/>
                <w:highlight w:val="none"/>
              </w:rPr>
              <w:t>表</w:t>
            </w:r>
            <w:r>
              <w:rPr>
                <w:color w:val="auto"/>
                <w:spacing w:val="-2"/>
                <w:highlight w:val="none"/>
              </w:rPr>
              <w:t xml:space="preserve"> </w:t>
            </w:r>
            <w:r>
              <w:rPr>
                <w:rFonts w:ascii="Times New Roman" w:hAnsi="Times New Roman" w:eastAsia="Times New Roman" w:cs="Times New Roman"/>
                <w:b/>
                <w:bCs/>
                <w:color w:val="auto"/>
                <w:spacing w:val="-2"/>
                <w:highlight w:val="none"/>
              </w:rPr>
              <w:t>4-</w:t>
            </w:r>
            <w:r>
              <w:rPr>
                <w:rFonts w:hint="eastAsia" w:eastAsia="宋体" w:cs="Times New Roman"/>
                <w:b/>
                <w:bCs/>
                <w:color w:val="auto"/>
                <w:spacing w:val="-2"/>
                <w:highlight w:val="none"/>
                <w:lang w:val="en-US" w:eastAsia="zh-CN"/>
              </w:rPr>
              <w:t>18</w:t>
            </w:r>
            <w:r>
              <w:rPr>
                <w:rFonts w:ascii="Times New Roman" w:hAnsi="Times New Roman" w:eastAsia="Times New Roman" w:cs="Times New Roman"/>
                <w:b/>
                <w:bCs/>
                <w:color w:val="auto"/>
                <w:spacing w:val="-2"/>
                <w:highlight w:val="none"/>
              </w:rPr>
              <w:t xml:space="preserve">   </w:t>
            </w:r>
            <w:r>
              <w:rPr>
                <w:b/>
                <w:bCs/>
                <w:color w:val="auto"/>
                <w:spacing w:val="-2"/>
                <w:highlight w:val="none"/>
              </w:rPr>
              <w:t>危险物品贮存量一览表</w:t>
            </w:r>
          </w:p>
          <w:tbl>
            <w:tblPr>
              <w:tblStyle w:val="42"/>
              <w:tblW w:w="8597"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182"/>
              <w:gridCol w:w="1586"/>
              <w:gridCol w:w="1547"/>
              <w:gridCol w:w="1646"/>
              <w:gridCol w:w="1636"/>
            </w:tblGrid>
            <w:tr w14:paraId="6D5C59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70" w:hRule="atLeast"/>
                <w:jc w:val="center"/>
              </w:trPr>
              <w:tc>
                <w:tcPr>
                  <w:tcW w:w="2182" w:type="dxa"/>
                  <w:tcBorders>
                    <w:tl2br w:val="nil"/>
                    <w:tr2bl w:val="nil"/>
                  </w:tcBorders>
                  <w:noWrap w:val="0"/>
                  <w:vAlign w:val="center"/>
                </w:tcPr>
                <w:p w14:paraId="33AE55F5">
                  <w:pPr>
                    <w:pStyle w:val="8"/>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物质名称</w:t>
                  </w:r>
                </w:p>
              </w:tc>
              <w:tc>
                <w:tcPr>
                  <w:tcW w:w="1586" w:type="dxa"/>
                  <w:tcBorders>
                    <w:tl2br w:val="nil"/>
                    <w:tr2bl w:val="nil"/>
                  </w:tcBorders>
                  <w:noWrap w:val="0"/>
                  <w:vAlign w:val="center"/>
                </w:tcPr>
                <w:p w14:paraId="501801D7">
                  <w:pPr>
                    <w:pStyle w:val="8"/>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CAS.NO</w:t>
                  </w:r>
                </w:p>
              </w:tc>
              <w:tc>
                <w:tcPr>
                  <w:tcW w:w="1547" w:type="dxa"/>
                  <w:tcBorders>
                    <w:tl2br w:val="nil"/>
                    <w:tr2bl w:val="nil"/>
                  </w:tcBorders>
                  <w:noWrap w:val="0"/>
                  <w:vAlign w:val="center"/>
                </w:tcPr>
                <w:p w14:paraId="443688B8">
                  <w:pPr>
                    <w:pStyle w:val="8"/>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厂区最本大项存目储量（t）</w:t>
                  </w:r>
                </w:p>
              </w:tc>
              <w:tc>
                <w:tcPr>
                  <w:tcW w:w="1646" w:type="dxa"/>
                  <w:tcBorders>
                    <w:tl2br w:val="nil"/>
                    <w:tr2bl w:val="nil"/>
                  </w:tcBorders>
                  <w:noWrap w:val="0"/>
                  <w:vAlign w:val="center"/>
                </w:tcPr>
                <w:p w14:paraId="3E074BF6">
                  <w:pPr>
                    <w:pStyle w:val="8"/>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临界量/ t</w:t>
                  </w:r>
                </w:p>
              </w:tc>
              <w:tc>
                <w:tcPr>
                  <w:tcW w:w="1636" w:type="dxa"/>
                  <w:tcBorders>
                    <w:tl2br w:val="nil"/>
                    <w:tr2bl w:val="nil"/>
                  </w:tcBorders>
                  <w:noWrap w:val="0"/>
                  <w:vAlign w:val="center"/>
                </w:tcPr>
                <w:p w14:paraId="4582FF7B">
                  <w:pPr>
                    <w:pStyle w:val="8"/>
                    <w:ind w:firstLine="0" w:firstLineChars="0"/>
                    <w:jc w:val="center"/>
                    <w:rPr>
                      <w:rFonts w:hint="default" w:ascii="Times New Roman" w:hAnsi="Times New Roman" w:eastAsia="宋体" w:cs="Times New Roman"/>
                      <w:i/>
                      <w:color w:val="auto"/>
                      <w:sz w:val="21"/>
                      <w:szCs w:val="21"/>
                      <w:highlight w:val="none"/>
                    </w:rPr>
                  </w:pPr>
                  <w:r>
                    <w:rPr>
                      <w:rFonts w:hint="default" w:ascii="Times New Roman" w:hAnsi="Times New Roman" w:eastAsia="宋体" w:cs="Times New Roman"/>
                      <w:i/>
                      <w:color w:val="auto"/>
                      <w:sz w:val="21"/>
                      <w:szCs w:val="21"/>
                      <w:highlight w:val="none"/>
                    </w:rPr>
                    <w:t>q/Q</w:t>
                  </w:r>
                </w:p>
              </w:tc>
            </w:tr>
            <w:tr w14:paraId="334ACF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31" w:hRule="atLeast"/>
                <w:jc w:val="center"/>
              </w:trPr>
              <w:tc>
                <w:tcPr>
                  <w:tcW w:w="2182" w:type="dxa"/>
                  <w:tcBorders>
                    <w:tl2br w:val="nil"/>
                    <w:tr2bl w:val="nil"/>
                  </w:tcBorders>
                  <w:noWrap w:val="0"/>
                  <w:vAlign w:val="center"/>
                </w:tcPr>
                <w:p w14:paraId="2E763CED">
                  <w:pPr>
                    <w:pStyle w:val="8"/>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废矿物油</w:t>
                  </w:r>
                </w:p>
              </w:tc>
              <w:tc>
                <w:tcPr>
                  <w:tcW w:w="1586" w:type="dxa"/>
                  <w:tcBorders>
                    <w:tl2br w:val="nil"/>
                    <w:tr2bl w:val="nil"/>
                  </w:tcBorders>
                  <w:noWrap w:val="0"/>
                  <w:vAlign w:val="center"/>
                </w:tcPr>
                <w:p w14:paraId="0485594D">
                  <w:pPr>
                    <w:pStyle w:val="8"/>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eastAsia="宋体" w:cs="Times New Roman"/>
                      <w:color w:val="auto"/>
                      <w:sz w:val="21"/>
                      <w:szCs w:val="21"/>
                      <w:highlight w:val="none"/>
                      <w:lang w:val="en-US" w:eastAsia="zh-CN"/>
                    </w:rPr>
                    <w:t>/</w:t>
                  </w:r>
                </w:p>
              </w:tc>
              <w:tc>
                <w:tcPr>
                  <w:tcW w:w="1547" w:type="dxa"/>
                  <w:tcBorders>
                    <w:tl2br w:val="nil"/>
                    <w:tr2bl w:val="nil"/>
                  </w:tcBorders>
                  <w:noWrap w:val="0"/>
                  <w:vAlign w:val="center"/>
                </w:tcPr>
                <w:p w14:paraId="00C93513">
                  <w:pPr>
                    <w:pStyle w:val="8"/>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eastAsia="宋体" w:cs="Times New Roman"/>
                      <w:color w:val="auto"/>
                      <w:sz w:val="21"/>
                      <w:szCs w:val="21"/>
                      <w:highlight w:val="none"/>
                      <w:lang w:val="en-US" w:eastAsia="zh-CN"/>
                    </w:rPr>
                    <w:t>00</w:t>
                  </w:r>
                  <w:r>
                    <w:rPr>
                      <w:rFonts w:hint="default" w:ascii="Times New Roman" w:hAnsi="Times New Roman" w:eastAsia="宋体" w:cs="Times New Roman"/>
                      <w:color w:val="auto"/>
                      <w:sz w:val="21"/>
                      <w:szCs w:val="21"/>
                      <w:highlight w:val="none"/>
                      <w:lang w:val="en-US" w:eastAsia="zh-CN"/>
                    </w:rPr>
                    <w:t>2</w:t>
                  </w:r>
                </w:p>
              </w:tc>
              <w:tc>
                <w:tcPr>
                  <w:tcW w:w="1646" w:type="dxa"/>
                  <w:tcBorders>
                    <w:tl2br w:val="nil"/>
                    <w:tr2bl w:val="nil"/>
                  </w:tcBorders>
                  <w:noWrap w:val="0"/>
                  <w:vAlign w:val="center"/>
                </w:tcPr>
                <w:p w14:paraId="32FD01DB">
                  <w:pPr>
                    <w:pStyle w:val="8"/>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50</w:t>
                  </w:r>
                  <w:r>
                    <w:rPr>
                      <w:rFonts w:hint="eastAsia" w:eastAsia="宋体" w:cs="Times New Roman"/>
                      <w:color w:val="auto"/>
                      <w:sz w:val="21"/>
                      <w:szCs w:val="21"/>
                      <w:highlight w:val="none"/>
                      <w:lang w:val="en-US" w:eastAsia="zh-CN"/>
                    </w:rPr>
                    <w:t>0</w:t>
                  </w:r>
                </w:p>
              </w:tc>
              <w:tc>
                <w:tcPr>
                  <w:tcW w:w="1636" w:type="dxa"/>
                  <w:tcBorders>
                    <w:tl2br w:val="nil"/>
                    <w:tr2bl w:val="nil"/>
                  </w:tcBorders>
                  <w:noWrap w:val="0"/>
                  <w:vAlign w:val="center"/>
                </w:tcPr>
                <w:p w14:paraId="052929F9">
                  <w:pPr>
                    <w:pStyle w:val="8"/>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eastAsia="宋体" w:cs="Times New Roman"/>
                      <w:color w:val="auto"/>
                      <w:sz w:val="21"/>
                      <w:szCs w:val="21"/>
                      <w:highlight w:val="none"/>
                      <w:lang w:val="en-US" w:eastAsia="zh-CN"/>
                    </w:rPr>
                    <w:t>00008</w:t>
                  </w:r>
                </w:p>
              </w:tc>
            </w:tr>
            <w:tr w14:paraId="0D8A3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6961" w:type="dxa"/>
                  <w:gridSpan w:val="4"/>
                  <w:tcBorders>
                    <w:tl2br w:val="nil"/>
                    <w:tr2bl w:val="nil"/>
                  </w:tcBorders>
                  <w:noWrap w:val="0"/>
                  <w:vAlign w:val="center"/>
                </w:tcPr>
                <w:p w14:paraId="3A72F5AE">
                  <w:pPr>
                    <w:pStyle w:val="8"/>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drawing>
                      <wp:inline distT="0" distB="0" distL="114300" distR="114300">
                        <wp:extent cx="681355" cy="231775"/>
                        <wp:effectExtent l="0" t="0" r="4445" b="16510"/>
                        <wp:docPr id="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5"/>
                                <pic:cNvPicPr>
                                  <a:picLocks noChangeAspect="1"/>
                                </pic:cNvPicPr>
                              </pic:nvPicPr>
                              <pic:blipFill>
                                <a:blip r:embed="rId33"/>
                                <a:stretch>
                                  <a:fillRect/>
                                </a:stretch>
                              </pic:blipFill>
                              <pic:spPr>
                                <a:xfrm>
                                  <a:off x="0" y="0"/>
                                  <a:ext cx="681355" cy="231775"/>
                                </a:xfrm>
                                <a:prstGeom prst="rect">
                                  <a:avLst/>
                                </a:prstGeom>
                                <a:noFill/>
                                <a:ln>
                                  <a:noFill/>
                                </a:ln>
                              </pic:spPr>
                            </pic:pic>
                          </a:graphicData>
                        </a:graphic>
                      </wp:inline>
                    </w:drawing>
                  </w:r>
                </w:p>
              </w:tc>
              <w:tc>
                <w:tcPr>
                  <w:tcW w:w="1636" w:type="dxa"/>
                  <w:tcBorders>
                    <w:tl2br w:val="nil"/>
                    <w:tr2bl w:val="nil"/>
                  </w:tcBorders>
                  <w:noWrap w:val="0"/>
                  <w:vAlign w:val="center"/>
                </w:tcPr>
                <w:p w14:paraId="7B45A86A">
                  <w:pPr>
                    <w:pStyle w:val="8"/>
                    <w:ind w:firstLine="0" w:firstLineChars="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0.00</w:t>
                  </w:r>
                  <w:r>
                    <w:rPr>
                      <w:rFonts w:hint="eastAsia" w:eastAsia="宋体" w:cs="Times New Roman"/>
                      <w:color w:val="auto"/>
                      <w:sz w:val="21"/>
                      <w:szCs w:val="21"/>
                      <w:highlight w:val="none"/>
                      <w:lang w:val="en-US" w:eastAsia="zh-CN"/>
                    </w:rPr>
                    <w:t>00008</w:t>
                  </w:r>
                </w:p>
              </w:tc>
            </w:tr>
          </w:tbl>
          <w:p w14:paraId="4E9D60A8">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由上表的分析结果可知，本项目危险物质Q值为</w:t>
            </w:r>
            <w:r>
              <w:rPr>
                <w:rFonts w:hint="default" w:ascii="Times New Roman" w:hAnsi="Times New Roman" w:eastAsia="宋体" w:cs="Times New Roman"/>
                <w:color w:val="auto"/>
                <w:sz w:val="21"/>
                <w:szCs w:val="21"/>
                <w:highlight w:val="none"/>
                <w:lang w:val="en-US" w:eastAsia="zh-CN"/>
              </w:rPr>
              <w:t>0.00</w:t>
            </w:r>
            <w:r>
              <w:rPr>
                <w:rFonts w:hint="eastAsia" w:eastAsia="宋体" w:cs="Times New Roman"/>
                <w:color w:val="auto"/>
                <w:sz w:val="21"/>
                <w:szCs w:val="21"/>
                <w:highlight w:val="none"/>
                <w:lang w:val="en-US" w:eastAsia="zh-CN"/>
              </w:rPr>
              <w:t>00008</w:t>
            </w:r>
            <w:r>
              <w:rPr>
                <w:rFonts w:hint="default" w:ascii="Times New Roman" w:hAnsi="Times New Roman" w:cs="Times New Roman"/>
                <w:color w:val="auto"/>
                <w:sz w:val="24"/>
                <w:highlight w:val="none"/>
                <w:lang w:val="zh-CN" w:eastAsia="zh-CN"/>
              </w:rPr>
              <w:t>&lt;1，项目环境风险潜势为Ⅰ。对项目环境风险评价做简单分析。</w:t>
            </w:r>
          </w:p>
          <w:p w14:paraId="5A408191">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2</w:t>
            </w:r>
            <w:r>
              <w:rPr>
                <w:rFonts w:hint="eastAsia" w:cs="Times New Roman"/>
                <w:color w:val="auto"/>
                <w:sz w:val="24"/>
                <w:highlight w:val="none"/>
                <w:lang w:val="zh-CN" w:eastAsia="zh-CN"/>
              </w:rPr>
              <w:t>、</w:t>
            </w:r>
            <w:r>
              <w:rPr>
                <w:rFonts w:hint="default" w:ascii="Times New Roman" w:hAnsi="Times New Roman" w:cs="Times New Roman"/>
                <w:color w:val="auto"/>
                <w:sz w:val="24"/>
                <w:highlight w:val="none"/>
                <w:lang w:val="zh-CN" w:eastAsia="zh-CN"/>
              </w:rPr>
              <w:t>环境风险识别</w:t>
            </w:r>
          </w:p>
          <w:p w14:paraId="2C6A1660">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（1）风险识别范围与类型</w:t>
            </w:r>
          </w:p>
          <w:p w14:paraId="425AAE1D">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A、环境风险识别范围包括生产设施风险识别和生产过程所涉及的物质风险识别。</w:t>
            </w:r>
          </w:p>
          <w:p w14:paraId="360CA6E7">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B、生产设施风险识别范围包括厂区内部的主要生产装置、贮运系统、公用工程系统、工程环保设施及辅助生产设施。</w:t>
            </w:r>
          </w:p>
          <w:p w14:paraId="1833C132">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C、物质风险识别范围包括所使用的主要原辅材料、燃料、中间产品、最终产品以及生产过程排放的“三废”污染物等。</w:t>
            </w:r>
          </w:p>
          <w:p w14:paraId="63E4C037">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D、风险类型包括危险物质泄漏，以及火灾、爆炸等引发的次生/伴生污染物排放。</w:t>
            </w:r>
          </w:p>
          <w:p w14:paraId="6FA7A78D">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本次评价不考虑自然灾害如地震、洪水、台风等引起的事故风险。</w:t>
            </w:r>
          </w:p>
          <w:p w14:paraId="2E4A423D">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①风险物质识别</w:t>
            </w:r>
          </w:p>
          <w:p w14:paraId="1BEDEEE2">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根据《建设项目环境风险评价技术导则》(HJ/T169-2018)及其附录 B，本项目涉及主要物质风险源为危险废物。</w:t>
            </w:r>
          </w:p>
          <w:p w14:paraId="689A4FCF">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②生产设施风险识别</w:t>
            </w:r>
          </w:p>
          <w:p w14:paraId="7FC51D35">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A、贮存系统</w:t>
            </w:r>
          </w:p>
          <w:p w14:paraId="4BBF407F">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项目贮存系统主要为燃料堆放区及危废暂存间等。</w:t>
            </w:r>
          </w:p>
          <w:p w14:paraId="159A4A61">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a、燃料在贮存过程中遇到火源则发生火灾事故，或遭受</w:t>
            </w:r>
            <w:r>
              <w:rPr>
                <w:rFonts w:hint="eastAsia" w:cs="Times New Roman"/>
                <w:color w:val="auto"/>
                <w:sz w:val="24"/>
                <w:highlight w:val="none"/>
                <w:lang w:val="en-US" w:eastAsia="zh-CN"/>
              </w:rPr>
              <w:t>雷击</w:t>
            </w:r>
            <w:r>
              <w:rPr>
                <w:rFonts w:hint="default" w:ascii="Times New Roman" w:hAnsi="Times New Roman" w:cs="Times New Roman"/>
                <w:color w:val="auto"/>
                <w:sz w:val="24"/>
                <w:highlight w:val="none"/>
                <w:lang w:val="zh-CN" w:eastAsia="zh-CN"/>
              </w:rPr>
              <w:t>也可能诱发火灾事故。</w:t>
            </w:r>
          </w:p>
          <w:p w14:paraId="6848E5D8">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b、危险废物在厂区内运输、在危废暂存间内贮存过程中出现洒落等情况，污染</w:t>
            </w:r>
            <w:r>
              <w:rPr>
                <w:rFonts w:hint="eastAsia" w:ascii="Times New Roman" w:hAnsi="Times New Roman" w:cs="Times New Roman"/>
                <w:color w:val="auto"/>
                <w:sz w:val="24"/>
                <w:highlight w:val="none"/>
                <w:lang w:val="zh-CN" w:eastAsia="zh-CN"/>
              </w:rPr>
              <w:t>危废暂存间</w:t>
            </w:r>
            <w:r>
              <w:rPr>
                <w:rFonts w:hint="default" w:ascii="Times New Roman" w:hAnsi="Times New Roman" w:cs="Times New Roman"/>
                <w:color w:val="auto"/>
                <w:sz w:val="24"/>
                <w:highlight w:val="none"/>
                <w:lang w:val="zh-CN" w:eastAsia="zh-CN"/>
              </w:rPr>
              <w:t>及厂区环境。</w:t>
            </w:r>
          </w:p>
          <w:p w14:paraId="4AD33DD3">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B、工程环保设施</w:t>
            </w:r>
          </w:p>
          <w:p w14:paraId="52151315">
            <w:pPr>
              <w:spacing w:line="360" w:lineRule="auto"/>
              <w:ind w:firstLine="480" w:firstLineChars="200"/>
              <w:rPr>
                <w:rFonts w:hint="default" w:ascii="Times New Roman" w:hAnsi="Times New Roman" w:cs="Times New Roman"/>
                <w:color w:val="auto"/>
                <w:sz w:val="24"/>
                <w:highlight w:val="none"/>
                <w:lang w:val="zh-CN" w:eastAsia="zh-CN"/>
              </w:rPr>
            </w:pPr>
            <w:r>
              <w:rPr>
                <w:rFonts w:hint="default" w:ascii="Times New Roman" w:hAnsi="Times New Roman" w:cs="Times New Roman"/>
                <w:color w:val="auto"/>
                <w:sz w:val="24"/>
                <w:highlight w:val="none"/>
                <w:lang w:val="zh-CN" w:eastAsia="zh-CN"/>
              </w:rPr>
              <w:t>本次</w:t>
            </w:r>
            <w:r>
              <w:rPr>
                <w:rFonts w:hint="eastAsia" w:cs="Times New Roman"/>
                <w:color w:val="auto"/>
                <w:sz w:val="24"/>
                <w:highlight w:val="none"/>
                <w:lang w:val="zh-CN" w:eastAsia="zh-CN"/>
              </w:rPr>
              <w:t>技改</w:t>
            </w:r>
            <w:r>
              <w:rPr>
                <w:rFonts w:hint="default" w:ascii="Times New Roman" w:hAnsi="Times New Roman" w:cs="Times New Roman"/>
                <w:color w:val="auto"/>
                <w:sz w:val="24"/>
                <w:highlight w:val="none"/>
                <w:lang w:val="zh-CN" w:eastAsia="zh-CN"/>
              </w:rPr>
              <w:t>项目工程环保设施主要有废气处理设施（</w:t>
            </w:r>
            <w:r>
              <w:rPr>
                <w:rFonts w:hint="eastAsia" w:cs="Times New Roman"/>
                <w:color w:val="auto"/>
                <w:sz w:val="24"/>
                <w:highlight w:val="none"/>
                <w:lang w:val="zh-CN" w:eastAsia="zh-CN"/>
              </w:rPr>
              <w:t>两级水膜除尘器</w:t>
            </w:r>
            <w:r>
              <w:rPr>
                <w:rFonts w:hint="default" w:ascii="Times New Roman" w:hAnsi="Times New Roman" w:cs="Times New Roman"/>
                <w:color w:val="auto"/>
                <w:sz w:val="24"/>
                <w:highlight w:val="none"/>
                <w:lang w:val="zh-CN" w:eastAsia="zh-CN"/>
              </w:rPr>
              <w:t>）、废水处理设施（沉淀池）。</w:t>
            </w:r>
          </w:p>
          <w:p w14:paraId="4A3DC64A">
            <w:pPr>
              <w:pStyle w:val="158"/>
              <w:ind w:firstLine="468"/>
              <w:jc w:val="left"/>
              <w:rPr>
                <w:b w:val="0"/>
                <w:color w:val="auto"/>
                <w:spacing w:val="0"/>
                <w:sz w:val="24"/>
                <w:highlight w:val="none"/>
                <w:u w:val="none"/>
                <w:lang w:val="zh-CN" w:eastAsia="zh-CN"/>
              </w:rPr>
            </w:pPr>
            <w:r>
              <w:rPr>
                <w:b w:val="0"/>
                <w:color w:val="auto"/>
                <w:spacing w:val="0"/>
                <w:sz w:val="24"/>
                <w:highlight w:val="none"/>
                <w:u w:val="none"/>
                <w:lang w:val="zh-CN" w:eastAsia="zh-CN"/>
              </w:rPr>
              <w:t xml:space="preserve">（2）风险影响途径 </w:t>
            </w:r>
          </w:p>
          <w:p w14:paraId="5F30A3F7">
            <w:pPr>
              <w:pStyle w:val="158"/>
              <w:ind w:firstLine="468"/>
              <w:jc w:val="left"/>
              <w:rPr>
                <w:b w:val="0"/>
                <w:color w:val="auto"/>
                <w:spacing w:val="0"/>
                <w:sz w:val="24"/>
                <w:highlight w:val="none"/>
                <w:u w:val="none"/>
                <w:lang w:val="zh-CN" w:eastAsia="zh-CN"/>
              </w:rPr>
            </w:pPr>
            <w:r>
              <w:rPr>
                <w:b w:val="0"/>
                <w:color w:val="auto"/>
                <w:spacing w:val="0"/>
                <w:sz w:val="24"/>
                <w:highlight w:val="none"/>
                <w:u w:val="none"/>
                <w:lang w:val="zh-CN" w:eastAsia="zh-CN"/>
              </w:rPr>
              <w:t xml:space="preserve">本项目涉及的风险源分布情况及影响途径见下表。  </w:t>
            </w:r>
          </w:p>
          <w:p w14:paraId="6C113C9D">
            <w:pPr>
              <w:jc w:val="center"/>
              <w:rPr>
                <w:rFonts w:hint="default" w:ascii="Times New Roman" w:hAnsi="Times New Roman" w:cs="Times New Roman"/>
                <w:b/>
                <w:color w:val="auto"/>
                <w:szCs w:val="21"/>
                <w:highlight w:val="none"/>
                <w:u w:val="none"/>
              </w:rPr>
            </w:pPr>
            <w:r>
              <w:rPr>
                <w:rFonts w:hint="default" w:ascii="Times New Roman" w:hAnsi="Times New Roman" w:cs="Times New Roman"/>
                <w:b/>
                <w:color w:val="auto"/>
                <w:szCs w:val="21"/>
                <w:highlight w:val="none"/>
                <w:u w:val="none"/>
              </w:rPr>
              <w:t>表 4-</w:t>
            </w:r>
            <w:r>
              <w:rPr>
                <w:rFonts w:hint="eastAsia" w:cs="Times New Roman"/>
                <w:b/>
                <w:color w:val="auto"/>
                <w:szCs w:val="21"/>
                <w:highlight w:val="none"/>
                <w:u w:val="none"/>
                <w:lang w:val="en-US" w:eastAsia="zh-CN"/>
              </w:rPr>
              <w:t>19</w:t>
            </w:r>
            <w:r>
              <w:rPr>
                <w:rFonts w:hint="default" w:ascii="Times New Roman" w:hAnsi="Times New Roman" w:cs="Times New Roman"/>
                <w:b/>
                <w:color w:val="auto"/>
                <w:szCs w:val="21"/>
                <w:highlight w:val="none"/>
                <w:u w:val="none"/>
              </w:rPr>
              <w:t xml:space="preserve">  项目危险物质、风险源分布情况及影响途径一览表</w:t>
            </w:r>
          </w:p>
          <w:tbl>
            <w:tblPr>
              <w:tblStyle w:val="156"/>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894"/>
              <w:gridCol w:w="2132"/>
              <w:gridCol w:w="2393"/>
              <w:gridCol w:w="2197"/>
            </w:tblGrid>
            <w:tr w14:paraId="086522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6" w:hRule="atLeast"/>
              </w:trPr>
              <w:tc>
                <w:tcPr>
                  <w:tcW w:w="1099" w:type="pct"/>
                  <w:tcBorders>
                    <w:tl2br w:val="nil"/>
                    <w:tr2bl w:val="nil"/>
                  </w:tcBorders>
                  <w:vAlign w:val="center"/>
                </w:tcPr>
                <w:p w14:paraId="6946959D">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风险源</w:t>
                  </w:r>
                </w:p>
              </w:tc>
              <w:tc>
                <w:tcPr>
                  <w:tcW w:w="1237" w:type="pct"/>
                  <w:tcBorders>
                    <w:tl2br w:val="nil"/>
                    <w:tr2bl w:val="nil"/>
                  </w:tcBorders>
                  <w:vAlign w:val="center"/>
                </w:tcPr>
                <w:p w14:paraId="525B5B00">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危险物质</w:t>
                  </w:r>
                </w:p>
              </w:tc>
              <w:tc>
                <w:tcPr>
                  <w:tcW w:w="1388" w:type="pct"/>
                  <w:tcBorders>
                    <w:tl2br w:val="nil"/>
                    <w:tr2bl w:val="nil"/>
                  </w:tcBorders>
                  <w:vAlign w:val="center"/>
                </w:tcPr>
                <w:p w14:paraId="066F14AD">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影响途径</w:t>
                  </w:r>
                </w:p>
              </w:tc>
              <w:tc>
                <w:tcPr>
                  <w:tcW w:w="1274" w:type="pct"/>
                  <w:tcBorders>
                    <w:tl2br w:val="nil"/>
                    <w:tr2bl w:val="nil"/>
                  </w:tcBorders>
                  <w:vAlign w:val="center"/>
                </w:tcPr>
                <w:p w14:paraId="36430D93">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环境影响要素</w:t>
                  </w:r>
                </w:p>
              </w:tc>
            </w:tr>
            <w:tr w14:paraId="5EFAF8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8" w:hRule="atLeast"/>
              </w:trPr>
              <w:tc>
                <w:tcPr>
                  <w:tcW w:w="1099" w:type="pct"/>
                  <w:tcBorders>
                    <w:tl2br w:val="nil"/>
                    <w:tr2bl w:val="nil"/>
                  </w:tcBorders>
                  <w:vAlign w:val="center"/>
                </w:tcPr>
                <w:p w14:paraId="221A6A27">
                  <w:pPr>
                    <w:pStyle w:val="149"/>
                    <w:rPr>
                      <w:rFonts w:hint="default" w:eastAsia="宋体"/>
                      <w:color w:val="auto"/>
                      <w:highlight w:val="none"/>
                      <w:u w:val="none"/>
                      <w:lang w:val="en-US" w:eastAsia="zh-CN"/>
                    </w:rPr>
                  </w:pPr>
                  <w:r>
                    <w:rPr>
                      <w:rFonts w:hint="eastAsia"/>
                      <w:color w:val="auto"/>
                      <w:highlight w:val="none"/>
                      <w:u w:val="none"/>
                      <w:lang w:val="en-US" w:eastAsia="zh-CN"/>
                    </w:rPr>
                    <w:t>危废暂存间</w:t>
                  </w:r>
                </w:p>
              </w:tc>
              <w:tc>
                <w:tcPr>
                  <w:tcW w:w="1237" w:type="pct"/>
                  <w:tcBorders>
                    <w:tl2br w:val="nil"/>
                    <w:tr2bl w:val="nil"/>
                  </w:tcBorders>
                  <w:vAlign w:val="center"/>
                </w:tcPr>
                <w:p w14:paraId="48B3655C">
                  <w:pPr>
                    <w:pStyle w:val="149"/>
                    <w:rPr>
                      <w:rFonts w:hint="default" w:eastAsia="宋体"/>
                      <w:color w:val="auto"/>
                      <w:highlight w:val="none"/>
                      <w:u w:val="none"/>
                      <w:lang w:val="en-US" w:eastAsia="zh-CN"/>
                    </w:rPr>
                  </w:pPr>
                  <w:r>
                    <w:rPr>
                      <w:rFonts w:hint="eastAsia"/>
                      <w:color w:val="auto"/>
                      <w:highlight w:val="none"/>
                      <w:u w:val="none"/>
                      <w:lang w:val="en-US" w:eastAsia="zh-CN"/>
                    </w:rPr>
                    <w:t>废矿物油</w:t>
                  </w:r>
                </w:p>
              </w:tc>
              <w:tc>
                <w:tcPr>
                  <w:tcW w:w="1388" w:type="pct"/>
                  <w:tcBorders>
                    <w:tl2br w:val="nil"/>
                    <w:tr2bl w:val="nil"/>
                  </w:tcBorders>
                  <w:vAlign w:val="center"/>
                </w:tcPr>
                <w:p w14:paraId="39C725DB">
                  <w:pPr>
                    <w:pStyle w:val="149"/>
                    <w:rPr>
                      <w:rFonts w:hint="default" w:eastAsia="宋体"/>
                      <w:color w:val="auto"/>
                      <w:highlight w:val="none"/>
                      <w:u w:val="none"/>
                      <w:lang w:val="en-US" w:eastAsia="zh-CN"/>
                    </w:rPr>
                  </w:pPr>
                  <w:r>
                    <w:rPr>
                      <w:rFonts w:hint="eastAsia"/>
                      <w:color w:val="auto"/>
                      <w:highlight w:val="none"/>
                      <w:u w:val="none"/>
                      <w:lang w:val="en-US" w:eastAsia="zh-CN"/>
                    </w:rPr>
                    <w:t>泄露，火灾、爆炸产生的次生污染物</w:t>
                  </w:r>
                </w:p>
              </w:tc>
              <w:tc>
                <w:tcPr>
                  <w:tcW w:w="1274" w:type="pct"/>
                  <w:tcBorders>
                    <w:tl2br w:val="nil"/>
                    <w:tr2bl w:val="nil"/>
                  </w:tcBorders>
                  <w:vAlign w:val="center"/>
                </w:tcPr>
                <w:p w14:paraId="6DEC9295">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大气、地表水</w:t>
                  </w:r>
                </w:p>
              </w:tc>
            </w:tr>
            <w:tr w14:paraId="55CBAE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1099" w:type="pct"/>
                  <w:tcBorders>
                    <w:tl2br w:val="nil"/>
                    <w:tr2bl w:val="nil"/>
                  </w:tcBorders>
                  <w:vAlign w:val="center"/>
                </w:tcPr>
                <w:p w14:paraId="58B422A4">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燃料储存仓库</w:t>
                  </w:r>
                </w:p>
              </w:tc>
              <w:tc>
                <w:tcPr>
                  <w:tcW w:w="1237" w:type="pct"/>
                  <w:tcBorders>
                    <w:tl2br w:val="nil"/>
                    <w:tr2bl w:val="nil"/>
                  </w:tcBorders>
                  <w:vAlign w:val="center"/>
                </w:tcPr>
                <w:p w14:paraId="27DAFF0E">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成型生物质燃料</w:t>
                  </w:r>
                </w:p>
              </w:tc>
              <w:tc>
                <w:tcPr>
                  <w:tcW w:w="1388" w:type="pct"/>
                  <w:tcBorders>
                    <w:tl2br w:val="nil"/>
                    <w:tr2bl w:val="nil"/>
                  </w:tcBorders>
                  <w:vAlign w:val="center"/>
                </w:tcPr>
                <w:p w14:paraId="09641337">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易燃、火灾</w:t>
                  </w:r>
                  <w:r>
                    <w:rPr>
                      <w:rFonts w:hint="eastAsia"/>
                      <w:color w:val="auto"/>
                      <w:highlight w:val="none"/>
                      <w:u w:val="none"/>
                      <w:lang w:val="en-US" w:eastAsia="zh-CN"/>
                    </w:rPr>
                    <w:t>产生的次生污染物</w:t>
                  </w:r>
                </w:p>
              </w:tc>
              <w:tc>
                <w:tcPr>
                  <w:tcW w:w="1274" w:type="pct"/>
                  <w:tcBorders>
                    <w:tl2br w:val="nil"/>
                    <w:tr2bl w:val="nil"/>
                  </w:tcBorders>
                  <w:vAlign w:val="center"/>
                </w:tcPr>
                <w:p w14:paraId="7B602555">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大气、地表水</w:t>
                  </w:r>
                </w:p>
              </w:tc>
            </w:tr>
            <w:tr w14:paraId="0A1920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1" w:hRule="atLeast"/>
              </w:trPr>
              <w:tc>
                <w:tcPr>
                  <w:tcW w:w="1099" w:type="pct"/>
                  <w:tcBorders>
                    <w:tl2br w:val="nil"/>
                    <w:tr2bl w:val="nil"/>
                  </w:tcBorders>
                  <w:vAlign w:val="center"/>
                </w:tcPr>
                <w:p w14:paraId="5233AE5F">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锅炉房</w:t>
                  </w:r>
                </w:p>
              </w:tc>
              <w:tc>
                <w:tcPr>
                  <w:tcW w:w="1237" w:type="pct"/>
                  <w:tcBorders>
                    <w:tl2br w:val="nil"/>
                    <w:tr2bl w:val="nil"/>
                  </w:tcBorders>
                  <w:vAlign w:val="center"/>
                </w:tcPr>
                <w:p w14:paraId="441E46A1">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电气等</w:t>
                  </w:r>
                </w:p>
              </w:tc>
              <w:tc>
                <w:tcPr>
                  <w:tcW w:w="1388" w:type="pct"/>
                  <w:tcBorders>
                    <w:tl2br w:val="nil"/>
                    <w:tr2bl w:val="nil"/>
                  </w:tcBorders>
                  <w:vAlign w:val="center"/>
                </w:tcPr>
                <w:p w14:paraId="0F0029F4">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火灾</w:t>
                  </w:r>
                  <w:r>
                    <w:rPr>
                      <w:rFonts w:hint="eastAsia"/>
                      <w:color w:val="auto"/>
                      <w:highlight w:val="none"/>
                      <w:u w:val="none"/>
                      <w:lang w:val="en-US" w:eastAsia="zh-CN"/>
                    </w:rPr>
                    <w:t>产生的次生污染物</w:t>
                  </w:r>
                </w:p>
              </w:tc>
              <w:tc>
                <w:tcPr>
                  <w:tcW w:w="1274" w:type="pct"/>
                  <w:tcBorders>
                    <w:tl2br w:val="nil"/>
                    <w:tr2bl w:val="nil"/>
                  </w:tcBorders>
                  <w:vAlign w:val="center"/>
                </w:tcPr>
                <w:p w14:paraId="5DA7C668">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大气、地表水</w:t>
                  </w:r>
                </w:p>
              </w:tc>
            </w:tr>
            <w:tr w14:paraId="01097F6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3" w:hRule="atLeast"/>
              </w:trPr>
              <w:tc>
                <w:tcPr>
                  <w:tcW w:w="1099" w:type="pct"/>
                  <w:tcBorders>
                    <w:tl2br w:val="nil"/>
                    <w:tr2bl w:val="nil"/>
                  </w:tcBorders>
                  <w:vAlign w:val="center"/>
                </w:tcPr>
                <w:p w14:paraId="2E5735B0">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锅炉房</w:t>
                  </w:r>
                </w:p>
              </w:tc>
              <w:tc>
                <w:tcPr>
                  <w:tcW w:w="1237" w:type="pct"/>
                  <w:tcBorders>
                    <w:tl2br w:val="nil"/>
                    <w:tr2bl w:val="nil"/>
                  </w:tcBorders>
                  <w:vAlign w:val="center"/>
                </w:tcPr>
                <w:p w14:paraId="2433F97C">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废气处理设施故障</w:t>
                  </w:r>
                </w:p>
              </w:tc>
              <w:tc>
                <w:tcPr>
                  <w:tcW w:w="1388" w:type="pct"/>
                  <w:tcBorders>
                    <w:tl2br w:val="nil"/>
                    <w:tr2bl w:val="nil"/>
                  </w:tcBorders>
                  <w:vAlign w:val="center"/>
                </w:tcPr>
                <w:p w14:paraId="62A98CC3">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废气事故排放</w:t>
                  </w:r>
                </w:p>
              </w:tc>
              <w:tc>
                <w:tcPr>
                  <w:tcW w:w="1274" w:type="pct"/>
                  <w:tcBorders>
                    <w:tl2br w:val="nil"/>
                    <w:tr2bl w:val="nil"/>
                  </w:tcBorders>
                  <w:vAlign w:val="center"/>
                </w:tcPr>
                <w:p w14:paraId="68477F18">
                  <w:pPr>
                    <w:pStyle w:val="149"/>
                    <w:rPr>
                      <w:rFonts w:hint="eastAsia" w:eastAsia="宋体"/>
                      <w:color w:val="auto"/>
                      <w:highlight w:val="none"/>
                      <w:u w:val="none"/>
                      <w:lang w:val="en-US" w:eastAsia="zh-CN"/>
                    </w:rPr>
                  </w:pPr>
                  <w:r>
                    <w:rPr>
                      <w:rFonts w:hint="eastAsia" w:eastAsia="宋体"/>
                      <w:color w:val="auto"/>
                      <w:highlight w:val="none"/>
                      <w:u w:val="none"/>
                      <w:lang w:val="en-US" w:eastAsia="zh-CN"/>
                    </w:rPr>
                    <w:t>大气</w:t>
                  </w:r>
                </w:p>
              </w:tc>
            </w:tr>
          </w:tbl>
          <w:p w14:paraId="42A75FC5">
            <w:pPr>
              <w:spacing w:line="360" w:lineRule="auto"/>
              <w:ind w:firstLine="480" w:firstLineChars="200"/>
              <w:rPr>
                <w:rFonts w:hint="eastAsia"/>
                <w:color w:val="auto"/>
                <w:sz w:val="24"/>
                <w:highlight w:val="none"/>
                <w:lang w:val="zh-CN" w:eastAsia="zh-CN"/>
              </w:rPr>
            </w:pPr>
            <w:r>
              <w:rPr>
                <w:rFonts w:hint="eastAsia"/>
                <w:color w:val="auto"/>
                <w:sz w:val="24"/>
                <w:highlight w:val="none"/>
                <w:lang w:val="en-US" w:eastAsia="zh-CN"/>
              </w:rPr>
              <w:t>3、</w:t>
            </w:r>
            <w:r>
              <w:rPr>
                <w:rFonts w:hint="eastAsia"/>
                <w:color w:val="auto"/>
                <w:sz w:val="24"/>
                <w:highlight w:val="none"/>
                <w:lang w:val="zh-CN" w:eastAsia="zh-CN"/>
              </w:rPr>
              <w:t>风险影响分析</w:t>
            </w:r>
          </w:p>
          <w:p w14:paraId="7160D2C5">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①废气处理设施（两级水膜除尘器）故障情景</w:t>
            </w:r>
          </w:p>
          <w:p w14:paraId="0B7DA110">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技改项目锅炉废气经两级水膜除尘器处理，两级水膜除尘器处理设施故障、失效情况下，引起SO</w:t>
            </w:r>
            <w:r>
              <w:rPr>
                <w:rFonts w:hint="eastAsia"/>
                <w:color w:val="auto"/>
                <w:sz w:val="24"/>
                <w:highlight w:val="none"/>
                <w:vertAlign w:val="subscript"/>
                <w:lang w:val="zh-CN" w:eastAsia="zh-CN"/>
              </w:rPr>
              <w:t>2</w:t>
            </w:r>
            <w:r>
              <w:rPr>
                <w:rFonts w:hint="eastAsia"/>
                <w:color w:val="auto"/>
                <w:sz w:val="24"/>
                <w:highlight w:val="none"/>
                <w:lang w:val="zh-CN" w:eastAsia="zh-CN"/>
              </w:rPr>
              <w:t>、NOx、颗粒物未经处理直接外排，造成周围大气环境污染。</w:t>
            </w:r>
          </w:p>
          <w:p w14:paraId="6A369260">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②沉淀池故障情景</w:t>
            </w:r>
          </w:p>
          <w:p w14:paraId="0005C538">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沉淀池发生池体破裂或池满溢流，造成废水非正常排放等事故，导致废水直接外排至周边水体，造成周边水体污染。</w:t>
            </w:r>
          </w:p>
          <w:p w14:paraId="50838275">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③次生火灾、爆炸事故情景</w:t>
            </w:r>
          </w:p>
          <w:p w14:paraId="7277737F">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燃料仓库储存的易燃（成型生物质燃料）以及其它锅炉房、办公区域生产区电气设施等均可能导致火灾爆炸事故的发生等。均会产生废气和消防废水，影响大气环境及水环境。</w:t>
            </w:r>
          </w:p>
          <w:p w14:paraId="32FF701A">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④危废暂存间故障情景</w:t>
            </w:r>
          </w:p>
          <w:p w14:paraId="2DBB8F9B">
            <w:pPr>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由于材料缺陷，危废暂存间盛装物料容器选用材料不合格或老化或人为操作失误，泄露后危险废物随雨水管网或渗漏污染地表水体，引起水体中的污染物浓度剧增。</w:t>
            </w:r>
          </w:p>
          <w:p w14:paraId="647343EF">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4、风险防范措施要求</w:t>
            </w:r>
          </w:p>
          <w:p w14:paraId="7765BC62">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①废气处理（两级水膜除尘器）装置失效防范措施</w:t>
            </w:r>
          </w:p>
          <w:p w14:paraId="048E9309">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A、废气处理（两级水膜除尘器）装置失效，为避免废气未经处理直接外排至外环境，</w:t>
            </w:r>
            <w:r>
              <w:rPr>
                <w:rFonts w:hint="eastAsia"/>
                <w:color w:val="auto"/>
                <w:sz w:val="24"/>
                <w:highlight w:val="none"/>
                <w:lang w:val="en-US" w:eastAsia="zh-CN"/>
              </w:rPr>
              <w:t>应</w:t>
            </w:r>
            <w:r>
              <w:rPr>
                <w:rFonts w:hint="eastAsia"/>
                <w:color w:val="auto"/>
                <w:sz w:val="24"/>
                <w:highlight w:val="none"/>
                <w:lang w:val="zh-CN" w:eastAsia="zh-CN"/>
              </w:rPr>
              <w:t>设置废气处理设施与锅炉运行的联动装置，确保处理设施故障时锅炉自动停机，停炉处理，通知维修组，进行抢修，待两级水膜除尘器维修完成，方可投入运行；</w:t>
            </w:r>
          </w:p>
          <w:p w14:paraId="7D53C5E4">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B、日常由专人负责环境管理工作，制订了“环保管理人员职责”和“环境污染防治措施”制度，加强废气治理设施的监督和管理。</w:t>
            </w:r>
          </w:p>
          <w:p w14:paraId="2B46460D">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C、加强废气处理设施及设备的定期检修和维护工作，发现事故隐患，及时解决，一旦不能及时解决，立即停止生产。</w:t>
            </w:r>
          </w:p>
          <w:p w14:paraId="325CCA5D">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D、引进技术先进、处理效果好的废气治理设备和设施，保证污染物达标排放。</w:t>
            </w:r>
          </w:p>
          <w:p w14:paraId="54F71C2B">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②废水处理（沉淀池）泄露或溢流防范措施</w:t>
            </w:r>
          </w:p>
          <w:p w14:paraId="0FAD4C6B">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A、一旦发现沉淀池池体破裂造成废水泄漏、溢流时，立即停止泵体，不让废水进入沉淀池内。</w:t>
            </w:r>
          </w:p>
          <w:p w14:paraId="1F3E270F">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B、将已经流至沉淀池周围的废水进行收集，收集至备用桶内贮存，做下一步处理。</w:t>
            </w:r>
          </w:p>
          <w:p w14:paraId="5DD81CAE">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C、通知维修组，进行抢修，待沉淀池维修完成，方可继续投入运行。</w:t>
            </w:r>
          </w:p>
          <w:p w14:paraId="0453E648">
            <w:pPr>
              <w:spacing w:line="360" w:lineRule="auto"/>
              <w:ind w:firstLine="480" w:firstLineChars="200"/>
              <w:rPr>
                <w:rFonts w:hint="eastAsia"/>
                <w:color w:val="auto"/>
                <w:sz w:val="24"/>
                <w:highlight w:val="none"/>
                <w:u w:val="none"/>
                <w:lang w:val="zh-CN" w:eastAsia="zh-CN"/>
              </w:rPr>
            </w:pPr>
            <w:r>
              <w:rPr>
                <w:rFonts w:hint="eastAsia"/>
                <w:color w:val="auto"/>
                <w:sz w:val="24"/>
                <w:highlight w:val="none"/>
                <w:u w:val="none"/>
                <w:lang w:val="zh-CN" w:eastAsia="zh-CN"/>
              </w:rPr>
              <w:t xml:space="preserve">③事故引起的火灾、爆炸引发的次生/伴生污染应对措施 </w:t>
            </w:r>
          </w:p>
          <w:p w14:paraId="1BE6B767">
            <w:pPr>
              <w:spacing w:line="360" w:lineRule="auto"/>
              <w:ind w:firstLine="480" w:firstLineChars="200"/>
              <w:rPr>
                <w:rFonts w:hint="eastAsia"/>
                <w:color w:val="auto"/>
                <w:sz w:val="24"/>
                <w:highlight w:val="none"/>
                <w:u w:val="none"/>
                <w:lang w:val="zh-CN" w:eastAsia="zh-CN"/>
              </w:rPr>
            </w:pPr>
            <w:r>
              <w:rPr>
                <w:rFonts w:hint="eastAsia"/>
                <w:color w:val="auto"/>
                <w:sz w:val="24"/>
                <w:highlight w:val="none"/>
                <w:u w:val="none"/>
                <w:lang w:val="zh-CN" w:eastAsia="zh-CN"/>
              </w:rPr>
              <w:t>A 、要求规范燃料存放，厂内不得随意堆放各种易燃物品。</w:t>
            </w:r>
          </w:p>
          <w:p w14:paraId="4CDA76CD">
            <w:pPr>
              <w:spacing w:line="360" w:lineRule="auto"/>
              <w:ind w:firstLine="480" w:firstLineChars="200"/>
              <w:rPr>
                <w:rFonts w:hint="eastAsia"/>
                <w:color w:val="auto"/>
                <w:sz w:val="24"/>
                <w:highlight w:val="none"/>
                <w:u w:val="none"/>
                <w:lang w:val="zh-CN" w:eastAsia="zh-CN"/>
              </w:rPr>
            </w:pPr>
            <w:r>
              <w:rPr>
                <w:rFonts w:hint="eastAsia"/>
                <w:color w:val="auto"/>
                <w:sz w:val="24"/>
                <w:highlight w:val="none"/>
                <w:u w:val="none"/>
                <w:lang w:val="zh-CN" w:eastAsia="zh-CN"/>
              </w:rPr>
              <w:t>B 、按《建筑设计防火规范》(GB50016-2014)规定要求建设消防给水系统和消防设施设备等，运营过程中对消防给水系统进行定期检查，对消防给水系统故障应及时整改，并设置保证消防用水措施，以避免消防给水水源不足、影响消防给水，造成抢险救援等不能及时到位，导致人员伤亡或财产损失扩大。</w:t>
            </w:r>
          </w:p>
          <w:p w14:paraId="3AB02EBE">
            <w:pPr>
              <w:spacing w:line="360" w:lineRule="auto"/>
              <w:ind w:firstLine="480" w:firstLineChars="200"/>
              <w:rPr>
                <w:rFonts w:hint="eastAsia"/>
                <w:color w:val="auto"/>
                <w:sz w:val="24"/>
                <w:highlight w:val="none"/>
                <w:u w:val="none"/>
                <w:lang w:val="zh-CN" w:eastAsia="zh-CN"/>
              </w:rPr>
            </w:pPr>
            <w:r>
              <w:rPr>
                <w:rFonts w:hint="eastAsia"/>
                <w:color w:val="auto"/>
                <w:sz w:val="24"/>
                <w:highlight w:val="none"/>
                <w:u w:val="none"/>
                <w:lang w:val="zh-CN" w:eastAsia="zh-CN"/>
              </w:rPr>
              <w:t>C、按照《建筑灭火器配置设计规范》(GB50140-2005)在项目内配备足够数量的灭火器。消防器材应当设置在明显和便于取用的地点，周围不准堆放物品和杂物。消防设施、器材，应当由专人管理，负责检查、维修、保养、更换和添置，保证完好有效，严禁圈占、埋压和挪用。</w:t>
            </w:r>
          </w:p>
          <w:p w14:paraId="52DFCFE2">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D 、设立专门的环境管理机构,制定日常管理措施、消防措施和应急预案。</w:t>
            </w:r>
          </w:p>
          <w:p w14:paraId="33849EA5">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E 、在项目运营过程中严格管理，完善安全生产制度，提高操作人员素质和水平，操作人员必须培训上岗，以避免事故的发生。</w:t>
            </w:r>
          </w:p>
          <w:p w14:paraId="1C5B833A">
            <w:pPr>
              <w:spacing w:line="360" w:lineRule="auto"/>
              <w:ind w:firstLine="480" w:firstLineChars="200"/>
              <w:rPr>
                <w:rFonts w:hint="eastAsia" w:ascii="Times New Roman" w:hAnsi="Times New Roman" w:eastAsia="宋体" w:cs="Times New Roman"/>
                <w:color w:val="auto"/>
                <w:sz w:val="24"/>
                <w:highlight w:val="none"/>
                <w:lang w:val="zh-CN" w:eastAsia="zh-CN"/>
              </w:rPr>
            </w:pPr>
            <w:r>
              <w:rPr>
                <w:rFonts w:hint="eastAsia" w:ascii="Times New Roman" w:hAnsi="Times New Roman" w:eastAsia="宋体" w:cs="Times New Roman"/>
                <w:color w:val="auto"/>
                <w:sz w:val="24"/>
                <w:highlight w:val="none"/>
                <w:lang w:val="zh-CN" w:eastAsia="zh-CN"/>
              </w:rPr>
              <w:t>④</w:t>
            </w:r>
            <w:r>
              <w:rPr>
                <w:rFonts w:hint="eastAsia" w:ascii="Times New Roman" w:hAnsi="Times New Roman" w:eastAsia="宋体" w:cs="Times New Roman"/>
                <w:color w:val="auto"/>
                <w:sz w:val="24"/>
                <w:highlight w:val="none"/>
                <w:lang w:val="en-US" w:eastAsia="zh-CN"/>
              </w:rPr>
              <w:t xml:space="preserve">危废暂存间作为重点防渗区域，生产车间、仓库等，采取渗透性能应不低于 </w:t>
            </w:r>
            <w:r>
              <w:rPr>
                <w:rFonts w:hint="default" w:ascii="Times New Roman" w:hAnsi="Times New Roman" w:eastAsia="宋体" w:cs="Times New Roman"/>
                <w:color w:val="auto"/>
                <w:sz w:val="24"/>
                <w:highlight w:val="none"/>
                <w:lang w:val="en-US" w:eastAsia="zh-CN"/>
              </w:rPr>
              <w:t xml:space="preserve">6m </w:t>
            </w:r>
            <w:r>
              <w:rPr>
                <w:rFonts w:hint="eastAsia" w:ascii="Times New Roman" w:hAnsi="Times New Roman" w:eastAsia="宋体" w:cs="Times New Roman"/>
                <w:color w:val="auto"/>
                <w:sz w:val="24"/>
                <w:highlight w:val="none"/>
                <w:lang w:val="en-US" w:eastAsia="zh-CN"/>
              </w:rPr>
              <w:t xml:space="preserve">厚渗透系数为 </w:t>
            </w:r>
            <w:r>
              <w:rPr>
                <w:rFonts w:hint="default" w:ascii="Times New Roman" w:hAnsi="Times New Roman" w:eastAsia="宋体" w:cs="Times New Roman"/>
                <w:color w:val="auto"/>
                <w:sz w:val="24"/>
                <w:highlight w:val="none"/>
                <w:lang w:val="en-US" w:eastAsia="zh-CN"/>
              </w:rPr>
              <w:t>1.0×10</w:t>
            </w:r>
            <w:r>
              <w:rPr>
                <w:rFonts w:hint="default" w:ascii="Times New Roman" w:hAnsi="Times New Roman" w:eastAsia="宋体" w:cs="Times New Roman"/>
                <w:color w:val="auto"/>
                <w:sz w:val="24"/>
                <w:highlight w:val="none"/>
                <w:vertAlign w:val="superscript"/>
                <w:lang w:val="en-US" w:eastAsia="zh-CN"/>
              </w:rPr>
              <w:t>-7</w:t>
            </w:r>
            <w:r>
              <w:rPr>
                <w:rFonts w:hint="default" w:ascii="Times New Roman" w:hAnsi="Times New Roman" w:eastAsia="宋体" w:cs="Times New Roman"/>
                <w:color w:val="auto"/>
                <w:sz w:val="24"/>
                <w:highlight w:val="none"/>
                <w:lang w:val="en-US" w:eastAsia="zh-CN"/>
              </w:rPr>
              <w:t xml:space="preserve">cm/s </w:t>
            </w:r>
            <w:r>
              <w:rPr>
                <w:rFonts w:hint="eastAsia" w:ascii="Times New Roman" w:hAnsi="Times New Roman" w:eastAsia="宋体" w:cs="Times New Roman"/>
                <w:color w:val="auto"/>
                <w:sz w:val="24"/>
                <w:highlight w:val="none"/>
                <w:lang w:val="en-US" w:eastAsia="zh-CN"/>
              </w:rPr>
              <w:t>的黏土层防渗性能，防止项目废水通过包气带垂直渗透进入地下水。</w:t>
            </w:r>
          </w:p>
          <w:p w14:paraId="72BA156B">
            <w:pPr>
              <w:spacing w:line="360" w:lineRule="auto"/>
              <w:ind w:firstLine="480" w:firstLineChars="200"/>
              <w:rPr>
                <w:rFonts w:hint="eastAsia" w:eastAsia="宋体"/>
                <w:color w:val="auto"/>
                <w:sz w:val="24"/>
                <w:highlight w:val="none"/>
                <w:lang w:val="zh-CN" w:eastAsia="zh-CN"/>
              </w:rPr>
            </w:pPr>
            <w:r>
              <w:rPr>
                <w:rFonts w:hint="eastAsia" w:ascii="Times New Roman" w:hAnsi="Times New Roman" w:eastAsia="宋体" w:cs="Times New Roman"/>
                <w:color w:val="auto"/>
                <w:sz w:val="24"/>
                <w:highlight w:val="none"/>
                <w:lang w:val="en-US" w:eastAsia="zh-CN"/>
              </w:rPr>
              <w:t>⑤</w:t>
            </w:r>
            <w:r>
              <w:rPr>
                <w:rFonts w:hint="eastAsia" w:ascii="Times New Roman" w:hAnsi="Times New Roman" w:eastAsia="宋体" w:cs="Times New Roman"/>
                <w:color w:val="auto"/>
                <w:sz w:val="24"/>
                <w:highlight w:val="none"/>
                <w:lang w:val="zh-CN" w:eastAsia="zh-CN"/>
              </w:rPr>
              <w:t>必须建立必要的安全生产规章制度和措施，保证生产的正常、安全。建议企业建立健全的各级管理机制和机构，全面落</w:t>
            </w:r>
            <w:r>
              <w:rPr>
                <w:rFonts w:hint="eastAsia"/>
                <w:color w:val="auto"/>
                <w:sz w:val="24"/>
                <w:highlight w:val="none"/>
                <w:lang w:val="zh-CN" w:eastAsia="zh-CN"/>
              </w:rPr>
              <w:t>实安全生产责任制，并严格执行。对过时的安全管理制度、岗位安全操作规程和作业安全规程，按相关的法律、法规有关规定予以补充和完善，持续改进。严格执行安全监督检查制度。严格防火制度，并配备一定数量的消防设施。认真作好安全检查记录，对发现的异常情况、安全隐患必须及时报告并在符合安全条件的情况下立即整改。</w:t>
            </w:r>
          </w:p>
          <w:p w14:paraId="3BE2EC68">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5、环境风险应急要求</w:t>
            </w:r>
          </w:p>
          <w:p w14:paraId="2ADF3EB2">
            <w:pPr>
              <w:spacing w:line="360" w:lineRule="auto"/>
              <w:ind w:firstLine="480" w:firstLineChars="200"/>
              <w:rPr>
                <w:rFonts w:hint="eastAsia"/>
                <w:color w:val="auto"/>
                <w:sz w:val="24"/>
                <w:highlight w:val="none"/>
                <w:lang w:val="zh-CN" w:eastAsia="zh-CN"/>
              </w:rPr>
            </w:pPr>
            <w:r>
              <w:rPr>
                <w:rFonts w:hint="eastAsia"/>
                <w:color w:val="auto"/>
                <w:sz w:val="24"/>
                <w:highlight w:val="none"/>
                <w:lang w:val="zh-CN" w:eastAsia="zh-CN"/>
              </w:rPr>
              <w:t>风险事故应急预案的基本要求包括：科学性、实用性和权威性。风险事故的应急救援工作是一项科学性很强的工作，必须开展科学分析和论证，制定严密、统一、完整的应急预案；应急预案应符合项目的客观情况，具有实用、简单、易掌握等特性，便于实施；对事故处置过程中职责、权限、任务、工作标准、奖励与处罚等作出明确规定，使之成为企业的一项制度，确保其权威性。具体内容及要求见表 4-2</w:t>
            </w:r>
            <w:r>
              <w:rPr>
                <w:rFonts w:hint="eastAsia"/>
                <w:color w:val="auto"/>
                <w:sz w:val="24"/>
                <w:highlight w:val="none"/>
                <w:lang w:val="en-US" w:eastAsia="zh-CN"/>
              </w:rPr>
              <w:t>0</w:t>
            </w:r>
            <w:r>
              <w:rPr>
                <w:rFonts w:hint="eastAsia"/>
                <w:color w:val="auto"/>
                <w:sz w:val="24"/>
                <w:highlight w:val="none"/>
                <w:lang w:val="zh-CN" w:eastAsia="zh-CN"/>
              </w:rPr>
              <w:t>。</w:t>
            </w:r>
          </w:p>
          <w:p w14:paraId="585FE81C">
            <w:pPr>
              <w:jc w:val="center"/>
              <w:rPr>
                <w:rFonts w:hint="default" w:ascii="Times New Roman" w:hAnsi="Times New Roman" w:cs="Times New Roman"/>
                <w:b/>
                <w:color w:val="auto"/>
                <w:szCs w:val="21"/>
                <w:highlight w:val="none"/>
              </w:rPr>
            </w:pPr>
          </w:p>
          <w:p w14:paraId="1474AD0A">
            <w:pPr>
              <w:jc w:val="center"/>
              <w:rPr>
                <w:rFonts w:hint="default" w:ascii="Times New Roman" w:hAnsi="Times New Roman" w:cs="Times New Roman"/>
                <w:b/>
                <w:color w:val="auto"/>
                <w:szCs w:val="21"/>
                <w:highlight w:val="none"/>
              </w:rPr>
            </w:pPr>
          </w:p>
          <w:p w14:paraId="4BE29D73">
            <w:pPr>
              <w:jc w:val="center"/>
              <w:rPr>
                <w:rFonts w:hint="default" w:ascii="Times New Roman" w:hAnsi="Times New Roman" w:cs="Times New Roman"/>
                <w:b/>
                <w:color w:val="auto"/>
                <w:szCs w:val="21"/>
                <w:highlight w:val="none"/>
              </w:rPr>
            </w:pPr>
          </w:p>
          <w:p w14:paraId="740F8A66">
            <w:pPr>
              <w:jc w:val="center"/>
              <w:rPr>
                <w:rFonts w:hint="default" w:ascii="Times New Roman" w:hAnsi="Times New Roman" w:cs="Times New Roman"/>
                <w:b/>
                <w:color w:val="auto"/>
                <w:szCs w:val="21"/>
                <w:highlight w:val="none"/>
              </w:rPr>
            </w:pPr>
          </w:p>
          <w:p w14:paraId="795929EF">
            <w:pPr>
              <w:jc w:val="center"/>
              <w:rPr>
                <w:rFonts w:hint="default" w:ascii="Times New Roman" w:hAnsi="Times New Roman" w:cs="Times New Roman"/>
                <w:b/>
                <w:color w:val="auto"/>
                <w:szCs w:val="21"/>
                <w:highlight w:val="none"/>
              </w:rPr>
            </w:pPr>
          </w:p>
          <w:p w14:paraId="0D6FD770">
            <w:pPr>
              <w:jc w:val="center"/>
              <w:rPr>
                <w:rFonts w:hint="default" w:ascii="Times New Roman" w:hAnsi="Times New Roman" w:cs="Times New Roman"/>
                <w:b/>
                <w:color w:val="auto"/>
                <w:szCs w:val="21"/>
                <w:highlight w:val="none"/>
              </w:rPr>
            </w:pPr>
          </w:p>
          <w:p w14:paraId="0BB00765">
            <w:pPr>
              <w:jc w:val="center"/>
              <w:rPr>
                <w:rFonts w:hint="default" w:ascii="Times New Roman" w:hAnsi="Times New Roman" w:cs="Times New Roman"/>
                <w:b/>
                <w:color w:val="auto"/>
                <w:szCs w:val="21"/>
                <w:highlight w:val="none"/>
              </w:rPr>
            </w:pPr>
          </w:p>
          <w:p w14:paraId="3BA3FBE7">
            <w:pPr>
              <w:jc w:val="center"/>
              <w:rPr>
                <w:rFonts w:hint="default" w:ascii="Times New Roman" w:hAnsi="Times New Roman" w:cs="Times New Roman"/>
                <w:b/>
                <w:color w:val="auto"/>
                <w:szCs w:val="21"/>
                <w:highlight w:val="none"/>
              </w:rPr>
            </w:pPr>
          </w:p>
          <w:p w14:paraId="18EB2C07">
            <w:pPr>
              <w:jc w:val="center"/>
              <w:rPr>
                <w:rFonts w:hint="default" w:ascii="Times New Roman" w:hAnsi="Times New Roman" w:cs="Times New Roman"/>
                <w:b/>
                <w:color w:val="auto"/>
                <w:szCs w:val="21"/>
                <w:highlight w:val="none"/>
              </w:rPr>
            </w:pPr>
          </w:p>
          <w:p w14:paraId="51DFAEF4">
            <w:pPr>
              <w:jc w:val="center"/>
              <w:rPr>
                <w:rFonts w:hint="default" w:ascii="Times New Roman" w:hAnsi="Times New Roman" w:cs="Times New Roman"/>
                <w:b/>
                <w:color w:val="auto"/>
                <w:szCs w:val="21"/>
                <w:highlight w:val="none"/>
              </w:rPr>
            </w:pPr>
          </w:p>
          <w:p w14:paraId="17035C42">
            <w:pPr>
              <w:jc w:val="center"/>
              <w:rPr>
                <w:rFonts w:hint="default" w:ascii="Times New Roman" w:hAnsi="Times New Roman" w:cs="Times New Roman"/>
                <w:b/>
                <w:color w:val="auto"/>
                <w:szCs w:val="21"/>
                <w:highlight w:val="none"/>
              </w:rPr>
            </w:pPr>
          </w:p>
          <w:p w14:paraId="7EDA5D8F">
            <w:pPr>
              <w:jc w:val="center"/>
              <w:rPr>
                <w:rFonts w:hint="default" w:ascii="Times New Roman" w:hAnsi="Times New Roman" w:cs="Times New Roman"/>
                <w:b/>
                <w:color w:val="auto"/>
                <w:szCs w:val="21"/>
                <w:highlight w:val="none"/>
              </w:rPr>
            </w:pPr>
          </w:p>
          <w:p w14:paraId="3D3AEC21">
            <w:pPr>
              <w:jc w:val="center"/>
              <w:rPr>
                <w:rFonts w:hint="default" w:ascii="Times New Roman" w:hAnsi="Times New Roman" w:cs="Times New Roman"/>
                <w:b/>
                <w:color w:val="auto"/>
                <w:szCs w:val="21"/>
                <w:highlight w:val="none"/>
              </w:rPr>
            </w:pPr>
          </w:p>
          <w:p w14:paraId="45135BA4">
            <w:pPr>
              <w:jc w:val="center"/>
              <w:rPr>
                <w:rFonts w:hint="default" w:ascii="Times New Roman" w:hAnsi="Times New Roman" w:cs="Times New Roman"/>
                <w:b/>
                <w:color w:val="auto"/>
                <w:szCs w:val="21"/>
                <w:highlight w:val="none"/>
              </w:rPr>
            </w:pPr>
          </w:p>
          <w:p w14:paraId="2958D747">
            <w:pPr>
              <w:jc w:val="center"/>
              <w:rPr>
                <w:rFonts w:hint="default" w:ascii="Times New Roman" w:hAnsi="Times New Roman" w:cs="Times New Roman"/>
                <w:b/>
                <w:color w:val="auto"/>
                <w:szCs w:val="21"/>
                <w:highlight w:val="none"/>
              </w:rPr>
            </w:pPr>
          </w:p>
          <w:p w14:paraId="0F0F5256">
            <w:pPr>
              <w:jc w:val="center"/>
              <w:rPr>
                <w:rFonts w:hint="default" w:ascii="Times New Roman" w:hAnsi="Times New Roman" w:cs="Times New Roman"/>
                <w:b/>
                <w:color w:val="auto"/>
                <w:szCs w:val="21"/>
                <w:highlight w:val="none"/>
              </w:rPr>
            </w:pPr>
          </w:p>
          <w:p w14:paraId="0DB5BDBF">
            <w:pPr>
              <w:jc w:val="center"/>
              <w:rPr>
                <w:rFonts w:hint="default" w:ascii="Times New Roman" w:hAnsi="Times New Roman" w:cs="Times New Roman"/>
                <w:b/>
                <w:color w:val="auto"/>
                <w:szCs w:val="21"/>
                <w:highlight w:val="none"/>
              </w:rPr>
            </w:pPr>
          </w:p>
          <w:p w14:paraId="0CB19AC9">
            <w:pPr>
              <w:jc w:val="center"/>
              <w:rPr>
                <w:rFonts w:hint="default" w:ascii="Times New Roman" w:hAnsi="Times New Roman" w:cs="Times New Roman"/>
                <w:b/>
                <w:color w:val="auto"/>
                <w:szCs w:val="21"/>
                <w:highlight w:val="none"/>
              </w:rPr>
            </w:pPr>
          </w:p>
          <w:p w14:paraId="0608EEF5">
            <w:pPr>
              <w:jc w:val="center"/>
              <w:rPr>
                <w:rFonts w:hint="default" w:ascii="Times New Roman" w:hAnsi="Times New Roman" w:cs="Times New Roman"/>
                <w:b/>
                <w:color w:val="auto"/>
                <w:szCs w:val="21"/>
                <w:highlight w:val="none"/>
              </w:rPr>
            </w:pPr>
          </w:p>
          <w:p w14:paraId="362FAE3A">
            <w:pPr>
              <w:jc w:val="center"/>
              <w:rPr>
                <w:rFonts w:hint="default" w:ascii="Times New Roman" w:hAnsi="Times New Roman" w:cs="Times New Roman"/>
                <w:b/>
                <w:color w:val="auto"/>
                <w:szCs w:val="21"/>
                <w:highlight w:val="none"/>
              </w:rPr>
            </w:pPr>
          </w:p>
          <w:p w14:paraId="6FF97590">
            <w:pPr>
              <w:jc w:val="center"/>
              <w:rPr>
                <w:rFonts w:hint="default" w:ascii="Times New Roman" w:hAnsi="Times New Roman" w:cs="Times New Roman"/>
                <w:b/>
                <w:color w:val="auto"/>
                <w:szCs w:val="21"/>
                <w:highlight w:val="none"/>
              </w:rPr>
            </w:pPr>
            <w:r>
              <w:rPr>
                <w:rFonts w:hint="default" w:ascii="Times New Roman" w:hAnsi="Times New Roman" w:cs="Times New Roman"/>
                <w:b/>
                <w:color w:val="auto"/>
                <w:szCs w:val="21"/>
                <w:highlight w:val="none"/>
              </w:rPr>
              <w:t>表4-2</w:t>
            </w:r>
            <w:r>
              <w:rPr>
                <w:rFonts w:hint="eastAsia" w:cs="Times New Roman"/>
                <w:b/>
                <w:color w:val="auto"/>
                <w:szCs w:val="21"/>
                <w:highlight w:val="none"/>
                <w:lang w:val="en-US" w:eastAsia="zh-CN"/>
              </w:rPr>
              <w:t>0</w:t>
            </w:r>
            <w:r>
              <w:rPr>
                <w:rFonts w:hint="default" w:ascii="Times New Roman" w:hAnsi="Times New Roman" w:cs="Times New Roman"/>
                <w:b/>
                <w:color w:val="auto"/>
                <w:szCs w:val="21"/>
                <w:highlight w:val="none"/>
              </w:rPr>
              <w:t xml:space="preserve">    环境风险突发事故应急预案</w:t>
            </w:r>
          </w:p>
          <w:tbl>
            <w:tblPr>
              <w:tblStyle w:val="156"/>
              <w:tblW w:w="4998" w:type="pct"/>
              <w:tblInd w:w="-6"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717"/>
              <w:gridCol w:w="1524"/>
              <w:gridCol w:w="6375"/>
            </w:tblGrid>
            <w:tr w14:paraId="6E10EF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416" w:type="pct"/>
                  <w:tcBorders>
                    <w:tl2br w:val="nil"/>
                    <w:tr2bl w:val="nil"/>
                  </w:tcBorders>
                  <w:tcMar>
                    <w:top w:w="28" w:type="dxa"/>
                    <w:left w:w="28" w:type="dxa"/>
                    <w:bottom w:w="28" w:type="dxa"/>
                    <w:right w:w="28" w:type="dxa"/>
                  </w:tcMar>
                  <w:vAlign w:val="top"/>
                </w:tcPr>
                <w:p w14:paraId="08EF020A">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序号</w:t>
                  </w:r>
                </w:p>
              </w:tc>
              <w:tc>
                <w:tcPr>
                  <w:tcW w:w="884" w:type="pct"/>
                  <w:tcBorders>
                    <w:tl2br w:val="nil"/>
                    <w:tr2bl w:val="nil"/>
                  </w:tcBorders>
                  <w:tcMar>
                    <w:top w:w="28" w:type="dxa"/>
                    <w:left w:w="28" w:type="dxa"/>
                    <w:bottom w:w="28" w:type="dxa"/>
                    <w:right w:w="28" w:type="dxa"/>
                  </w:tcMar>
                  <w:vAlign w:val="top"/>
                </w:tcPr>
                <w:p w14:paraId="0FF9550E">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项目</w:t>
                  </w:r>
                </w:p>
              </w:tc>
              <w:tc>
                <w:tcPr>
                  <w:tcW w:w="3698" w:type="pct"/>
                  <w:tcBorders>
                    <w:tl2br w:val="nil"/>
                    <w:tr2bl w:val="nil"/>
                  </w:tcBorders>
                  <w:tcMar>
                    <w:top w:w="28" w:type="dxa"/>
                    <w:left w:w="28" w:type="dxa"/>
                    <w:bottom w:w="28" w:type="dxa"/>
                    <w:right w:w="28" w:type="dxa"/>
                  </w:tcMar>
                  <w:vAlign w:val="top"/>
                </w:tcPr>
                <w:p w14:paraId="4AB5FDB0">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内容及要求</w:t>
                  </w:r>
                </w:p>
              </w:tc>
            </w:tr>
            <w:tr w14:paraId="16AACF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416" w:type="pct"/>
                  <w:tcBorders>
                    <w:tl2br w:val="nil"/>
                    <w:tr2bl w:val="nil"/>
                  </w:tcBorders>
                  <w:tcMar>
                    <w:top w:w="28" w:type="dxa"/>
                    <w:left w:w="28" w:type="dxa"/>
                    <w:bottom w:w="28" w:type="dxa"/>
                    <w:right w:w="28" w:type="dxa"/>
                  </w:tcMar>
                  <w:vAlign w:val="center"/>
                </w:tcPr>
                <w:p w14:paraId="5063D093">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1</w:t>
                  </w:r>
                </w:p>
              </w:tc>
              <w:tc>
                <w:tcPr>
                  <w:tcW w:w="884" w:type="pct"/>
                  <w:tcBorders>
                    <w:tl2br w:val="nil"/>
                    <w:tr2bl w:val="nil"/>
                  </w:tcBorders>
                  <w:tcMar>
                    <w:top w:w="28" w:type="dxa"/>
                    <w:left w:w="28" w:type="dxa"/>
                    <w:bottom w:w="28" w:type="dxa"/>
                    <w:right w:w="28" w:type="dxa"/>
                  </w:tcMar>
                  <w:vAlign w:val="center"/>
                </w:tcPr>
                <w:p w14:paraId="36EE8AC2">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危险源情况</w:t>
                  </w:r>
                </w:p>
              </w:tc>
              <w:tc>
                <w:tcPr>
                  <w:tcW w:w="3698" w:type="pct"/>
                  <w:tcBorders>
                    <w:tl2br w:val="nil"/>
                    <w:tr2bl w:val="nil"/>
                  </w:tcBorders>
                  <w:tcMar>
                    <w:top w:w="28" w:type="dxa"/>
                    <w:left w:w="28" w:type="dxa"/>
                    <w:bottom w:w="28" w:type="dxa"/>
                    <w:right w:w="28" w:type="dxa"/>
                  </w:tcMar>
                  <w:vAlign w:val="center"/>
                </w:tcPr>
                <w:p w14:paraId="4F72BFBE">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详细说明危险源类型、数量、分布及其对环境的风险</w:t>
                  </w:r>
                </w:p>
              </w:tc>
            </w:tr>
            <w:tr w14:paraId="1491E4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416" w:type="pct"/>
                  <w:tcBorders>
                    <w:tl2br w:val="nil"/>
                    <w:tr2bl w:val="nil"/>
                  </w:tcBorders>
                  <w:tcMar>
                    <w:top w:w="28" w:type="dxa"/>
                    <w:left w:w="28" w:type="dxa"/>
                    <w:bottom w:w="28" w:type="dxa"/>
                    <w:right w:w="28" w:type="dxa"/>
                  </w:tcMar>
                  <w:vAlign w:val="center"/>
                </w:tcPr>
                <w:p w14:paraId="558D4C2D">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2</w:t>
                  </w:r>
                </w:p>
              </w:tc>
              <w:tc>
                <w:tcPr>
                  <w:tcW w:w="884" w:type="pct"/>
                  <w:tcBorders>
                    <w:tl2br w:val="nil"/>
                    <w:tr2bl w:val="nil"/>
                  </w:tcBorders>
                  <w:tcMar>
                    <w:top w:w="28" w:type="dxa"/>
                    <w:left w:w="28" w:type="dxa"/>
                    <w:bottom w:w="28" w:type="dxa"/>
                    <w:right w:w="28" w:type="dxa"/>
                  </w:tcMar>
                  <w:vAlign w:val="center"/>
                </w:tcPr>
                <w:p w14:paraId="3D092932">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应急计划区</w:t>
                  </w:r>
                </w:p>
              </w:tc>
              <w:tc>
                <w:tcPr>
                  <w:tcW w:w="3698" w:type="pct"/>
                  <w:tcBorders>
                    <w:tl2br w:val="nil"/>
                    <w:tr2bl w:val="nil"/>
                  </w:tcBorders>
                  <w:tcMar>
                    <w:top w:w="28" w:type="dxa"/>
                    <w:left w:w="28" w:type="dxa"/>
                    <w:bottom w:w="28" w:type="dxa"/>
                    <w:right w:w="28" w:type="dxa"/>
                  </w:tcMar>
                  <w:vAlign w:val="center"/>
                </w:tcPr>
                <w:p w14:paraId="36E6727E">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锅炉房区、燃料堆存区、危废暂存间。</w:t>
                  </w:r>
                </w:p>
              </w:tc>
            </w:tr>
            <w:tr w14:paraId="21F978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886" w:hRule="atLeast"/>
              </w:trPr>
              <w:tc>
                <w:tcPr>
                  <w:tcW w:w="416" w:type="pct"/>
                  <w:tcBorders>
                    <w:tl2br w:val="nil"/>
                    <w:tr2bl w:val="nil"/>
                  </w:tcBorders>
                  <w:tcMar>
                    <w:top w:w="28" w:type="dxa"/>
                    <w:left w:w="28" w:type="dxa"/>
                    <w:bottom w:w="28" w:type="dxa"/>
                    <w:right w:w="28" w:type="dxa"/>
                  </w:tcMar>
                  <w:vAlign w:val="center"/>
                </w:tcPr>
                <w:p w14:paraId="6EB10FBC">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3</w:t>
                  </w:r>
                </w:p>
              </w:tc>
              <w:tc>
                <w:tcPr>
                  <w:tcW w:w="884" w:type="pct"/>
                  <w:tcBorders>
                    <w:tl2br w:val="nil"/>
                    <w:tr2bl w:val="nil"/>
                  </w:tcBorders>
                  <w:tcMar>
                    <w:top w:w="28" w:type="dxa"/>
                    <w:left w:w="28" w:type="dxa"/>
                    <w:bottom w:w="28" w:type="dxa"/>
                    <w:right w:w="28" w:type="dxa"/>
                  </w:tcMar>
                  <w:vAlign w:val="center"/>
                </w:tcPr>
                <w:p w14:paraId="7970554F">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应急组织</w:t>
                  </w:r>
                </w:p>
              </w:tc>
              <w:tc>
                <w:tcPr>
                  <w:tcW w:w="3698" w:type="pct"/>
                  <w:tcBorders>
                    <w:tl2br w:val="nil"/>
                    <w:tr2bl w:val="nil"/>
                  </w:tcBorders>
                  <w:tcMar>
                    <w:top w:w="28" w:type="dxa"/>
                    <w:left w:w="28" w:type="dxa"/>
                    <w:bottom w:w="28" w:type="dxa"/>
                    <w:right w:w="28" w:type="dxa"/>
                  </w:tcMar>
                  <w:vAlign w:val="center"/>
                </w:tcPr>
                <w:p w14:paraId="5C432B25">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企业：成立公司应急指挥小组， 由公司最高领导层担任小组长，负责现场全面指挥，专业救援队伍负责事故控制、救援和善后处理。临近地区：地区指挥部—负责企业附近地区全面指挥，救援，管制和疏散</w:t>
                  </w:r>
                </w:p>
              </w:tc>
            </w:tr>
            <w:tr w14:paraId="0676D4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3" w:hRule="atLeast"/>
              </w:trPr>
              <w:tc>
                <w:tcPr>
                  <w:tcW w:w="416" w:type="pct"/>
                  <w:tcBorders>
                    <w:tl2br w:val="nil"/>
                    <w:tr2bl w:val="nil"/>
                  </w:tcBorders>
                  <w:tcMar>
                    <w:top w:w="28" w:type="dxa"/>
                    <w:left w:w="28" w:type="dxa"/>
                    <w:bottom w:w="28" w:type="dxa"/>
                    <w:right w:w="28" w:type="dxa"/>
                  </w:tcMar>
                  <w:vAlign w:val="center"/>
                </w:tcPr>
                <w:p w14:paraId="5CD29487">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4</w:t>
                  </w:r>
                </w:p>
              </w:tc>
              <w:tc>
                <w:tcPr>
                  <w:tcW w:w="884" w:type="pct"/>
                  <w:tcBorders>
                    <w:tl2br w:val="nil"/>
                    <w:tr2bl w:val="nil"/>
                  </w:tcBorders>
                  <w:tcMar>
                    <w:top w:w="28" w:type="dxa"/>
                    <w:left w:w="28" w:type="dxa"/>
                    <w:bottom w:w="28" w:type="dxa"/>
                    <w:right w:w="28" w:type="dxa"/>
                  </w:tcMar>
                  <w:vAlign w:val="center"/>
                </w:tcPr>
                <w:p w14:paraId="2D03EF8F">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应急状态分类应急响应程序</w:t>
                  </w:r>
                </w:p>
              </w:tc>
              <w:tc>
                <w:tcPr>
                  <w:tcW w:w="3698" w:type="pct"/>
                  <w:tcBorders>
                    <w:tl2br w:val="nil"/>
                    <w:tr2bl w:val="nil"/>
                  </w:tcBorders>
                  <w:tcMar>
                    <w:top w:w="28" w:type="dxa"/>
                    <w:left w:w="28" w:type="dxa"/>
                    <w:bottom w:w="28" w:type="dxa"/>
                    <w:right w:w="28" w:type="dxa"/>
                  </w:tcMar>
                  <w:vAlign w:val="center"/>
                </w:tcPr>
                <w:p w14:paraId="4F9AC556">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规定环境风险事故的级别及相应的应急状态分类， 以此制定相应的应急响应程序。</w:t>
                  </w:r>
                </w:p>
              </w:tc>
            </w:tr>
            <w:tr w14:paraId="3F1419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98" w:hRule="atLeast"/>
              </w:trPr>
              <w:tc>
                <w:tcPr>
                  <w:tcW w:w="416" w:type="pct"/>
                  <w:tcBorders>
                    <w:tl2br w:val="nil"/>
                    <w:tr2bl w:val="nil"/>
                  </w:tcBorders>
                  <w:tcMar>
                    <w:top w:w="28" w:type="dxa"/>
                    <w:left w:w="28" w:type="dxa"/>
                    <w:bottom w:w="28" w:type="dxa"/>
                    <w:right w:w="28" w:type="dxa"/>
                  </w:tcMar>
                  <w:vAlign w:val="center"/>
                </w:tcPr>
                <w:p w14:paraId="34A02F93">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p>
                <w:p w14:paraId="06706036">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5</w:t>
                  </w:r>
                </w:p>
              </w:tc>
              <w:tc>
                <w:tcPr>
                  <w:tcW w:w="884" w:type="pct"/>
                  <w:tcBorders>
                    <w:tl2br w:val="nil"/>
                    <w:tr2bl w:val="nil"/>
                  </w:tcBorders>
                  <w:tcMar>
                    <w:top w:w="28" w:type="dxa"/>
                    <w:left w:w="28" w:type="dxa"/>
                    <w:bottom w:w="28" w:type="dxa"/>
                    <w:right w:w="28" w:type="dxa"/>
                  </w:tcMar>
                  <w:vAlign w:val="center"/>
                </w:tcPr>
                <w:p w14:paraId="05B833AF">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p>
                <w:p w14:paraId="12D2CD5F">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应急设施</w:t>
                  </w:r>
                </w:p>
                <w:p w14:paraId="0E65A488">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设备与材料</w:t>
                  </w:r>
                </w:p>
              </w:tc>
              <w:tc>
                <w:tcPr>
                  <w:tcW w:w="3698" w:type="pct"/>
                  <w:tcBorders>
                    <w:tl2br w:val="nil"/>
                    <w:tr2bl w:val="nil"/>
                  </w:tcBorders>
                  <w:tcMar>
                    <w:top w:w="28" w:type="dxa"/>
                    <w:left w:w="28" w:type="dxa"/>
                    <w:bottom w:w="28" w:type="dxa"/>
                    <w:right w:w="28" w:type="dxa"/>
                  </w:tcMar>
                  <w:vAlign w:val="center"/>
                </w:tcPr>
                <w:p w14:paraId="3A5C711D">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生产装置和罐区：防火灾、爆炸事故的应急设施、设备与材料，主要为消防器材、消防服等；中毒人员急救所用的一些药品、器材。临界地区：烧伤、中毒人员急救所用的一些药品、器材。</w:t>
                  </w:r>
                </w:p>
              </w:tc>
            </w:tr>
            <w:tr w14:paraId="0C3BC1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416" w:type="pct"/>
                  <w:tcBorders>
                    <w:tl2br w:val="nil"/>
                    <w:tr2bl w:val="nil"/>
                  </w:tcBorders>
                  <w:tcMar>
                    <w:top w:w="28" w:type="dxa"/>
                    <w:left w:w="28" w:type="dxa"/>
                    <w:bottom w:w="28" w:type="dxa"/>
                    <w:right w:w="28" w:type="dxa"/>
                  </w:tcMar>
                  <w:vAlign w:val="center"/>
                </w:tcPr>
                <w:p w14:paraId="00DAE9FF">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6</w:t>
                  </w:r>
                </w:p>
              </w:tc>
              <w:tc>
                <w:tcPr>
                  <w:tcW w:w="884" w:type="pct"/>
                  <w:tcBorders>
                    <w:tl2br w:val="nil"/>
                    <w:tr2bl w:val="nil"/>
                  </w:tcBorders>
                  <w:tcMar>
                    <w:top w:w="28" w:type="dxa"/>
                    <w:left w:w="28" w:type="dxa"/>
                    <w:bottom w:w="28" w:type="dxa"/>
                    <w:right w:w="28" w:type="dxa"/>
                  </w:tcMar>
                  <w:vAlign w:val="center"/>
                </w:tcPr>
                <w:p w14:paraId="77B4373A">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应急通讯</w:t>
                  </w:r>
                </w:p>
                <w:p w14:paraId="393342A5">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通告与交通</w:t>
                  </w:r>
                </w:p>
              </w:tc>
              <w:tc>
                <w:tcPr>
                  <w:tcW w:w="3698" w:type="pct"/>
                  <w:tcBorders>
                    <w:tl2br w:val="nil"/>
                    <w:tr2bl w:val="nil"/>
                  </w:tcBorders>
                  <w:tcMar>
                    <w:top w:w="28" w:type="dxa"/>
                    <w:left w:w="28" w:type="dxa"/>
                    <w:bottom w:w="28" w:type="dxa"/>
                    <w:right w:w="28" w:type="dxa"/>
                  </w:tcMar>
                  <w:vAlign w:val="center"/>
                </w:tcPr>
                <w:p w14:paraId="1DC89C55">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规定应急状态下的通讯、通告方式和交通保障、管理等事项。可充分利用现代化的通信设施，如手机、固定电话、广播、电视等</w:t>
                  </w:r>
                </w:p>
              </w:tc>
            </w:tr>
            <w:tr w14:paraId="0E389BC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416" w:type="pct"/>
                  <w:tcBorders>
                    <w:tl2br w:val="nil"/>
                    <w:tr2bl w:val="nil"/>
                  </w:tcBorders>
                  <w:tcMar>
                    <w:top w:w="28" w:type="dxa"/>
                    <w:left w:w="28" w:type="dxa"/>
                    <w:bottom w:w="28" w:type="dxa"/>
                    <w:right w:w="28" w:type="dxa"/>
                  </w:tcMar>
                  <w:vAlign w:val="center"/>
                </w:tcPr>
                <w:p w14:paraId="60E64F74">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7</w:t>
                  </w:r>
                </w:p>
              </w:tc>
              <w:tc>
                <w:tcPr>
                  <w:tcW w:w="884" w:type="pct"/>
                  <w:tcBorders>
                    <w:tl2br w:val="nil"/>
                    <w:tr2bl w:val="nil"/>
                  </w:tcBorders>
                  <w:tcMar>
                    <w:top w:w="28" w:type="dxa"/>
                    <w:left w:w="28" w:type="dxa"/>
                    <w:bottom w:w="28" w:type="dxa"/>
                    <w:right w:w="28" w:type="dxa"/>
                  </w:tcMar>
                  <w:vAlign w:val="center"/>
                </w:tcPr>
                <w:p w14:paraId="04659894">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应急环境监</w:t>
                  </w:r>
                </w:p>
                <w:p w14:paraId="346A3F3A">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测及事故后</w:t>
                  </w:r>
                </w:p>
                <w:p w14:paraId="1D75BC36">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评价</w:t>
                  </w:r>
                </w:p>
              </w:tc>
              <w:tc>
                <w:tcPr>
                  <w:tcW w:w="3698" w:type="pct"/>
                  <w:tcBorders>
                    <w:tl2br w:val="nil"/>
                    <w:tr2bl w:val="nil"/>
                  </w:tcBorders>
                  <w:tcMar>
                    <w:top w:w="28" w:type="dxa"/>
                    <w:left w:w="28" w:type="dxa"/>
                    <w:bottom w:w="28" w:type="dxa"/>
                    <w:right w:w="28" w:type="dxa"/>
                  </w:tcMar>
                  <w:vAlign w:val="center"/>
                </w:tcPr>
                <w:p w14:paraId="2C0211EB">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由专业人员对环境分析事故现场进行应急监测，对事故性质、严重程度均所造成的环境危害后果进行评估，吸取经验教训避免再次发生事故，为指挥部门提供决策依据。</w:t>
                  </w:r>
                </w:p>
              </w:tc>
            </w:tr>
            <w:tr w14:paraId="6B98EB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715" w:hRule="atLeast"/>
              </w:trPr>
              <w:tc>
                <w:tcPr>
                  <w:tcW w:w="416" w:type="pct"/>
                  <w:tcBorders>
                    <w:tl2br w:val="nil"/>
                    <w:tr2bl w:val="nil"/>
                  </w:tcBorders>
                  <w:tcMar>
                    <w:top w:w="28" w:type="dxa"/>
                    <w:left w:w="28" w:type="dxa"/>
                    <w:bottom w:w="28" w:type="dxa"/>
                    <w:right w:w="28" w:type="dxa"/>
                  </w:tcMar>
                  <w:vAlign w:val="center"/>
                </w:tcPr>
                <w:p w14:paraId="0C726811">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p>
                <w:p w14:paraId="4218A941">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8</w:t>
                  </w:r>
                </w:p>
              </w:tc>
              <w:tc>
                <w:tcPr>
                  <w:tcW w:w="884" w:type="pct"/>
                  <w:tcBorders>
                    <w:tl2br w:val="nil"/>
                    <w:tr2bl w:val="nil"/>
                  </w:tcBorders>
                  <w:tcMar>
                    <w:top w:w="28" w:type="dxa"/>
                    <w:left w:w="28" w:type="dxa"/>
                    <w:bottom w:w="28" w:type="dxa"/>
                    <w:right w:w="28" w:type="dxa"/>
                  </w:tcMar>
                  <w:vAlign w:val="center"/>
                </w:tcPr>
                <w:p w14:paraId="036DBF6E">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应急防护措施消除泄漏措施及需使用器材</w:t>
                  </w:r>
                </w:p>
              </w:tc>
              <w:tc>
                <w:tcPr>
                  <w:tcW w:w="3698" w:type="pct"/>
                  <w:tcBorders>
                    <w:tl2br w:val="nil"/>
                    <w:tr2bl w:val="nil"/>
                  </w:tcBorders>
                  <w:tcMar>
                    <w:top w:w="28" w:type="dxa"/>
                    <w:left w:w="28" w:type="dxa"/>
                    <w:bottom w:w="28" w:type="dxa"/>
                    <w:right w:w="28" w:type="dxa"/>
                  </w:tcMar>
                  <w:vAlign w:val="center"/>
                </w:tcPr>
                <w:p w14:paraId="667B6585">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事故现场：控制事故发展，防止扩大、蔓延及连锁反应；清除现场泄泥物，降低危害；相应的设施器材配备；临近地区：控制防火区域，控制和消除环境污染的措施及相应的设备配备。</w:t>
                  </w:r>
                </w:p>
              </w:tc>
            </w:tr>
            <w:tr w14:paraId="65FF2E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36" w:hRule="atLeast"/>
              </w:trPr>
              <w:tc>
                <w:tcPr>
                  <w:tcW w:w="416" w:type="pct"/>
                  <w:tcBorders>
                    <w:tl2br w:val="nil"/>
                    <w:tr2bl w:val="nil"/>
                  </w:tcBorders>
                  <w:tcMar>
                    <w:top w:w="28" w:type="dxa"/>
                    <w:left w:w="28" w:type="dxa"/>
                    <w:bottom w:w="28" w:type="dxa"/>
                    <w:right w:w="28" w:type="dxa"/>
                  </w:tcMar>
                  <w:vAlign w:val="center"/>
                </w:tcPr>
                <w:p w14:paraId="3719CAB6">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p>
                <w:p w14:paraId="1152994A">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p>
                <w:p w14:paraId="426330AE">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9</w:t>
                  </w:r>
                </w:p>
              </w:tc>
              <w:tc>
                <w:tcPr>
                  <w:tcW w:w="884" w:type="pct"/>
                  <w:tcBorders>
                    <w:tl2br w:val="nil"/>
                    <w:tr2bl w:val="nil"/>
                  </w:tcBorders>
                  <w:tcMar>
                    <w:top w:w="28" w:type="dxa"/>
                    <w:left w:w="28" w:type="dxa"/>
                    <w:bottom w:w="28" w:type="dxa"/>
                    <w:right w:w="28" w:type="dxa"/>
                  </w:tcMar>
                  <w:vAlign w:val="center"/>
                </w:tcPr>
                <w:p w14:paraId="429905BE">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应急剂量控制撤离组织计划医疗救护与保护公 众健康</w:t>
                  </w:r>
                </w:p>
              </w:tc>
              <w:tc>
                <w:tcPr>
                  <w:tcW w:w="3698" w:type="pct"/>
                  <w:tcBorders>
                    <w:tl2br w:val="nil"/>
                    <w:tr2bl w:val="nil"/>
                  </w:tcBorders>
                  <w:tcMar>
                    <w:top w:w="28" w:type="dxa"/>
                    <w:left w:w="28" w:type="dxa"/>
                    <w:bottom w:w="28" w:type="dxa"/>
                    <w:right w:w="28" w:type="dxa"/>
                  </w:tcMar>
                  <w:vAlign w:val="center"/>
                </w:tcPr>
                <w:p w14:paraId="48286BB7">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事故现场：事故处理人员制定毒物的应急剂量、现场及临近装置人员的撤离组织计划和紧急救护方案；临近地区：制定受事故影响的临近地区内人员对毒物的应急剂量、 公众的疏散组织计划和紧急救护方案。</w:t>
                  </w:r>
                </w:p>
              </w:tc>
            </w:tr>
            <w:tr w14:paraId="094D34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1" w:hRule="atLeast"/>
              </w:trPr>
              <w:tc>
                <w:tcPr>
                  <w:tcW w:w="416" w:type="pct"/>
                  <w:tcBorders>
                    <w:tl2br w:val="nil"/>
                    <w:tr2bl w:val="nil"/>
                  </w:tcBorders>
                  <w:tcMar>
                    <w:top w:w="28" w:type="dxa"/>
                    <w:left w:w="28" w:type="dxa"/>
                    <w:bottom w:w="28" w:type="dxa"/>
                    <w:right w:w="28" w:type="dxa"/>
                  </w:tcMar>
                  <w:vAlign w:val="center"/>
                </w:tcPr>
                <w:p w14:paraId="6BC7DABB">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p>
                <w:p w14:paraId="57022CF4">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10</w:t>
                  </w:r>
                </w:p>
              </w:tc>
              <w:tc>
                <w:tcPr>
                  <w:tcW w:w="884" w:type="pct"/>
                  <w:tcBorders>
                    <w:tl2br w:val="nil"/>
                    <w:tr2bl w:val="nil"/>
                  </w:tcBorders>
                  <w:tcMar>
                    <w:top w:w="28" w:type="dxa"/>
                    <w:left w:w="28" w:type="dxa"/>
                    <w:bottom w:w="28" w:type="dxa"/>
                    <w:right w:w="28" w:type="dxa"/>
                  </w:tcMar>
                  <w:vAlign w:val="center"/>
                </w:tcPr>
                <w:p w14:paraId="5B9D55C9">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应急状态中</w:t>
                  </w:r>
                </w:p>
                <w:p w14:paraId="6955EA7A">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止恢复措施</w:t>
                  </w:r>
                </w:p>
              </w:tc>
              <w:tc>
                <w:tcPr>
                  <w:tcW w:w="3698" w:type="pct"/>
                  <w:tcBorders>
                    <w:tl2br w:val="nil"/>
                    <w:tr2bl w:val="nil"/>
                  </w:tcBorders>
                  <w:tcMar>
                    <w:top w:w="28" w:type="dxa"/>
                    <w:left w:w="28" w:type="dxa"/>
                    <w:bottom w:w="28" w:type="dxa"/>
                    <w:right w:w="28" w:type="dxa"/>
                  </w:tcMar>
                  <w:vAlign w:val="center"/>
                </w:tcPr>
                <w:p w14:paraId="0E713EBC">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事故现场：规定应急状态终止秩序；事故现场善后处理，回复生产措施；临近地区：解除事故警戒，公众返回和善后回复措施。</w:t>
                  </w:r>
                </w:p>
              </w:tc>
            </w:tr>
            <w:tr w14:paraId="6CD6E9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416" w:type="pct"/>
                  <w:tcBorders>
                    <w:tl2br w:val="nil"/>
                    <w:tr2bl w:val="nil"/>
                  </w:tcBorders>
                  <w:tcMar>
                    <w:top w:w="28" w:type="dxa"/>
                    <w:left w:w="28" w:type="dxa"/>
                    <w:bottom w:w="28" w:type="dxa"/>
                    <w:right w:w="28" w:type="dxa"/>
                  </w:tcMar>
                  <w:vAlign w:val="center"/>
                </w:tcPr>
                <w:p w14:paraId="34226819">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11</w:t>
                  </w:r>
                </w:p>
              </w:tc>
              <w:tc>
                <w:tcPr>
                  <w:tcW w:w="884" w:type="pct"/>
                  <w:tcBorders>
                    <w:tl2br w:val="nil"/>
                    <w:tr2bl w:val="nil"/>
                  </w:tcBorders>
                  <w:tcMar>
                    <w:top w:w="28" w:type="dxa"/>
                    <w:left w:w="28" w:type="dxa"/>
                    <w:bottom w:w="28" w:type="dxa"/>
                    <w:right w:w="28" w:type="dxa"/>
                  </w:tcMar>
                  <w:vAlign w:val="center"/>
                </w:tcPr>
                <w:p w14:paraId="7D0FF284">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人员培训与演习</w:t>
                  </w:r>
                </w:p>
              </w:tc>
              <w:tc>
                <w:tcPr>
                  <w:tcW w:w="3698" w:type="pct"/>
                  <w:tcBorders>
                    <w:tl2br w:val="nil"/>
                    <w:tr2bl w:val="nil"/>
                  </w:tcBorders>
                  <w:tcMar>
                    <w:top w:w="28" w:type="dxa"/>
                    <w:left w:w="28" w:type="dxa"/>
                    <w:bottom w:w="28" w:type="dxa"/>
                    <w:right w:w="28" w:type="dxa"/>
                  </w:tcMar>
                  <w:vAlign w:val="center"/>
                </w:tcPr>
                <w:p w14:paraId="0D34E480">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应急计划制定后，平时安排事故出路人员进行相关知识培训并进 行事故应急处理演习；对工厂工人进行安全卫生教育。</w:t>
                  </w:r>
                </w:p>
              </w:tc>
            </w:tr>
            <w:tr w14:paraId="0CB745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416" w:type="pct"/>
                  <w:tcBorders>
                    <w:tl2br w:val="nil"/>
                    <w:tr2bl w:val="nil"/>
                  </w:tcBorders>
                  <w:tcMar>
                    <w:top w:w="28" w:type="dxa"/>
                    <w:left w:w="28" w:type="dxa"/>
                    <w:bottom w:w="28" w:type="dxa"/>
                    <w:right w:w="28" w:type="dxa"/>
                  </w:tcMar>
                  <w:vAlign w:val="center"/>
                </w:tcPr>
                <w:p w14:paraId="74E7E723">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12</w:t>
                  </w:r>
                </w:p>
              </w:tc>
              <w:tc>
                <w:tcPr>
                  <w:tcW w:w="884" w:type="pct"/>
                  <w:tcBorders>
                    <w:tl2br w:val="nil"/>
                    <w:tr2bl w:val="nil"/>
                  </w:tcBorders>
                  <w:tcMar>
                    <w:top w:w="28" w:type="dxa"/>
                    <w:left w:w="28" w:type="dxa"/>
                    <w:bottom w:w="28" w:type="dxa"/>
                    <w:right w:w="28" w:type="dxa"/>
                  </w:tcMar>
                  <w:vAlign w:val="center"/>
                </w:tcPr>
                <w:p w14:paraId="53D5FBBD">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公众教育信息发布</w:t>
                  </w:r>
                </w:p>
              </w:tc>
              <w:tc>
                <w:tcPr>
                  <w:tcW w:w="3698" w:type="pct"/>
                  <w:tcBorders>
                    <w:tl2br w:val="nil"/>
                    <w:tr2bl w:val="nil"/>
                  </w:tcBorders>
                  <w:tcMar>
                    <w:top w:w="28" w:type="dxa"/>
                    <w:left w:w="28" w:type="dxa"/>
                    <w:bottom w:w="28" w:type="dxa"/>
                    <w:right w:w="28" w:type="dxa"/>
                  </w:tcMar>
                  <w:vAlign w:val="center"/>
                </w:tcPr>
                <w:p w14:paraId="0EAF5F4C">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对工厂临近地区公众开展环境风险事故预防教育、应急知识培训并定期发布相关信息。</w:t>
                  </w:r>
                </w:p>
              </w:tc>
            </w:tr>
            <w:tr w14:paraId="0CCB5A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416" w:type="pct"/>
                  <w:tcBorders>
                    <w:tl2br w:val="nil"/>
                    <w:tr2bl w:val="nil"/>
                  </w:tcBorders>
                  <w:tcMar>
                    <w:top w:w="28" w:type="dxa"/>
                    <w:left w:w="28" w:type="dxa"/>
                    <w:bottom w:w="28" w:type="dxa"/>
                    <w:right w:w="28" w:type="dxa"/>
                  </w:tcMar>
                  <w:vAlign w:val="center"/>
                </w:tcPr>
                <w:p w14:paraId="5698F88B">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13</w:t>
                  </w:r>
                </w:p>
              </w:tc>
              <w:tc>
                <w:tcPr>
                  <w:tcW w:w="884" w:type="pct"/>
                  <w:tcBorders>
                    <w:tl2br w:val="nil"/>
                    <w:tr2bl w:val="nil"/>
                  </w:tcBorders>
                  <w:tcMar>
                    <w:top w:w="28" w:type="dxa"/>
                    <w:left w:w="28" w:type="dxa"/>
                    <w:bottom w:w="28" w:type="dxa"/>
                    <w:right w:w="28" w:type="dxa"/>
                  </w:tcMar>
                  <w:vAlign w:val="center"/>
                </w:tcPr>
                <w:p w14:paraId="5D95FDC2">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记录和报告</w:t>
                  </w:r>
                </w:p>
              </w:tc>
              <w:tc>
                <w:tcPr>
                  <w:tcW w:w="3698" w:type="pct"/>
                  <w:tcBorders>
                    <w:tl2br w:val="nil"/>
                    <w:tr2bl w:val="nil"/>
                  </w:tcBorders>
                  <w:tcMar>
                    <w:top w:w="28" w:type="dxa"/>
                    <w:left w:w="28" w:type="dxa"/>
                    <w:bottom w:w="28" w:type="dxa"/>
                    <w:right w:w="28" w:type="dxa"/>
                  </w:tcMar>
                  <w:vAlign w:val="center"/>
                </w:tcPr>
                <w:p w14:paraId="1E285810">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设应急事故专门记录，建立档案和报告制度，设专门部门负责管理。</w:t>
                  </w:r>
                </w:p>
              </w:tc>
            </w:tr>
            <w:tr w14:paraId="607523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416" w:type="pct"/>
                  <w:tcBorders>
                    <w:tl2br w:val="nil"/>
                    <w:tr2bl w:val="nil"/>
                  </w:tcBorders>
                  <w:tcMar>
                    <w:top w:w="28" w:type="dxa"/>
                    <w:left w:w="28" w:type="dxa"/>
                    <w:bottom w:w="28" w:type="dxa"/>
                    <w:right w:w="28" w:type="dxa"/>
                  </w:tcMar>
                  <w:vAlign w:val="center"/>
                </w:tcPr>
                <w:p w14:paraId="5AE9D627">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14</w:t>
                  </w:r>
                </w:p>
              </w:tc>
              <w:tc>
                <w:tcPr>
                  <w:tcW w:w="884" w:type="pct"/>
                  <w:tcBorders>
                    <w:tl2br w:val="nil"/>
                    <w:tr2bl w:val="nil"/>
                  </w:tcBorders>
                  <w:tcMar>
                    <w:top w:w="28" w:type="dxa"/>
                    <w:left w:w="28" w:type="dxa"/>
                    <w:bottom w:w="28" w:type="dxa"/>
                    <w:right w:w="28" w:type="dxa"/>
                  </w:tcMar>
                  <w:vAlign w:val="center"/>
                </w:tcPr>
                <w:p w14:paraId="57B84C58">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附件</w:t>
                  </w:r>
                </w:p>
              </w:tc>
              <w:tc>
                <w:tcPr>
                  <w:tcW w:w="3698" w:type="pct"/>
                  <w:tcBorders>
                    <w:tl2br w:val="nil"/>
                    <w:tr2bl w:val="nil"/>
                  </w:tcBorders>
                  <w:tcMar>
                    <w:top w:w="28" w:type="dxa"/>
                    <w:left w:w="28" w:type="dxa"/>
                    <w:bottom w:w="28" w:type="dxa"/>
                    <w:right w:w="28" w:type="dxa"/>
                  </w:tcMar>
                  <w:vAlign w:val="center"/>
                </w:tcPr>
                <w:p w14:paraId="0822D610">
                  <w:pPr>
                    <w:pStyle w:val="149"/>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color w:val="auto"/>
                      <w:highlight w:val="none"/>
                      <w:lang w:val="en-US" w:eastAsia="zh-CN"/>
                    </w:rPr>
                  </w:pPr>
                  <w:r>
                    <w:rPr>
                      <w:rFonts w:hint="eastAsia"/>
                      <w:color w:val="auto"/>
                      <w:highlight w:val="none"/>
                      <w:lang w:val="en-US" w:eastAsia="zh-CN"/>
                    </w:rPr>
                    <w:t>准备并形成环境风险事故应急处理有关的附件材料。</w:t>
                  </w:r>
                </w:p>
              </w:tc>
            </w:tr>
          </w:tbl>
          <w:p w14:paraId="275EA726">
            <w:pPr>
              <w:pStyle w:val="157"/>
              <w:ind w:firstLine="480"/>
              <w:rPr>
                <w:rFonts w:hint="eastAsia"/>
                <w:b/>
                <w:bCs/>
                <w:color w:val="auto"/>
                <w:highlight w:val="none"/>
                <w:u w:val="none"/>
              </w:rPr>
            </w:pPr>
            <w:r>
              <w:rPr>
                <w:rFonts w:hint="eastAsia"/>
                <w:b/>
                <w:bCs/>
                <w:color w:val="auto"/>
                <w:highlight w:val="none"/>
                <w:u w:val="none"/>
              </w:rPr>
              <w:t>8、项目“三本账 ”核算</w:t>
            </w:r>
          </w:p>
          <w:p w14:paraId="18AE904F">
            <w:pPr>
              <w:pStyle w:val="157"/>
              <w:ind w:firstLine="480"/>
              <w:rPr>
                <w:rFonts w:hint="eastAsia"/>
                <w:color w:val="auto"/>
                <w:u w:val="none"/>
              </w:rPr>
            </w:pPr>
            <w:r>
              <w:rPr>
                <w:rFonts w:hint="eastAsia"/>
                <w:color w:val="auto"/>
                <w:highlight w:val="none"/>
                <w:u w:val="none"/>
              </w:rPr>
              <w:t>根据</w:t>
            </w:r>
            <w:r>
              <w:rPr>
                <w:rFonts w:hint="eastAsia"/>
                <w:color w:val="auto"/>
                <w:highlight w:val="none"/>
                <w:u w:val="none"/>
                <w:lang w:eastAsia="zh-CN"/>
              </w:rPr>
              <w:t>技改</w:t>
            </w:r>
            <w:r>
              <w:rPr>
                <w:rFonts w:hint="eastAsia"/>
                <w:color w:val="auto"/>
                <w:highlight w:val="none"/>
                <w:u w:val="none"/>
              </w:rPr>
              <w:t>项目建设内容，</w:t>
            </w:r>
            <w:r>
              <w:rPr>
                <w:rFonts w:hint="eastAsia"/>
                <w:color w:val="auto"/>
                <w:highlight w:val="none"/>
                <w:u w:val="none"/>
                <w:lang w:eastAsia="zh-CN"/>
              </w:rPr>
              <w:t>技改</w:t>
            </w:r>
            <w:r>
              <w:rPr>
                <w:rFonts w:hint="eastAsia"/>
                <w:color w:val="auto"/>
                <w:u w:val="none"/>
              </w:rPr>
              <w:t>前后污染物排放变化情况“三本账”见下表 4-2</w:t>
            </w:r>
            <w:r>
              <w:rPr>
                <w:rFonts w:hint="eastAsia"/>
                <w:color w:val="auto"/>
                <w:u w:val="none"/>
                <w:lang w:val="en-US" w:eastAsia="zh-CN"/>
              </w:rPr>
              <w:t>1</w:t>
            </w:r>
            <w:r>
              <w:rPr>
                <w:rFonts w:hint="eastAsia"/>
                <w:color w:val="auto"/>
                <w:u w:val="none"/>
              </w:rPr>
              <w:t>。</w:t>
            </w:r>
          </w:p>
          <w:p w14:paraId="59295006">
            <w:pPr>
              <w:jc w:val="center"/>
              <w:rPr>
                <w:rFonts w:hint="default" w:ascii="Times New Roman" w:hAnsi="Times New Roman" w:eastAsia="宋体" w:cs="Times New Roman"/>
                <w:b/>
                <w:color w:val="auto"/>
                <w:szCs w:val="21"/>
                <w:u w:val="none"/>
              </w:rPr>
            </w:pPr>
          </w:p>
          <w:p w14:paraId="4EF41BAC">
            <w:pPr>
              <w:jc w:val="center"/>
              <w:rPr>
                <w:rFonts w:hint="default" w:ascii="Times New Roman" w:hAnsi="Times New Roman" w:eastAsia="宋体" w:cs="Times New Roman"/>
                <w:b/>
                <w:color w:val="auto"/>
                <w:szCs w:val="21"/>
                <w:u w:val="none"/>
              </w:rPr>
            </w:pPr>
          </w:p>
          <w:p w14:paraId="6E937F39">
            <w:pPr>
              <w:jc w:val="center"/>
              <w:rPr>
                <w:rFonts w:hint="default" w:ascii="Times New Roman" w:hAnsi="Times New Roman" w:eastAsia="宋体" w:cs="Times New Roman"/>
                <w:b/>
                <w:color w:val="auto"/>
                <w:szCs w:val="21"/>
                <w:u w:val="none"/>
                <w:lang w:val="en-US" w:eastAsia="zh-CN"/>
              </w:rPr>
            </w:pPr>
            <w:r>
              <w:rPr>
                <w:rFonts w:hint="default" w:ascii="Times New Roman" w:hAnsi="Times New Roman" w:eastAsia="宋体" w:cs="Times New Roman"/>
                <w:b/>
                <w:color w:val="auto"/>
                <w:szCs w:val="21"/>
                <w:u w:val="none"/>
              </w:rPr>
              <w:t>表4-</w:t>
            </w:r>
            <w:r>
              <w:rPr>
                <w:rFonts w:hint="eastAsia" w:eastAsia="宋体" w:cs="Times New Roman"/>
                <w:b/>
                <w:color w:val="auto"/>
                <w:szCs w:val="21"/>
                <w:u w:val="none"/>
                <w:lang w:val="en-US" w:eastAsia="zh-CN"/>
              </w:rPr>
              <w:t>2</w:t>
            </w:r>
            <w:r>
              <w:rPr>
                <w:rFonts w:hint="eastAsia" w:cs="Times New Roman"/>
                <w:b/>
                <w:color w:val="auto"/>
                <w:szCs w:val="21"/>
                <w:u w:val="none"/>
                <w:lang w:val="en-US" w:eastAsia="zh-CN"/>
              </w:rPr>
              <w:t>1</w:t>
            </w:r>
            <w:r>
              <w:rPr>
                <w:rFonts w:hint="eastAsia" w:ascii="Times New Roman" w:hAnsi="Times New Roman" w:eastAsia="宋体" w:cs="Times New Roman"/>
                <w:b/>
                <w:color w:val="auto"/>
                <w:szCs w:val="21"/>
                <w:u w:val="none"/>
                <w:lang w:val="en-US" w:eastAsia="zh-CN"/>
              </w:rPr>
              <w:t xml:space="preserve"> </w:t>
            </w:r>
            <w:r>
              <w:rPr>
                <w:rFonts w:hint="default" w:ascii="Times New Roman" w:hAnsi="Times New Roman" w:eastAsia="宋体" w:cs="Times New Roman"/>
                <w:b/>
                <w:color w:val="auto"/>
                <w:szCs w:val="21"/>
                <w:u w:val="none"/>
              </w:rPr>
              <w:t xml:space="preserve"> </w:t>
            </w:r>
            <w:r>
              <w:rPr>
                <w:rFonts w:hint="eastAsia" w:cs="Times New Roman"/>
                <w:b/>
                <w:color w:val="auto"/>
                <w:szCs w:val="21"/>
                <w:u w:val="none"/>
                <w:lang w:val="en-US" w:eastAsia="zh-CN"/>
              </w:rPr>
              <w:t>技改</w:t>
            </w:r>
            <w:r>
              <w:rPr>
                <w:rFonts w:hint="default" w:ascii="Times New Roman" w:hAnsi="Times New Roman" w:eastAsia="宋体" w:cs="Times New Roman"/>
                <w:b/>
                <w:color w:val="auto"/>
                <w:szCs w:val="21"/>
                <w:u w:val="none"/>
              </w:rPr>
              <w:t>项目“三本账”分析一览表</w:t>
            </w:r>
          </w:p>
          <w:tbl>
            <w:tblPr>
              <w:tblStyle w:val="43"/>
              <w:tblW w:w="8537" w:type="dxa"/>
              <w:tblInd w:w="-11"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26"/>
              <w:gridCol w:w="1465"/>
              <w:gridCol w:w="1287"/>
              <w:gridCol w:w="1004"/>
              <w:gridCol w:w="722"/>
              <w:gridCol w:w="1059"/>
              <w:gridCol w:w="1668"/>
              <w:gridCol w:w="806"/>
            </w:tblGrid>
            <w:tr w14:paraId="02D2AE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1991" w:type="dxa"/>
                  <w:gridSpan w:val="2"/>
                  <w:tcBorders>
                    <w:tl2br w:val="nil"/>
                    <w:tr2bl w:val="nil"/>
                  </w:tcBorders>
                  <w:shd w:val="clear" w:color="auto" w:fill="auto"/>
                  <w:vAlign w:val="center"/>
                </w:tcPr>
                <w:p w14:paraId="393A253B">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项目</w:t>
                  </w:r>
                </w:p>
                <w:p w14:paraId="1317B053">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分类</w:t>
                  </w:r>
                </w:p>
              </w:tc>
              <w:tc>
                <w:tcPr>
                  <w:tcW w:w="1287" w:type="dxa"/>
                  <w:tcBorders>
                    <w:tl2br w:val="nil"/>
                    <w:tr2bl w:val="nil"/>
                  </w:tcBorders>
                  <w:shd w:val="clear" w:color="auto" w:fill="auto"/>
                  <w:vAlign w:val="center"/>
                </w:tcPr>
                <w:p w14:paraId="7E903130">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污染物名称</w:t>
                  </w:r>
                </w:p>
              </w:tc>
              <w:tc>
                <w:tcPr>
                  <w:tcW w:w="1004" w:type="dxa"/>
                  <w:tcBorders>
                    <w:tl2br w:val="nil"/>
                    <w:tr2bl w:val="nil"/>
                  </w:tcBorders>
                  <w:shd w:val="clear" w:color="auto" w:fill="auto"/>
                  <w:vAlign w:val="center"/>
                </w:tcPr>
                <w:p w14:paraId="205D0AC6">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现有工程排放量</w:t>
                  </w:r>
                </w:p>
              </w:tc>
              <w:tc>
                <w:tcPr>
                  <w:tcW w:w="722" w:type="dxa"/>
                  <w:tcBorders>
                    <w:tl2br w:val="nil"/>
                    <w:tr2bl w:val="nil"/>
                  </w:tcBorders>
                  <w:shd w:val="clear" w:color="auto" w:fill="auto"/>
                  <w:vAlign w:val="center"/>
                </w:tcPr>
                <w:p w14:paraId="24C7F2A5">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本项目排放量</w:t>
                  </w:r>
                </w:p>
              </w:tc>
              <w:tc>
                <w:tcPr>
                  <w:tcW w:w="1059" w:type="dxa"/>
                  <w:tcBorders>
                    <w:tl2br w:val="nil"/>
                    <w:tr2bl w:val="nil"/>
                  </w:tcBorders>
                  <w:shd w:val="clear" w:color="auto" w:fill="auto"/>
                  <w:vAlign w:val="center"/>
                </w:tcPr>
                <w:p w14:paraId="542D965C">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以新带老削减量</w:t>
                  </w:r>
                </w:p>
              </w:tc>
              <w:tc>
                <w:tcPr>
                  <w:tcW w:w="1668" w:type="dxa"/>
                  <w:tcBorders>
                    <w:tl2br w:val="nil"/>
                    <w:tr2bl w:val="nil"/>
                  </w:tcBorders>
                  <w:shd w:val="clear" w:color="auto" w:fill="auto"/>
                  <w:vAlign w:val="center"/>
                </w:tcPr>
                <w:p w14:paraId="563CD7DB">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本项目建成后全厂排放量</w:t>
                  </w:r>
                </w:p>
              </w:tc>
              <w:tc>
                <w:tcPr>
                  <w:tcW w:w="806" w:type="dxa"/>
                  <w:tcBorders>
                    <w:tl2br w:val="nil"/>
                    <w:tr2bl w:val="nil"/>
                  </w:tcBorders>
                  <w:shd w:val="clear" w:color="auto" w:fill="auto"/>
                  <w:vAlign w:val="center"/>
                </w:tcPr>
                <w:p w14:paraId="1DAAFAE8">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r>
                    <w:rPr>
                      <w:rFonts w:hint="eastAsia" w:eastAsia="宋体"/>
                      <w:color w:val="auto"/>
                      <w:sz w:val="21"/>
                      <w:szCs w:val="21"/>
                      <w:u w:val="none"/>
                      <w:lang w:val="en-US" w:eastAsia="zh-CN"/>
                    </w:rPr>
                    <w:t>变化量</w:t>
                  </w:r>
                </w:p>
                <w:p w14:paraId="6C52A47E">
                  <w:pPr>
                    <w:pStyle w:val="149"/>
                    <w:keepNext w:val="0"/>
                    <w:keepLines w:val="0"/>
                    <w:pageBreakBefore w:val="0"/>
                    <w:kinsoku/>
                    <w:wordWrap/>
                    <w:overflowPunct/>
                    <w:topLinePunct w:val="0"/>
                    <w:autoSpaceDE/>
                    <w:autoSpaceDN/>
                    <w:bidi w:val="0"/>
                    <w:adjustRightInd/>
                    <w:snapToGrid/>
                    <w:jc w:val="center"/>
                    <w:rPr>
                      <w:rFonts w:hint="eastAsia" w:eastAsia="宋体"/>
                      <w:color w:val="auto"/>
                      <w:sz w:val="21"/>
                      <w:szCs w:val="21"/>
                      <w:u w:val="none"/>
                      <w:lang w:val="en-US" w:eastAsia="zh-CN"/>
                    </w:rPr>
                  </w:pPr>
                </w:p>
              </w:tc>
            </w:tr>
            <w:tr w14:paraId="4DB087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restart"/>
                  <w:tcBorders>
                    <w:tl2br w:val="nil"/>
                    <w:tr2bl w:val="nil"/>
                  </w:tcBorders>
                  <w:vAlign w:val="center"/>
                </w:tcPr>
                <w:p w14:paraId="1709A9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废气</w:t>
                  </w:r>
                </w:p>
              </w:tc>
              <w:tc>
                <w:tcPr>
                  <w:tcW w:w="1465" w:type="dxa"/>
                  <w:vMerge w:val="restart"/>
                  <w:tcBorders>
                    <w:tl2br w:val="nil"/>
                    <w:tr2bl w:val="nil"/>
                  </w:tcBorders>
                  <w:vAlign w:val="center"/>
                </w:tcPr>
                <w:p w14:paraId="5DF17E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生物质锅炉（t/a）</w:t>
                  </w:r>
                </w:p>
              </w:tc>
              <w:tc>
                <w:tcPr>
                  <w:tcW w:w="1287" w:type="dxa"/>
                  <w:tcBorders>
                    <w:tl2br w:val="nil"/>
                    <w:tr2bl w:val="nil"/>
                  </w:tcBorders>
                  <w:shd w:val="clear" w:color="auto" w:fill="auto"/>
                  <w:vAlign w:val="center"/>
                </w:tcPr>
                <w:p w14:paraId="7A175A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default" w:eastAsia="宋体"/>
                      <w:color w:val="auto"/>
                      <w:sz w:val="21"/>
                      <w:szCs w:val="21"/>
                      <w:u w:val="none"/>
                      <w:vertAlign w:val="baseline"/>
                      <w:lang w:val="en-US" w:eastAsia="zh-CN"/>
                    </w:rPr>
                    <w:t>SO</w:t>
                  </w:r>
                  <w:r>
                    <w:rPr>
                      <w:rFonts w:hint="default" w:eastAsia="宋体"/>
                      <w:color w:val="auto"/>
                      <w:sz w:val="21"/>
                      <w:szCs w:val="21"/>
                      <w:u w:val="none"/>
                      <w:vertAlign w:val="subscript"/>
                      <w:lang w:val="en-US" w:eastAsia="zh-CN"/>
                    </w:rPr>
                    <w:t>2</w:t>
                  </w:r>
                </w:p>
              </w:tc>
              <w:tc>
                <w:tcPr>
                  <w:tcW w:w="1004" w:type="dxa"/>
                  <w:tcBorders>
                    <w:tl2br w:val="nil"/>
                    <w:tr2bl w:val="nil"/>
                  </w:tcBorders>
                  <w:vAlign w:val="center"/>
                </w:tcPr>
                <w:p w14:paraId="095973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0.088</w:t>
                  </w:r>
                </w:p>
              </w:tc>
              <w:tc>
                <w:tcPr>
                  <w:tcW w:w="722" w:type="dxa"/>
                  <w:tcBorders>
                    <w:tl2br w:val="nil"/>
                    <w:tr2bl w:val="nil"/>
                  </w:tcBorders>
                  <w:shd w:val="clear" w:color="auto" w:fill="auto"/>
                  <w:vAlign w:val="center"/>
                </w:tcPr>
                <w:p w14:paraId="376F12C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0.088</w:t>
                  </w:r>
                </w:p>
              </w:tc>
              <w:tc>
                <w:tcPr>
                  <w:tcW w:w="1059" w:type="dxa"/>
                  <w:tcBorders>
                    <w:tl2br w:val="nil"/>
                    <w:tr2bl w:val="nil"/>
                  </w:tcBorders>
                  <w:vAlign w:val="center"/>
                </w:tcPr>
                <w:p w14:paraId="62BB61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0.088</w:t>
                  </w:r>
                </w:p>
              </w:tc>
              <w:tc>
                <w:tcPr>
                  <w:tcW w:w="1668" w:type="dxa"/>
                  <w:tcBorders>
                    <w:tl2br w:val="nil"/>
                    <w:tr2bl w:val="nil"/>
                  </w:tcBorders>
                  <w:shd w:val="clear" w:color="auto" w:fill="auto"/>
                  <w:vAlign w:val="center"/>
                </w:tcPr>
                <w:p w14:paraId="444993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0.088</w:t>
                  </w:r>
                </w:p>
              </w:tc>
              <w:tc>
                <w:tcPr>
                  <w:tcW w:w="806" w:type="dxa"/>
                  <w:tcBorders>
                    <w:tl2br w:val="nil"/>
                    <w:tr2bl w:val="nil"/>
                  </w:tcBorders>
                  <w:vAlign w:val="center"/>
                </w:tcPr>
                <w:p w14:paraId="27D66A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0</w:t>
                  </w:r>
                </w:p>
              </w:tc>
            </w:tr>
            <w:tr w14:paraId="343600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7A51A2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vMerge w:val="continue"/>
                  <w:tcBorders>
                    <w:tl2br w:val="nil"/>
                    <w:tr2bl w:val="nil"/>
                  </w:tcBorders>
                  <w:vAlign w:val="center"/>
                </w:tcPr>
                <w:p w14:paraId="49C773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287" w:type="dxa"/>
                  <w:tcBorders>
                    <w:tl2br w:val="nil"/>
                    <w:tr2bl w:val="nil"/>
                  </w:tcBorders>
                  <w:shd w:val="clear" w:color="auto" w:fill="auto"/>
                  <w:vAlign w:val="center"/>
                </w:tcPr>
                <w:p w14:paraId="705DB2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default" w:eastAsia="宋体"/>
                      <w:color w:val="auto"/>
                      <w:sz w:val="21"/>
                      <w:szCs w:val="21"/>
                      <w:u w:val="none"/>
                      <w:vertAlign w:val="baseline"/>
                      <w:lang w:val="en-US" w:eastAsia="zh-CN"/>
                    </w:rPr>
                    <w:t>NOx</w:t>
                  </w:r>
                </w:p>
              </w:tc>
              <w:tc>
                <w:tcPr>
                  <w:tcW w:w="1004" w:type="dxa"/>
                  <w:tcBorders>
                    <w:tl2br w:val="nil"/>
                    <w:tr2bl w:val="nil"/>
                  </w:tcBorders>
                  <w:vAlign w:val="center"/>
                </w:tcPr>
                <w:p w14:paraId="1AC0D5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0.265</w:t>
                  </w:r>
                </w:p>
              </w:tc>
              <w:tc>
                <w:tcPr>
                  <w:tcW w:w="722" w:type="dxa"/>
                  <w:tcBorders>
                    <w:tl2br w:val="nil"/>
                    <w:tr2bl w:val="nil"/>
                  </w:tcBorders>
                  <w:shd w:val="clear" w:color="auto" w:fill="auto"/>
                  <w:vAlign w:val="center"/>
                </w:tcPr>
                <w:p w14:paraId="5D4E79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0.265</w:t>
                  </w:r>
                </w:p>
              </w:tc>
              <w:tc>
                <w:tcPr>
                  <w:tcW w:w="1059" w:type="dxa"/>
                  <w:tcBorders>
                    <w:tl2br w:val="nil"/>
                    <w:tr2bl w:val="nil"/>
                  </w:tcBorders>
                  <w:vAlign w:val="center"/>
                </w:tcPr>
                <w:p w14:paraId="758B96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0.265</w:t>
                  </w:r>
                </w:p>
              </w:tc>
              <w:tc>
                <w:tcPr>
                  <w:tcW w:w="1668" w:type="dxa"/>
                  <w:tcBorders>
                    <w:tl2br w:val="nil"/>
                    <w:tr2bl w:val="nil"/>
                  </w:tcBorders>
                  <w:shd w:val="clear" w:color="auto" w:fill="auto"/>
                  <w:vAlign w:val="center"/>
                </w:tcPr>
                <w:p w14:paraId="6D334D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0.265</w:t>
                  </w:r>
                </w:p>
              </w:tc>
              <w:tc>
                <w:tcPr>
                  <w:tcW w:w="806" w:type="dxa"/>
                  <w:tcBorders>
                    <w:tl2br w:val="nil"/>
                    <w:tr2bl w:val="nil"/>
                  </w:tcBorders>
                  <w:vAlign w:val="center"/>
                </w:tcPr>
                <w:p w14:paraId="5A304E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w:t>
                  </w:r>
                </w:p>
              </w:tc>
            </w:tr>
            <w:tr w14:paraId="567811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619404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vMerge w:val="continue"/>
                  <w:tcBorders>
                    <w:tl2br w:val="nil"/>
                    <w:tr2bl w:val="nil"/>
                  </w:tcBorders>
                  <w:vAlign w:val="center"/>
                </w:tcPr>
                <w:p w14:paraId="207B039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287" w:type="dxa"/>
                  <w:tcBorders>
                    <w:tl2br w:val="nil"/>
                    <w:tr2bl w:val="nil"/>
                  </w:tcBorders>
                  <w:shd w:val="clear" w:color="auto" w:fill="auto"/>
                  <w:vAlign w:val="center"/>
                </w:tcPr>
                <w:p w14:paraId="7CD370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default" w:eastAsia="宋体"/>
                      <w:color w:val="auto"/>
                      <w:sz w:val="21"/>
                      <w:szCs w:val="21"/>
                      <w:u w:val="none"/>
                      <w:vertAlign w:val="baseline"/>
                      <w:lang w:val="en-US" w:eastAsia="zh-CN"/>
                    </w:rPr>
                    <w:t>颗粒物</w:t>
                  </w:r>
                </w:p>
              </w:tc>
              <w:tc>
                <w:tcPr>
                  <w:tcW w:w="1004" w:type="dxa"/>
                  <w:tcBorders>
                    <w:tl2br w:val="nil"/>
                    <w:tr2bl w:val="nil"/>
                  </w:tcBorders>
                  <w:vAlign w:val="center"/>
                </w:tcPr>
                <w:p w14:paraId="7B97B0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0.013</w:t>
                  </w:r>
                </w:p>
              </w:tc>
              <w:tc>
                <w:tcPr>
                  <w:tcW w:w="722" w:type="dxa"/>
                  <w:tcBorders>
                    <w:tl2br w:val="nil"/>
                    <w:tr2bl w:val="nil"/>
                  </w:tcBorders>
                  <w:shd w:val="clear" w:color="auto" w:fill="auto"/>
                  <w:vAlign w:val="center"/>
                </w:tcPr>
                <w:p w14:paraId="720530CD">
                  <w:pPr>
                    <w:keepNext w:val="0"/>
                    <w:keepLines w:val="0"/>
                    <w:widowControl/>
                    <w:suppressLineNumbers w:val="0"/>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0.013</w:t>
                  </w:r>
                  <w:r>
                    <w:rPr>
                      <w:rFonts w:hint="default" w:ascii="Times New Roman" w:hAnsi="Times New Roman" w:eastAsia="宋体" w:cs="Times New Roman"/>
                      <w:i w:val="0"/>
                      <w:iCs w:val="0"/>
                      <w:color w:val="auto"/>
                      <w:kern w:val="0"/>
                      <w:sz w:val="21"/>
                      <w:szCs w:val="21"/>
                      <w:highlight w:val="none"/>
                      <w:u w:val="none"/>
                      <w:lang w:val="en-US" w:eastAsia="zh-CN" w:bidi="ar"/>
                    </w:rPr>
                    <w:t xml:space="preserve"> </w:t>
                  </w:r>
                </w:p>
              </w:tc>
              <w:tc>
                <w:tcPr>
                  <w:tcW w:w="1059" w:type="dxa"/>
                  <w:tcBorders>
                    <w:tl2br w:val="nil"/>
                    <w:tr2bl w:val="nil"/>
                  </w:tcBorders>
                  <w:vAlign w:val="center"/>
                </w:tcPr>
                <w:p w14:paraId="423C7E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0.013</w:t>
                  </w:r>
                </w:p>
              </w:tc>
              <w:tc>
                <w:tcPr>
                  <w:tcW w:w="1668" w:type="dxa"/>
                  <w:tcBorders>
                    <w:tl2br w:val="nil"/>
                    <w:tr2bl w:val="nil"/>
                  </w:tcBorders>
                  <w:shd w:val="clear" w:color="auto" w:fill="auto"/>
                  <w:vAlign w:val="center"/>
                </w:tcPr>
                <w:p w14:paraId="78D740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0.013</w:t>
                  </w:r>
                </w:p>
              </w:tc>
              <w:tc>
                <w:tcPr>
                  <w:tcW w:w="806" w:type="dxa"/>
                  <w:tcBorders>
                    <w:tl2br w:val="nil"/>
                    <w:tr2bl w:val="nil"/>
                  </w:tcBorders>
                  <w:vAlign w:val="center"/>
                </w:tcPr>
                <w:p w14:paraId="0FA763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w:t>
                  </w:r>
                </w:p>
              </w:tc>
            </w:tr>
            <w:tr w14:paraId="0C20EE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550464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shd w:val="clear" w:color="auto" w:fill="auto"/>
                  <w:vAlign w:val="center"/>
                </w:tcPr>
                <w:p w14:paraId="57E296A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溶剂废气</w:t>
                  </w:r>
                  <w:r>
                    <w:rPr>
                      <w:rFonts w:hint="eastAsia" w:eastAsia="宋体"/>
                      <w:color w:val="auto"/>
                      <w:sz w:val="21"/>
                      <w:szCs w:val="21"/>
                      <w:u w:val="none"/>
                      <w:vertAlign w:val="baseline"/>
                      <w:lang w:val="en-US" w:eastAsia="zh-CN"/>
                    </w:rPr>
                    <w:t>（</w:t>
                  </w:r>
                  <w:r>
                    <w:rPr>
                      <w:rFonts w:hint="eastAsia"/>
                      <w:color w:val="auto"/>
                      <w:sz w:val="21"/>
                      <w:szCs w:val="21"/>
                      <w:u w:val="none"/>
                      <w:vertAlign w:val="baseline"/>
                      <w:lang w:val="en-US" w:eastAsia="zh-CN"/>
                    </w:rPr>
                    <w:t>t</w:t>
                  </w:r>
                  <w:r>
                    <w:rPr>
                      <w:rFonts w:hint="eastAsia" w:eastAsia="宋体"/>
                      <w:color w:val="auto"/>
                      <w:sz w:val="21"/>
                      <w:szCs w:val="21"/>
                      <w:u w:val="none"/>
                      <w:vertAlign w:val="baseline"/>
                      <w:lang w:val="en-US" w:eastAsia="zh-CN"/>
                    </w:rPr>
                    <w:t>/a）</w:t>
                  </w:r>
                </w:p>
              </w:tc>
              <w:tc>
                <w:tcPr>
                  <w:tcW w:w="1287" w:type="dxa"/>
                  <w:tcBorders>
                    <w:tl2br w:val="nil"/>
                    <w:tr2bl w:val="nil"/>
                  </w:tcBorders>
                  <w:shd w:val="clear" w:color="auto" w:fill="auto"/>
                  <w:vAlign w:val="center"/>
                </w:tcPr>
                <w:p w14:paraId="59DD48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非甲烷总烃</w:t>
                  </w:r>
                </w:p>
              </w:tc>
              <w:tc>
                <w:tcPr>
                  <w:tcW w:w="1004" w:type="dxa"/>
                  <w:tcBorders>
                    <w:tl2br w:val="nil"/>
                    <w:tr2bl w:val="nil"/>
                  </w:tcBorders>
                  <w:shd w:val="clear" w:color="auto" w:fill="auto"/>
                  <w:vAlign w:val="center"/>
                </w:tcPr>
                <w:p w14:paraId="256DBE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0.151</w:t>
                  </w:r>
                </w:p>
              </w:tc>
              <w:tc>
                <w:tcPr>
                  <w:tcW w:w="722" w:type="dxa"/>
                  <w:tcBorders>
                    <w:tl2br w:val="nil"/>
                    <w:tr2bl w:val="nil"/>
                  </w:tcBorders>
                  <w:shd w:val="clear" w:color="auto" w:fill="auto"/>
                  <w:vAlign w:val="center"/>
                </w:tcPr>
                <w:p w14:paraId="550848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0.151</w:t>
                  </w:r>
                </w:p>
              </w:tc>
              <w:tc>
                <w:tcPr>
                  <w:tcW w:w="1059" w:type="dxa"/>
                  <w:tcBorders>
                    <w:tl2br w:val="nil"/>
                    <w:tr2bl w:val="nil"/>
                  </w:tcBorders>
                  <w:shd w:val="clear" w:color="auto" w:fill="auto"/>
                  <w:vAlign w:val="center"/>
                </w:tcPr>
                <w:p w14:paraId="735067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0.151</w:t>
                  </w:r>
                </w:p>
              </w:tc>
              <w:tc>
                <w:tcPr>
                  <w:tcW w:w="1668" w:type="dxa"/>
                  <w:tcBorders>
                    <w:tl2br w:val="nil"/>
                    <w:tr2bl w:val="nil"/>
                  </w:tcBorders>
                  <w:shd w:val="clear" w:color="auto" w:fill="auto"/>
                  <w:vAlign w:val="center"/>
                </w:tcPr>
                <w:p w14:paraId="7C9A7AC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0.151</w:t>
                  </w:r>
                </w:p>
              </w:tc>
              <w:tc>
                <w:tcPr>
                  <w:tcW w:w="806" w:type="dxa"/>
                  <w:tcBorders>
                    <w:tl2br w:val="nil"/>
                    <w:tr2bl w:val="nil"/>
                  </w:tcBorders>
                  <w:shd w:val="clear" w:color="auto" w:fill="auto"/>
                  <w:vAlign w:val="center"/>
                </w:tcPr>
                <w:p w14:paraId="58A681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4DD0BE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26" w:type="dxa"/>
                  <w:vMerge w:val="continue"/>
                  <w:tcBorders>
                    <w:tl2br w:val="nil"/>
                    <w:tr2bl w:val="nil"/>
                  </w:tcBorders>
                  <w:vAlign w:val="center"/>
                </w:tcPr>
                <w:p w14:paraId="233714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shd w:val="clear" w:color="auto" w:fill="auto"/>
                  <w:vAlign w:val="center"/>
                </w:tcPr>
                <w:p w14:paraId="17AD61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破碎粉尘</w:t>
                  </w:r>
                  <w:r>
                    <w:rPr>
                      <w:rFonts w:hint="eastAsia" w:eastAsia="宋体"/>
                      <w:color w:val="auto"/>
                      <w:sz w:val="21"/>
                      <w:szCs w:val="21"/>
                      <w:u w:val="none"/>
                      <w:vertAlign w:val="baseline"/>
                      <w:lang w:val="en-US" w:eastAsia="zh-CN"/>
                    </w:rPr>
                    <w:t>（t/a）</w:t>
                  </w:r>
                </w:p>
              </w:tc>
              <w:tc>
                <w:tcPr>
                  <w:tcW w:w="1287" w:type="dxa"/>
                  <w:tcBorders>
                    <w:tl2br w:val="nil"/>
                    <w:tr2bl w:val="nil"/>
                  </w:tcBorders>
                  <w:shd w:val="clear" w:color="auto" w:fill="auto"/>
                  <w:vAlign w:val="center"/>
                </w:tcPr>
                <w:p w14:paraId="5DCD50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颗粒物</w:t>
                  </w:r>
                </w:p>
              </w:tc>
              <w:tc>
                <w:tcPr>
                  <w:tcW w:w="1004" w:type="dxa"/>
                  <w:tcBorders>
                    <w:tl2br w:val="nil"/>
                    <w:tr2bl w:val="nil"/>
                  </w:tcBorders>
                  <w:shd w:val="clear" w:color="auto" w:fill="auto"/>
                  <w:vAlign w:val="center"/>
                </w:tcPr>
                <w:p w14:paraId="244C3E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0.002</w:t>
                  </w:r>
                </w:p>
              </w:tc>
              <w:tc>
                <w:tcPr>
                  <w:tcW w:w="722" w:type="dxa"/>
                  <w:tcBorders>
                    <w:tl2br w:val="nil"/>
                    <w:tr2bl w:val="nil"/>
                  </w:tcBorders>
                  <w:shd w:val="clear" w:color="auto" w:fill="auto"/>
                  <w:vAlign w:val="center"/>
                </w:tcPr>
                <w:p w14:paraId="3C4426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24BBC5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5D5E05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0.002</w:t>
                  </w:r>
                </w:p>
              </w:tc>
              <w:tc>
                <w:tcPr>
                  <w:tcW w:w="806" w:type="dxa"/>
                  <w:tcBorders>
                    <w:tl2br w:val="nil"/>
                    <w:tr2bl w:val="nil"/>
                  </w:tcBorders>
                  <w:shd w:val="clear" w:color="auto" w:fill="auto"/>
                  <w:vAlign w:val="center"/>
                </w:tcPr>
                <w:p w14:paraId="4114C49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2C05F6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26" w:type="dxa"/>
                  <w:vMerge w:val="restart"/>
                  <w:tcBorders>
                    <w:tl2br w:val="nil"/>
                    <w:tr2bl w:val="nil"/>
                  </w:tcBorders>
                  <w:vAlign w:val="center"/>
                </w:tcPr>
                <w:p w14:paraId="7260A7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废水</w:t>
                  </w:r>
                </w:p>
              </w:tc>
              <w:tc>
                <w:tcPr>
                  <w:tcW w:w="1465" w:type="dxa"/>
                  <w:tcBorders>
                    <w:tl2br w:val="nil"/>
                    <w:tr2bl w:val="nil"/>
                  </w:tcBorders>
                  <w:vAlign w:val="center"/>
                </w:tcPr>
                <w:p w14:paraId="1D03AF9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u w:val="none"/>
                      <w:vertAlign w:val="baseline"/>
                      <w:lang w:val="en-US" w:eastAsia="zh-CN"/>
                    </w:rPr>
                  </w:pPr>
                  <w:r>
                    <w:rPr>
                      <w:rFonts w:hint="eastAsia" w:ascii="Times New Roman" w:hAnsi="Times New Roman" w:eastAsia="宋体" w:cs="Times New Roman"/>
                      <w:color w:val="auto"/>
                      <w:sz w:val="21"/>
                      <w:szCs w:val="21"/>
                      <w:u w:val="none"/>
                      <w:vertAlign w:val="baseline"/>
                      <w:lang w:val="en-US" w:eastAsia="zh-CN"/>
                    </w:rPr>
                    <w:t>地面清洗废水（t/a）</w:t>
                  </w:r>
                </w:p>
              </w:tc>
              <w:tc>
                <w:tcPr>
                  <w:tcW w:w="1287" w:type="dxa"/>
                  <w:tcBorders>
                    <w:tl2br w:val="nil"/>
                    <w:tr2bl w:val="nil"/>
                  </w:tcBorders>
                  <w:shd w:val="clear" w:color="auto" w:fill="auto"/>
                  <w:vAlign w:val="center"/>
                </w:tcPr>
                <w:p w14:paraId="2F47C6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废水量</w:t>
                  </w:r>
                </w:p>
              </w:tc>
              <w:tc>
                <w:tcPr>
                  <w:tcW w:w="1004" w:type="dxa"/>
                  <w:tcBorders>
                    <w:tl2br w:val="nil"/>
                    <w:tr2bl w:val="nil"/>
                  </w:tcBorders>
                  <w:shd w:val="clear" w:color="auto" w:fill="auto"/>
                  <w:vAlign w:val="center"/>
                </w:tcPr>
                <w:p w14:paraId="73A62B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1"/>
                      <w:szCs w:val="21"/>
                      <w:highlight w:val="none"/>
                      <w:u w:val="none"/>
                      <w:vertAlign w:val="baseline"/>
                      <w:lang w:val="en-US" w:eastAsia="zh-CN"/>
                    </w:rPr>
                  </w:pPr>
                  <w:r>
                    <w:rPr>
                      <w:rFonts w:ascii="Times New Roman" w:hAnsi="Times New Roman" w:eastAsia="Times New Roman" w:cs="Times New Roman"/>
                      <w:spacing w:val="-2"/>
                      <w:sz w:val="21"/>
                      <w:szCs w:val="21"/>
                    </w:rPr>
                    <w:t>13.5</w:t>
                  </w:r>
                </w:p>
              </w:tc>
              <w:tc>
                <w:tcPr>
                  <w:tcW w:w="722" w:type="dxa"/>
                  <w:tcBorders>
                    <w:tl2br w:val="nil"/>
                    <w:tr2bl w:val="nil"/>
                  </w:tcBorders>
                  <w:shd w:val="clear" w:color="auto" w:fill="auto"/>
                  <w:vAlign w:val="center"/>
                </w:tcPr>
                <w:p w14:paraId="0FB08A3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21"/>
                      <w:szCs w:val="21"/>
                      <w:u w:val="none"/>
                      <w:vertAlign w:val="baseline"/>
                      <w:lang w:val="en-US" w:eastAsia="zh-CN"/>
                    </w:rPr>
                  </w:pPr>
                  <w:r>
                    <w:rPr>
                      <w:rFonts w:hint="eastAsia"/>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654980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highlight w:val="none"/>
                      <w:u w:val="none"/>
                      <w:vertAlign w:val="baseline"/>
                      <w:lang w:val="en-US" w:eastAsia="zh-CN"/>
                    </w:rPr>
                    <w:t>0</w:t>
                  </w:r>
                </w:p>
              </w:tc>
              <w:tc>
                <w:tcPr>
                  <w:tcW w:w="1668" w:type="dxa"/>
                  <w:tcBorders>
                    <w:tl2br w:val="nil"/>
                    <w:tr2bl w:val="nil"/>
                  </w:tcBorders>
                  <w:shd w:val="clear" w:color="auto" w:fill="auto"/>
                  <w:vAlign w:val="center"/>
                </w:tcPr>
                <w:p w14:paraId="09DE30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ascii="Times New Roman" w:hAnsi="Times New Roman" w:eastAsia="Times New Roman" w:cs="Times New Roman"/>
                      <w:spacing w:val="-2"/>
                      <w:sz w:val="21"/>
                      <w:szCs w:val="21"/>
                    </w:rPr>
                    <w:t>13.5</w:t>
                  </w:r>
                </w:p>
              </w:tc>
              <w:tc>
                <w:tcPr>
                  <w:tcW w:w="806" w:type="dxa"/>
                  <w:tcBorders>
                    <w:tl2br w:val="nil"/>
                    <w:tr2bl w:val="nil"/>
                  </w:tcBorders>
                  <w:shd w:val="clear" w:color="auto" w:fill="auto"/>
                  <w:vAlign w:val="center"/>
                </w:tcPr>
                <w:p w14:paraId="7D6DDE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w:t>
                  </w:r>
                </w:p>
              </w:tc>
            </w:tr>
            <w:tr w14:paraId="5B34F2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26" w:type="dxa"/>
                  <w:vMerge w:val="continue"/>
                  <w:tcBorders>
                    <w:tl2br w:val="nil"/>
                    <w:tr2bl w:val="nil"/>
                  </w:tcBorders>
                  <w:vAlign w:val="center"/>
                </w:tcPr>
                <w:p w14:paraId="55C234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vAlign w:val="top"/>
                </w:tcPr>
                <w:p w14:paraId="338154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1"/>
                      <w:szCs w:val="21"/>
                      <w:u w:val="none"/>
                      <w:vertAlign w:val="baseline"/>
                      <w:lang w:val="en-US" w:eastAsia="zh-CN"/>
                    </w:rPr>
                  </w:pPr>
                  <w:r>
                    <w:rPr>
                      <w:rFonts w:hint="eastAsia" w:ascii="Times New Roman" w:hAnsi="Times New Roman" w:eastAsia="宋体" w:cs="Times New Roman"/>
                      <w:color w:val="auto"/>
                      <w:sz w:val="21"/>
                      <w:szCs w:val="21"/>
                      <w:u w:val="none"/>
                      <w:vertAlign w:val="baseline"/>
                      <w:lang w:val="en-US" w:eastAsia="zh-CN"/>
                    </w:rPr>
                    <w:t>设备清洗废水（t/a）</w:t>
                  </w:r>
                </w:p>
              </w:tc>
              <w:tc>
                <w:tcPr>
                  <w:tcW w:w="1287" w:type="dxa"/>
                  <w:tcBorders>
                    <w:tl2br w:val="nil"/>
                    <w:tr2bl w:val="nil"/>
                  </w:tcBorders>
                  <w:shd w:val="clear" w:color="auto" w:fill="auto"/>
                  <w:vAlign w:val="center"/>
                </w:tcPr>
                <w:p w14:paraId="06A4F1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废水量</w:t>
                  </w:r>
                </w:p>
              </w:tc>
              <w:tc>
                <w:tcPr>
                  <w:tcW w:w="1004" w:type="dxa"/>
                  <w:tcBorders>
                    <w:tl2br w:val="nil"/>
                    <w:tr2bl w:val="nil"/>
                  </w:tcBorders>
                  <w:shd w:val="clear" w:color="auto" w:fill="auto"/>
                  <w:vAlign w:val="center"/>
                </w:tcPr>
                <w:p w14:paraId="56C9CD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21"/>
                      <w:szCs w:val="21"/>
                      <w:highlight w:val="none"/>
                      <w:u w:val="none"/>
                      <w:vertAlign w:val="baseline"/>
                      <w:lang w:val="en-US" w:eastAsia="zh-CN"/>
                    </w:rPr>
                  </w:pPr>
                  <w:r>
                    <w:rPr>
                      <w:rFonts w:ascii="Times New Roman" w:hAnsi="Times New Roman" w:eastAsia="Times New Roman" w:cs="Times New Roman"/>
                      <w:spacing w:val="-2"/>
                      <w:sz w:val="21"/>
                      <w:szCs w:val="21"/>
                    </w:rPr>
                    <w:t>8.</w:t>
                  </w:r>
                  <w:r>
                    <w:rPr>
                      <w:rFonts w:ascii="Times New Roman" w:hAnsi="Times New Roman" w:eastAsia="Times New Roman" w:cs="Times New Roman"/>
                      <w:spacing w:val="-25"/>
                      <w:sz w:val="21"/>
                      <w:szCs w:val="21"/>
                    </w:rPr>
                    <w:t xml:space="preserve"> </w:t>
                  </w:r>
                  <w:r>
                    <w:rPr>
                      <w:rFonts w:ascii="Times New Roman" w:hAnsi="Times New Roman" w:eastAsia="Times New Roman" w:cs="Times New Roman"/>
                      <w:spacing w:val="-2"/>
                      <w:sz w:val="21"/>
                      <w:szCs w:val="21"/>
                    </w:rPr>
                    <w:t>1</w:t>
                  </w:r>
                </w:p>
              </w:tc>
              <w:tc>
                <w:tcPr>
                  <w:tcW w:w="722" w:type="dxa"/>
                  <w:tcBorders>
                    <w:tl2br w:val="nil"/>
                    <w:tr2bl w:val="nil"/>
                  </w:tcBorders>
                  <w:shd w:val="clear" w:color="auto" w:fill="auto"/>
                  <w:vAlign w:val="center"/>
                </w:tcPr>
                <w:p w14:paraId="607B91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56B9BE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highlight w:val="none"/>
                      <w:u w:val="none"/>
                      <w:vertAlign w:val="baseline"/>
                      <w:lang w:val="en-US" w:eastAsia="zh-CN"/>
                    </w:rPr>
                    <w:t>0</w:t>
                  </w:r>
                </w:p>
              </w:tc>
              <w:tc>
                <w:tcPr>
                  <w:tcW w:w="1668" w:type="dxa"/>
                  <w:tcBorders>
                    <w:tl2br w:val="nil"/>
                    <w:tr2bl w:val="nil"/>
                  </w:tcBorders>
                  <w:shd w:val="clear" w:color="auto" w:fill="auto"/>
                  <w:vAlign w:val="center"/>
                </w:tcPr>
                <w:p w14:paraId="1EFD16B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21"/>
                      <w:szCs w:val="21"/>
                      <w:u w:val="none"/>
                      <w:vertAlign w:val="baseline"/>
                      <w:lang w:val="en-US" w:eastAsia="zh-CN"/>
                    </w:rPr>
                  </w:pPr>
                  <w:r>
                    <w:rPr>
                      <w:rFonts w:ascii="Times New Roman" w:hAnsi="Times New Roman" w:eastAsia="Times New Roman" w:cs="Times New Roman"/>
                      <w:spacing w:val="-2"/>
                      <w:sz w:val="21"/>
                      <w:szCs w:val="21"/>
                    </w:rPr>
                    <w:t>8.</w:t>
                  </w:r>
                  <w:r>
                    <w:rPr>
                      <w:rFonts w:ascii="Times New Roman" w:hAnsi="Times New Roman" w:eastAsia="Times New Roman" w:cs="Times New Roman"/>
                      <w:spacing w:val="-25"/>
                      <w:sz w:val="21"/>
                      <w:szCs w:val="21"/>
                    </w:rPr>
                    <w:t xml:space="preserve"> </w:t>
                  </w:r>
                  <w:r>
                    <w:rPr>
                      <w:rFonts w:ascii="Times New Roman" w:hAnsi="Times New Roman" w:eastAsia="Times New Roman" w:cs="Times New Roman"/>
                      <w:spacing w:val="-2"/>
                      <w:sz w:val="21"/>
                      <w:szCs w:val="21"/>
                    </w:rPr>
                    <w:t>1</w:t>
                  </w:r>
                </w:p>
              </w:tc>
              <w:tc>
                <w:tcPr>
                  <w:tcW w:w="806" w:type="dxa"/>
                  <w:tcBorders>
                    <w:tl2br w:val="nil"/>
                    <w:tr2bl w:val="nil"/>
                  </w:tcBorders>
                  <w:shd w:val="clear" w:color="auto" w:fill="auto"/>
                  <w:vAlign w:val="center"/>
                </w:tcPr>
                <w:p w14:paraId="2AA776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0</w:t>
                  </w:r>
                </w:p>
              </w:tc>
            </w:tr>
            <w:tr w14:paraId="39E94A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26" w:type="dxa"/>
                  <w:vMerge w:val="continue"/>
                  <w:tcBorders>
                    <w:tl2br w:val="nil"/>
                    <w:tr2bl w:val="nil"/>
                  </w:tcBorders>
                  <w:vAlign w:val="center"/>
                </w:tcPr>
                <w:p w14:paraId="2DD244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vAlign w:val="top"/>
                </w:tcPr>
                <w:p w14:paraId="33D74F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1"/>
                      <w:szCs w:val="21"/>
                      <w:u w:val="none"/>
                      <w:vertAlign w:val="baseline"/>
                      <w:lang w:val="en-US" w:eastAsia="zh-CN"/>
                    </w:rPr>
                  </w:pPr>
                  <w:r>
                    <w:rPr>
                      <w:rFonts w:hint="eastAsia" w:ascii="Times New Roman" w:hAnsi="Times New Roman" w:eastAsia="宋体" w:cs="Times New Roman"/>
                      <w:color w:val="auto"/>
                      <w:sz w:val="21"/>
                      <w:szCs w:val="21"/>
                      <w:u w:val="none"/>
                      <w:vertAlign w:val="baseline"/>
                      <w:lang w:val="en-US" w:eastAsia="zh-CN"/>
                    </w:rPr>
                    <w:t>水膜除尘废水（t/a）</w:t>
                  </w:r>
                </w:p>
              </w:tc>
              <w:tc>
                <w:tcPr>
                  <w:tcW w:w="1287" w:type="dxa"/>
                  <w:tcBorders>
                    <w:tl2br w:val="nil"/>
                    <w:tr2bl w:val="nil"/>
                  </w:tcBorders>
                  <w:shd w:val="clear" w:color="auto" w:fill="auto"/>
                  <w:vAlign w:val="center"/>
                </w:tcPr>
                <w:p w14:paraId="2E95B1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21"/>
                      <w:szCs w:val="21"/>
                      <w:u w:val="none"/>
                      <w:vertAlign w:val="baseline"/>
                      <w:lang w:val="en-US" w:eastAsia="zh-CN"/>
                    </w:rPr>
                  </w:pPr>
                  <w:r>
                    <w:rPr>
                      <w:rFonts w:hint="eastAsia"/>
                      <w:color w:val="auto"/>
                      <w:sz w:val="21"/>
                      <w:szCs w:val="21"/>
                      <w:u w:val="none"/>
                      <w:vertAlign w:val="baseline"/>
                      <w:lang w:val="en-US" w:eastAsia="zh-CN"/>
                    </w:rPr>
                    <w:t>废水量</w:t>
                  </w:r>
                </w:p>
              </w:tc>
              <w:tc>
                <w:tcPr>
                  <w:tcW w:w="1004" w:type="dxa"/>
                  <w:tcBorders>
                    <w:tl2br w:val="nil"/>
                    <w:tr2bl w:val="nil"/>
                  </w:tcBorders>
                  <w:shd w:val="clear" w:color="auto" w:fill="auto"/>
                  <w:vAlign w:val="center"/>
                </w:tcPr>
                <w:p w14:paraId="65DA6B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kern w:val="21"/>
                      <w:sz w:val="21"/>
                      <w:szCs w:val="21"/>
                      <w:highlight w:val="none"/>
                      <w:u w:val="none"/>
                      <w:lang w:val="en-US" w:eastAsia="zh-CN" w:bidi="ar-SA"/>
                    </w:rPr>
                  </w:pPr>
                  <w:r>
                    <w:rPr>
                      <w:rFonts w:hint="eastAsia"/>
                      <w:color w:val="auto"/>
                      <w:sz w:val="21"/>
                      <w:szCs w:val="21"/>
                      <w:highlight w:val="none"/>
                      <w:u w:val="none"/>
                      <w:vertAlign w:val="baseline"/>
                      <w:lang w:val="en-US" w:eastAsia="zh-CN"/>
                    </w:rPr>
                    <w:t>0</w:t>
                  </w:r>
                </w:p>
              </w:tc>
              <w:tc>
                <w:tcPr>
                  <w:tcW w:w="722" w:type="dxa"/>
                  <w:tcBorders>
                    <w:tl2br w:val="nil"/>
                    <w:tr2bl w:val="nil"/>
                  </w:tcBorders>
                  <w:shd w:val="clear" w:color="auto" w:fill="auto"/>
                  <w:vAlign w:val="center"/>
                </w:tcPr>
                <w:p w14:paraId="36F222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kern w:val="21"/>
                      <w:sz w:val="21"/>
                      <w:szCs w:val="21"/>
                      <w:highlight w:val="none"/>
                      <w:u w:val="none"/>
                      <w:lang w:val="en-US" w:eastAsia="zh-CN" w:bidi="ar-SA"/>
                    </w:rPr>
                  </w:pPr>
                  <w:r>
                    <w:rPr>
                      <w:rFonts w:hint="eastAsia"/>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2F857D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kern w:val="21"/>
                      <w:sz w:val="21"/>
                      <w:szCs w:val="21"/>
                      <w:highlight w:val="none"/>
                      <w:u w:val="none"/>
                      <w:lang w:val="en-US" w:eastAsia="zh-CN" w:bidi="ar-SA"/>
                    </w:rPr>
                  </w:pPr>
                  <w:r>
                    <w:rPr>
                      <w:rFonts w:hint="eastAsia"/>
                      <w:color w:val="auto"/>
                      <w:sz w:val="21"/>
                      <w:szCs w:val="21"/>
                      <w:highlight w:val="none"/>
                      <w:u w:val="none"/>
                      <w:vertAlign w:val="baseline"/>
                      <w:lang w:val="en-US" w:eastAsia="zh-CN"/>
                    </w:rPr>
                    <w:t>0</w:t>
                  </w:r>
                </w:p>
              </w:tc>
              <w:tc>
                <w:tcPr>
                  <w:tcW w:w="1668" w:type="dxa"/>
                  <w:tcBorders>
                    <w:tl2br w:val="nil"/>
                    <w:tr2bl w:val="nil"/>
                  </w:tcBorders>
                  <w:shd w:val="clear" w:color="auto" w:fill="auto"/>
                  <w:vAlign w:val="center"/>
                </w:tcPr>
                <w:p w14:paraId="2859B38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kern w:val="21"/>
                      <w:sz w:val="21"/>
                      <w:szCs w:val="21"/>
                      <w:highlight w:val="none"/>
                      <w:u w:val="none"/>
                      <w:lang w:val="en-US" w:eastAsia="zh-CN" w:bidi="ar-SA"/>
                    </w:rPr>
                  </w:pPr>
                  <w:r>
                    <w:rPr>
                      <w:rFonts w:hint="eastAsia"/>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12B09ED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w:t>
                  </w:r>
                </w:p>
              </w:tc>
            </w:tr>
            <w:tr w14:paraId="629527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526" w:type="dxa"/>
                  <w:vMerge w:val="continue"/>
                  <w:tcBorders>
                    <w:tl2br w:val="nil"/>
                    <w:tr2bl w:val="nil"/>
                  </w:tcBorders>
                  <w:vAlign w:val="center"/>
                </w:tcPr>
                <w:p w14:paraId="5C69CC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vAlign w:val="center"/>
                </w:tcPr>
                <w:p w14:paraId="5609CA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1"/>
                      <w:szCs w:val="21"/>
                      <w:u w:val="none"/>
                      <w:vertAlign w:val="baseline"/>
                      <w:lang w:val="en-US" w:eastAsia="zh-CN"/>
                    </w:rPr>
                  </w:pPr>
                  <w:r>
                    <w:rPr>
                      <w:rFonts w:hint="eastAsia" w:ascii="Times New Roman" w:hAnsi="Times New Roman" w:eastAsia="宋体" w:cs="Times New Roman"/>
                      <w:color w:val="auto"/>
                      <w:sz w:val="21"/>
                      <w:szCs w:val="21"/>
                      <w:u w:val="none"/>
                      <w:vertAlign w:val="baseline"/>
                      <w:lang w:val="en-US" w:eastAsia="zh-CN"/>
                    </w:rPr>
                    <w:t>炉排污水及软化处理废水（t/a）</w:t>
                  </w:r>
                </w:p>
              </w:tc>
              <w:tc>
                <w:tcPr>
                  <w:tcW w:w="1287" w:type="dxa"/>
                  <w:tcBorders>
                    <w:tl2br w:val="nil"/>
                    <w:tr2bl w:val="nil"/>
                  </w:tcBorders>
                  <w:vAlign w:val="center"/>
                </w:tcPr>
                <w:p w14:paraId="559CEF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废水量</w:t>
                  </w:r>
                </w:p>
              </w:tc>
              <w:tc>
                <w:tcPr>
                  <w:tcW w:w="1004" w:type="dxa"/>
                  <w:tcBorders>
                    <w:tl2br w:val="nil"/>
                    <w:tr2bl w:val="nil"/>
                  </w:tcBorders>
                  <w:vAlign w:val="center"/>
                </w:tcPr>
                <w:p w14:paraId="4BABF5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1"/>
                      <w:szCs w:val="21"/>
                      <w:highlight w:val="none"/>
                      <w:u w:val="none"/>
                      <w:lang w:val="en-US" w:eastAsia="zh-CN"/>
                    </w:rPr>
                  </w:pPr>
                  <w:r>
                    <w:rPr>
                      <w:rFonts w:hint="eastAsia"/>
                      <w:color w:val="auto"/>
                      <w:sz w:val="21"/>
                      <w:szCs w:val="21"/>
                      <w:highlight w:val="none"/>
                      <w:u w:val="none"/>
                      <w:vertAlign w:val="baseline"/>
                      <w:lang w:val="en-US" w:eastAsia="zh-CN"/>
                    </w:rPr>
                    <w:t>0</w:t>
                  </w:r>
                </w:p>
              </w:tc>
              <w:tc>
                <w:tcPr>
                  <w:tcW w:w="722" w:type="dxa"/>
                  <w:tcBorders>
                    <w:tl2br w:val="nil"/>
                    <w:tr2bl w:val="nil"/>
                  </w:tcBorders>
                  <w:shd w:val="clear" w:color="auto" w:fill="auto"/>
                  <w:vAlign w:val="center"/>
                </w:tcPr>
                <w:p w14:paraId="10CD30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1"/>
                      <w:szCs w:val="21"/>
                      <w:highlight w:val="none"/>
                      <w:u w:val="none"/>
                      <w:lang w:val="en-US" w:eastAsia="zh-CN"/>
                    </w:rPr>
                  </w:pPr>
                  <w:r>
                    <w:rPr>
                      <w:rFonts w:hint="eastAsia"/>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50F39E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1"/>
                      <w:szCs w:val="21"/>
                      <w:highlight w:val="none"/>
                      <w:u w:val="none"/>
                      <w:lang w:val="en-US" w:eastAsia="zh-CN"/>
                    </w:rPr>
                  </w:pPr>
                  <w:r>
                    <w:rPr>
                      <w:rFonts w:hint="eastAsia"/>
                      <w:color w:val="auto"/>
                      <w:sz w:val="21"/>
                      <w:szCs w:val="21"/>
                      <w:highlight w:val="none"/>
                      <w:u w:val="none"/>
                      <w:vertAlign w:val="baseline"/>
                      <w:lang w:val="en-US" w:eastAsia="zh-CN"/>
                    </w:rPr>
                    <w:t>0</w:t>
                  </w:r>
                </w:p>
              </w:tc>
              <w:tc>
                <w:tcPr>
                  <w:tcW w:w="1668" w:type="dxa"/>
                  <w:tcBorders>
                    <w:tl2br w:val="nil"/>
                    <w:tr2bl w:val="nil"/>
                  </w:tcBorders>
                  <w:shd w:val="clear" w:color="auto" w:fill="auto"/>
                  <w:vAlign w:val="center"/>
                </w:tcPr>
                <w:p w14:paraId="0C1D9F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1"/>
                      <w:szCs w:val="21"/>
                      <w:highlight w:val="none"/>
                      <w:u w:val="none"/>
                      <w:lang w:val="en-US" w:eastAsia="zh-CN"/>
                    </w:rPr>
                  </w:pPr>
                  <w:r>
                    <w:rPr>
                      <w:rFonts w:hint="eastAsia"/>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5B5C458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rFonts w:hint="eastAsia"/>
                      <w:color w:val="auto"/>
                      <w:sz w:val="21"/>
                      <w:szCs w:val="21"/>
                      <w:u w:val="none"/>
                      <w:vertAlign w:val="baseline"/>
                      <w:lang w:val="en-US" w:eastAsia="zh-CN"/>
                    </w:rPr>
                    <w:t>0</w:t>
                  </w:r>
                </w:p>
              </w:tc>
            </w:tr>
            <w:tr w14:paraId="327817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2C97D95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vMerge w:val="restart"/>
                  <w:tcBorders>
                    <w:tl2br w:val="nil"/>
                    <w:tr2bl w:val="nil"/>
                  </w:tcBorders>
                  <w:vAlign w:val="center"/>
                </w:tcPr>
                <w:p w14:paraId="2B52A2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生活污水（t/a）</w:t>
                  </w:r>
                </w:p>
              </w:tc>
              <w:tc>
                <w:tcPr>
                  <w:tcW w:w="1287" w:type="dxa"/>
                  <w:tcBorders>
                    <w:tl2br w:val="nil"/>
                    <w:tr2bl w:val="nil"/>
                  </w:tcBorders>
                  <w:vAlign w:val="center"/>
                </w:tcPr>
                <w:p w14:paraId="713523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废水量</w:t>
                  </w:r>
                </w:p>
              </w:tc>
              <w:tc>
                <w:tcPr>
                  <w:tcW w:w="1004" w:type="dxa"/>
                  <w:tcBorders>
                    <w:tl2br w:val="nil"/>
                    <w:tr2bl w:val="nil"/>
                  </w:tcBorders>
                  <w:vAlign w:val="center"/>
                </w:tcPr>
                <w:p w14:paraId="07AAF1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108</w:t>
                  </w:r>
                </w:p>
              </w:tc>
              <w:tc>
                <w:tcPr>
                  <w:tcW w:w="722" w:type="dxa"/>
                  <w:tcBorders>
                    <w:tl2br w:val="nil"/>
                    <w:tr2bl w:val="nil"/>
                  </w:tcBorders>
                  <w:shd w:val="clear" w:color="auto" w:fill="auto"/>
                  <w:vAlign w:val="center"/>
                </w:tcPr>
                <w:p w14:paraId="47D95C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57D428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4203635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108</w:t>
                  </w:r>
                </w:p>
              </w:tc>
              <w:tc>
                <w:tcPr>
                  <w:tcW w:w="806" w:type="dxa"/>
                  <w:tcBorders>
                    <w:tl2br w:val="nil"/>
                    <w:tr2bl w:val="nil"/>
                  </w:tcBorders>
                  <w:shd w:val="clear" w:color="auto" w:fill="auto"/>
                  <w:vAlign w:val="center"/>
                </w:tcPr>
                <w:p w14:paraId="703CFF5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07136F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39BAC5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vMerge w:val="continue"/>
                  <w:tcBorders>
                    <w:tl2br w:val="nil"/>
                    <w:tr2bl w:val="nil"/>
                  </w:tcBorders>
                  <w:vAlign w:val="center"/>
                </w:tcPr>
                <w:p w14:paraId="5B394F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287" w:type="dxa"/>
                  <w:tcBorders>
                    <w:tl2br w:val="nil"/>
                    <w:tr2bl w:val="nil"/>
                  </w:tcBorders>
                  <w:vAlign w:val="center"/>
                </w:tcPr>
                <w:p w14:paraId="61E5C07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COD</w:t>
                  </w:r>
                </w:p>
              </w:tc>
              <w:tc>
                <w:tcPr>
                  <w:tcW w:w="1004" w:type="dxa"/>
                  <w:tcBorders>
                    <w:tl2br w:val="nil"/>
                    <w:tr2bl w:val="nil"/>
                  </w:tcBorders>
                  <w:vAlign w:val="center"/>
                </w:tcPr>
                <w:p w14:paraId="4EB82B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0.024</w:t>
                  </w:r>
                </w:p>
              </w:tc>
              <w:tc>
                <w:tcPr>
                  <w:tcW w:w="722" w:type="dxa"/>
                  <w:tcBorders>
                    <w:tl2br w:val="nil"/>
                    <w:tr2bl w:val="nil"/>
                  </w:tcBorders>
                  <w:shd w:val="clear" w:color="auto" w:fill="auto"/>
                  <w:vAlign w:val="center"/>
                </w:tcPr>
                <w:p w14:paraId="0CF92E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404D92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562007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0.024</w:t>
                  </w:r>
                </w:p>
              </w:tc>
              <w:tc>
                <w:tcPr>
                  <w:tcW w:w="806" w:type="dxa"/>
                  <w:tcBorders>
                    <w:tl2br w:val="nil"/>
                    <w:tr2bl w:val="nil"/>
                  </w:tcBorders>
                  <w:shd w:val="clear" w:color="auto" w:fill="auto"/>
                  <w:vAlign w:val="center"/>
                </w:tcPr>
                <w:p w14:paraId="2C21E8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7B8F18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526" w:type="dxa"/>
                  <w:vMerge w:val="continue"/>
                  <w:tcBorders>
                    <w:tl2br w:val="nil"/>
                    <w:tr2bl w:val="nil"/>
                  </w:tcBorders>
                  <w:vAlign w:val="center"/>
                </w:tcPr>
                <w:p w14:paraId="6CD3673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vMerge w:val="continue"/>
                  <w:tcBorders>
                    <w:tl2br w:val="nil"/>
                    <w:tr2bl w:val="nil"/>
                  </w:tcBorders>
                  <w:vAlign w:val="center"/>
                </w:tcPr>
                <w:p w14:paraId="29513D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287" w:type="dxa"/>
                  <w:tcBorders>
                    <w:tl2br w:val="nil"/>
                    <w:tr2bl w:val="nil"/>
                  </w:tcBorders>
                  <w:vAlign w:val="center"/>
                </w:tcPr>
                <w:p w14:paraId="378196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NH</w:t>
                  </w:r>
                  <w:r>
                    <w:rPr>
                      <w:rFonts w:hint="eastAsia" w:eastAsia="宋体"/>
                      <w:color w:val="auto"/>
                      <w:sz w:val="21"/>
                      <w:szCs w:val="21"/>
                      <w:u w:val="none"/>
                      <w:vertAlign w:val="subscript"/>
                      <w:lang w:val="en-US" w:eastAsia="zh-CN"/>
                    </w:rPr>
                    <w:t>3</w:t>
                  </w:r>
                  <w:r>
                    <w:rPr>
                      <w:rFonts w:hint="eastAsia" w:eastAsia="宋体"/>
                      <w:color w:val="auto"/>
                      <w:sz w:val="21"/>
                      <w:szCs w:val="21"/>
                      <w:u w:val="none"/>
                      <w:vertAlign w:val="baseline"/>
                      <w:lang w:val="en-US" w:eastAsia="zh-CN"/>
                    </w:rPr>
                    <w:t>-N</w:t>
                  </w:r>
                </w:p>
              </w:tc>
              <w:tc>
                <w:tcPr>
                  <w:tcW w:w="1004" w:type="dxa"/>
                  <w:tcBorders>
                    <w:tl2br w:val="nil"/>
                    <w:tr2bl w:val="nil"/>
                  </w:tcBorders>
                  <w:vAlign w:val="center"/>
                </w:tcPr>
                <w:p w14:paraId="69BF00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0.002</w:t>
                  </w:r>
                </w:p>
              </w:tc>
              <w:tc>
                <w:tcPr>
                  <w:tcW w:w="722" w:type="dxa"/>
                  <w:tcBorders>
                    <w:tl2br w:val="nil"/>
                    <w:tr2bl w:val="nil"/>
                  </w:tcBorders>
                  <w:shd w:val="clear" w:color="auto" w:fill="auto"/>
                  <w:vAlign w:val="center"/>
                </w:tcPr>
                <w:p w14:paraId="0B492A2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p w14:paraId="19384A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42DD45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6663D2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color w:val="auto"/>
                      <w:sz w:val="21"/>
                      <w:szCs w:val="21"/>
                      <w:u w:val="none"/>
                      <w:vertAlign w:val="baseline"/>
                      <w:lang w:val="en-US" w:eastAsia="zh-CN"/>
                    </w:rPr>
                    <w:t>0.002</w:t>
                  </w:r>
                </w:p>
              </w:tc>
              <w:tc>
                <w:tcPr>
                  <w:tcW w:w="806" w:type="dxa"/>
                  <w:tcBorders>
                    <w:tl2br w:val="nil"/>
                    <w:tr2bl w:val="nil"/>
                  </w:tcBorders>
                  <w:shd w:val="clear" w:color="auto" w:fill="auto"/>
                  <w:vAlign w:val="center"/>
                </w:tcPr>
                <w:p w14:paraId="4EFDEB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70C396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526" w:type="dxa"/>
                  <w:vMerge w:val="restart"/>
                  <w:tcBorders>
                    <w:tl2br w:val="nil"/>
                    <w:tr2bl w:val="nil"/>
                  </w:tcBorders>
                  <w:vAlign w:val="center"/>
                </w:tcPr>
                <w:p w14:paraId="1489B8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eastAsia="宋体"/>
                      <w:color w:val="auto"/>
                      <w:sz w:val="21"/>
                      <w:szCs w:val="21"/>
                      <w:u w:val="none"/>
                      <w:vertAlign w:val="baseline"/>
                      <w:lang w:val="en-US" w:eastAsia="zh-CN"/>
                    </w:rPr>
                    <w:t>固废</w:t>
                  </w:r>
                </w:p>
              </w:tc>
              <w:tc>
                <w:tcPr>
                  <w:tcW w:w="1465" w:type="dxa"/>
                  <w:tcBorders>
                    <w:tl2br w:val="nil"/>
                    <w:tr2bl w:val="nil"/>
                  </w:tcBorders>
                  <w:vAlign w:val="center"/>
                </w:tcPr>
                <w:p w14:paraId="2B23DD0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rFonts w:hint="eastAsia"/>
                      <w:color w:val="auto"/>
                      <w:sz w:val="21"/>
                      <w:szCs w:val="21"/>
                      <w:u w:val="none"/>
                      <w:vertAlign w:val="baseline"/>
                      <w:lang w:val="en-US" w:eastAsia="zh-CN"/>
                    </w:rPr>
                    <w:t>生产工艺</w:t>
                  </w:r>
                </w:p>
              </w:tc>
              <w:tc>
                <w:tcPr>
                  <w:tcW w:w="1287" w:type="dxa"/>
                  <w:tcBorders>
                    <w:tl2br w:val="nil"/>
                    <w:tr2bl w:val="nil"/>
                  </w:tcBorders>
                  <w:vAlign w:val="center"/>
                </w:tcPr>
                <w:p w14:paraId="089B23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r>
                    <w:rPr>
                      <w:spacing w:val="6"/>
                      <w:sz w:val="21"/>
                      <w:szCs w:val="21"/>
                    </w:rPr>
                    <w:t>不合格油茶饼</w:t>
                  </w:r>
                </w:p>
              </w:tc>
              <w:tc>
                <w:tcPr>
                  <w:tcW w:w="1004" w:type="dxa"/>
                  <w:tcBorders>
                    <w:tl2br w:val="nil"/>
                    <w:tr2bl w:val="nil"/>
                  </w:tcBorders>
                  <w:shd w:val="clear" w:color="auto" w:fill="auto"/>
                  <w:vAlign w:val="center"/>
                </w:tcPr>
                <w:p w14:paraId="70ACB2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722" w:type="dxa"/>
                  <w:tcBorders>
                    <w:tl2br w:val="nil"/>
                    <w:tr2bl w:val="nil"/>
                  </w:tcBorders>
                  <w:shd w:val="clear" w:color="auto" w:fill="auto"/>
                  <w:vAlign w:val="center"/>
                </w:tcPr>
                <w:p w14:paraId="5B7981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7C8F954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2F2D67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77E2A5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662881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526" w:type="dxa"/>
                  <w:vMerge w:val="continue"/>
                  <w:tcBorders>
                    <w:tl2br w:val="nil"/>
                    <w:tr2bl w:val="nil"/>
                  </w:tcBorders>
                  <w:vAlign w:val="center"/>
                </w:tcPr>
                <w:p w14:paraId="0CBDAA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shd w:val="clear" w:color="auto" w:fill="auto"/>
                  <w:vAlign w:val="center"/>
                </w:tcPr>
                <w:p w14:paraId="115ABC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生活</w:t>
                  </w:r>
                </w:p>
              </w:tc>
              <w:tc>
                <w:tcPr>
                  <w:tcW w:w="1287" w:type="dxa"/>
                  <w:tcBorders>
                    <w:tl2br w:val="nil"/>
                    <w:tr2bl w:val="nil"/>
                  </w:tcBorders>
                  <w:shd w:val="clear" w:color="auto" w:fill="auto"/>
                  <w:vAlign w:val="center"/>
                </w:tcPr>
                <w:p w14:paraId="22FB0E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生活垃圾</w:t>
                  </w:r>
                </w:p>
              </w:tc>
              <w:tc>
                <w:tcPr>
                  <w:tcW w:w="1004" w:type="dxa"/>
                  <w:tcBorders>
                    <w:tl2br w:val="nil"/>
                    <w:tr2bl w:val="nil"/>
                  </w:tcBorders>
                  <w:shd w:val="clear" w:color="auto" w:fill="auto"/>
                  <w:vAlign w:val="center"/>
                </w:tcPr>
                <w:p w14:paraId="36DB4D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722" w:type="dxa"/>
                  <w:tcBorders>
                    <w:tl2br w:val="nil"/>
                    <w:tr2bl w:val="nil"/>
                  </w:tcBorders>
                  <w:shd w:val="clear" w:color="auto" w:fill="auto"/>
                  <w:vAlign w:val="center"/>
                </w:tcPr>
                <w:p w14:paraId="2DD4D5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1B5B95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4BBF11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2638D6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7E1FE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2BAF85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vAlign w:val="center"/>
                </w:tcPr>
                <w:p w14:paraId="5ED366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spacing w:val="6"/>
                      <w:sz w:val="21"/>
                      <w:szCs w:val="21"/>
                    </w:rPr>
                    <w:t>设备维修</w:t>
                  </w:r>
                </w:p>
              </w:tc>
              <w:tc>
                <w:tcPr>
                  <w:tcW w:w="1287" w:type="dxa"/>
                  <w:tcBorders>
                    <w:tl2br w:val="nil"/>
                    <w:tr2bl w:val="nil"/>
                  </w:tcBorders>
                  <w:vAlign w:val="center"/>
                </w:tcPr>
                <w:p w14:paraId="4BC404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sz w:val="21"/>
                      <w:szCs w:val="21"/>
                      <w:u w:val="none"/>
                      <w:vertAlign w:val="baseline"/>
                      <w:lang w:val="en-US" w:eastAsia="zh-CN"/>
                    </w:rPr>
                  </w:pPr>
                  <w:r>
                    <w:rPr>
                      <w:spacing w:val="7"/>
                      <w:sz w:val="21"/>
                      <w:szCs w:val="21"/>
                    </w:rPr>
                    <w:t>废含油抹布、手套</w:t>
                  </w:r>
                  <w:r>
                    <w:rPr>
                      <w:rFonts w:hint="eastAsia"/>
                      <w:spacing w:val="7"/>
                      <w:sz w:val="21"/>
                      <w:szCs w:val="21"/>
                      <w:lang w:eastAsia="zh-CN"/>
                    </w:rPr>
                    <w:t>、</w:t>
                  </w:r>
                  <w:r>
                    <w:rPr>
                      <w:rFonts w:hint="eastAsia"/>
                      <w:spacing w:val="7"/>
                      <w:sz w:val="21"/>
                      <w:szCs w:val="21"/>
                      <w:lang w:val="en-US" w:eastAsia="zh-CN"/>
                    </w:rPr>
                    <w:t>废矿物油</w:t>
                  </w:r>
                </w:p>
              </w:tc>
              <w:tc>
                <w:tcPr>
                  <w:tcW w:w="1004" w:type="dxa"/>
                  <w:tcBorders>
                    <w:tl2br w:val="nil"/>
                    <w:tr2bl w:val="nil"/>
                  </w:tcBorders>
                  <w:shd w:val="clear" w:color="auto" w:fill="auto"/>
                  <w:vAlign w:val="center"/>
                </w:tcPr>
                <w:p w14:paraId="4E9735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722" w:type="dxa"/>
                  <w:tcBorders>
                    <w:tl2br w:val="nil"/>
                    <w:tr2bl w:val="nil"/>
                  </w:tcBorders>
                  <w:shd w:val="clear" w:color="auto" w:fill="auto"/>
                  <w:vAlign w:val="center"/>
                </w:tcPr>
                <w:p w14:paraId="11D55C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5EAE7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6EFF54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32694E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6A01AB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trPr>
              <w:tc>
                <w:tcPr>
                  <w:tcW w:w="526" w:type="dxa"/>
                  <w:vMerge w:val="continue"/>
                  <w:tcBorders>
                    <w:tl2br w:val="nil"/>
                    <w:tr2bl w:val="nil"/>
                  </w:tcBorders>
                  <w:vAlign w:val="center"/>
                </w:tcPr>
                <w:p w14:paraId="06C06ED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shd w:val="clear" w:color="auto" w:fill="auto"/>
                  <w:vAlign w:val="center"/>
                </w:tcPr>
                <w:p w14:paraId="4A8A2028">
                  <w:pPr>
                    <w:pStyle w:val="152"/>
                    <w:jc w:val="center"/>
                    <w:rPr>
                      <w:rFonts w:hint="default"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锅炉</w:t>
                  </w:r>
                </w:p>
              </w:tc>
              <w:tc>
                <w:tcPr>
                  <w:tcW w:w="1287" w:type="dxa"/>
                  <w:tcBorders>
                    <w:tl2br w:val="nil"/>
                    <w:tr2bl w:val="nil"/>
                  </w:tcBorders>
                  <w:vAlign w:val="center"/>
                </w:tcPr>
                <w:p w14:paraId="0F129DF9">
                  <w:pPr>
                    <w:pStyle w:val="152"/>
                    <w:jc w:val="center"/>
                    <w:rPr>
                      <w:rFonts w:hint="default" w:eastAsia="宋体"/>
                      <w:color w:val="auto"/>
                      <w:sz w:val="21"/>
                      <w:szCs w:val="21"/>
                      <w:u w:val="none"/>
                      <w:vertAlign w:val="baseline"/>
                      <w:lang w:val="en-US" w:eastAsia="zh-CN"/>
                    </w:rPr>
                  </w:pPr>
                  <w:r>
                    <w:rPr>
                      <w:rFonts w:hint="eastAsia" w:ascii="Times New Roman" w:cs="Times New Roman"/>
                      <w:color w:val="auto"/>
                      <w:sz w:val="21"/>
                      <w:szCs w:val="21"/>
                      <w:highlight w:val="none"/>
                      <w:u w:val="none"/>
                    </w:rPr>
                    <w:t>锅炉灰渣</w:t>
                  </w:r>
                </w:p>
              </w:tc>
              <w:tc>
                <w:tcPr>
                  <w:tcW w:w="1004" w:type="dxa"/>
                  <w:tcBorders>
                    <w:tl2br w:val="nil"/>
                    <w:tr2bl w:val="nil"/>
                  </w:tcBorders>
                  <w:shd w:val="clear" w:color="auto" w:fill="auto"/>
                  <w:vAlign w:val="center"/>
                </w:tcPr>
                <w:p w14:paraId="2AAD66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722" w:type="dxa"/>
                  <w:tcBorders>
                    <w:tl2br w:val="nil"/>
                    <w:tr2bl w:val="nil"/>
                  </w:tcBorders>
                  <w:shd w:val="clear" w:color="auto" w:fill="auto"/>
                  <w:vAlign w:val="center"/>
                </w:tcPr>
                <w:p w14:paraId="3C9E544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0336FB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2266A8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0D7847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57CC16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315C9D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shd w:val="clear" w:color="auto" w:fill="auto"/>
                  <w:vAlign w:val="center"/>
                </w:tcPr>
                <w:p w14:paraId="3D663C32">
                  <w:pPr>
                    <w:pStyle w:val="152"/>
                    <w:jc w:val="center"/>
                    <w:rPr>
                      <w:rFonts w:hint="default" w:ascii="Times New Roman" w:hAnsi="Times New Roman" w:eastAsia="宋体" w:cs="Times New Roman"/>
                      <w:color w:val="auto"/>
                      <w:sz w:val="21"/>
                      <w:szCs w:val="21"/>
                      <w:highlight w:val="none"/>
                      <w:u w:val="none"/>
                      <w:lang w:val="en-US" w:eastAsia="zh-CN" w:bidi="ar-SA"/>
                    </w:rPr>
                  </w:pPr>
                  <w:r>
                    <w:rPr>
                      <w:rFonts w:hint="eastAsia" w:ascii="Times New Roman" w:cs="Times New Roman"/>
                      <w:color w:val="auto"/>
                      <w:sz w:val="21"/>
                      <w:szCs w:val="21"/>
                      <w:highlight w:val="none"/>
                      <w:u w:val="none"/>
                    </w:rPr>
                    <w:t>废气治理</w:t>
                  </w:r>
                </w:p>
              </w:tc>
              <w:tc>
                <w:tcPr>
                  <w:tcW w:w="1287" w:type="dxa"/>
                  <w:tcBorders>
                    <w:tl2br w:val="nil"/>
                    <w:tr2bl w:val="nil"/>
                  </w:tcBorders>
                  <w:vAlign w:val="center"/>
                </w:tcPr>
                <w:p w14:paraId="32BE5E81">
                  <w:pPr>
                    <w:pStyle w:val="152"/>
                    <w:jc w:val="center"/>
                    <w:rPr>
                      <w:rFonts w:hint="eastAsia" w:eastAsia="宋体"/>
                      <w:color w:val="auto"/>
                      <w:sz w:val="21"/>
                      <w:szCs w:val="21"/>
                      <w:u w:val="none"/>
                      <w:vertAlign w:val="baseline"/>
                      <w:lang w:val="en-US" w:eastAsia="zh-CN"/>
                    </w:rPr>
                  </w:pPr>
                  <w:r>
                    <w:rPr>
                      <w:rFonts w:hint="eastAsia" w:ascii="Times New Roman" w:cs="Times New Roman"/>
                      <w:color w:val="auto"/>
                      <w:sz w:val="21"/>
                      <w:szCs w:val="21"/>
                      <w:highlight w:val="none"/>
                      <w:u w:val="none"/>
                      <w:lang w:val="en-US" w:eastAsia="zh-CN"/>
                    </w:rPr>
                    <w:t>水膜除尘</w:t>
                  </w:r>
                  <w:r>
                    <w:rPr>
                      <w:rFonts w:hint="eastAsia" w:ascii="Times New Roman" w:cs="Times New Roman"/>
                      <w:color w:val="auto"/>
                      <w:sz w:val="21"/>
                      <w:szCs w:val="21"/>
                      <w:highlight w:val="none"/>
                      <w:u w:val="none"/>
                    </w:rPr>
                    <w:t>收集的除尘灰</w:t>
                  </w:r>
                </w:p>
              </w:tc>
              <w:tc>
                <w:tcPr>
                  <w:tcW w:w="1004" w:type="dxa"/>
                  <w:tcBorders>
                    <w:tl2br w:val="nil"/>
                    <w:tr2bl w:val="nil"/>
                  </w:tcBorders>
                  <w:shd w:val="clear" w:color="auto" w:fill="auto"/>
                  <w:vAlign w:val="center"/>
                </w:tcPr>
                <w:p w14:paraId="277921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722" w:type="dxa"/>
                  <w:tcBorders>
                    <w:tl2br w:val="nil"/>
                    <w:tr2bl w:val="nil"/>
                  </w:tcBorders>
                  <w:shd w:val="clear" w:color="auto" w:fill="auto"/>
                  <w:vAlign w:val="center"/>
                </w:tcPr>
                <w:p w14:paraId="68F4806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037BAD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00D5A4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3FB64D2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r w14:paraId="7D92E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526" w:type="dxa"/>
                  <w:vMerge w:val="continue"/>
                  <w:tcBorders>
                    <w:tl2br w:val="nil"/>
                    <w:tr2bl w:val="nil"/>
                  </w:tcBorders>
                  <w:vAlign w:val="center"/>
                </w:tcPr>
                <w:p w14:paraId="0E11C7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1"/>
                      <w:szCs w:val="21"/>
                      <w:u w:val="none"/>
                      <w:vertAlign w:val="baseline"/>
                      <w:lang w:val="en-US" w:eastAsia="zh-CN"/>
                    </w:rPr>
                  </w:pPr>
                </w:p>
              </w:tc>
              <w:tc>
                <w:tcPr>
                  <w:tcW w:w="1465" w:type="dxa"/>
                  <w:tcBorders>
                    <w:tl2br w:val="nil"/>
                    <w:tr2bl w:val="nil"/>
                  </w:tcBorders>
                  <w:vAlign w:val="center"/>
                </w:tcPr>
                <w:p w14:paraId="09D45B75">
                  <w:pPr>
                    <w:pStyle w:val="152"/>
                    <w:jc w:val="center"/>
                    <w:rPr>
                      <w:rFonts w:hint="default" w:eastAsia="宋体"/>
                      <w:color w:val="auto"/>
                      <w:sz w:val="21"/>
                      <w:szCs w:val="21"/>
                      <w:u w:val="none"/>
                      <w:vertAlign w:val="baseline"/>
                      <w:lang w:val="en-US" w:eastAsia="zh-CN"/>
                    </w:rPr>
                  </w:pPr>
                  <w:r>
                    <w:rPr>
                      <w:rFonts w:hint="eastAsia" w:ascii="Times New Roman" w:cs="Times New Roman"/>
                      <w:color w:val="auto"/>
                      <w:sz w:val="21"/>
                      <w:szCs w:val="21"/>
                      <w:highlight w:val="none"/>
                      <w:u w:val="none"/>
                    </w:rPr>
                    <w:t>软化水处理</w:t>
                  </w:r>
                </w:p>
              </w:tc>
              <w:tc>
                <w:tcPr>
                  <w:tcW w:w="1287" w:type="dxa"/>
                  <w:tcBorders>
                    <w:tl2br w:val="nil"/>
                    <w:tr2bl w:val="nil"/>
                  </w:tcBorders>
                  <w:vAlign w:val="center"/>
                </w:tcPr>
                <w:p w14:paraId="0F673180">
                  <w:pPr>
                    <w:pStyle w:val="152"/>
                    <w:jc w:val="center"/>
                    <w:rPr>
                      <w:rFonts w:hint="default" w:eastAsia="宋体"/>
                      <w:color w:val="auto"/>
                      <w:sz w:val="21"/>
                      <w:szCs w:val="21"/>
                      <w:u w:val="none"/>
                      <w:vertAlign w:val="baseline"/>
                      <w:lang w:val="en-US" w:eastAsia="zh-CN"/>
                    </w:rPr>
                  </w:pPr>
                  <w:r>
                    <w:rPr>
                      <w:rFonts w:hint="eastAsia" w:ascii="Times New Roman" w:cs="Times New Roman"/>
                      <w:color w:val="auto"/>
                      <w:sz w:val="21"/>
                      <w:szCs w:val="21"/>
                      <w:highlight w:val="none"/>
                      <w:u w:val="none"/>
                    </w:rPr>
                    <w:t>饱和或者废弃的离子交换树脂</w:t>
                  </w:r>
                </w:p>
              </w:tc>
              <w:tc>
                <w:tcPr>
                  <w:tcW w:w="1004" w:type="dxa"/>
                  <w:tcBorders>
                    <w:tl2br w:val="nil"/>
                    <w:tr2bl w:val="nil"/>
                  </w:tcBorders>
                  <w:shd w:val="clear" w:color="auto" w:fill="auto"/>
                  <w:vAlign w:val="center"/>
                </w:tcPr>
                <w:p w14:paraId="425A1C1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722" w:type="dxa"/>
                  <w:tcBorders>
                    <w:tl2br w:val="nil"/>
                    <w:tr2bl w:val="nil"/>
                  </w:tcBorders>
                  <w:shd w:val="clear" w:color="auto" w:fill="auto"/>
                  <w:vAlign w:val="center"/>
                </w:tcPr>
                <w:p w14:paraId="7AEB9F4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059" w:type="dxa"/>
                  <w:tcBorders>
                    <w:tl2br w:val="nil"/>
                    <w:tr2bl w:val="nil"/>
                  </w:tcBorders>
                  <w:shd w:val="clear" w:color="auto" w:fill="auto"/>
                  <w:vAlign w:val="center"/>
                </w:tcPr>
                <w:p w14:paraId="16DBB61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1668" w:type="dxa"/>
                  <w:tcBorders>
                    <w:tl2br w:val="nil"/>
                    <w:tr2bl w:val="nil"/>
                  </w:tcBorders>
                  <w:shd w:val="clear" w:color="auto" w:fill="auto"/>
                  <w:vAlign w:val="center"/>
                </w:tcPr>
                <w:p w14:paraId="29F1E76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c>
                <w:tcPr>
                  <w:tcW w:w="806" w:type="dxa"/>
                  <w:tcBorders>
                    <w:tl2br w:val="nil"/>
                    <w:tr2bl w:val="nil"/>
                  </w:tcBorders>
                  <w:shd w:val="clear" w:color="auto" w:fill="auto"/>
                  <w:vAlign w:val="center"/>
                </w:tcPr>
                <w:p w14:paraId="0BC9AB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1"/>
                      <w:szCs w:val="21"/>
                      <w:u w:val="none"/>
                      <w:vertAlign w:val="baseline"/>
                      <w:lang w:val="en-US" w:eastAsia="zh-CN" w:bidi="ar-SA"/>
                    </w:rPr>
                  </w:pPr>
                  <w:r>
                    <w:rPr>
                      <w:rFonts w:hint="eastAsia" w:eastAsia="宋体"/>
                      <w:color w:val="auto"/>
                      <w:sz w:val="21"/>
                      <w:szCs w:val="21"/>
                      <w:u w:val="none"/>
                      <w:vertAlign w:val="baseline"/>
                      <w:lang w:val="en-US" w:eastAsia="zh-CN"/>
                    </w:rPr>
                    <w:t>0</w:t>
                  </w:r>
                </w:p>
              </w:tc>
            </w:tr>
          </w:tbl>
          <w:p w14:paraId="3B1CBFAC">
            <w:pPr>
              <w:pStyle w:val="157"/>
              <w:ind w:firstLine="480"/>
              <w:rPr>
                <w:rFonts w:hint="eastAsia"/>
                <w:b/>
                <w:bCs/>
                <w:color w:val="auto"/>
                <w:highlight w:val="none"/>
                <w:u w:val="none"/>
                <w:lang w:val="zh-CN" w:eastAsia="zh-CN"/>
              </w:rPr>
            </w:pPr>
            <w:r>
              <w:rPr>
                <w:rFonts w:hint="eastAsia"/>
                <w:b/>
                <w:bCs/>
                <w:color w:val="auto"/>
                <w:highlight w:val="none"/>
                <w:u w:val="none"/>
                <w:lang w:val="en-US" w:eastAsia="zh-CN"/>
              </w:rPr>
              <w:t>9、</w:t>
            </w:r>
            <w:r>
              <w:rPr>
                <w:rFonts w:hint="eastAsia"/>
                <w:b/>
                <w:bCs/>
                <w:color w:val="auto"/>
                <w:highlight w:val="none"/>
                <w:u w:val="none"/>
                <w:lang w:val="zh-CN" w:eastAsia="zh-CN"/>
              </w:rPr>
              <w:t>项目环保投资</w:t>
            </w:r>
          </w:p>
          <w:p w14:paraId="0A7C6C22">
            <w:pPr>
              <w:pStyle w:val="157"/>
              <w:ind w:firstLine="480"/>
              <w:rPr>
                <w:rFonts w:hint="eastAsia"/>
                <w:color w:val="auto"/>
                <w:highlight w:val="none"/>
                <w:u w:val="none"/>
                <w:lang w:val="zh-CN" w:eastAsia="zh-CN"/>
              </w:rPr>
            </w:pPr>
            <w:r>
              <w:rPr>
                <w:rFonts w:hint="eastAsia"/>
                <w:color w:val="auto"/>
                <w:highlight w:val="none"/>
                <w:u w:val="none"/>
                <w:lang w:val="zh-CN" w:eastAsia="zh-CN"/>
              </w:rPr>
              <w:t>本次技改项目总投资</w:t>
            </w:r>
            <w:r>
              <w:rPr>
                <w:rFonts w:hint="eastAsia"/>
                <w:color w:val="auto"/>
                <w:highlight w:val="none"/>
                <w:u w:val="none"/>
                <w:lang w:val="en-US" w:eastAsia="zh-CN"/>
              </w:rPr>
              <w:t>60万元</w:t>
            </w:r>
            <w:r>
              <w:rPr>
                <w:rFonts w:hint="eastAsia"/>
                <w:color w:val="auto"/>
                <w:highlight w:val="none"/>
                <w:u w:val="none"/>
                <w:lang w:val="zh-CN" w:eastAsia="zh-CN"/>
              </w:rPr>
              <w:t>，其中环保投资为</w:t>
            </w:r>
            <w:r>
              <w:rPr>
                <w:rFonts w:hint="eastAsia"/>
                <w:color w:val="auto"/>
                <w:highlight w:val="none"/>
                <w:u w:val="none"/>
                <w:lang w:val="en-US" w:eastAsia="zh-CN"/>
              </w:rPr>
              <w:t>9</w:t>
            </w:r>
            <w:r>
              <w:rPr>
                <w:rFonts w:hint="eastAsia"/>
                <w:color w:val="auto"/>
                <w:highlight w:val="none"/>
                <w:u w:val="none"/>
                <w:lang w:val="zh-CN" w:eastAsia="zh-CN"/>
              </w:rPr>
              <w:t>万元，所占比例</w:t>
            </w:r>
            <w:r>
              <w:rPr>
                <w:rFonts w:hint="eastAsia"/>
                <w:color w:val="auto"/>
                <w:highlight w:val="none"/>
                <w:u w:val="none"/>
                <w:lang w:val="en-US" w:eastAsia="zh-CN"/>
              </w:rPr>
              <w:t>15</w:t>
            </w:r>
            <w:r>
              <w:rPr>
                <w:rFonts w:hint="eastAsia"/>
                <w:color w:val="auto"/>
                <w:highlight w:val="none"/>
                <w:u w:val="none"/>
                <w:lang w:val="zh-CN" w:eastAsia="zh-CN"/>
              </w:rPr>
              <w:t>％。 项目环保投资见表 4-</w:t>
            </w:r>
            <w:r>
              <w:rPr>
                <w:rFonts w:hint="eastAsia"/>
                <w:color w:val="auto"/>
                <w:highlight w:val="none"/>
                <w:u w:val="none"/>
                <w:lang w:val="en-US" w:eastAsia="zh-CN"/>
              </w:rPr>
              <w:t>22</w:t>
            </w:r>
            <w:r>
              <w:rPr>
                <w:rFonts w:hint="eastAsia"/>
                <w:color w:val="auto"/>
                <w:highlight w:val="none"/>
                <w:u w:val="none"/>
                <w:lang w:val="zh-CN" w:eastAsia="zh-CN"/>
              </w:rPr>
              <w:t>。</w:t>
            </w:r>
          </w:p>
          <w:p w14:paraId="72A7CCB0">
            <w:pPr>
              <w:snapToGrid w:val="0"/>
              <w:jc w:val="center"/>
              <w:rPr>
                <w:rFonts w:hint="default" w:ascii="Times New Roman" w:hAnsi="Times New Roman" w:cs="Times New Roman"/>
                <w:b/>
                <w:bCs/>
                <w:color w:val="auto"/>
                <w:kern w:val="0"/>
                <w:sz w:val="21"/>
                <w:szCs w:val="21"/>
                <w:highlight w:val="none"/>
                <w:u w:val="none"/>
              </w:rPr>
            </w:pPr>
          </w:p>
          <w:p w14:paraId="44BC8CF3">
            <w:pPr>
              <w:snapToGrid w:val="0"/>
              <w:jc w:val="center"/>
              <w:rPr>
                <w:rFonts w:hint="default" w:ascii="Times New Roman" w:hAnsi="Times New Roman" w:cs="Times New Roman"/>
                <w:b/>
                <w:bCs/>
                <w:color w:val="auto"/>
                <w:kern w:val="0"/>
                <w:sz w:val="21"/>
                <w:szCs w:val="21"/>
                <w:highlight w:val="none"/>
                <w:u w:val="none"/>
              </w:rPr>
            </w:pPr>
          </w:p>
          <w:p w14:paraId="6465C6D1">
            <w:pPr>
              <w:snapToGrid w:val="0"/>
              <w:jc w:val="center"/>
              <w:rPr>
                <w:rFonts w:hint="default" w:ascii="Times New Roman" w:hAnsi="Times New Roman" w:cs="Times New Roman"/>
                <w:b/>
                <w:bCs/>
                <w:color w:val="auto"/>
                <w:kern w:val="0"/>
                <w:sz w:val="21"/>
                <w:szCs w:val="21"/>
                <w:highlight w:val="none"/>
                <w:u w:val="none"/>
              </w:rPr>
            </w:pPr>
          </w:p>
          <w:p w14:paraId="39C76456">
            <w:pPr>
              <w:snapToGrid w:val="0"/>
              <w:jc w:val="center"/>
              <w:rPr>
                <w:rFonts w:hint="default" w:ascii="Times New Roman" w:hAnsi="Times New Roman" w:cs="Times New Roman"/>
                <w:b/>
                <w:bCs/>
                <w:color w:val="auto"/>
                <w:kern w:val="0"/>
                <w:sz w:val="21"/>
                <w:szCs w:val="21"/>
                <w:highlight w:val="none"/>
                <w:u w:val="none"/>
              </w:rPr>
            </w:pPr>
            <w:r>
              <w:rPr>
                <w:rFonts w:hint="default" w:ascii="Times New Roman" w:hAnsi="Times New Roman" w:cs="Times New Roman"/>
                <w:b/>
                <w:bCs/>
                <w:color w:val="auto"/>
                <w:kern w:val="0"/>
                <w:sz w:val="21"/>
                <w:szCs w:val="21"/>
                <w:highlight w:val="none"/>
                <w:u w:val="none"/>
              </w:rPr>
              <w:t>表</w:t>
            </w:r>
            <w:r>
              <w:rPr>
                <w:rFonts w:hint="eastAsia" w:cs="Times New Roman"/>
                <w:b/>
                <w:bCs/>
                <w:color w:val="auto"/>
                <w:kern w:val="0"/>
                <w:sz w:val="21"/>
                <w:szCs w:val="21"/>
                <w:highlight w:val="none"/>
                <w:u w:val="none"/>
                <w:lang w:val="en-US" w:eastAsia="zh-CN"/>
              </w:rPr>
              <w:t>4</w:t>
            </w:r>
            <w:r>
              <w:rPr>
                <w:rFonts w:hint="default" w:ascii="Times New Roman" w:hAnsi="Times New Roman" w:cs="Times New Roman"/>
                <w:b/>
                <w:bCs/>
                <w:color w:val="auto"/>
                <w:kern w:val="0"/>
                <w:sz w:val="21"/>
                <w:szCs w:val="21"/>
                <w:highlight w:val="none"/>
                <w:u w:val="none"/>
              </w:rPr>
              <w:t>-</w:t>
            </w:r>
            <w:r>
              <w:rPr>
                <w:rFonts w:hint="eastAsia" w:cs="Times New Roman"/>
                <w:b/>
                <w:bCs/>
                <w:color w:val="auto"/>
                <w:kern w:val="0"/>
                <w:sz w:val="21"/>
                <w:szCs w:val="21"/>
                <w:highlight w:val="none"/>
                <w:u w:val="none"/>
                <w:lang w:val="en-US" w:eastAsia="zh-CN"/>
              </w:rPr>
              <w:t>22</w:t>
            </w:r>
            <w:r>
              <w:rPr>
                <w:rFonts w:hint="default" w:ascii="Times New Roman" w:hAnsi="Times New Roman" w:cs="Times New Roman"/>
                <w:b/>
                <w:bCs/>
                <w:color w:val="auto"/>
                <w:kern w:val="0"/>
                <w:sz w:val="21"/>
                <w:szCs w:val="21"/>
                <w:highlight w:val="none"/>
                <w:u w:val="none"/>
              </w:rPr>
              <w:t xml:space="preserve">   </w:t>
            </w:r>
            <w:r>
              <w:rPr>
                <w:rFonts w:hint="eastAsia" w:cs="Times New Roman"/>
                <w:b/>
                <w:bCs/>
                <w:color w:val="auto"/>
                <w:kern w:val="0"/>
                <w:sz w:val="21"/>
                <w:szCs w:val="21"/>
                <w:highlight w:val="none"/>
                <w:u w:val="none"/>
                <w:lang w:val="en-US" w:eastAsia="zh-CN"/>
              </w:rPr>
              <w:t>技改</w:t>
            </w:r>
            <w:r>
              <w:rPr>
                <w:rFonts w:hint="default" w:ascii="Times New Roman" w:hAnsi="Times New Roman" w:cs="Times New Roman"/>
                <w:b/>
                <w:bCs/>
                <w:color w:val="auto"/>
                <w:kern w:val="0"/>
                <w:sz w:val="21"/>
                <w:szCs w:val="21"/>
                <w:highlight w:val="none"/>
                <w:u w:val="none"/>
              </w:rPr>
              <w:t>项目环保投资情况一览表</w:t>
            </w:r>
          </w:p>
          <w:tbl>
            <w:tblPr>
              <w:tblStyle w:val="156"/>
              <w:tblW w:w="5000" w:type="pct"/>
              <w:tblInd w:w="-11"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47"/>
              <w:gridCol w:w="240"/>
              <w:gridCol w:w="752"/>
              <w:gridCol w:w="1288"/>
              <w:gridCol w:w="1812"/>
              <w:gridCol w:w="1493"/>
              <w:gridCol w:w="1090"/>
              <w:gridCol w:w="1097"/>
            </w:tblGrid>
            <w:tr w14:paraId="476028B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492" w:type="pct"/>
                  <w:tcBorders>
                    <w:tl2br w:val="nil"/>
                    <w:tr2bl w:val="nil"/>
                  </w:tcBorders>
                  <w:tcMar>
                    <w:top w:w="28" w:type="dxa"/>
                    <w:left w:w="28" w:type="dxa"/>
                    <w:bottom w:w="28" w:type="dxa"/>
                    <w:right w:w="28" w:type="dxa"/>
                  </w:tcMar>
                  <w:vAlign w:val="center"/>
                </w:tcPr>
                <w:p w14:paraId="14EE58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项目</w:t>
                  </w:r>
                </w:p>
              </w:tc>
              <w:tc>
                <w:tcPr>
                  <w:tcW w:w="575" w:type="pct"/>
                  <w:gridSpan w:val="2"/>
                  <w:tcBorders>
                    <w:tl2br w:val="nil"/>
                    <w:tr2bl w:val="nil"/>
                  </w:tcBorders>
                  <w:tcMar>
                    <w:top w:w="28" w:type="dxa"/>
                    <w:left w:w="28" w:type="dxa"/>
                    <w:bottom w:w="28" w:type="dxa"/>
                    <w:right w:w="28" w:type="dxa"/>
                  </w:tcMar>
                  <w:vAlign w:val="center"/>
                </w:tcPr>
                <w:p w14:paraId="22F229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污染源</w:t>
                  </w:r>
                </w:p>
              </w:tc>
              <w:tc>
                <w:tcPr>
                  <w:tcW w:w="746" w:type="pct"/>
                  <w:tcBorders>
                    <w:tl2br w:val="nil"/>
                    <w:tr2bl w:val="nil"/>
                  </w:tcBorders>
                  <w:tcMar>
                    <w:top w:w="28" w:type="dxa"/>
                    <w:left w:w="28" w:type="dxa"/>
                    <w:bottom w:w="28" w:type="dxa"/>
                    <w:right w:w="28" w:type="dxa"/>
                  </w:tcMar>
                  <w:vAlign w:val="center"/>
                </w:tcPr>
                <w:p w14:paraId="24F93B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污染因子</w:t>
                  </w:r>
                </w:p>
              </w:tc>
              <w:tc>
                <w:tcPr>
                  <w:tcW w:w="1917" w:type="pct"/>
                  <w:gridSpan w:val="2"/>
                  <w:tcBorders>
                    <w:tl2br w:val="nil"/>
                    <w:tr2bl w:val="nil"/>
                  </w:tcBorders>
                  <w:tcMar>
                    <w:top w:w="28" w:type="dxa"/>
                    <w:left w:w="28" w:type="dxa"/>
                    <w:bottom w:w="28" w:type="dxa"/>
                    <w:right w:w="28" w:type="dxa"/>
                  </w:tcMar>
                  <w:vAlign w:val="center"/>
                </w:tcPr>
                <w:p w14:paraId="1AE21B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处理设施</w:t>
                  </w:r>
                </w:p>
              </w:tc>
              <w:tc>
                <w:tcPr>
                  <w:tcW w:w="632" w:type="pct"/>
                  <w:tcBorders>
                    <w:tl2br w:val="nil"/>
                    <w:tr2bl w:val="nil"/>
                  </w:tcBorders>
                  <w:tcMar>
                    <w:top w:w="28" w:type="dxa"/>
                    <w:left w:w="28" w:type="dxa"/>
                    <w:bottom w:w="28" w:type="dxa"/>
                    <w:right w:w="28" w:type="dxa"/>
                  </w:tcMar>
                  <w:vAlign w:val="center"/>
                </w:tcPr>
                <w:p w14:paraId="41F1EA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default" w:eastAsia="宋体"/>
                      <w:color w:val="auto"/>
                      <w:highlight w:val="none"/>
                      <w:u w:val="none"/>
                      <w:vertAlign w:val="baseline"/>
                      <w:lang w:val="en-US" w:eastAsia="zh-CN"/>
                    </w:rPr>
                    <w:t>投资（万 元）</w:t>
                  </w:r>
                </w:p>
              </w:tc>
              <w:tc>
                <w:tcPr>
                  <w:tcW w:w="635" w:type="pct"/>
                  <w:tcBorders>
                    <w:tl2br w:val="nil"/>
                    <w:tr2bl w:val="nil"/>
                  </w:tcBorders>
                  <w:tcMar>
                    <w:top w:w="28" w:type="dxa"/>
                    <w:left w:w="28" w:type="dxa"/>
                    <w:bottom w:w="28" w:type="dxa"/>
                    <w:right w:w="28" w:type="dxa"/>
                  </w:tcMar>
                  <w:vAlign w:val="center"/>
                </w:tcPr>
                <w:p w14:paraId="6136BEB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备注</w:t>
                  </w:r>
                </w:p>
              </w:tc>
            </w:tr>
            <w:tr w14:paraId="46EC86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2" w:type="pct"/>
                  <w:vMerge w:val="restart"/>
                  <w:tcBorders>
                    <w:tl2br w:val="nil"/>
                    <w:tr2bl w:val="nil"/>
                  </w:tcBorders>
                  <w:tcMar>
                    <w:top w:w="28" w:type="dxa"/>
                    <w:left w:w="28" w:type="dxa"/>
                    <w:bottom w:w="28" w:type="dxa"/>
                    <w:right w:w="28" w:type="dxa"/>
                  </w:tcMar>
                  <w:vAlign w:val="center"/>
                </w:tcPr>
                <w:p w14:paraId="07E373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废气</w:t>
                  </w:r>
                </w:p>
              </w:tc>
              <w:tc>
                <w:tcPr>
                  <w:tcW w:w="575" w:type="pct"/>
                  <w:gridSpan w:val="2"/>
                  <w:tcBorders>
                    <w:tl2br w:val="nil"/>
                    <w:tr2bl w:val="nil"/>
                  </w:tcBorders>
                  <w:tcMar>
                    <w:top w:w="28" w:type="dxa"/>
                    <w:left w:w="28" w:type="dxa"/>
                    <w:bottom w:w="28" w:type="dxa"/>
                    <w:right w:w="28" w:type="dxa"/>
                  </w:tcMar>
                  <w:vAlign w:val="center"/>
                </w:tcPr>
                <w:p w14:paraId="5ACC084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锅炉房</w:t>
                  </w:r>
                </w:p>
              </w:tc>
              <w:tc>
                <w:tcPr>
                  <w:tcW w:w="746" w:type="pct"/>
                  <w:tcBorders>
                    <w:tl2br w:val="nil"/>
                    <w:tr2bl w:val="nil"/>
                  </w:tcBorders>
                  <w:tcMar>
                    <w:top w:w="28" w:type="dxa"/>
                    <w:left w:w="28" w:type="dxa"/>
                    <w:bottom w:w="28" w:type="dxa"/>
                    <w:right w:w="28" w:type="dxa"/>
                  </w:tcMar>
                  <w:vAlign w:val="center"/>
                </w:tcPr>
                <w:p w14:paraId="202FAE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SO</w:t>
                  </w:r>
                  <w:r>
                    <w:rPr>
                      <w:rFonts w:hint="default" w:eastAsia="宋体"/>
                      <w:color w:val="auto"/>
                      <w:highlight w:val="none"/>
                      <w:u w:val="none"/>
                      <w:vertAlign w:val="subscript"/>
                      <w:lang w:val="en-US" w:eastAsia="zh-CN"/>
                    </w:rPr>
                    <w:t>2</w:t>
                  </w:r>
                  <w:r>
                    <w:rPr>
                      <w:rFonts w:hint="default" w:eastAsia="宋体"/>
                      <w:color w:val="auto"/>
                      <w:highlight w:val="none"/>
                      <w:u w:val="none"/>
                      <w:vertAlign w:val="baseline"/>
                      <w:lang w:val="en-US" w:eastAsia="zh-CN"/>
                    </w:rPr>
                    <w:t>、NOx、</w:t>
                  </w:r>
                </w:p>
                <w:p w14:paraId="179D7C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颗粒物</w:t>
                  </w:r>
                  <w:r>
                    <w:rPr>
                      <w:rFonts w:hint="eastAsia"/>
                      <w:color w:val="auto"/>
                      <w:highlight w:val="none"/>
                      <w:u w:val="none"/>
                      <w:vertAlign w:val="baseline"/>
                      <w:lang w:val="en-US" w:eastAsia="zh-CN"/>
                    </w:rPr>
                    <w:t>等</w:t>
                  </w:r>
                </w:p>
              </w:tc>
              <w:tc>
                <w:tcPr>
                  <w:tcW w:w="1917" w:type="pct"/>
                  <w:gridSpan w:val="2"/>
                  <w:tcBorders>
                    <w:tl2br w:val="nil"/>
                    <w:tr2bl w:val="nil"/>
                  </w:tcBorders>
                  <w:tcMar>
                    <w:top w:w="28" w:type="dxa"/>
                    <w:left w:w="28" w:type="dxa"/>
                    <w:bottom w:w="28" w:type="dxa"/>
                    <w:right w:w="28" w:type="dxa"/>
                  </w:tcMar>
                  <w:vAlign w:val="center"/>
                </w:tcPr>
                <w:p w14:paraId="2B5591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两级水膜除尘器</w:t>
                  </w:r>
                  <w:r>
                    <w:rPr>
                      <w:rFonts w:hint="default" w:eastAsia="宋体"/>
                      <w:color w:val="auto"/>
                      <w:highlight w:val="none"/>
                      <w:u w:val="none"/>
                      <w:vertAlign w:val="baseline"/>
                      <w:lang w:val="en-US" w:eastAsia="zh-CN"/>
                    </w:rPr>
                    <w:t>+35m 排气筒</w:t>
                  </w:r>
                </w:p>
              </w:tc>
              <w:tc>
                <w:tcPr>
                  <w:tcW w:w="632" w:type="pct"/>
                  <w:tcBorders>
                    <w:tl2br w:val="nil"/>
                    <w:tr2bl w:val="nil"/>
                  </w:tcBorders>
                  <w:tcMar>
                    <w:top w:w="28" w:type="dxa"/>
                    <w:left w:w="28" w:type="dxa"/>
                    <w:bottom w:w="28" w:type="dxa"/>
                    <w:right w:w="28" w:type="dxa"/>
                  </w:tcMar>
                  <w:vAlign w:val="center"/>
                </w:tcPr>
                <w:p w14:paraId="7EB987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5B0A40F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依托</w:t>
                  </w:r>
                </w:p>
              </w:tc>
            </w:tr>
            <w:tr w14:paraId="28E8C1E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2" w:type="pct"/>
                  <w:vMerge w:val="continue"/>
                  <w:tcBorders>
                    <w:tl2br w:val="nil"/>
                    <w:tr2bl w:val="nil"/>
                  </w:tcBorders>
                  <w:tcMar>
                    <w:top w:w="28" w:type="dxa"/>
                    <w:left w:w="28" w:type="dxa"/>
                    <w:bottom w:w="28" w:type="dxa"/>
                    <w:right w:w="28" w:type="dxa"/>
                  </w:tcMar>
                  <w:vAlign w:val="center"/>
                </w:tcPr>
                <w:p w14:paraId="1921C6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p>
              </w:tc>
              <w:tc>
                <w:tcPr>
                  <w:tcW w:w="575" w:type="pct"/>
                  <w:gridSpan w:val="2"/>
                  <w:tcBorders>
                    <w:tl2br w:val="nil"/>
                    <w:tr2bl w:val="nil"/>
                  </w:tcBorders>
                  <w:tcMar>
                    <w:top w:w="28" w:type="dxa"/>
                    <w:left w:w="28" w:type="dxa"/>
                    <w:bottom w:w="28" w:type="dxa"/>
                    <w:right w:w="28" w:type="dxa"/>
                  </w:tcMar>
                  <w:vAlign w:val="center"/>
                </w:tcPr>
                <w:p w14:paraId="437150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溶剂废气</w:t>
                  </w:r>
                </w:p>
              </w:tc>
              <w:tc>
                <w:tcPr>
                  <w:tcW w:w="746" w:type="pct"/>
                  <w:tcBorders>
                    <w:tl2br w:val="nil"/>
                    <w:tr2bl w:val="nil"/>
                  </w:tcBorders>
                  <w:tcMar>
                    <w:top w:w="28" w:type="dxa"/>
                    <w:left w:w="28" w:type="dxa"/>
                    <w:bottom w:w="28" w:type="dxa"/>
                    <w:right w:w="28" w:type="dxa"/>
                  </w:tcMar>
                  <w:vAlign w:val="center"/>
                </w:tcPr>
                <w:p w14:paraId="050858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非甲烷总烃</w:t>
                  </w:r>
                </w:p>
              </w:tc>
              <w:tc>
                <w:tcPr>
                  <w:tcW w:w="1917" w:type="pct"/>
                  <w:gridSpan w:val="2"/>
                  <w:tcBorders>
                    <w:tl2br w:val="nil"/>
                    <w:tr2bl w:val="nil"/>
                  </w:tcBorders>
                  <w:tcMar>
                    <w:top w:w="28" w:type="dxa"/>
                    <w:left w:w="28" w:type="dxa"/>
                    <w:bottom w:w="28" w:type="dxa"/>
                    <w:right w:w="28" w:type="dxa"/>
                  </w:tcMar>
                  <w:vAlign w:val="center"/>
                </w:tcPr>
                <w:p w14:paraId="490734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集气罩+15m排气筒</w:t>
                  </w:r>
                </w:p>
              </w:tc>
              <w:tc>
                <w:tcPr>
                  <w:tcW w:w="632" w:type="pct"/>
                  <w:tcBorders>
                    <w:tl2br w:val="nil"/>
                    <w:tr2bl w:val="nil"/>
                  </w:tcBorders>
                  <w:tcMar>
                    <w:top w:w="28" w:type="dxa"/>
                    <w:left w:w="28" w:type="dxa"/>
                    <w:bottom w:w="28" w:type="dxa"/>
                    <w:right w:w="28" w:type="dxa"/>
                  </w:tcMar>
                  <w:vAlign w:val="center"/>
                </w:tcPr>
                <w:p w14:paraId="4F6A125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default" w:eastAsia="宋体"/>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4AC3819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依托</w:t>
                  </w:r>
                </w:p>
              </w:tc>
            </w:tr>
            <w:tr w14:paraId="594B85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2" w:type="pct"/>
                  <w:vMerge w:val="restart"/>
                  <w:tcBorders>
                    <w:tl2br w:val="nil"/>
                    <w:tr2bl w:val="nil"/>
                  </w:tcBorders>
                  <w:tcMar>
                    <w:top w:w="28" w:type="dxa"/>
                    <w:left w:w="28" w:type="dxa"/>
                    <w:bottom w:w="28" w:type="dxa"/>
                    <w:right w:w="28" w:type="dxa"/>
                  </w:tcMar>
                  <w:vAlign w:val="center"/>
                </w:tcPr>
                <w:p w14:paraId="5E70FEB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p>
                <w:p w14:paraId="4E0CF18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废水</w:t>
                  </w:r>
                </w:p>
              </w:tc>
              <w:tc>
                <w:tcPr>
                  <w:tcW w:w="1321" w:type="pct"/>
                  <w:gridSpan w:val="3"/>
                  <w:tcBorders>
                    <w:tl2br w:val="nil"/>
                    <w:tr2bl w:val="nil"/>
                  </w:tcBorders>
                  <w:tcMar>
                    <w:top w:w="28" w:type="dxa"/>
                    <w:left w:w="28" w:type="dxa"/>
                    <w:bottom w:w="28" w:type="dxa"/>
                    <w:right w:w="28" w:type="dxa"/>
                  </w:tcMar>
                  <w:vAlign w:val="center"/>
                </w:tcPr>
                <w:p w14:paraId="15AB34A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锅炉排污水+软化处理</w:t>
                  </w:r>
                </w:p>
                <w:p w14:paraId="379826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废水</w:t>
                  </w:r>
                </w:p>
              </w:tc>
              <w:tc>
                <w:tcPr>
                  <w:tcW w:w="1917" w:type="pct"/>
                  <w:gridSpan w:val="2"/>
                  <w:tcBorders>
                    <w:tl2br w:val="nil"/>
                    <w:tr2bl w:val="nil"/>
                  </w:tcBorders>
                  <w:tcMar>
                    <w:top w:w="28" w:type="dxa"/>
                    <w:left w:w="28" w:type="dxa"/>
                    <w:bottom w:w="28" w:type="dxa"/>
                    <w:right w:w="28" w:type="dxa"/>
                  </w:tcMar>
                  <w:vAlign w:val="center"/>
                </w:tcPr>
                <w:p w14:paraId="0AB70EE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沉淀池（</w:t>
                  </w:r>
                  <w:r>
                    <w:rPr>
                      <w:rFonts w:hint="eastAsia"/>
                      <w:color w:val="auto"/>
                      <w:highlight w:val="none"/>
                      <w:u w:val="none"/>
                      <w:vertAlign w:val="baseline"/>
                      <w:lang w:val="en-US" w:eastAsia="zh-CN"/>
                    </w:rPr>
                    <w:t>10</w:t>
                  </w:r>
                  <w:r>
                    <w:rPr>
                      <w:rFonts w:hint="default" w:eastAsia="宋体"/>
                      <w:color w:val="auto"/>
                      <w:highlight w:val="none"/>
                      <w:u w:val="none"/>
                      <w:vertAlign w:val="baseline"/>
                      <w:lang w:val="en-US" w:eastAsia="zh-CN"/>
                    </w:rPr>
                    <w:t>m</w:t>
                  </w:r>
                  <w:r>
                    <w:rPr>
                      <w:rFonts w:hint="default" w:eastAsia="宋体"/>
                      <w:color w:val="auto"/>
                      <w:highlight w:val="none"/>
                      <w:u w:val="none"/>
                      <w:vertAlign w:val="superscript"/>
                      <w:lang w:val="en-US" w:eastAsia="zh-CN"/>
                    </w:rPr>
                    <w:t>3</w:t>
                  </w:r>
                  <w:r>
                    <w:rPr>
                      <w:rFonts w:hint="default" w:eastAsia="宋体"/>
                      <w:color w:val="auto"/>
                      <w:highlight w:val="none"/>
                      <w:u w:val="none"/>
                      <w:vertAlign w:val="baseline"/>
                      <w:lang w:val="en-US" w:eastAsia="zh-CN"/>
                    </w:rPr>
                    <w:t>）</w:t>
                  </w:r>
                </w:p>
              </w:tc>
              <w:tc>
                <w:tcPr>
                  <w:tcW w:w="632" w:type="pct"/>
                  <w:tcBorders>
                    <w:tl2br w:val="nil"/>
                    <w:tr2bl w:val="nil"/>
                  </w:tcBorders>
                  <w:tcMar>
                    <w:top w:w="28" w:type="dxa"/>
                    <w:left w:w="28" w:type="dxa"/>
                    <w:bottom w:w="28" w:type="dxa"/>
                    <w:right w:w="28" w:type="dxa"/>
                  </w:tcMar>
                  <w:vAlign w:val="center"/>
                </w:tcPr>
                <w:p w14:paraId="647494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1A2D51F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依托</w:t>
                  </w:r>
                </w:p>
              </w:tc>
            </w:tr>
            <w:tr w14:paraId="56152B0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7" w:hRule="atLeast"/>
              </w:trPr>
              <w:tc>
                <w:tcPr>
                  <w:tcW w:w="492" w:type="pct"/>
                  <w:vMerge w:val="continue"/>
                  <w:tcBorders>
                    <w:tl2br w:val="nil"/>
                    <w:tr2bl w:val="nil"/>
                  </w:tcBorders>
                  <w:tcMar>
                    <w:top w:w="28" w:type="dxa"/>
                    <w:left w:w="28" w:type="dxa"/>
                    <w:bottom w:w="28" w:type="dxa"/>
                    <w:right w:w="28" w:type="dxa"/>
                  </w:tcMar>
                  <w:vAlign w:val="center"/>
                </w:tcPr>
                <w:p w14:paraId="7C7239E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p>
              </w:tc>
              <w:tc>
                <w:tcPr>
                  <w:tcW w:w="1321" w:type="pct"/>
                  <w:gridSpan w:val="3"/>
                  <w:tcBorders>
                    <w:tl2br w:val="nil"/>
                    <w:tr2bl w:val="nil"/>
                  </w:tcBorders>
                  <w:tcMar>
                    <w:top w:w="28" w:type="dxa"/>
                    <w:left w:w="28" w:type="dxa"/>
                    <w:bottom w:w="28" w:type="dxa"/>
                    <w:right w:w="28" w:type="dxa"/>
                  </w:tcMar>
                  <w:vAlign w:val="center"/>
                </w:tcPr>
                <w:p w14:paraId="659F445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生活污水</w:t>
                  </w:r>
                </w:p>
              </w:tc>
              <w:tc>
                <w:tcPr>
                  <w:tcW w:w="1917" w:type="pct"/>
                  <w:gridSpan w:val="2"/>
                  <w:tcBorders>
                    <w:tl2br w:val="nil"/>
                    <w:tr2bl w:val="nil"/>
                  </w:tcBorders>
                  <w:tcMar>
                    <w:top w:w="28" w:type="dxa"/>
                    <w:left w:w="28" w:type="dxa"/>
                    <w:bottom w:w="28" w:type="dxa"/>
                    <w:right w:w="28" w:type="dxa"/>
                  </w:tcMar>
                  <w:vAlign w:val="center"/>
                </w:tcPr>
                <w:p w14:paraId="636726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化粪池（5m</w:t>
                  </w:r>
                  <w:r>
                    <w:rPr>
                      <w:rFonts w:hint="default" w:eastAsia="宋体"/>
                      <w:color w:val="auto"/>
                      <w:highlight w:val="none"/>
                      <w:u w:val="none"/>
                      <w:vertAlign w:val="superscript"/>
                      <w:lang w:val="en-US" w:eastAsia="zh-CN"/>
                    </w:rPr>
                    <w:t>3</w:t>
                  </w:r>
                  <w:r>
                    <w:rPr>
                      <w:rFonts w:hint="default" w:eastAsia="宋体"/>
                      <w:color w:val="auto"/>
                      <w:highlight w:val="none"/>
                      <w:u w:val="none"/>
                      <w:vertAlign w:val="baseline"/>
                      <w:lang w:val="en-US" w:eastAsia="zh-CN"/>
                    </w:rPr>
                    <w:t>）</w:t>
                  </w:r>
                </w:p>
              </w:tc>
              <w:tc>
                <w:tcPr>
                  <w:tcW w:w="632" w:type="pct"/>
                  <w:tcBorders>
                    <w:tl2br w:val="nil"/>
                    <w:tr2bl w:val="nil"/>
                  </w:tcBorders>
                  <w:tcMar>
                    <w:top w:w="28" w:type="dxa"/>
                    <w:left w:w="28" w:type="dxa"/>
                    <w:bottom w:w="28" w:type="dxa"/>
                    <w:right w:w="28" w:type="dxa"/>
                  </w:tcMar>
                  <w:vAlign w:val="center"/>
                </w:tcPr>
                <w:p w14:paraId="0B7B8E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1455D0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依托</w:t>
                  </w:r>
                </w:p>
              </w:tc>
            </w:tr>
            <w:tr w14:paraId="6531B31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1814" w:type="pct"/>
                  <w:gridSpan w:val="4"/>
                  <w:tcBorders>
                    <w:tl2br w:val="nil"/>
                    <w:tr2bl w:val="nil"/>
                  </w:tcBorders>
                  <w:tcMar>
                    <w:top w:w="28" w:type="dxa"/>
                    <w:left w:w="28" w:type="dxa"/>
                    <w:bottom w:w="28" w:type="dxa"/>
                    <w:right w:w="28" w:type="dxa"/>
                  </w:tcMar>
                  <w:vAlign w:val="center"/>
                </w:tcPr>
                <w:p w14:paraId="06CF7D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生活垃圾</w:t>
                  </w:r>
                </w:p>
              </w:tc>
              <w:tc>
                <w:tcPr>
                  <w:tcW w:w="1051" w:type="pct"/>
                  <w:tcBorders>
                    <w:tl2br w:val="nil"/>
                    <w:tr2bl w:val="nil"/>
                  </w:tcBorders>
                  <w:tcMar>
                    <w:top w:w="28" w:type="dxa"/>
                    <w:left w:w="28" w:type="dxa"/>
                    <w:bottom w:w="28" w:type="dxa"/>
                    <w:right w:w="28" w:type="dxa"/>
                  </w:tcMar>
                  <w:vAlign w:val="center"/>
                </w:tcPr>
                <w:p w14:paraId="1A1125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收集至垃圾桶内</w:t>
                  </w:r>
                </w:p>
              </w:tc>
              <w:tc>
                <w:tcPr>
                  <w:tcW w:w="866" w:type="pct"/>
                  <w:tcBorders>
                    <w:tl2br w:val="nil"/>
                    <w:tr2bl w:val="nil"/>
                  </w:tcBorders>
                  <w:tcMar>
                    <w:top w:w="28" w:type="dxa"/>
                    <w:left w:w="28" w:type="dxa"/>
                    <w:bottom w:w="28" w:type="dxa"/>
                    <w:right w:w="28" w:type="dxa"/>
                  </w:tcMar>
                  <w:vAlign w:val="center"/>
                </w:tcPr>
                <w:p w14:paraId="08D159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由环卫部门统</w:t>
                  </w:r>
                </w:p>
                <w:p w14:paraId="54D653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一处置</w:t>
                  </w:r>
                </w:p>
              </w:tc>
              <w:tc>
                <w:tcPr>
                  <w:tcW w:w="632" w:type="pct"/>
                  <w:tcBorders>
                    <w:tl2br w:val="nil"/>
                    <w:tr2bl w:val="nil"/>
                  </w:tcBorders>
                  <w:tcMar>
                    <w:top w:w="28" w:type="dxa"/>
                    <w:left w:w="28" w:type="dxa"/>
                    <w:bottom w:w="28" w:type="dxa"/>
                    <w:right w:w="28" w:type="dxa"/>
                  </w:tcMar>
                  <w:vAlign w:val="center"/>
                </w:tcPr>
                <w:p w14:paraId="6D2D32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37CB21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依托</w:t>
                  </w:r>
                </w:p>
              </w:tc>
            </w:tr>
            <w:tr w14:paraId="7D61D3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60" w:hRule="atLeast"/>
              </w:trPr>
              <w:tc>
                <w:tcPr>
                  <w:tcW w:w="492" w:type="pct"/>
                  <w:tcBorders>
                    <w:tl2br w:val="nil"/>
                    <w:tr2bl w:val="nil"/>
                  </w:tcBorders>
                  <w:tcMar>
                    <w:top w:w="28" w:type="dxa"/>
                    <w:left w:w="28" w:type="dxa"/>
                    <w:bottom w:w="28" w:type="dxa"/>
                    <w:right w:w="28" w:type="dxa"/>
                  </w:tcMar>
                  <w:vAlign w:val="center"/>
                </w:tcPr>
                <w:p w14:paraId="74E9D2E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一般</w:t>
                  </w:r>
                </w:p>
                <w:p w14:paraId="3E26CE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固废</w:t>
                  </w:r>
                </w:p>
              </w:tc>
              <w:tc>
                <w:tcPr>
                  <w:tcW w:w="1321" w:type="pct"/>
                  <w:gridSpan w:val="3"/>
                  <w:tcBorders>
                    <w:tl2br w:val="nil"/>
                    <w:tr2bl w:val="nil"/>
                  </w:tcBorders>
                  <w:tcMar>
                    <w:top w:w="28" w:type="dxa"/>
                    <w:left w:w="28" w:type="dxa"/>
                    <w:bottom w:w="28" w:type="dxa"/>
                    <w:right w:w="28" w:type="dxa"/>
                  </w:tcMar>
                  <w:vAlign w:val="center"/>
                </w:tcPr>
                <w:p w14:paraId="6206B03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除尘灰、饱和或者废弃的离子交换树脂</w:t>
                  </w:r>
                </w:p>
              </w:tc>
              <w:tc>
                <w:tcPr>
                  <w:tcW w:w="1051" w:type="pct"/>
                  <w:tcBorders>
                    <w:tl2br w:val="nil"/>
                    <w:tr2bl w:val="nil"/>
                  </w:tcBorders>
                  <w:tcMar>
                    <w:top w:w="28" w:type="dxa"/>
                    <w:left w:w="28" w:type="dxa"/>
                    <w:bottom w:w="28" w:type="dxa"/>
                    <w:right w:w="28" w:type="dxa"/>
                  </w:tcMar>
                  <w:vAlign w:val="center"/>
                </w:tcPr>
                <w:p w14:paraId="4975F2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分类收集堆存，按</w:t>
                  </w:r>
                </w:p>
                <w:p w14:paraId="7F2C3B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要求存放于一般固废暂存间</w:t>
                  </w:r>
                </w:p>
              </w:tc>
              <w:tc>
                <w:tcPr>
                  <w:tcW w:w="866" w:type="pct"/>
                  <w:tcBorders>
                    <w:tl2br w:val="nil"/>
                    <w:tr2bl w:val="nil"/>
                  </w:tcBorders>
                  <w:tcMar>
                    <w:top w:w="28" w:type="dxa"/>
                    <w:left w:w="28" w:type="dxa"/>
                    <w:bottom w:w="28" w:type="dxa"/>
                    <w:right w:w="28" w:type="dxa"/>
                  </w:tcMar>
                  <w:vAlign w:val="center"/>
                </w:tcPr>
                <w:p w14:paraId="18838A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外售周边居民作为农肥综合利用</w:t>
                  </w:r>
                </w:p>
              </w:tc>
              <w:tc>
                <w:tcPr>
                  <w:tcW w:w="632" w:type="pct"/>
                  <w:tcBorders>
                    <w:tl2br w:val="nil"/>
                    <w:tr2bl w:val="nil"/>
                  </w:tcBorders>
                  <w:tcMar>
                    <w:top w:w="28" w:type="dxa"/>
                    <w:left w:w="28" w:type="dxa"/>
                    <w:bottom w:w="28" w:type="dxa"/>
                    <w:right w:w="28" w:type="dxa"/>
                  </w:tcMar>
                  <w:vAlign w:val="center"/>
                </w:tcPr>
                <w:p w14:paraId="2E520F4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6DA409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依托</w:t>
                  </w:r>
                </w:p>
              </w:tc>
            </w:tr>
            <w:tr w14:paraId="65007E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42" w:hRule="atLeast"/>
              </w:trPr>
              <w:tc>
                <w:tcPr>
                  <w:tcW w:w="492" w:type="pct"/>
                  <w:tcBorders>
                    <w:tl2br w:val="nil"/>
                    <w:tr2bl w:val="nil"/>
                  </w:tcBorders>
                  <w:tcMar>
                    <w:top w:w="28" w:type="dxa"/>
                    <w:left w:w="28" w:type="dxa"/>
                    <w:bottom w:w="28" w:type="dxa"/>
                    <w:right w:w="28" w:type="dxa"/>
                  </w:tcMar>
                  <w:vAlign w:val="center"/>
                </w:tcPr>
                <w:p w14:paraId="471FA0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危险</w:t>
                  </w:r>
                </w:p>
                <w:p w14:paraId="123791C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废物</w:t>
                  </w:r>
                </w:p>
              </w:tc>
              <w:tc>
                <w:tcPr>
                  <w:tcW w:w="1321" w:type="pct"/>
                  <w:gridSpan w:val="3"/>
                  <w:tcBorders>
                    <w:tl2br w:val="nil"/>
                    <w:tr2bl w:val="nil"/>
                  </w:tcBorders>
                  <w:tcMar>
                    <w:top w:w="28" w:type="dxa"/>
                    <w:left w:w="28" w:type="dxa"/>
                    <w:bottom w:w="28" w:type="dxa"/>
                    <w:right w:w="28" w:type="dxa"/>
                  </w:tcMar>
                  <w:vAlign w:val="center"/>
                </w:tcPr>
                <w:p w14:paraId="22A69A7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废矿物油</w:t>
                  </w:r>
                </w:p>
              </w:tc>
              <w:tc>
                <w:tcPr>
                  <w:tcW w:w="1051" w:type="pct"/>
                  <w:tcBorders>
                    <w:tl2br w:val="nil"/>
                    <w:tr2bl w:val="nil"/>
                  </w:tcBorders>
                  <w:tcMar>
                    <w:top w:w="28" w:type="dxa"/>
                    <w:left w:w="28" w:type="dxa"/>
                    <w:bottom w:w="28" w:type="dxa"/>
                    <w:right w:w="28" w:type="dxa"/>
                  </w:tcMar>
                  <w:vAlign w:val="center"/>
                </w:tcPr>
                <w:p w14:paraId="480FD90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危废暂存间</w:t>
                  </w:r>
                </w:p>
              </w:tc>
              <w:tc>
                <w:tcPr>
                  <w:tcW w:w="866" w:type="pct"/>
                  <w:tcBorders>
                    <w:tl2br w:val="nil"/>
                    <w:tr2bl w:val="nil"/>
                  </w:tcBorders>
                  <w:tcMar>
                    <w:top w:w="28" w:type="dxa"/>
                    <w:left w:w="28" w:type="dxa"/>
                    <w:bottom w:w="28" w:type="dxa"/>
                    <w:right w:w="28" w:type="dxa"/>
                  </w:tcMar>
                  <w:vAlign w:val="center"/>
                </w:tcPr>
                <w:p w14:paraId="49A2EA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定期交由有资 质单位处置</w:t>
                  </w:r>
                </w:p>
              </w:tc>
              <w:tc>
                <w:tcPr>
                  <w:tcW w:w="632" w:type="pct"/>
                  <w:tcBorders>
                    <w:tl2br w:val="nil"/>
                    <w:tr2bl w:val="nil"/>
                  </w:tcBorders>
                  <w:tcMar>
                    <w:top w:w="28" w:type="dxa"/>
                    <w:left w:w="28" w:type="dxa"/>
                    <w:bottom w:w="28" w:type="dxa"/>
                    <w:right w:w="28" w:type="dxa"/>
                  </w:tcMar>
                  <w:vAlign w:val="center"/>
                </w:tcPr>
                <w:p w14:paraId="1851CB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4</w:t>
                  </w:r>
                </w:p>
              </w:tc>
              <w:tc>
                <w:tcPr>
                  <w:tcW w:w="635" w:type="pct"/>
                  <w:tcBorders>
                    <w:tl2br w:val="nil"/>
                    <w:tr2bl w:val="nil"/>
                  </w:tcBorders>
                  <w:tcMar>
                    <w:top w:w="28" w:type="dxa"/>
                    <w:left w:w="28" w:type="dxa"/>
                    <w:bottom w:w="28" w:type="dxa"/>
                    <w:right w:w="28" w:type="dxa"/>
                  </w:tcMar>
                  <w:vAlign w:val="center"/>
                </w:tcPr>
                <w:p w14:paraId="5DCD9E7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highlight w:val="none"/>
                      <w:u w:val="none"/>
                      <w:vertAlign w:val="baseline"/>
                      <w:lang w:val="en-US" w:eastAsia="zh-CN"/>
                    </w:rPr>
                  </w:pPr>
                  <w:r>
                    <w:rPr>
                      <w:rFonts w:hint="eastAsia"/>
                      <w:color w:val="auto"/>
                      <w:highlight w:val="none"/>
                      <w:u w:val="none"/>
                      <w:vertAlign w:val="baseline"/>
                      <w:lang w:val="en-US" w:eastAsia="zh-CN"/>
                    </w:rPr>
                    <w:t>依托</w:t>
                  </w:r>
                </w:p>
              </w:tc>
            </w:tr>
            <w:tr w14:paraId="449A2B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067" w:type="pct"/>
                  <w:gridSpan w:val="3"/>
                  <w:tcBorders>
                    <w:tl2br w:val="nil"/>
                    <w:tr2bl w:val="nil"/>
                  </w:tcBorders>
                  <w:tcMar>
                    <w:top w:w="28" w:type="dxa"/>
                    <w:left w:w="28" w:type="dxa"/>
                    <w:bottom w:w="28" w:type="dxa"/>
                    <w:right w:w="28" w:type="dxa"/>
                  </w:tcMar>
                  <w:vAlign w:val="center"/>
                </w:tcPr>
                <w:p w14:paraId="07B64C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噪声</w:t>
                  </w:r>
                </w:p>
              </w:tc>
              <w:tc>
                <w:tcPr>
                  <w:tcW w:w="746" w:type="pct"/>
                  <w:tcBorders>
                    <w:tl2br w:val="nil"/>
                    <w:tr2bl w:val="nil"/>
                  </w:tcBorders>
                  <w:tcMar>
                    <w:top w:w="28" w:type="dxa"/>
                    <w:left w:w="28" w:type="dxa"/>
                    <w:bottom w:w="28" w:type="dxa"/>
                    <w:right w:w="28" w:type="dxa"/>
                  </w:tcMar>
                  <w:vAlign w:val="center"/>
                </w:tcPr>
                <w:p w14:paraId="3F42AA5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LAeq</w:t>
                  </w:r>
                </w:p>
              </w:tc>
              <w:tc>
                <w:tcPr>
                  <w:tcW w:w="1917" w:type="pct"/>
                  <w:gridSpan w:val="2"/>
                  <w:tcBorders>
                    <w:tl2br w:val="nil"/>
                    <w:tr2bl w:val="nil"/>
                  </w:tcBorders>
                  <w:tcMar>
                    <w:top w:w="28" w:type="dxa"/>
                    <w:left w:w="28" w:type="dxa"/>
                    <w:bottom w:w="28" w:type="dxa"/>
                    <w:right w:w="28" w:type="dxa"/>
                  </w:tcMar>
                  <w:vAlign w:val="center"/>
                </w:tcPr>
                <w:p w14:paraId="23E5557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采用基础减震、隔声措施等</w:t>
                  </w:r>
                </w:p>
              </w:tc>
              <w:tc>
                <w:tcPr>
                  <w:tcW w:w="632" w:type="pct"/>
                  <w:tcBorders>
                    <w:tl2br w:val="nil"/>
                    <w:tr2bl w:val="nil"/>
                  </w:tcBorders>
                  <w:tcMar>
                    <w:top w:w="28" w:type="dxa"/>
                    <w:left w:w="28" w:type="dxa"/>
                    <w:bottom w:w="28" w:type="dxa"/>
                    <w:right w:w="28" w:type="dxa"/>
                  </w:tcMar>
                  <w:vAlign w:val="center"/>
                </w:tcPr>
                <w:p w14:paraId="0E8871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highlight w:val="none"/>
                      <w:u w:val="none"/>
                      <w:vertAlign w:val="baseline"/>
                      <w:lang w:val="en-US" w:eastAsia="zh-CN"/>
                    </w:rPr>
                  </w:pPr>
                  <w:r>
                    <w:rPr>
                      <w:rFonts w:hint="eastAsia"/>
                      <w:color w:val="auto"/>
                      <w:highlight w:val="none"/>
                      <w:u w:val="none"/>
                      <w:vertAlign w:val="baseline"/>
                      <w:lang w:val="en-US" w:eastAsia="zh-CN"/>
                    </w:rPr>
                    <w:t>3</w:t>
                  </w:r>
                </w:p>
              </w:tc>
              <w:tc>
                <w:tcPr>
                  <w:tcW w:w="635" w:type="pct"/>
                  <w:tcBorders>
                    <w:tl2br w:val="nil"/>
                    <w:tr2bl w:val="nil"/>
                  </w:tcBorders>
                  <w:tcMar>
                    <w:top w:w="28" w:type="dxa"/>
                    <w:left w:w="28" w:type="dxa"/>
                    <w:bottom w:w="28" w:type="dxa"/>
                    <w:right w:w="28" w:type="dxa"/>
                  </w:tcMar>
                  <w:vAlign w:val="center"/>
                </w:tcPr>
                <w:p w14:paraId="0D2D830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技改</w:t>
                  </w:r>
                </w:p>
              </w:tc>
            </w:tr>
            <w:tr w14:paraId="5C58EC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814" w:type="pct"/>
                  <w:gridSpan w:val="4"/>
                  <w:tcBorders>
                    <w:tl2br w:val="nil"/>
                    <w:tr2bl w:val="nil"/>
                  </w:tcBorders>
                  <w:tcMar>
                    <w:top w:w="28" w:type="dxa"/>
                    <w:left w:w="28" w:type="dxa"/>
                    <w:bottom w:w="28" w:type="dxa"/>
                    <w:right w:w="28" w:type="dxa"/>
                  </w:tcMar>
                  <w:vAlign w:val="center"/>
                </w:tcPr>
                <w:p w14:paraId="0EB8DA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环境风险</w:t>
                  </w:r>
                </w:p>
              </w:tc>
              <w:tc>
                <w:tcPr>
                  <w:tcW w:w="1917" w:type="pct"/>
                  <w:gridSpan w:val="2"/>
                  <w:tcBorders>
                    <w:tl2br w:val="nil"/>
                    <w:tr2bl w:val="nil"/>
                  </w:tcBorders>
                  <w:tcMar>
                    <w:top w:w="28" w:type="dxa"/>
                    <w:left w:w="28" w:type="dxa"/>
                    <w:bottom w:w="28" w:type="dxa"/>
                    <w:right w:w="28" w:type="dxa"/>
                  </w:tcMar>
                  <w:vAlign w:val="center"/>
                </w:tcPr>
                <w:p w14:paraId="51F25E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消防设施、厂区防渗等</w:t>
                  </w:r>
                </w:p>
              </w:tc>
              <w:tc>
                <w:tcPr>
                  <w:tcW w:w="632" w:type="pct"/>
                  <w:tcBorders>
                    <w:tl2br w:val="nil"/>
                    <w:tr2bl w:val="nil"/>
                  </w:tcBorders>
                  <w:tcMar>
                    <w:top w:w="28" w:type="dxa"/>
                    <w:left w:w="28" w:type="dxa"/>
                    <w:bottom w:w="28" w:type="dxa"/>
                    <w:right w:w="28" w:type="dxa"/>
                  </w:tcMar>
                  <w:vAlign w:val="center"/>
                </w:tcPr>
                <w:p w14:paraId="1910E4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w:t>
                  </w:r>
                </w:p>
              </w:tc>
              <w:tc>
                <w:tcPr>
                  <w:tcW w:w="635" w:type="pct"/>
                  <w:tcBorders>
                    <w:tl2br w:val="nil"/>
                    <w:tr2bl w:val="nil"/>
                  </w:tcBorders>
                  <w:tcMar>
                    <w:top w:w="28" w:type="dxa"/>
                    <w:left w:w="28" w:type="dxa"/>
                    <w:bottom w:w="28" w:type="dxa"/>
                    <w:right w:w="28" w:type="dxa"/>
                  </w:tcMar>
                  <w:vAlign w:val="center"/>
                </w:tcPr>
                <w:p w14:paraId="5FDF8A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依托</w:t>
                  </w:r>
                </w:p>
              </w:tc>
            </w:tr>
            <w:tr w14:paraId="0B4D86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1814" w:type="pct"/>
                  <w:gridSpan w:val="4"/>
                  <w:tcBorders>
                    <w:tl2br w:val="nil"/>
                    <w:tr2bl w:val="nil"/>
                  </w:tcBorders>
                  <w:tcMar>
                    <w:top w:w="28" w:type="dxa"/>
                    <w:left w:w="28" w:type="dxa"/>
                    <w:bottom w:w="28" w:type="dxa"/>
                    <w:right w:w="28" w:type="dxa"/>
                  </w:tcMar>
                  <w:vAlign w:val="center"/>
                </w:tcPr>
                <w:p w14:paraId="16336D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环境管理与监测</w:t>
                  </w:r>
                </w:p>
              </w:tc>
              <w:tc>
                <w:tcPr>
                  <w:tcW w:w="1917" w:type="pct"/>
                  <w:gridSpan w:val="2"/>
                  <w:tcBorders>
                    <w:tl2br w:val="nil"/>
                    <w:tr2bl w:val="nil"/>
                  </w:tcBorders>
                  <w:tcMar>
                    <w:top w:w="28" w:type="dxa"/>
                    <w:left w:w="28" w:type="dxa"/>
                    <w:bottom w:w="28" w:type="dxa"/>
                    <w:right w:w="28" w:type="dxa"/>
                  </w:tcMar>
                  <w:vAlign w:val="center"/>
                </w:tcPr>
                <w:p w14:paraId="180C1A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监测、建立台账记录等</w:t>
                  </w:r>
                </w:p>
              </w:tc>
              <w:tc>
                <w:tcPr>
                  <w:tcW w:w="632" w:type="pct"/>
                  <w:tcBorders>
                    <w:tl2br w:val="nil"/>
                    <w:tr2bl w:val="nil"/>
                  </w:tcBorders>
                  <w:tcMar>
                    <w:top w:w="28" w:type="dxa"/>
                    <w:left w:w="28" w:type="dxa"/>
                    <w:bottom w:w="28" w:type="dxa"/>
                    <w:right w:w="28" w:type="dxa"/>
                  </w:tcMar>
                  <w:vAlign w:val="center"/>
                </w:tcPr>
                <w:p w14:paraId="380CFF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eastAsia"/>
                      <w:color w:val="auto"/>
                      <w:highlight w:val="none"/>
                      <w:u w:val="none"/>
                      <w:vertAlign w:val="baseline"/>
                      <w:lang w:val="en-US" w:eastAsia="zh-CN"/>
                    </w:rPr>
                    <w:t>2</w:t>
                  </w:r>
                </w:p>
              </w:tc>
              <w:tc>
                <w:tcPr>
                  <w:tcW w:w="635" w:type="pct"/>
                  <w:tcBorders>
                    <w:tl2br w:val="nil"/>
                    <w:tr2bl w:val="nil"/>
                  </w:tcBorders>
                  <w:tcMar>
                    <w:top w:w="28" w:type="dxa"/>
                    <w:left w:w="28" w:type="dxa"/>
                    <w:bottom w:w="28" w:type="dxa"/>
                    <w:right w:w="28" w:type="dxa"/>
                  </w:tcMar>
                  <w:vAlign w:val="center"/>
                </w:tcPr>
                <w:p w14:paraId="15B960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依托</w:t>
                  </w:r>
                </w:p>
              </w:tc>
            </w:tr>
            <w:tr w14:paraId="6E58CB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8" w:hRule="atLeast"/>
              </w:trPr>
              <w:tc>
                <w:tcPr>
                  <w:tcW w:w="631" w:type="pct"/>
                  <w:gridSpan w:val="2"/>
                  <w:tcBorders>
                    <w:tl2br w:val="nil"/>
                    <w:tr2bl w:val="nil"/>
                  </w:tcBorders>
                  <w:tcMar>
                    <w:top w:w="28" w:type="dxa"/>
                    <w:left w:w="28" w:type="dxa"/>
                    <w:bottom w:w="28" w:type="dxa"/>
                    <w:right w:w="28" w:type="dxa"/>
                  </w:tcMar>
                  <w:vAlign w:val="center"/>
                </w:tcPr>
                <w:p w14:paraId="63EA31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p>
              </w:tc>
              <w:tc>
                <w:tcPr>
                  <w:tcW w:w="4368" w:type="pct"/>
                  <w:gridSpan w:val="6"/>
                  <w:tcBorders>
                    <w:tl2br w:val="nil"/>
                    <w:tr2bl w:val="nil"/>
                  </w:tcBorders>
                  <w:tcMar>
                    <w:top w:w="28" w:type="dxa"/>
                    <w:left w:w="28" w:type="dxa"/>
                    <w:bottom w:w="28" w:type="dxa"/>
                    <w:right w:w="28" w:type="dxa"/>
                  </w:tcMar>
                  <w:vAlign w:val="center"/>
                </w:tcPr>
                <w:p w14:paraId="7523B1F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eastAsia="宋体"/>
                      <w:color w:val="auto"/>
                      <w:highlight w:val="none"/>
                      <w:u w:val="none"/>
                      <w:vertAlign w:val="baseline"/>
                      <w:lang w:val="en-US" w:eastAsia="zh-CN"/>
                    </w:rPr>
                  </w:pPr>
                  <w:r>
                    <w:rPr>
                      <w:rFonts w:hint="default" w:eastAsia="宋体"/>
                      <w:color w:val="auto"/>
                      <w:highlight w:val="none"/>
                      <w:u w:val="none"/>
                      <w:vertAlign w:val="baseline"/>
                      <w:lang w:val="en-US" w:eastAsia="zh-CN"/>
                    </w:rPr>
                    <w:t>合计</w:t>
                  </w:r>
                </w:p>
              </w:tc>
            </w:tr>
          </w:tbl>
          <w:p w14:paraId="19A5BEB8">
            <w:pPr>
              <w:rPr>
                <w:rFonts w:hint="eastAsia"/>
                <w:color w:val="auto"/>
                <w:highlight w:val="none"/>
                <w:lang w:eastAsia="zh-CN"/>
              </w:rPr>
            </w:pPr>
          </w:p>
          <w:p w14:paraId="71EFC703">
            <w:pPr>
              <w:rPr>
                <w:rFonts w:hint="eastAsia"/>
                <w:color w:val="auto"/>
                <w:highlight w:val="none"/>
                <w:lang w:eastAsia="zh-CN"/>
              </w:rPr>
            </w:pPr>
          </w:p>
          <w:p w14:paraId="43D7AAF1">
            <w:pPr>
              <w:rPr>
                <w:rFonts w:hint="eastAsia"/>
                <w:color w:val="auto"/>
                <w:highlight w:val="none"/>
                <w:lang w:eastAsia="zh-CN"/>
              </w:rPr>
            </w:pPr>
          </w:p>
          <w:p w14:paraId="18F6FE67">
            <w:pPr>
              <w:pStyle w:val="22"/>
              <w:rPr>
                <w:rFonts w:hint="eastAsia"/>
                <w:color w:val="auto"/>
                <w:highlight w:val="none"/>
                <w:lang w:eastAsia="zh-CN"/>
              </w:rPr>
            </w:pPr>
          </w:p>
          <w:p w14:paraId="04912785">
            <w:pPr>
              <w:pStyle w:val="23"/>
              <w:rPr>
                <w:rFonts w:hint="eastAsia"/>
                <w:color w:val="auto"/>
                <w:highlight w:val="none"/>
                <w:lang w:eastAsia="zh-CN"/>
              </w:rPr>
            </w:pPr>
          </w:p>
          <w:p w14:paraId="3053BCC1">
            <w:pPr>
              <w:rPr>
                <w:rFonts w:hint="eastAsia"/>
                <w:color w:val="auto"/>
                <w:highlight w:val="none"/>
                <w:lang w:eastAsia="zh-CN"/>
              </w:rPr>
            </w:pPr>
          </w:p>
          <w:p w14:paraId="05B24A27">
            <w:pPr>
              <w:pStyle w:val="22"/>
              <w:rPr>
                <w:rFonts w:hint="eastAsia"/>
                <w:color w:val="auto"/>
                <w:highlight w:val="none"/>
                <w:lang w:eastAsia="zh-CN"/>
              </w:rPr>
            </w:pPr>
          </w:p>
          <w:p w14:paraId="1B82B7ED">
            <w:pPr>
              <w:pStyle w:val="23"/>
              <w:rPr>
                <w:rFonts w:hint="eastAsia"/>
                <w:color w:val="auto"/>
                <w:highlight w:val="none"/>
                <w:lang w:eastAsia="zh-CN"/>
              </w:rPr>
            </w:pPr>
          </w:p>
          <w:p w14:paraId="08DEC839">
            <w:pPr>
              <w:rPr>
                <w:rFonts w:hint="eastAsia"/>
                <w:color w:val="auto"/>
                <w:highlight w:val="none"/>
                <w:lang w:eastAsia="zh-CN"/>
              </w:rPr>
            </w:pPr>
          </w:p>
          <w:p w14:paraId="47CB3868">
            <w:pPr>
              <w:pStyle w:val="22"/>
              <w:rPr>
                <w:rFonts w:hint="eastAsia"/>
                <w:color w:val="auto"/>
                <w:highlight w:val="none"/>
                <w:lang w:eastAsia="zh-CN"/>
              </w:rPr>
            </w:pPr>
          </w:p>
          <w:p w14:paraId="7244B9E3">
            <w:pPr>
              <w:pStyle w:val="23"/>
              <w:rPr>
                <w:rFonts w:hint="eastAsia"/>
                <w:color w:val="auto"/>
                <w:highlight w:val="none"/>
                <w:lang w:eastAsia="zh-CN"/>
              </w:rPr>
            </w:pPr>
          </w:p>
          <w:p w14:paraId="2DA229E6">
            <w:pPr>
              <w:rPr>
                <w:rFonts w:hint="eastAsia"/>
                <w:color w:val="auto"/>
                <w:highlight w:val="none"/>
                <w:lang w:eastAsia="zh-CN"/>
              </w:rPr>
            </w:pPr>
          </w:p>
          <w:p w14:paraId="7B4419B7">
            <w:pPr>
              <w:pStyle w:val="22"/>
              <w:rPr>
                <w:rFonts w:hint="eastAsia"/>
                <w:color w:val="auto"/>
                <w:highlight w:val="none"/>
                <w:lang w:eastAsia="zh-CN"/>
              </w:rPr>
            </w:pPr>
          </w:p>
          <w:p w14:paraId="6165D9FE">
            <w:pPr>
              <w:pStyle w:val="23"/>
              <w:rPr>
                <w:rFonts w:hint="eastAsia"/>
                <w:color w:val="auto"/>
                <w:highlight w:val="none"/>
                <w:lang w:eastAsia="zh-CN"/>
              </w:rPr>
            </w:pPr>
          </w:p>
          <w:p w14:paraId="540DB93F">
            <w:pPr>
              <w:rPr>
                <w:rFonts w:hint="eastAsia"/>
                <w:color w:val="auto"/>
                <w:highlight w:val="none"/>
                <w:lang w:eastAsia="zh-CN"/>
              </w:rPr>
            </w:pPr>
          </w:p>
          <w:p w14:paraId="7A24A3E0">
            <w:pPr>
              <w:rPr>
                <w:rFonts w:hint="eastAsia"/>
                <w:color w:val="auto"/>
                <w:highlight w:val="none"/>
                <w:lang w:eastAsia="zh-CN"/>
              </w:rPr>
            </w:pPr>
          </w:p>
          <w:p w14:paraId="101BA269">
            <w:pPr>
              <w:rPr>
                <w:rFonts w:hint="eastAsia"/>
                <w:lang w:eastAsia="zh-CN"/>
              </w:rPr>
            </w:pPr>
          </w:p>
        </w:tc>
      </w:tr>
    </w:tbl>
    <w:p w14:paraId="5AA61073">
      <w:pPr>
        <w:adjustRightInd w:val="0"/>
        <w:snapToGrid w:val="0"/>
        <w:spacing w:line="360" w:lineRule="auto"/>
        <w:rPr>
          <w:b/>
          <w:color w:val="auto"/>
          <w:kern w:val="0"/>
          <w:sz w:val="28"/>
          <w:szCs w:val="28"/>
          <w:highlight w:val="none"/>
        </w:rPr>
        <w:sectPr>
          <w:pgSz w:w="11907" w:h="16840"/>
          <w:pgMar w:top="1701" w:right="1531" w:bottom="1701" w:left="1531" w:header="851" w:footer="1417" w:gutter="0"/>
          <w:pgBorders>
            <w:top w:val="none" w:sz="0" w:space="0"/>
            <w:left w:val="none" w:sz="0" w:space="0"/>
            <w:bottom w:val="none" w:sz="0" w:space="0"/>
            <w:right w:val="none" w:sz="0" w:space="0"/>
          </w:pgBorders>
          <w:cols w:space="720" w:num="1"/>
          <w:docGrid w:linePitch="312" w:charSpace="0"/>
        </w:sectPr>
      </w:pPr>
    </w:p>
    <w:p w14:paraId="7D13D4C4">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pPr>
      <w:bookmarkStart w:id="9" w:name="_Toc92182181"/>
      <w:r>
        <w:rPr>
          <w:rFonts w:ascii="Times New Roman" w:hAnsi="Times New Roman"/>
          <w:b/>
          <w:bCs/>
          <w:snapToGrid w:val="0"/>
          <w:color w:val="auto"/>
          <w:sz w:val="30"/>
          <w:szCs w:val="30"/>
          <w:highlight w:val="none"/>
        </w:rPr>
        <w:t>五、</w:t>
      </w:r>
      <w:bookmarkStart w:id="10" w:name="_Hlk54167917"/>
      <w:r>
        <w:rPr>
          <w:rFonts w:ascii="Times New Roman" w:hAnsi="Times New Roman"/>
          <w:b/>
          <w:bCs/>
          <w:snapToGrid w:val="0"/>
          <w:color w:val="auto"/>
          <w:sz w:val="30"/>
          <w:szCs w:val="30"/>
          <w:highlight w:val="none"/>
        </w:rPr>
        <w:t>环境保护措施监督检查清单</w:t>
      </w:r>
      <w:bookmarkEnd w:id="9"/>
      <w:bookmarkEnd w:id="10"/>
    </w:p>
    <w:tbl>
      <w:tblPr>
        <w:tblStyle w:val="156"/>
        <w:tblW w:w="511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57" w:type="dxa"/>
          <w:left w:w="57" w:type="dxa"/>
          <w:bottom w:w="57" w:type="dxa"/>
          <w:right w:w="57" w:type="dxa"/>
        </w:tblCellMar>
      </w:tblPr>
      <w:tblGrid>
        <w:gridCol w:w="739"/>
        <w:gridCol w:w="1662"/>
        <w:gridCol w:w="1729"/>
        <w:gridCol w:w="2414"/>
        <w:gridCol w:w="2624"/>
      </w:tblGrid>
      <w:tr w14:paraId="10391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86" w:hRule="atLeast"/>
          <w:jc w:val="center"/>
        </w:trPr>
        <w:tc>
          <w:tcPr>
            <w:tcW w:w="403" w:type="pct"/>
            <w:tcBorders>
              <w:top w:val="single" w:color="000000" w:sz="10" w:space="0"/>
              <w:left w:val="single" w:color="000000" w:sz="10" w:space="0"/>
            </w:tcBorders>
            <w:vAlign w:val="center"/>
          </w:tcPr>
          <w:p w14:paraId="3B8FDCFC">
            <w:pPr>
              <w:widowControl/>
              <w:jc w:val="center"/>
              <w:textAlignment w:val="center"/>
              <w:rPr>
                <w:rFonts w:hint="eastAsia" w:eastAsia="宋体"/>
                <w:b/>
                <w:bCs/>
                <w:color w:val="auto"/>
                <w:szCs w:val="21"/>
                <w:highlight w:val="none"/>
                <w:u w:val="none" w:color="auto"/>
                <w:lang w:val="en-US" w:eastAsia="zh-CN"/>
              </w:rPr>
            </w:pPr>
            <w:r>
              <w:rPr>
                <w:rFonts w:hint="eastAsia" w:eastAsia="宋体"/>
                <w:b/>
                <w:bCs/>
                <w:color w:val="auto"/>
                <w:szCs w:val="21"/>
                <w:highlight w:val="none"/>
                <w:u w:val="none" w:color="auto"/>
                <w:lang w:val="en-US" w:eastAsia="zh-CN"/>
              </w:rPr>
              <w:t>要素</w:t>
            </w:r>
          </w:p>
          <w:p w14:paraId="4D50886A">
            <w:pPr>
              <w:widowControl/>
              <w:jc w:val="center"/>
              <w:textAlignment w:val="center"/>
              <w:rPr>
                <w:rFonts w:hint="eastAsia" w:eastAsia="宋体"/>
                <w:b/>
                <w:bCs/>
                <w:color w:val="auto"/>
                <w:szCs w:val="21"/>
                <w:highlight w:val="none"/>
                <w:u w:val="none" w:color="auto"/>
                <w:lang w:val="en-US" w:eastAsia="zh-CN"/>
              </w:rPr>
            </w:pPr>
            <w:r>
              <w:rPr>
                <w:rFonts w:hint="eastAsia" w:eastAsia="宋体"/>
                <w:b/>
                <w:bCs/>
                <w:color w:val="auto"/>
                <w:szCs w:val="21"/>
                <w:highlight w:val="none"/>
                <w:u w:val="none" w:color="auto"/>
                <w:lang w:val="en-US" w:eastAsia="zh-CN"/>
              </w:rPr>
              <w:t>内容</w:t>
            </w:r>
          </w:p>
        </w:tc>
        <w:tc>
          <w:tcPr>
            <w:tcW w:w="906" w:type="pct"/>
            <w:tcBorders>
              <w:top w:val="single" w:color="000000" w:sz="10" w:space="0"/>
            </w:tcBorders>
            <w:vAlign w:val="center"/>
          </w:tcPr>
          <w:p w14:paraId="6B6CEE41">
            <w:pPr>
              <w:widowControl/>
              <w:jc w:val="center"/>
              <w:textAlignment w:val="center"/>
              <w:rPr>
                <w:rFonts w:hint="eastAsia" w:eastAsia="宋体"/>
                <w:b/>
                <w:bCs/>
                <w:color w:val="auto"/>
                <w:szCs w:val="21"/>
                <w:highlight w:val="none"/>
                <w:u w:val="none" w:color="auto"/>
                <w:lang w:val="en-US" w:eastAsia="zh-CN"/>
              </w:rPr>
            </w:pPr>
            <w:r>
              <w:rPr>
                <w:rFonts w:hint="eastAsia" w:eastAsia="宋体"/>
                <w:b/>
                <w:bCs/>
                <w:color w:val="auto"/>
                <w:szCs w:val="21"/>
                <w:highlight w:val="none"/>
                <w:u w:val="none" w:color="auto"/>
                <w:lang w:val="en-US" w:eastAsia="zh-CN"/>
              </w:rPr>
              <w:t>排放口(编号、 名称)/污染源</w:t>
            </w:r>
          </w:p>
        </w:tc>
        <w:tc>
          <w:tcPr>
            <w:tcW w:w="942" w:type="pct"/>
            <w:tcBorders>
              <w:top w:val="single" w:color="000000" w:sz="10" w:space="0"/>
            </w:tcBorders>
            <w:vAlign w:val="center"/>
          </w:tcPr>
          <w:p w14:paraId="13C11A33">
            <w:pPr>
              <w:widowControl/>
              <w:jc w:val="center"/>
              <w:textAlignment w:val="center"/>
              <w:rPr>
                <w:rFonts w:hint="eastAsia" w:eastAsia="宋体"/>
                <w:b/>
                <w:bCs/>
                <w:color w:val="auto"/>
                <w:szCs w:val="21"/>
                <w:highlight w:val="none"/>
                <w:u w:val="none" w:color="auto"/>
                <w:lang w:val="en-US" w:eastAsia="zh-CN"/>
              </w:rPr>
            </w:pPr>
            <w:r>
              <w:rPr>
                <w:rFonts w:hint="eastAsia" w:eastAsia="宋体"/>
                <w:b/>
                <w:bCs/>
                <w:color w:val="auto"/>
                <w:szCs w:val="21"/>
                <w:highlight w:val="none"/>
                <w:u w:val="none" w:color="auto"/>
                <w:lang w:val="en-US" w:eastAsia="zh-CN"/>
              </w:rPr>
              <w:t>污染物项目</w:t>
            </w:r>
          </w:p>
        </w:tc>
        <w:tc>
          <w:tcPr>
            <w:tcW w:w="1316" w:type="pct"/>
            <w:tcBorders>
              <w:top w:val="single" w:color="000000" w:sz="10" w:space="0"/>
            </w:tcBorders>
            <w:vAlign w:val="center"/>
          </w:tcPr>
          <w:p w14:paraId="1C26E2C2">
            <w:pPr>
              <w:widowControl/>
              <w:jc w:val="center"/>
              <w:textAlignment w:val="center"/>
              <w:rPr>
                <w:rFonts w:hint="eastAsia" w:eastAsia="宋体"/>
                <w:b/>
                <w:bCs/>
                <w:color w:val="auto"/>
                <w:szCs w:val="21"/>
                <w:highlight w:val="none"/>
                <w:u w:val="none" w:color="auto"/>
                <w:lang w:val="en-US" w:eastAsia="zh-CN"/>
              </w:rPr>
            </w:pPr>
            <w:r>
              <w:rPr>
                <w:rFonts w:hint="eastAsia" w:eastAsia="宋体"/>
                <w:b/>
                <w:bCs/>
                <w:color w:val="auto"/>
                <w:szCs w:val="21"/>
                <w:highlight w:val="none"/>
                <w:u w:val="none" w:color="auto"/>
                <w:lang w:val="en-US" w:eastAsia="zh-CN"/>
              </w:rPr>
              <w:t>环境保护措施</w:t>
            </w:r>
          </w:p>
        </w:tc>
        <w:tc>
          <w:tcPr>
            <w:tcW w:w="1431" w:type="pct"/>
            <w:tcBorders>
              <w:top w:val="single" w:color="000000" w:sz="10" w:space="0"/>
              <w:right w:val="single" w:color="000000" w:sz="10" w:space="0"/>
            </w:tcBorders>
            <w:vAlign w:val="center"/>
          </w:tcPr>
          <w:p w14:paraId="1FCD1AE0">
            <w:pPr>
              <w:widowControl/>
              <w:jc w:val="center"/>
              <w:textAlignment w:val="center"/>
              <w:rPr>
                <w:rFonts w:hint="eastAsia" w:eastAsia="宋体"/>
                <w:b/>
                <w:bCs/>
                <w:color w:val="auto"/>
                <w:szCs w:val="21"/>
                <w:highlight w:val="none"/>
                <w:u w:val="none" w:color="auto"/>
                <w:lang w:val="en-US" w:eastAsia="zh-CN"/>
              </w:rPr>
            </w:pPr>
            <w:r>
              <w:rPr>
                <w:rFonts w:hint="eastAsia" w:eastAsia="宋体"/>
                <w:b/>
                <w:bCs/>
                <w:color w:val="auto"/>
                <w:szCs w:val="21"/>
                <w:highlight w:val="none"/>
                <w:u w:val="none" w:color="auto"/>
                <w:lang w:val="en-US" w:eastAsia="zh-CN"/>
              </w:rPr>
              <w:t>执行标准</w:t>
            </w:r>
          </w:p>
        </w:tc>
      </w:tr>
      <w:tr w14:paraId="2507B7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47" w:hRule="atLeast"/>
          <w:jc w:val="center"/>
        </w:trPr>
        <w:tc>
          <w:tcPr>
            <w:tcW w:w="403" w:type="pct"/>
            <w:vMerge w:val="restart"/>
            <w:tcBorders>
              <w:left w:val="single" w:color="000000" w:sz="10" w:space="0"/>
            </w:tcBorders>
            <w:vAlign w:val="center"/>
          </w:tcPr>
          <w:p w14:paraId="723B83B5">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大气环境</w:t>
            </w:r>
          </w:p>
        </w:tc>
        <w:tc>
          <w:tcPr>
            <w:tcW w:w="906" w:type="pct"/>
            <w:vMerge w:val="restart"/>
            <w:tcBorders>
              <w:bottom w:val="nil"/>
            </w:tcBorders>
            <w:vAlign w:val="center"/>
          </w:tcPr>
          <w:p w14:paraId="5561CD7B">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cs="Times New Roman"/>
                <w:color w:val="auto"/>
                <w:spacing w:val="7"/>
                <w:sz w:val="21"/>
                <w:szCs w:val="21"/>
                <w:highlight w:val="none"/>
                <w:u w:val="none" w:color="auto"/>
                <w:lang w:val="en-US" w:eastAsia="zh-CN"/>
              </w:rPr>
              <w:t>DA001锅炉废气排气筒</w:t>
            </w:r>
          </w:p>
        </w:tc>
        <w:tc>
          <w:tcPr>
            <w:tcW w:w="942" w:type="pct"/>
            <w:vAlign w:val="center"/>
          </w:tcPr>
          <w:p w14:paraId="4D60432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SO</w:t>
            </w:r>
            <w:r>
              <w:rPr>
                <w:rFonts w:hint="eastAsia" w:ascii="Times New Roman" w:hAnsi="Times New Roman" w:eastAsia="宋体" w:cs="Times New Roman"/>
                <w:color w:val="auto"/>
                <w:spacing w:val="7"/>
                <w:sz w:val="21"/>
                <w:szCs w:val="21"/>
                <w:highlight w:val="none"/>
                <w:u w:val="none" w:color="auto"/>
                <w:vertAlign w:val="subscript"/>
                <w:lang w:val="en-US" w:eastAsia="zh-CN"/>
              </w:rPr>
              <w:t>2</w:t>
            </w:r>
          </w:p>
        </w:tc>
        <w:tc>
          <w:tcPr>
            <w:tcW w:w="1316" w:type="pct"/>
            <w:vMerge w:val="restart"/>
            <w:tcBorders>
              <w:bottom w:val="nil"/>
            </w:tcBorders>
            <w:vAlign w:val="center"/>
          </w:tcPr>
          <w:p w14:paraId="205C6BC6">
            <w:pPr>
              <w:widowControl/>
              <w:jc w:val="center"/>
              <w:textAlignment w:val="center"/>
              <w:rPr>
                <w:rFonts w:hint="eastAsia" w:eastAsia="宋体"/>
                <w:color w:val="auto"/>
                <w:szCs w:val="21"/>
                <w:highlight w:val="none"/>
                <w:u w:val="none" w:color="auto"/>
                <w:lang w:val="en-US" w:eastAsia="zh-CN"/>
              </w:rPr>
            </w:pPr>
            <w:r>
              <w:rPr>
                <w:rFonts w:hint="eastAsia"/>
                <w:color w:val="auto"/>
                <w:szCs w:val="21"/>
                <w:highlight w:val="none"/>
                <w:u w:val="none" w:color="auto"/>
                <w:lang w:val="en-US" w:eastAsia="zh-CN"/>
              </w:rPr>
              <w:t>两级水膜除尘器</w:t>
            </w:r>
            <w:r>
              <w:rPr>
                <w:rFonts w:hint="eastAsia" w:eastAsia="宋体"/>
                <w:color w:val="auto"/>
                <w:szCs w:val="21"/>
                <w:highlight w:val="none"/>
                <w:u w:val="none" w:color="auto"/>
                <w:lang w:val="en-US" w:eastAsia="zh-CN"/>
              </w:rPr>
              <w:t>+35m排气筒</w:t>
            </w:r>
          </w:p>
        </w:tc>
        <w:tc>
          <w:tcPr>
            <w:tcW w:w="1431" w:type="pct"/>
            <w:vMerge w:val="restart"/>
            <w:tcBorders>
              <w:bottom w:val="nil"/>
              <w:right w:val="single" w:color="000000" w:sz="10" w:space="0"/>
            </w:tcBorders>
            <w:vAlign w:val="center"/>
          </w:tcPr>
          <w:p w14:paraId="3CEB4E0B">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《锅炉大气污染物排放标准》（GB13271-2014）新建燃煤锅炉标准</w:t>
            </w:r>
          </w:p>
        </w:tc>
      </w:tr>
      <w:tr w14:paraId="5826B9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71" w:hRule="atLeast"/>
          <w:jc w:val="center"/>
        </w:trPr>
        <w:tc>
          <w:tcPr>
            <w:tcW w:w="403" w:type="pct"/>
            <w:vMerge w:val="continue"/>
            <w:tcBorders>
              <w:left w:val="single" w:color="000000" w:sz="10" w:space="0"/>
            </w:tcBorders>
            <w:vAlign w:val="center"/>
          </w:tcPr>
          <w:p w14:paraId="06B533B5">
            <w:pPr>
              <w:widowControl/>
              <w:jc w:val="center"/>
              <w:textAlignment w:val="center"/>
              <w:rPr>
                <w:rFonts w:hint="eastAsia" w:eastAsia="宋体"/>
                <w:color w:val="auto"/>
                <w:szCs w:val="21"/>
                <w:highlight w:val="none"/>
                <w:u w:val="none" w:color="auto"/>
                <w:lang w:val="en-US" w:eastAsia="zh-CN"/>
              </w:rPr>
            </w:pPr>
          </w:p>
        </w:tc>
        <w:tc>
          <w:tcPr>
            <w:tcW w:w="906" w:type="pct"/>
            <w:vMerge w:val="continue"/>
            <w:tcBorders>
              <w:top w:val="nil"/>
              <w:bottom w:val="nil"/>
            </w:tcBorders>
            <w:vAlign w:val="center"/>
          </w:tcPr>
          <w:p w14:paraId="02CD2F8E">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p>
        </w:tc>
        <w:tc>
          <w:tcPr>
            <w:tcW w:w="942" w:type="pct"/>
            <w:vAlign w:val="center"/>
          </w:tcPr>
          <w:p w14:paraId="085B4848">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NOx</w:t>
            </w:r>
          </w:p>
        </w:tc>
        <w:tc>
          <w:tcPr>
            <w:tcW w:w="1316" w:type="pct"/>
            <w:vMerge w:val="continue"/>
            <w:tcBorders>
              <w:top w:val="nil"/>
              <w:bottom w:val="nil"/>
            </w:tcBorders>
            <w:vAlign w:val="center"/>
          </w:tcPr>
          <w:p w14:paraId="588D8DDB">
            <w:pPr>
              <w:widowControl/>
              <w:jc w:val="center"/>
              <w:textAlignment w:val="center"/>
              <w:rPr>
                <w:rFonts w:hint="eastAsia" w:eastAsia="宋体"/>
                <w:color w:val="auto"/>
                <w:szCs w:val="21"/>
                <w:highlight w:val="none"/>
                <w:u w:val="none" w:color="auto"/>
                <w:lang w:val="en-US" w:eastAsia="zh-CN"/>
              </w:rPr>
            </w:pPr>
          </w:p>
        </w:tc>
        <w:tc>
          <w:tcPr>
            <w:tcW w:w="1431" w:type="pct"/>
            <w:vMerge w:val="continue"/>
            <w:tcBorders>
              <w:top w:val="nil"/>
              <w:bottom w:val="nil"/>
              <w:right w:val="single" w:color="000000" w:sz="10" w:space="0"/>
            </w:tcBorders>
            <w:vAlign w:val="center"/>
          </w:tcPr>
          <w:p w14:paraId="1924552D">
            <w:pPr>
              <w:widowControl/>
              <w:jc w:val="center"/>
              <w:textAlignment w:val="center"/>
              <w:rPr>
                <w:rFonts w:hint="eastAsia" w:eastAsia="宋体"/>
                <w:color w:val="auto"/>
                <w:szCs w:val="21"/>
                <w:highlight w:val="none"/>
                <w:u w:val="none" w:color="auto"/>
                <w:lang w:val="en-US" w:eastAsia="zh-CN"/>
              </w:rPr>
            </w:pPr>
          </w:p>
        </w:tc>
      </w:tr>
      <w:tr w14:paraId="605B6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403" w:type="pct"/>
            <w:vMerge w:val="continue"/>
            <w:tcBorders>
              <w:left w:val="single" w:color="000000" w:sz="10" w:space="0"/>
            </w:tcBorders>
            <w:vAlign w:val="center"/>
          </w:tcPr>
          <w:p w14:paraId="461E3CFB">
            <w:pPr>
              <w:widowControl/>
              <w:jc w:val="center"/>
              <w:textAlignment w:val="center"/>
              <w:rPr>
                <w:rFonts w:hint="eastAsia" w:eastAsia="宋体"/>
                <w:color w:val="auto"/>
                <w:szCs w:val="21"/>
                <w:highlight w:val="none"/>
                <w:u w:val="none" w:color="auto"/>
                <w:lang w:val="en-US" w:eastAsia="zh-CN"/>
              </w:rPr>
            </w:pPr>
          </w:p>
        </w:tc>
        <w:tc>
          <w:tcPr>
            <w:tcW w:w="906" w:type="pct"/>
            <w:vMerge w:val="continue"/>
            <w:tcBorders>
              <w:top w:val="nil"/>
            </w:tcBorders>
            <w:vAlign w:val="center"/>
          </w:tcPr>
          <w:p w14:paraId="14E1AAC2">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p>
        </w:tc>
        <w:tc>
          <w:tcPr>
            <w:tcW w:w="942" w:type="pct"/>
            <w:vAlign w:val="center"/>
          </w:tcPr>
          <w:p w14:paraId="3D0B16AE">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颗粒物</w:t>
            </w:r>
          </w:p>
        </w:tc>
        <w:tc>
          <w:tcPr>
            <w:tcW w:w="1316" w:type="pct"/>
            <w:vMerge w:val="continue"/>
            <w:tcBorders>
              <w:top w:val="nil"/>
            </w:tcBorders>
            <w:vAlign w:val="center"/>
          </w:tcPr>
          <w:p w14:paraId="2201CEBF">
            <w:pPr>
              <w:widowControl/>
              <w:jc w:val="center"/>
              <w:textAlignment w:val="center"/>
              <w:rPr>
                <w:rFonts w:hint="eastAsia" w:eastAsia="宋体"/>
                <w:color w:val="auto"/>
                <w:szCs w:val="21"/>
                <w:highlight w:val="none"/>
                <w:u w:val="none" w:color="auto"/>
                <w:lang w:val="en-US" w:eastAsia="zh-CN"/>
              </w:rPr>
            </w:pPr>
          </w:p>
        </w:tc>
        <w:tc>
          <w:tcPr>
            <w:tcW w:w="1431" w:type="pct"/>
            <w:vMerge w:val="continue"/>
            <w:tcBorders>
              <w:top w:val="nil"/>
              <w:right w:val="single" w:color="000000" w:sz="10" w:space="0"/>
            </w:tcBorders>
            <w:vAlign w:val="center"/>
          </w:tcPr>
          <w:p w14:paraId="5DE2783A">
            <w:pPr>
              <w:widowControl/>
              <w:jc w:val="center"/>
              <w:textAlignment w:val="center"/>
              <w:rPr>
                <w:rFonts w:hint="eastAsia" w:eastAsia="宋体"/>
                <w:color w:val="auto"/>
                <w:szCs w:val="21"/>
                <w:highlight w:val="none"/>
                <w:u w:val="none" w:color="auto"/>
                <w:lang w:val="en-US" w:eastAsia="zh-CN"/>
              </w:rPr>
            </w:pPr>
          </w:p>
        </w:tc>
      </w:tr>
      <w:tr w14:paraId="113E25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90" w:hRule="atLeast"/>
          <w:jc w:val="center"/>
        </w:trPr>
        <w:tc>
          <w:tcPr>
            <w:tcW w:w="403" w:type="pct"/>
            <w:vMerge w:val="continue"/>
            <w:tcBorders>
              <w:left w:val="single" w:color="000000" w:sz="10" w:space="0"/>
            </w:tcBorders>
            <w:vAlign w:val="center"/>
          </w:tcPr>
          <w:p w14:paraId="0B6F1A64">
            <w:pPr>
              <w:widowControl/>
              <w:jc w:val="center"/>
              <w:textAlignment w:val="center"/>
              <w:rPr>
                <w:rFonts w:hint="eastAsia" w:eastAsia="宋体"/>
                <w:color w:val="auto"/>
                <w:szCs w:val="21"/>
                <w:highlight w:val="none"/>
                <w:u w:val="none" w:color="auto"/>
                <w:lang w:val="en-US" w:eastAsia="zh-CN"/>
              </w:rPr>
            </w:pPr>
          </w:p>
        </w:tc>
        <w:tc>
          <w:tcPr>
            <w:tcW w:w="906" w:type="pct"/>
            <w:tcBorders>
              <w:top w:val="nil"/>
            </w:tcBorders>
            <w:vAlign w:val="center"/>
          </w:tcPr>
          <w:p w14:paraId="46FD3D80">
            <w:pPr>
              <w:pStyle w:val="155"/>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cs="Times New Roman"/>
                <w:color w:val="auto"/>
                <w:spacing w:val="7"/>
                <w:sz w:val="21"/>
                <w:szCs w:val="21"/>
                <w:highlight w:val="none"/>
                <w:u w:val="none" w:color="auto"/>
                <w:lang w:val="en-US" w:eastAsia="zh-CN"/>
              </w:rPr>
              <w:t>DA002溶剂废气排气筒</w:t>
            </w:r>
          </w:p>
        </w:tc>
        <w:tc>
          <w:tcPr>
            <w:tcW w:w="942" w:type="pct"/>
            <w:vAlign w:val="center"/>
          </w:tcPr>
          <w:p w14:paraId="6CCAD509">
            <w:pPr>
              <w:pStyle w:val="155"/>
              <w:keepNext w:val="0"/>
              <w:keepLines w:val="0"/>
              <w:pageBreakBefore w:val="0"/>
              <w:widowControl w:val="0"/>
              <w:kinsoku/>
              <w:wordWrap/>
              <w:overflowPunct/>
              <w:topLinePunct w:val="0"/>
              <w:autoSpaceDE/>
              <w:autoSpaceDN/>
              <w:bidi w:val="0"/>
              <w:adjustRightInd w:val="0"/>
              <w:snapToGrid w:val="0"/>
              <w:spacing w:line="240" w:lineRule="auto"/>
              <w:ind w:left="0" w:leftChars="0" w:right="0" w:rightChars="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cs="Times New Roman"/>
                <w:color w:val="auto"/>
                <w:spacing w:val="7"/>
                <w:sz w:val="21"/>
                <w:szCs w:val="21"/>
                <w:highlight w:val="none"/>
                <w:u w:val="none" w:color="auto"/>
                <w:lang w:val="en-US" w:eastAsia="zh-CN"/>
              </w:rPr>
              <w:t>非甲烷总烃</w:t>
            </w:r>
          </w:p>
        </w:tc>
        <w:tc>
          <w:tcPr>
            <w:tcW w:w="1316" w:type="pct"/>
            <w:tcBorders>
              <w:top w:val="nil"/>
            </w:tcBorders>
            <w:vAlign w:val="center"/>
          </w:tcPr>
          <w:p w14:paraId="6F815C62">
            <w:pPr>
              <w:widowControl/>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收集后经15</w:t>
            </w:r>
            <w:r>
              <w:rPr>
                <w:rFonts w:hint="eastAsia" w:eastAsia="宋体"/>
                <w:color w:val="auto"/>
                <w:szCs w:val="21"/>
                <w:highlight w:val="none"/>
                <w:u w:val="none" w:color="auto"/>
                <w:lang w:val="en-US" w:eastAsia="zh-CN"/>
              </w:rPr>
              <w:t>m排气筒排放</w:t>
            </w:r>
          </w:p>
        </w:tc>
        <w:tc>
          <w:tcPr>
            <w:tcW w:w="1431" w:type="pct"/>
            <w:tcBorders>
              <w:top w:val="nil"/>
              <w:right w:val="single" w:color="000000" w:sz="10" w:space="0"/>
            </w:tcBorders>
            <w:vAlign w:val="center"/>
          </w:tcPr>
          <w:p w14:paraId="2B6FD415">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《大气污染物综合排放标准》(GB16297-1996)表2排放浓度限值</w:t>
            </w:r>
          </w:p>
        </w:tc>
      </w:tr>
      <w:tr w14:paraId="7C876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626" w:hRule="atLeast"/>
          <w:jc w:val="center"/>
        </w:trPr>
        <w:tc>
          <w:tcPr>
            <w:tcW w:w="403" w:type="pct"/>
            <w:vMerge w:val="restart"/>
            <w:tcBorders>
              <w:left w:val="single" w:color="000000" w:sz="10" w:space="0"/>
            </w:tcBorders>
            <w:vAlign w:val="center"/>
          </w:tcPr>
          <w:p w14:paraId="5B0FC3C0">
            <w:pPr>
              <w:widowControl/>
              <w:jc w:val="center"/>
              <w:textAlignment w:val="center"/>
              <w:rPr>
                <w:rFonts w:hint="eastAsia" w:eastAsia="宋体"/>
                <w:color w:val="auto"/>
                <w:szCs w:val="21"/>
                <w:highlight w:val="none"/>
                <w:u w:val="none" w:color="auto"/>
                <w:lang w:val="en-US" w:eastAsia="zh-CN"/>
              </w:rPr>
            </w:pPr>
          </w:p>
          <w:p w14:paraId="7C1E6454">
            <w:pPr>
              <w:widowControl/>
              <w:jc w:val="center"/>
              <w:textAlignment w:val="center"/>
              <w:rPr>
                <w:rFonts w:hint="eastAsia" w:eastAsia="宋体"/>
                <w:color w:val="auto"/>
                <w:szCs w:val="21"/>
                <w:highlight w:val="none"/>
                <w:u w:val="none" w:color="auto"/>
                <w:lang w:val="en-US" w:eastAsia="zh-CN"/>
              </w:rPr>
            </w:pPr>
          </w:p>
          <w:p w14:paraId="1BFF1FDE">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地表水环境</w:t>
            </w:r>
          </w:p>
        </w:tc>
        <w:tc>
          <w:tcPr>
            <w:tcW w:w="906" w:type="pct"/>
            <w:vAlign w:val="center"/>
          </w:tcPr>
          <w:p w14:paraId="5B57FD86">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生活污水</w:t>
            </w:r>
          </w:p>
        </w:tc>
        <w:tc>
          <w:tcPr>
            <w:tcW w:w="942" w:type="pct"/>
            <w:vAlign w:val="center"/>
          </w:tcPr>
          <w:p w14:paraId="111DE7CD">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PH、BOD</w:t>
            </w:r>
            <w:r>
              <w:rPr>
                <w:rFonts w:hint="eastAsia" w:ascii="Times New Roman" w:hAnsi="Times New Roman" w:eastAsia="宋体" w:cs="Times New Roman"/>
                <w:color w:val="auto"/>
                <w:spacing w:val="7"/>
                <w:sz w:val="21"/>
                <w:szCs w:val="21"/>
                <w:highlight w:val="none"/>
                <w:u w:val="none" w:color="auto"/>
                <w:vertAlign w:val="subscript"/>
                <w:lang w:val="en-US" w:eastAsia="zh-CN"/>
              </w:rPr>
              <w:t>5</w:t>
            </w:r>
            <w:r>
              <w:rPr>
                <w:rFonts w:hint="eastAsia" w:ascii="Times New Roman" w:hAnsi="Times New Roman" w:eastAsia="宋体" w:cs="Times New Roman"/>
                <w:color w:val="auto"/>
                <w:spacing w:val="7"/>
                <w:sz w:val="21"/>
                <w:szCs w:val="21"/>
                <w:highlight w:val="none"/>
                <w:u w:val="none" w:color="auto"/>
                <w:lang w:val="en-US" w:eastAsia="zh-CN"/>
              </w:rPr>
              <w:t>、 COD、NH</w:t>
            </w:r>
            <w:r>
              <w:rPr>
                <w:rFonts w:hint="eastAsia" w:ascii="Times New Roman" w:hAnsi="Times New Roman" w:eastAsia="宋体" w:cs="Times New Roman"/>
                <w:color w:val="auto"/>
                <w:spacing w:val="7"/>
                <w:sz w:val="21"/>
                <w:szCs w:val="21"/>
                <w:highlight w:val="none"/>
                <w:u w:val="none" w:color="auto"/>
                <w:vertAlign w:val="subscript"/>
                <w:lang w:val="en-US" w:eastAsia="zh-CN"/>
              </w:rPr>
              <w:t>3</w:t>
            </w:r>
            <w:r>
              <w:rPr>
                <w:rFonts w:hint="eastAsia" w:ascii="Times New Roman" w:hAnsi="Times New Roman" w:eastAsia="宋体" w:cs="Times New Roman"/>
                <w:color w:val="auto"/>
                <w:spacing w:val="7"/>
                <w:sz w:val="21"/>
                <w:szCs w:val="21"/>
                <w:highlight w:val="none"/>
                <w:u w:val="none" w:color="auto"/>
                <w:lang w:val="en-US" w:eastAsia="zh-CN"/>
              </w:rPr>
              <w:t>-N 、SS</w:t>
            </w:r>
          </w:p>
        </w:tc>
        <w:tc>
          <w:tcPr>
            <w:tcW w:w="1316" w:type="pct"/>
            <w:vAlign w:val="center"/>
          </w:tcPr>
          <w:p w14:paraId="1930F584">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化粪池（5m</w:t>
            </w:r>
            <w:r>
              <w:rPr>
                <w:rFonts w:hint="eastAsia" w:eastAsia="宋体"/>
                <w:color w:val="auto"/>
                <w:szCs w:val="21"/>
                <w:highlight w:val="none"/>
                <w:u w:val="none" w:color="auto"/>
                <w:vertAlign w:val="superscript"/>
                <w:lang w:val="en-US" w:eastAsia="zh-CN"/>
              </w:rPr>
              <w:t>3</w:t>
            </w:r>
            <w:r>
              <w:rPr>
                <w:rFonts w:hint="eastAsia" w:eastAsia="宋体"/>
                <w:color w:val="auto"/>
                <w:szCs w:val="21"/>
                <w:highlight w:val="none"/>
                <w:u w:val="none" w:color="auto"/>
                <w:lang w:val="en-US" w:eastAsia="zh-CN"/>
              </w:rPr>
              <w:t>）</w:t>
            </w:r>
          </w:p>
        </w:tc>
        <w:tc>
          <w:tcPr>
            <w:tcW w:w="1431" w:type="pct"/>
            <w:tcBorders>
              <w:bottom w:val="single" w:color="auto" w:sz="4" w:space="0"/>
              <w:right w:val="single" w:color="000000" w:sz="10" w:space="0"/>
            </w:tcBorders>
            <w:vAlign w:val="center"/>
          </w:tcPr>
          <w:p w14:paraId="7782E87A">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《污水综合排放标准》（GB8978-1996）中三级排放标准</w:t>
            </w:r>
          </w:p>
        </w:tc>
      </w:tr>
      <w:tr w14:paraId="409B3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480" w:hRule="atLeast"/>
          <w:jc w:val="center"/>
        </w:trPr>
        <w:tc>
          <w:tcPr>
            <w:tcW w:w="403" w:type="pct"/>
            <w:vMerge w:val="continue"/>
            <w:tcBorders>
              <w:left w:val="single" w:color="000000" w:sz="10" w:space="0"/>
            </w:tcBorders>
            <w:vAlign w:val="center"/>
          </w:tcPr>
          <w:p w14:paraId="65BBE1EE">
            <w:pPr>
              <w:widowControl/>
              <w:jc w:val="center"/>
              <w:textAlignment w:val="center"/>
              <w:rPr>
                <w:rFonts w:hint="eastAsia" w:eastAsia="宋体"/>
                <w:color w:val="auto"/>
                <w:szCs w:val="21"/>
                <w:highlight w:val="none"/>
                <w:u w:val="none" w:color="auto"/>
                <w:lang w:val="en-US" w:eastAsia="zh-CN"/>
              </w:rPr>
            </w:pPr>
          </w:p>
        </w:tc>
        <w:tc>
          <w:tcPr>
            <w:tcW w:w="906" w:type="pct"/>
            <w:vAlign w:val="center"/>
          </w:tcPr>
          <w:p w14:paraId="0D1401C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锅炉排污水+软化处理废水</w:t>
            </w:r>
          </w:p>
        </w:tc>
        <w:tc>
          <w:tcPr>
            <w:tcW w:w="942" w:type="pct"/>
            <w:vAlign w:val="center"/>
          </w:tcPr>
          <w:p w14:paraId="4A03A1C5">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PH、COD、溶解性总固体（全盐量）</w:t>
            </w:r>
          </w:p>
        </w:tc>
        <w:tc>
          <w:tcPr>
            <w:tcW w:w="1316" w:type="pct"/>
            <w:vAlign w:val="center"/>
          </w:tcPr>
          <w:p w14:paraId="52A0DDD0">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沉淀池（</w:t>
            </w:r>
            <w:r>
              <w:rPr>
                <w:rFonts w:hint="eastAsia"/>
                <w:color w:val="auto"/>
                <w:szCs w:val="21"/>
                <w:highlight w:val="none"/>
                <w:u w:val="none" w:color="auto"/>
                <w:lang w:val="en-US" w:eastAsia="zh-CN"/>
              </w:rPr>
              <w:t>10</w:t>
            </w:r>
            <w:r>
              <w:rPr>
                <w:rFonts w:hint="eastAsia" w:eastAsia="宋体"/>
                <w:color w:val="auto"/>
                <w:szCs w:val="21"/>
                <w:highlight w:val="none"/>
                <w:u w:val="none" w:color="auto"/>
                <w:lang w:val="en-US" w:eastAsia="zh-CN"/>
              </w:rPr>
              <w:t>m</w:t>
            </w:r>
            <w:r>
              <w:rPr>
                <w:rFonts w:hint="eastAsia" w:eastAsia="宋体"/>
                <w:color w:val="auto"/>
                <w:szCs w:val="21"/>
                <w:highlight w:val="none"/>
                <w:u w:val="none" w:color="auto"/>
                <w:vertAlign w:val="superscript"/>
                <w:lang w:val="en-US" w:eastAsia="zh-CN"/>
              </w:rPr>
              <w:t>3</w:t>
            </w:r>
            <w:r>
              <w:rPr>
                <w:rFonts w:hint="eastAsia" w:eastAsia="宋体"/>
                <w:color w:val="auto"/>
                <w:szCs w:val="21"/>
                <w:highlight w:val="none"/>
                <w:u w:val="none" w:color="auto"/>
                <w:lang w:val="en-US" w:eastAsia="zh-CN"/>
              </w:rPr>
              <w:t>）</w:t>
            </w:r>
          </w:p>
        </w:tc>
        <w:tc>
          <w:tcPr>
            <w:tcW w:w="1431" w:type="pct"/>
            <w:tcBorders>
              <w:top w:val="single" w:color="auto" w:sz="4" w:space="0"/>
              <w:right w:val="single" w:color="000000" w:sz="10" w:space="0"/>
            </w:tcBorders>
            <w:vAlign w:val="center"/>
          </w:tcPr>
          <w:p w14:paraId="63533920">
            <w:pPr>
              <w:widowControl/>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回用于生产</w:t>
            </w:r>
          </w:p>
        </w:tc>
      </w:tr>
      <w:tr w14:paraId="0847D0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397" w:hRule="atLeast"/>
          <w:jc w:val="center"/>
        </w:trPr>
        <w:tc>
          <w:tcPr>
            <w:tcW w:w="403" w:type="pct"/>
            <w:tcBorders>
              <w:left w:val="single" w:color="000000" w:sz="10" w:space="0"/>
            </w:tcBorders>
            <w:vAlign w:val="center"/>
          </w:tcPr>
          <w:p w14:paraId="7C6A77E2">
            <w:pPr>
              <w:widowControl/>
              <w:jc w:val="center"/>
              <w:textAlignment w:val="center"/>
              <w:rPr>
                <w:rFonts w:hint="eastAsia" w:eastAsia="宋体"/>
                <w:color w:val="auto"/>
                <w:szCs w:val="21"/>
                <w:highlight w:val="none"/>
                <w:u w:val="none" w:color="auto"/>
                <w:lang w:val="en-US" w:eastAsia="zh-CN"/>
              </w:rPr>
            </w:pPr>
          </w:p>
          <w:p w14:paraId="0781748A">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声环境</w:t>
            </w:r>
          </w:p>
        </w:tc>
        <w:tc>
          <w:tcPr>
            <w:tcW w:w="906" w:type="pct"/>
            <w:vAlign w:val="center"/>
          </w:tcPr>
          <w:p w14:paraId="287339FE">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运行设备</w:t>
            </w:r>
          </w:p>
        </w:tc>
        <w:tc>
          <w:tcPr>
            <w:tcW w:w="942" w:type="pct"/>
            <w:vAlign w:val="center"/>
          </w:tcPr>
          <w:p w14:paraId="19559D5C">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eastAsia="宋体" w:cs="Times New Roman"/>
                <w:color w:val="auto"/>
                <w:spacing w:val="7"/>
                <w:sz w:val="21"/>
                <w:szCs w:val="21"/>
                <w:highlight w:val="none"/>
                <w:u w:val="none" w:color="auto"/>
                <w:lang w:val="en-US" w:eastAsia="zh-CN"/>
              </w:rPr>
              <w:t>噪声</w:t>
            </w:r>
          </w:p>
        </w:tc>
        <w:tc>
          <w:tcPr>
            <w:tcW w:w="1316" w:type="pct"/>
            <w:vAlign w:val="center"/>
          </w:tcPr>
          <w:p w14:paraId="7FF5201C">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采用基础减震、隔声措施等</w:t>
            </w:r>
          </w:p>
        </w:tc>
        <w:tc>
          <w:tcPr>
            <w:tcW w:w="1431" w:type="pct"/>
            <w:tcBorders>
              <w:right w:val="single" w:color="000000" w:sz="10" w:space="0"/>
            </w:tcBorders>
            <w:vAlign w:val="center"/>
          </w:tcPr>
          <w:p w14:paraId="4B2F69D8">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《工业企业厂界环境噪声排放标准》（GB12348-2008）2类标准</w:t>
            </w:r>
          </w:p>
        </w:tc>
      </w:tr>
      <w:tr w14:paraId="695CC2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36" w:hRule="atLeast"/>
          <w:jc w:val="center"/>
        </w:trPr>
        <w:tc>
          <w:tcPr>
            <w:tcW w:w="403" w:type="pct"/>
            <w:tcBorders>
              <w:left w:val="single" w:color="000000" w:sz="10" w:space="0"/>
            </w:tcBorders>
            <w:vAlign w:val="center"/>
          </w:tcPr>
          <w:p w14:paraId="739E957F">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电磁辐射</w:t>
            </w:r>
          </w:p>
        </w:tc>
        <w:tc>
          <w:tcPr>
            <w:tcW w:w="906" w:type="pct"/>
            <w:vAlign w:val="center"/>
          </w:tcPr>
          <w:p w14:paraId="781EED7E">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w:t>
            </w:r>
          </w:p>
        </w:tc>
        <w:tc>
          <w:tcPr>
            <w:tcW w:w="942" w:type="pct"/>
            <w:vAlign w:val="center"/>
          </w:tcPr>
          <w:p w14:paraId="4152375E">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w:t>
            </w:r>
          </w:p>
        </w:tc>
        <w:tc>
          <w:tcPr>
            <w:tcW w:w="1316" w:type="pct"/>
            <w:vAlign w:val="center"/>
          </w:tcPr>
          <w:p w14:paraId="5666905B">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w:t>
            </w:r>
          </w:p>
        </w:tc>
        <w:tc>
          <w:tcPr>
            <w:tcW w:w="1431" w:type="pct"/>
            <w:tcBorders>
              <w:right w:val="single" w:color="000000" w:sz="10" w:space="0"/>
            </w:tcBorders>
            <w:vAlign w:val="center"/>
          </w:tcPr>
          <w:p w14:paraId="350CF435">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w:t>
            </w:r>
          </w:p>
        </w:tc>
      </w:tr>
      <w:tr w14:paraId="392FD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91" w:hRule="atLeast"/>
          <w:jc w:val="center"/>
        </w:trPr>
        <w:tc>
          <w:tcPr>
            <w:tcW w:w="403" w:type="pct"/>
            <w:vMerge w:val="restart"/>
            <w:tcBorders>
              <w:left w:val="single" w:color="000000" w:sz="10" w:space="0"/>
              <w:bottom w:val="nil"/>
            </w:tcBorders>
            <w:vAlign w:val="center"/>
          </w:tcPr>
          <w:p w14:paraId="7FF033E0">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固体废物</w:t>
            </w:r>
          </w:p>
        </w:tc>
        <w:tc>
          <w:tcPr>
            <w:tcW w:w="1849" w:type="pct"/>
            <w:gridSpan w:val="2"/>
            <w:vAlign w:val="center"/>
          </w:tcPr>
          <w:p w14:paraId="73CE7285">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生活垃圾</w:t>
            </w:r>
          </w:p>
        </w:tc>
        <w:tc>
          <w:tcPr>
            <w:tcW w:w="1316" w:type="pct"/>
            <w:vAlign w:val="center"/>
          </w:tcPr>
          <w:p w14:paraId="2AB3B20A">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收集至垃圾桶内，由环卫部门统一处置</w:t>
            </w:r>
          </w:p>
        </w:tc>
        <w:tc>
          <w:tcPr>
            <w:tcW w:w="1431" w:type="pct"/>
            <w:tcBorders>
              <w:right w:val="single" w:color="000000" w:sz="10" w:space="0"/>
            </w:tcBorders>
            <w:vAlign w:val="center"/>
          </w:tcPr>
          <w:p w14:paraId="6D73AF95">
            <w:pPr>
              <w:widowControl/>
              <w:jc w:val="center"/>
              <w:textAlignment w:val="center"/>
              <w:rPr>
                <w:rFonts w:hint="eastAsia" w:eastAsia="宋体"/>
                <w:color w:val="auto"/>
                <w:szCs w:val="21"/>
                <w:highlight w:val="none"/>
                <w:u w:val="none" w:color="auto"/>
                <w:lang w:val="en-US" w:eastAsia="zh-CN"/>
              </w:rPr>
            </w:pPr>
            <w:r>
              <w:rPr>
                <w:rFonts w:hint="eastAsia"/>
                <w:color w:val="auto"/>
                <w:szCs w:val="21"/>
                <w:highlight w:val="none"/>
                <w:u w:val="none" w:color="auto"/>
                <w:lang w:val="en-US" w:eastAsia="zh-CN"/>
              </w:rPr>
              <w:t>/</w:t>
            </w:r>
          </w:p>
        </w:tc>
      </w:tr>
      <w:tr w14:paraId="3B77A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522" w:hRule="atLeast"/>
          <w:jc w:val="center"/>
        </w:trPr>
        <w:tc>
          <w:tcPr>
            <w:tcW w:w="403" w:type="pct"/>
            <w:vMerge w:val="continue"/>
            <w:tcBorders>
              <w:top w:val="nil"/>
              <w:left w:val="single" w:color="000000" w:sz="10" w:space="0"/>
              <w:bottom w:val="nil"/>
            </w:tcBorders>
            <w:vAlign w:val="center"/>
          </w:tcPr>
          <w:p w14:paraId="761F21F6">
            <w:pPr>
              <w:widowControl/>
              <w:jc w:val="center"/>
              <w:textAlignment w:val="center"/>
              <w:rPr>
                <w:rFonts w:hint="eastAsia" w:eastAsia="宋体"/>
                <w:color w:val="auto"/>
                <w:szCs w:val="21"/>
                <w:highlight w:val="none"/>
                <w:u w:val="none" w:color="auto"/>
                <w:lang w:val="en-US" w:eastAsia="zh-CN"/>
              </w:rPr>
            </w:pPr>
          </w:p>
        </w:tc>
        <w:tc>
          <w:tcPr>
            <w:tcW w:w="906" w:type="pct"/>
            <w:vAlign w:val="center"/>
          </w:tcPr>
          <w:p w14:paraId="3BD65D53">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一般固废</w:t>
            </w:r>
          </w:p>
        </w:tc>
        <w:tc>
          <w:tcPr>
            <w:tcW w:w="942" w:type="pct"/>
            <w:vAlign w:val="center"/>
          </w:tcPr>
          <w:p w14:paraId="0A11BF23">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除尘灰</w:t>
            </w:r>
            <w:r>
              <w:rPr>
                <w:rFonts w:hint="eastAsia"/>
                <w:color w:val="auto"/>
                <w:szCs w:val="21"/>
                <w:highlight w:val="none"/>
                <w:u w:val="none" w:color="auto"/>
                <w:lang w:val="en-US" w:eastAsia="zh-CN"/>
              </w:rPr>
              <w:t>、</w:t>
            </w:r>
            <w:r>
              <w:rPr>
                <w:rFonts w:hint="eastAsia" w:eastAsia="宋体"/>
                <w:color w:val="auto"/>
                <w:szCs w:val="21"/>
                <w:highlight w:val="none"/>
                <w:u w:val="none" w:color="auto"/>
                <w:lang w:val="en-US" w:eastAsia="zh-CN"/>
              </w:rPr>
              <w:t>饱和或者废弃的离子交换树脂</w:t>
            </w:r>
          </w:p>
        </w:tc>
        <w:tc>
          <w:tcPr>
            <w:tcW w:w="1316" w:type="pct"/>
            <w:vAlign w:val="center"/>
          </w:tcPr>
          <w:p w14:paraId="4B7EC02B">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分类收集堆存，按要求存放于一般固废暂存间</w:t>
            </w:r>
          </w:p>
        </w:tc>
        <w:tc>
          <w:tcPr>
            <w:tcW w:w="1431" w:type="pct"/>
            <w:tcBorders>
              <w:right w:val="single" w:color="000000" w:sz="10" w:space="0"/>
            </w:tcBorders>
            <w:vAlign w:val="center"/>
          </w:tcPr>
          <w:p w14:paraId="17EBC778">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《一般工业固体废物贮存和填埋污染控制标准》</w:t>
            </w:r>
          </w:p>
          <w:p w14:paraId="1BB293FF">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（GB18599-2020）</w:t>
            </w:r>
          </w:p>
        </w:tc>
      </w:tr>
      <w:tr w14:paraId="60CC5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397" w:hRule="atLeast"/>
          <w:jc w:val="center"/>
        </w:trPr>
        <w:tc>
          <w:tcPr>
            <w:tcW w:w="403" w:type="pct"/>
            <w:tcBorders>
              <w:top w:val="nil"/>
              <w:left w:val="single" w:color="000000" w:sz="10" w:space="0"/>
              <w:bottom w:val="nil"/>
            </w:tcBorders>
            <w:vAlign w:val="center"/>
          </w:tcPr>
          <w:p w14:paraId="5D526936">
            <w:pPr>
              <w:widowControl/>
              <w:jc w:val="center"/>
              <w:textAlignment w:val="center"/>
              <w:rPr>
                <w:rFonts w:hint="eastAsia" w:eastAsia="宋体"/>
                <w:color w:val="auto"/>
                <w:szCs w:val="21"/>
                <w:highlight w:val="none"/>
                <w:u w:val="none" w:color="auto"/>
                <w:lang w:val="en-US" w:eastAsia="zh-CN"/>
              </w:rPr>
            </w:pPr>
          </w:p>
        </w:tc>
        <w:tc>
          <w:tcPr>
            <w:tcW w:w="906" w:type="pct"/>
            <w:vAlign w:val="center"/>
          </w:tcPr>
          <w:p w14:paraId="1C313B68">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危险废物</w:t>
            </w:r>
          </w:p>
        </w:tc>
        <w:tc>
          <w:tcPr>
            <w:tcW w:w="942" w:type="pct"/>
            <w:vAlign w:val="center"/>
          </w:tcPr>
          <w:p w14:paraId="57CAD118">
            <w:pPr>
              <w:widowControl/>
              <w:jc w:val="center"/>
              <w:textAlignment w:val="center"/>
              <w:rPr>
                <w:rFonts w:hint="default" w:eastAsia="宋体"/>
                <w:color w:val="auto"/>
                <w:szCs w:val="21"/>
                <w:highlight w:val="none"/>
                <w:u w:val="none" w:color="auto"/>
                <w:lang w:val="en-US" w:eastAsia="zh-CN"/>
              </w:rPr>
            </w:pPr>
            <w:r>
              <w:rPr>
                <w:rFonts w:hint="eastAsia"/>
                <w:color w:val="auto"/>
                <w:szCs w:val="21"/>
                <w:highlight w:val="none"/>
                <w:u w:val="none" w:color="auto"/>
                <w:lang w:val="en-US" w:eastAsia="zh-CN"/>
              </w:rPr>
              <w:t>废矿物油</w:t>
            </w:r>
          </w:p>
        </w:tc>
        <w:tc>
          <w:tcPr>
            <w:tcW w:w="1316" w:type="pct"/>
            <w:vAlign w:val="center"/>
          </w:tcPr>
          <w:p w14:paraId="5F6DCF12">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按要求存放于危废暂存间，定期交由有资质单位处置</w:t>
            </w:r>
          </w:p>
        </w:tc>
        <w:tc>
          <w:tcPr>
            <w:tcW w:w="1431" w:type="pct"/>
            <w:tcBorders>
              <w:right w:val="single" w:color="000000" w:sz="10" w:space="0"/>
            </w:tcBorders>
            <w:vAlign w:val="center"/>
          </w:tcPr>
          <w:p w14:paraId="09FDBBA6">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《危险废物贮存污染控制标准》（GB18597-2023）</w:t>
            </w:r>
          </w:p>
        </w:tc>
      </w:tr>
      <w:tr w14:paraId="5E8DD3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2105" w:hRule="atLeast"/>
          <w:jc w:val="center"/>
        </w:trPr>
        <w:tc>
          <w:tcPr>
            <w:tcW w:w="403" w:type="pct"/>
            <w:tcBorders>
              <w:left w:val="single" w:color="000000" w:sz="10" w:space="0"/>
            </w:tcBorders>
            <w:vAlign w:val="center"/>
          </w:tcPr>
          <w:p w14:paraId="5F538929">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土壤及地下水污染防治措施</w:t>
            </w:r>
          </w:p>
        </w:tc>
        <w:tc>
          <w:tcPr>
            <w:tcW w:w="4596" w:type="pct"/>
            <w:gridSpan w:val="4"/>
            <w:tcBorders>
              <w:right w:val="single" w:color="000000" w:sz="10" w:space="0"/>
            </w:tcBorders>
            <w:vAlign w:val="center"/>
          </w:tcPr>
          <w:p w14:paraId="71C7539E">
            <w:pPr>
              <w:widowControl/>
              <w:jc w:val="center"/>
              <w:textAlignment w:val="center"/>
              <w:rPr>
                <w:rFonts w:hint="eastAsia" w:eastAsia="宋体"/>
                <w:color w:val="auto"/>
                <w:szCs w:val="21"/>
                <w:highlight w:val="none"/>
                <w:u w:val="none" w:color="auto"/>
                <w:lang w:val="en-US" w:eastAsia="zh-CN"/>
              </w:rPr>
            </w:pPr>
            <w:r>
              <w:rPr>
                <w:rFonts w:hint="eastAsia"/>
                <w:color w:val="auto"/>
                <w:szCs w:val="21"/>
                <w:highlight w:val="none"/>
                <w:u w:val="none" w:color="auto"/>
                <w:lang w:val="en-US" w:eastAsia="zh-CN"/>
              </w:rPr>
              <w:t>危废暂存间</w:t>
            </w:r>
            <w:r>
              <w:rPr>
                <w:rFonts w:hint="eastAsia" w:eastAsia="宋体"/>
                <w:color w:val="auto"/>
                <w:szCs w:val="21"/>
                <w:highlight w:val="none"/>
                <w:u w:val="none" w:color="auto"/>
                <w:lang w:val="en-US" w:eastAsia="zh-CN"/>
              </w:rPr>
              <w:t>进行</w:t>
            </w:r>
            <w:r>
              <w:rPr>
                <w:rFonts w:hint="default" w:eastAsia="宋体"/>
                <w:color w:val="auto"/>
                <w:szCs w:val="21"/>
                <w:highlight w:val="none"/>
                <w:u w:val="none" w:color="auto"/>
                <w:lang w:val="en-US" w:eastAsia="zh-CN"/>
              </w:rPr>
              <w:t>重点防渗区</w:t>
            </w:r>
            <w:r>
              <w:rPr>
                <w:rFonts w:hint="eastAsia" w:eastAsia="宋体"/>
                <w:color w:val="auto"/>
                <w:szCs w:val="21"/>
                <w:highlight w:val="none"/>
                <w:u w:val="none" w:color="auto"/>
                <w:lang w:val="en-US" w:eastAsia="zh-CN"/>
              </w:rPr>
              <w:t>，</w:t>
            </w:r>
            <w:r>
              <w:rPr>
                <w:rFonts w:hint="default" w:eastAsia="宋体"/>
                <w:color w:val="auto"/>
                <w:szCs w:val="21"/>
                <w:highlight w:val="none"/>
                <w:u w:val="none" w:color="auto"/>
                <w:lang w:val="en-US" w:eastAsia="zh-CN"/>
              </w:rPr>
              <w:t>锅炉房、燃料贮存区</w:t>
            </w:r>
            <w:r>
              <w:rPr>
                <w:rFonts w:hint="eastAsia"/>
                <w:color w:val="auto"/>
                <w:szCs w:val="21"/>
                <w:highlight w:val="none"/>
                <w:u w:val="none" w:color="auto"/>
                <w:lang w:val="en-US" w:eastAsia="zh-CN"/>
              </w:rPr>
              <w:t>、沉淀池</w:t>
            </w:r>
            <w:r>
              <w:rPr>
                <w:rFonts w:hint="eastAsia" w:eastAsia="宋体"/>
                <w:color w:val="auto"/>
                <w:szCs w:val="21"/>
                <w:highlight w:val="none"/>
                <w:u w:val="none" w:color="auto"/>
                <w:lang w:val="en-US" w:eastAsia="zh-CN"/>
              </w:rPr>
              <w:t>地面均进行水泥硬化</w:t>
            </w:r>
          </w:p>
        </w:tc>
      </w:tr>
      <w:tr w14:paraId="6A6AA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1040" w:hRule="atLeast"/>
          <w:jc w:val="center"/>
        </w:trPr>
        <w:tc>
          <w:tcPr>
            <w:tcW w:w="403" w:type="pct"/>
            <w:tcBorders>
              <w:left w:val="single" w:color="000000" w:sz="10" w:space="0"/>
            </w:tcBorders>
            <w:vAlign w:val="center"/>
          </w:tcPr>
          <w:p w14:paraId="5BB0178A">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生态保护措施</w:t>
            </w:r>
          </w:p>
        </w:tc>
        <w:tc>
          <w:tcPr>
            <w:tcW w:w="4596" w:type="pct"/>
            <w:gridSpan w:val="4"/>
            <w:tcBorders>
              <w:right w:val="single" w:color="000000" w:sz="10" w:space="0"/>
            </w:tcBorders>
            <w:vAlign w:val="center"/>
          </w:tcPr>
          <w:p w14:paraId="4A3E72EA">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w:t>
            </w:r>
          </w:p>
        </w:tc>
      </w:tr>
      <w:tr w14:paraId="12BF2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628" w:hRule="atLeast"/>
          <w:jc w:val="center"/>
        </w:trPr>
        <w:tc>
          <w:tcPr>
            <w:tcW w:w="403" w:type="pct"/>
            <w:tcBorders>
              <w:left w:val="single" w:color="000000" w:sz="10" w:space="0"/>
            </w:tcBorders>
            <w:vAlign w:val="center"/>
          </w:tcPr>
          <w:p w14:paraId="57FFBB02">
            <w:pPr>
              <w:widowControl/>
              <w:jc w:val="center"/>
              <w:textAlignment w:val="center"/>
              <w:rPr>
                <w:rFonts w:hint="eastAsia" w:eastAsia="宋体"/>
                <w:color w:val="auto"/>
                <w:szCs w:val="21"/>
                <w:highlight w:val="none"/>
                <w:u w:val="none" w:color="auto"/>
                <w:lang w:val="en-US" w:eastAsia="zh-CN"/>
              </w:rPr>
            </w:pPr>
          </w:p>
          <w:p w14:paraId="260E7A67">
            <w:pPr>
              <w:widowControl/>
              <w:jc w:val="center"/>
              <w:textAlignment w:val="center"/>
              <w:rPr>
                <w:rFonts w:hint="eastAsia" w:eastAsia="宋体"/>
                <w:color w:val="auto"/>
                <w:szCs w:val="21"/>
                <w:highlight w:val="none"/>
                <w:u w:val="none" w:color="auto"/>
                <w:lang w:val="en-US" w:eastAsia="zh-CN"/>
              </w:rPr>
            </w:pPr>
          </w:p>
          <w:p w14:paraId="67C3AE59">
            <w:pPr>
              <w:widowControl/>
              <w:jc w:val="center"/>
              <w:textAlignment w:val="center"/>
              <w:rPr>
                <w:rFonts w:hint="eastAsia" w:eastAsia="宋体"/>
                <w:color w:val="auto"/>
                <w:szCs w:val="21"/>
                <w:highlight w:val="none"/>
                <w:u w:val="none" w:color="auto"/>
                <w:lang w:val="en-US" w:eastAsia="zh-CN"/>
              </w:rPr>
            </w:pPr>
          </w:p>
          <w:p w14:paraId="14E07C07">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环境风险防范措施</w:t>
            </w:r>
          </w:p>
        </w:tc>
        <w:tc>
          <w:tcPr>
            <w:tcW w:w="4596" w:type="pct"/>
            <w:gridSpan w:val="4"/>
            <w:tcBorders>
              <w:right w:val="single" w:color="000000" w:sz="10" w:space="0"/>
            </w:tcBorders>
            <w:vAlign w:val="center"/>
          </w:tcPr>
          <w:p w14:paraId="7138C2D3">
            <w:pPr>
              <w:spacing w:line="360" w:lineRule="auto"/>
              <w:ind w:firstLine="480" w:firstLineChars="200"/>
              <w:rPr>
                <w:rFonts w:hint="eastAsia" w:ascii="Times New Roman" w:hAnsi="Times New Roman" w:cs="Times New Roman"/>
                <w:bCs/>
                <w:color w:val="auto"/>
                <w:sz w:val="24"/>
                <w:highlight w:val="none"/>
                <w:u w:val="none" w:color="auto"/>
                <w:lang w:val="en-US" w:eastAsia="en-US"/>
              </w:rPr>
            </w:pPr>
            <w:r>
              <w:rPr>
                <w:rFonts w:hint="eastAsia" w:ascii="Times New Roman" w:hAnsi="Times New Roman" w:cs="Times New Roman"/>
                <w:bCs/>
                <w:color w:val="auto"/>
                <w:sz w:val="24"/>
                <w:highlight w:val="none"/>
                <w:u w:val="none" w:color="auto"/>
                <w:lang w:val="en-US" w:eastAsia="zh-CN"/>
              </w:rPr>
              <w:t>1</w:t>
            </w:r>
            <w:r>
              <w:rPr>
                <w:rFonts w:hint="eastAsia" w:ascii="Times New Roman" w:hAnsi="Times New Roman" w:cs="Times New Roman"/>
                <w:bCs/>
                <w:color w:val="auto"/>
                <w:sz w:val="24"/>
                <w:highlight w:val="none"/>
                <w:u w:val="none" w:color="auto"/>
                <w:lang w:val="en-US" w:eastAsia="en-US"/>
              </w:rPr>
              <w:t>、严格按照消防部门要求，设立禁火警示标志，并配备灭火器、 消防沙桶、消防栓、手抬泵等消防设施；</w:t>
            </w:r>
          </w:p>
          <w:p w14:paraId="11BA091C">
            <w:pPr>
              <w:spacing w:line="360" w:lineRule="auto"/>
              <w:ind w:firstLine="480" w:firstLineChars="200"/>
              <w:rPr>
                <w:rFonts w:hint="eastAsia" w:ascii="Times New Roman" w:hAnsi="Times New Roman" w:cs="Times New Roman"/>
                <w:bCs/>
                <w:color w:val="auto"/>
                <w:sz w:val="24"/>
                <w:highlight w:val="none"/>
                <w:u w:val="none" w:color="auto"/>
                <w:lang w:val="en-US" w:eastAsia="en-US"/>
              </w:rPr>
            </w:pPr>
            <w:r>
              <w:rPr>
                <w:rFonts w:hint="eastAsia" w:ascii="Times New Roman" w:hAnsi="Times New Roman" w:cs="Times New Roman"/>
                <w:bCs/>
                <w:color w:val="auto"/>
                <w:sz w:val="24"/>
                <w:highlight w:val="none"/>
                <w:u w:val="none" w:color="auto"/>
                <w:lang w:val="en-US" w:eastAsia="en-US"/>
              </w:rPr>
              <w:t>2、严格按照消防部门要求，设置安全通道，严禁在消防通道上堆放杂物等，保证安全通道畅通；</w:t>
            </w:r>
          </w:p>
          <w:p w14:paraId="30067895">
            <w:pPr>
              <w:spacing w:line="360" w:lineRule="auto"/>
              <w:ind w:firstLine="480" w:firstLineChars="200"/>
              <w:rPr>
                <w:rFonts w:hint="eastAsia" w:ascii="Times New Roman" w:hAnsi="Times New Roman" w:cs="Times New Roman"/>
                <w:bCs/>
                <w:color w:val="auto"/>
                <w:sz w:val="24"/>
                <w:highlight w:val="none"/>
                <w:u w:val="none" w:color="auto"/>
                <w:lang w:val="en-US" w:eastAsia="en-US"/>
              </w:rPr>
            </w:pPr>
            <w:r>
              <w:rPr>
                <w:rFonts w:hint="eastAsia" w:ascii="Times New Roman" w:hAnsi="Times New Roman" w:cs="Times New Roman"/>
                <w:bCs/>
                <w:color w:val="auto"/>
                <w:sz w:val="24"/>
                <w:highlight w:val="none"/>
                <w:u w:val="none" w:color="auto"/>
                <w:lang w:val="en-US" w:eastAsia="en-US"/>
              </w:rPr>
              <w:t>3、项目需设置一名消防管理人员，负责电路及消防设施检修和维护的管  理，防止各种事故的发生；</w:t>
            </w:r>
          </w:p>
          <w:p w14:paraId="21C7642D">
            <w:pPr>
              <w:spacing w:line="360" w:lineRule="auto"/>
              <w:ind w:firstLine="480" w:firstLineChars="200"/>
              <w:rPr>
                <w:rFonts w:hint="eastAsia" w:ascii="Times New Roman" w:hAnsi="Times New Roman" w:cs="Times New Roman"/>
                <w:bCs/>
                <w:color w:val="auto"/>
                <w:sz w:val="24"/>
                <w:highlight w:val="none"/>
                <w:u w:val="none" w:color="auto"/>
                <w:lang w:val="en-US" w:eastAsia="en-US"/>
              </w:rPr>
            </w:pPr>
            <w:r>
              <w:rPr>
                <w:rFonts w:hint="eastAsia" w:ascii="Times New Roman" w:hAnsi="Times New Roman" w:cs="Times New Roman"/>
                <w:bCs/>
                <w:color w:val="auto"/>
                <w:sz w:val="24"/>
                <w:highlight w:val="none"/>
                <w:u w:val="none" w:color="auto"/>
                <w:lang w:val="en-US" w:eastAsia="en-US"/>
              </w:rPr>
              <w:t>4、在日常生产过程中，工作人员应及时提醒员工注意用火的安全。定期通过开展应急演练，使工作人员熟悉并  掌握各类事故发生后应该采取的正确方法及应急措施，以便将事故造  成的损失降至最低；</w:t>
            </w:r>
          </w:p>
          <w:p w14:paraId="4EC6D7BA">
            <w:pPr>
              <w:spacing w:line="360" w:lineRule="auto"/>
              <w:ind w:firstLine="480" w:firstLineChars="200"/>
              <w:rPr>
                <w:rFonts w:hint="eastAsia" w:ascii="Times New Roman" w:hAnsi="Times New Roman" w:cs="Times New Roman"/>
                <w:bCs/>
                <w:color w:val="auto"/>
                <w:sz w:val="24"/>
                <w:highlight w:val="none"/>
                <w:u w:val="none" w:color="auto"/>
                <w:lang w:val="en-US" w:eastAsia="en-US"/>
              </w:rPr>
            </w:pPr>
            <w:r>
              <w:rPr>
                <w:rFonts w:hint="eastAsia" w:ascii="Times New Roman" w:hAnsi="Times New Roman" w:cs="Times New Roman"/>
                <w:bCs/>
                <w:color w:val="auto"/>
                <w:sz w:val="24"/>
                <w:highlight w:val="none"/>
                <w:u w:val="none" w:color="auto"/>
                <w:lang w:val="en-US" w:eastAsia="en-US"/>
              </w:rPr>
              <w:t>5、规范生产管理制度、相关环保制度及台账管理 制度；</w:t>
            </w:r>
          </w:p>
          <w:p w14:paraId="78B98A1D">
            <w:pPr>
              <w:spacing w:line="360" w:lineRule="auto"/>
              <w:ind w:firstLine="480" w:firstLineChars="200"/>
              <w:rPr>
                <w:rFonts w:hint="eastAsia" w:eastAsia="宋体"/>
                <w:color w:val="auto"/>
                <w:szCs w:val="21"/>
                <w:highlight w:val="none"/>
                <w:u w:val="none" w:color="auto"/>
                <w:lang w:val="en-US" w:eastAsia="zh-CN"/>
              </w:rPr>
            </w:pPr>
            <w:r>
              <w:rPr>
                <w:rFonts w:hint="eastAsia" w:ascii="Times New Roman" w:hAnsi="Times New Roman" w:cs="Times New Roman"/>
                <w:bCs/>
                <w:color w:val="auto"/>
                <w:sz w:val="24"/>
                <w:highlight w:val="none"/>
                <w:u w:val="none" w:color="auto"/>
                <w:lang w:val="en-US" w:eastAsia="en-US"/>
              </w:rPr>
              <w:t>6、危废暂存区为独立的区域，应通风、光线良好，安全防范设 施齐全，</w:t>
            </w:r>
            <w:r>
              <w:rPr>
                <w:rFonts w:hint="eastAsia" w:ascii="Times New Roman" w:hAnsi="Times New Roman" w:cs="Times New Roman"/>
                <w:bCs/>
                <w:color w:val="auto"/>
                <w:sz w:val="24"/>
                <w:highlight w:val="none"/>
                <w:u w:val="none" w:color="auto"/>
                <w:lang w:val="en-US" w:eastAsia="zh-CN"/>
              </w:rPr>
              <w:t>危废暂存间</w:t>
            </w:r>
            <w:r>
              <w:rPr>
                <w:rFonts w:hint="eastAsia" w:ascii="Times New Roman" w:hAnsi="Times New Roman" w:cs="Times New Roman"/>
                <w:bCs/>
                <w:color w:val="auto"/>
                <w:sz w:val="24"/>
                <w:highlight w:val="none"/>
                <w:u w:val="none" w:color="auto"/>
                <w:lang w:val="en-US" w:eastAsia="en-US"/>
              </w:rPr>
              <w:t>地面必须进行水泥硬化处理，并做好防渗、防漏措施，四周设置导流沟。分类存储，按要求设置标识标牌。 设置专门的管理人员并建立规范的台账记录，详细登记各危废产生量、储存量及处置去向，要求有纸质和电子台账，并保留五年。</w:t>
            </w:r>
          </w:p>
        </w:tc>
      </w:tr>
      <w:tr w14:paraId="2AFE8C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left w:w="57" w:type="dxa"/>
            <w:bottom w:w="57" w:type="dxa"/>
            <w:right w:w="57" w:type="dxa"/>
          </w:tblCellMar>
        </w:tblPrEx>
        <w:trPr>
          <w:trHeight w:val="628" w:hRule="atLeast"/>
          <w:jc w:val="center"/>
        </w:trPr>
        <w:tc>
          <w:tcPr>
            <w:tcW w:w="403" w:type="pct"/>
            <w:tcBorders>
              <w:left w:val="single" w:color="000000" w:sz="10" w:space="0"/>
            </w:tcBorders>
            <w:vAlign w:val="center"/>
          </w:tcPr>
          <w:p w14:paraId="74125707">
            <w:pPr>
              <w:widowControl/>
              <w:jc w:val="center"/>
              <w:textAlignment w:val="center"/>
              <w:rPr>
                <w:rFonts w:hint="eastAsia" w:eastAsia="宋体"/>
                <w:color w:val="auto"/>
                <w:szCs w:val="21"/>
                <w:highlight w:val="none"/>
                <w:u w:val="none" w:color="auto"/>
                <w:lang w:val="en-US" w:eastAsia="zh-CN"/>
              </w:rPr>
            </w:pPr>
          </w:p>
          <w:p w14:paraId="785483FA">
            <w:pPr>
              <w:widowControl/>
              <w:jc w:val="center"/>
              <w:textAlignment w:val="center"/>
              <w:rPr>
                <w:rFonts w:hint="eastAsia" w:eastAsia="宋体"/>
                <w:color w:val="auto"/>
                <w:szCs w:val="21"/>
                <w:highlight w:val="none"/>
                <w:u w:val="none" w:color="auto"/>
                <w:lang w:val="en-US" w:eastAsia="zh-CN"/>
              </w:rPr>
            </w:pPr>
            <w:r>
              <w:rPr>
                <w:rFonts w:hint="eastAsia" w:eastAsia="宋体"/>
                <w:color w:val="auto"/>
                <w:szCs w:val="21"/>
                <w:highlight w:val="none"/>
                <w:u w:val="none" w:color="auto"/>
                <w:lang w:val="en-US" w:eastAsia="zh-CN"/>
              </w:rPr>
              <w:t>其他环境管理要求</w:t>
            </w:r>
          </w:p>
        </w:tc>
        <w:tc>
          <w:tcPr>
            <w:tcW w:w="4596" w:type="pct"/>
            <w:gridSpan w:val="4"/>
            <w:tcBorders>
              <w:right w:val="single" w:color="000000" w:sz="10" w:space="0"/>
            </w:tcBorders>
            <w:vAlign w:val="center"/>
          </w:tcPr>
          <w:p w14:paraId="2C4767BD">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1、环境管理</w:t>
            </w:r>
          </w:p>
          <w:p w14:paraId="65BEF388">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（1）环境管理机构</w:t>
            </w:r>
          </w:p>
          <w:p w14:paraId="0F7ABA7B">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本项目设置专门的安全环保科，负责项目的环境管理工作。设专职环境管理人员</w:t>
            </w:r>
            <w:r>
              <w:rPr>
                <w:rFonts w:hint="eastAsia" w:cs="Times New Roman"/>
                <w:bCs/>
                <w:color w:val="auto"/>
                <w:sz w:val="24"/>
                <w:highlight w:val="none"/>
                <w:u w:val="none" w:color="auto"/>
                <w:lang w:val="en-US" w:eastAsia="zh-CN"/>
              </w:rPr>
              <w:t>1</w:t>
            </w:r>
            <w:r>
              <w:rPr>
                <w:rFonts w:hint="default" w:ascii="Times New Roman" w:hAnsi="Times New Roman" w:cs="Times New Roman"/>
                <w:bCs/>
                <w:color w:val="auto"/>
                <w:sz w:val="24"/>
                <w:highlight w:val="none"/>
                <w:u w:val="none" w:color="auto"/>
                <w:lang w:val="en-US" w:eastAsia="en-US"/>
              </w:rPr>
              <w:t>人。同时，本项目生产部门主管领导兼管厂内环保工作。</w:t>
            </w:r>
          </w:p>
          <w:p w14:paraId="0244C789">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（2）环境管理机构主要职责</w:t>
            </w:r>
          </w:p>
          <w:p w14:paraId="18451D8E">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①贯彻执行国家和地方的环境保护政策、法规及环境保护标准；</w:t>
            </w:r>
          </w:p>
          <w:p w14:paraId="21215544">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②建立并完善企业环境保护管理制度，经常督促检查落实情况；</w:t>
            </w:r>
          </w:p>
          <w:p w14:paraId="08775E42">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③编制并组织实施本企业的环境保护规划和计划；</w:t>
            </w:r>
          </w:p>
          <w:p w14:paraId="21B78403">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④搞好环境保护宣传和教育，不断提高职工的环境保护意识；</w:t>
            </w:r>
          </w:p>
          <w:p w14:paraId="6ECE1F72">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⑤组织对基层环保人员的培训，提高工作素质；</w:t>
            </w:r>
          </w:p>
          <w:p w14:paraId="55BB7060">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⑥领导并组织企业的环境监测工作，建立环境监控档案；</w:t>
            </w:r>
          </w:p>
          <w:p w14:paraId="55A19195">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⑦制定本企业污染治理设备设施操作规程和检修计划，检查、记录污染治理设施运行及检修情况，确保治理设施常年正常运行；</w:t>
            </w:r>
          </w:p>
          <w:p w14:paraId="515FC0BE">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⑧制定各车间的污染物排放指标，定时考核和统计，确保全厂污染物排放达到国家排放标准。</w:t>
            </w:r>
          </w:p>
          <w:p w14:paraId="00615831">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⑨加强日常监管，设专人管理环保治污设施的运行，加大监测频率，建立完善的监测台账，并保留五年记录。</w:t>
            </w:r>
          </w:p>
          <w:p w14:paraId="5846B7C6">
            <w:pPr>
              <w:spacing w:line="360" w:lineRule="auto"/>
              <w:ind w:firstLine="480" w:firstLineChars="200"/>
              <w:rPr>
                <w:rFonts w:hint="eastAsia" w:ascii="Times New Roman" w:hAnsi="Times New Roman" w:cs="Times New Roman"/>
                <w:bCs/>
                <w:color w:val="auto"/>
                <w:sz w:val="24"/>
                <w:highlight w:val="none"/>
                <w:u w:val="none" w:color="auto"/>
                <w:lang w:val="en-US" w:eastAsia="zh-CN"/>
              </w:rPr>
            </w:pPr>
            <w:r>
              <w:rPr>
                <w:rFonts w:hint="eastAsia" w:ascii="Times New Roman" w:hAnsi="Times New Roman" w:cs="Times New Roman"/>
                <w:bCs/>
                <w:color w:val="auto"/>
                <w:sz w:val="24"/>
                <w:highlight w:val="none"/>
                <w:u w:val="none" w:color="auto"/>
                <w:lang w:val="en-US" w:eastAsia="zh-CN"/>
              </w:rPr>
              <w:t>⑩定期对环境保护设施进行维护和保养，确保环境保护设施的正常运行，防止污染事故的发生； 加强与环境保护管理部门的沟通和联系，主动接受环境主管部门的管理、监督和指导</w:t>
            </w:r>
            <w:r>
              <w:rPr>
                <w:rFonts w:hint="eastAsia" w:cs="Times New Roman"/>
                <w:bCs/>
                <w:color w:val="auto"/>
                <w:sz w:val="24"/>
                <w:highlight w:val="none"/>
                <w:u w:val="none" w:color="auto"/>
                <w:lang w:val="en-US" w:eastAsia="zh-CN"/>
              </w:rPr>
              <w:t>。</w:t>
            </w:r>
          </w:p>
          <w:p w14:paraId="2988664B">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2 、环境监测</w:t>
            </w:r>
          </w:p>
          <w:p w14:paraId="37235269">
            <w:pPr>
              <w:spacing w:line="360" w:lineRule="auto"/>
              <w:ind w:firstLine="480" w:firstLineChars="200"/>
              <w:rPr>
                <w:rFonts w:hint="eastAsia"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根据本次</w:t>
            </w:r>
            <w:r>
              <w:rPr>
                <w:rFonts w:hint="eastAsia" w:cs="Times New Roman"/>
                <w:bCs/>
                <w:color w:val="auto"/>
                <w:sz w:val="24"/>
                <w:highlight w:val="none"/>
                <w:u w:val="none" w:color="auto"/>
                <w:lang w:val="en-US" w:eastAsia="zh-CN"/>
              </w:rPr>
              <w:t>技改</w:t>
            </w:r>
            <w:r>
              <w:rPr>
                <w:rFonts w:hint="default" w:ascii="Times New Roman" w:hAnsi="Times New Roman" w:cs="Times New Roman"/>
                <w:bCs/>
                <w:color w:val="auto"/>
                <w:sz w:val="24"/>
                <w:highlight w:val="none"/>
                <w:u w:val="none" w:color="auto"/>
                <w:lang w:val="en-US" w:eastAsia="en-US"/>
              </w:rPr>
              <w:t>项目的</w:t>
            </w:r>
            <w:r>
              <w:rPr>
                <w:rFonts w:hint="eastAsia" w:cs="Times New Roman"/>
                <w:bCs/>
                <w:color w:val="auto"/>
                <w:sz w:val="24"/>
                <w:highlight w:val="none"/>
                <w:u w:val="none" w:color="auto"/>
                <w:lang w:val="en-US" w:eastAsia="zh-CN"/>
              </w:rPr>
              <w:t>特性</w:t>
            </w:r>
            <w:r>
              <w:rPr>
                <w:rFonts w:hint="default" w:ascii="Times New Roman" w:hAnsi="Times New Roman" w:cs="Times New Roman"/>
                <w:bCs/>
                <w:color w:val="auto"/>
                <w:sz w:val="24"/>
                <w:highlight w:val="none"/>
                <w:u w:val="none" w:color="auto"/>
                <w:lang w:val="en-US" w:eastAsia="en-US"/>
              </w:rPr>
              <w:t>，依照国家和湖南省的有关环境保护法规，为了更好的保护环境，本项目按有关环保法规要求，按照《排污</w:t>
            </w:r>
            <w:r>
              <w:rPr>
                <w:rFonts w:hint="eastAsia" w:ascii="Times New Roman" w:hAnsi="Times New Roman" w:cs="Times New Roman"/>
                <w:bCs/>
                <w:color w:val="auto"/>
                <w:sz w:val="24"/>
                <w:highlight w:val="none"/>
                <w:u w:val="none" w:color="auto"/>
                <w:lang w:val="en-US" w:eastAsia="en-US"/>
              </w:rPr>
              <w:t>单位自行监测技术指南 火力发电及锅炉》（HJ820-2017）的要求执行日常监测，建议日常监测计划见下表。</w:t>
            </w:r>
          </w:p>
          <w:p w14:paraId="756C69E8">
            <w:pPr>
              <w:jc w:val="center"/>
              <w:rPr>
                <w:rFonts w:eastAsia="宋体"/>
                <w:b/>
                <w:bCs/>
                <w:color w:val="auto"/>
                <w:spacing w:val="-2"/>
                <w:highlight w:val="none"/>
                <w:u w:val="none" w:color="auto"/>
              </w:rPr>
            </w:pPr>
            <w:r>
              <w:rPr>
                <w:rFonts w:eastAsia="宋体"/>
                <w:b/>
                <w:bCs/>
                <w:color w:val="auto"/>
                <w:spacing w:val="-2"/>
                <w:highlight w:val="none"/>
                <w:u w:val="none" w:color="auto"/>
              </w:rPr>
              <w:t>表 5-1     日常监测计划一览表</w:t>
            </w:r>
          </w:p>
          <w:p w14:paraId="1ADCE830">
            <w:pPr>
              <w:spacing w:line="66" w:lineRule="exact"/>
              <w:rPr>
                <w:color w:val="auto"/>
                <w:highlight w:val="none"/>
                <w:u w:val="none" w:color="auto"/>
              </w:rPr>
            </w:pPr>
          </w:p>
          <w:tbl>
            <w:tblPr>
              <w:tblStyle w:val="156"/>
              <w:tblW w:w="479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19"/>
              <w:gridCol w:w="2473"/>
              <w:gridCol w:w="2217"/>
              <w:gridCol w:w="2436"/>
            </w:tblGrid>
            <w:tr w14:paraId="3186AC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15" w:type="pct"/>
                  <w:tcBorders>
                    <w:tl2br w:val="nil"/>
                    <w:tr2bl w:val="nil"/>
                  </w:tcBorders>
                  <w:vAlign w:val="center"/>
                </w:tcPr>
                <w:p w14:paraId="2BEFA6D2">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要素</w:t>
                  </w:r>
                </w:p>
              </w:tc>
              <w:tc>
                <w:tcPr>
                  <w:tcW w:w="1556" w:type="pct"/>
                  <w:tcBorders>
                    <w:tl2br w:val="nil"/>
                    <w:tr2bl w:val="nil"/>
                  </w:tcBorders>
                  <w:vAlign w:val="center"/>
                </w:tcPr>
                <w:p w14:paraId="2B1BB138">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测点位置</w:t>
                  </w:r>
                </w:p>
              </w:tc>
              <w:tc>
                <w:tcPr>
                  <w:tcW w:w="1395" w:type="pct"/>
                  <w:tcBorders>
                    <w:tl2br w:val="nil"/>
                    <w:tr2bl w:val="nil"/>
                  </w:tcBorders>
                  <w:vAlign w:val="center"/>
                </w:tcPr>
                <w:p w14:paraId="5BD20D28">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监测因子</w:t>
                  </w:r>
                </w:p>
              </w:tc>
              <w:tc>
                <w:tcPr>
                  <w:tcW w:w="1532" w:type="pct"/>
                  <w:tcBorders>
                    <w:tl2br w:val="nil"/>
                    <w:tr2bl w:val="nil"/>
                  </w:tcBorders>
                  <w:vAlign w:val="center"/>
                </w:tcPr>
                <w:p w14:paraId="6285CB1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监测频次</w:t>
                  </w:r>
                </w:p>
              </w:tc>
            </w:tr>
            <w:tr w14:paraId="2DA8DD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515" w:type="pct"/>
                  <w:vMerge w:val="restart"/>
                  <w:tcBorders>
                    <w:tl2br w:val="nil"/>
                    <w:tr2bl w:val="nil"/>
                  </w:tcBorders>
                  <w:vAlign w:val="center"/>
                </w:tcPr>
                <w:p w14:paraId="29FEB105">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p>
                <w:p w14:paraId="3D7B42E5">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废气</w:t>
                  </w:r>
                </w:p>
              </w:tc>
              <w:tc>
                <w:tcPr>
                  <w:tcW w:w="1556" w:type="pct"/>
                  <w:tcBorders>
                    <w:tl2br w:val="nil"/>
                    <w:tr2bl w:val="nil"/>
                  </w:tcBorders>
                  <w:vAlign w:val="center"/>
                </w:tcPr>
                <w:p w14:paraId="6AAB28F1">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rPr>
                    <w:t>锅炉废气排气筒</w:t>
                  </w:r>
                  <w:r>
                    <w:rPr>
                      <w:rFonts w:hint="eastAsia" w:ascii="Times New Roman" w:hAnsi="Times New Roman" w:cs="Times New Roman"/>
                      <w:color w:val="auto"/>
                      <w:spacing w:val="7"/>
                      <w:sz w:val="21"/>
                      <w:szCs w:val="21"/>
                      <w:highlight w:val="none"/>
                      <w:u w:val="none" w:color="auto"/>
                      <w:lang w:val="en-US" w:eastAsia="zh-CN"/>
                    </w:rPr>
                    <w:t>DA001</w:t>
                  </w:r>
                </w:p>
              </w:tc>
              <w:tc>
                <w:tcPr>
                  <w:tcW w:w="1395" w:type="pct"/>
                  <w:tcBorders>
                    <w:tl2br w:val="nil"/>
                    <w:tr2bl w:val="nil"/>
                  </w:tcBorders>
                  <w:vAlign w:val="center"/>
                </w:tcPr>
                <w:p w14:paraId="52C72C7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SO</w:t>
                  </w:r>
                  <w:r>
                    <w:rPr>
                      <w:rFonts w:hint="default" w:ascii="Times New Roman" w:hAnsi="Times New Roman" w:eastAsia="宋体" w:cs="Times New Roman"/>
                      <w:color w:val="auto"/>
                      <w:spacing w:val="7"/>
                      <w:sz w:val="21"/>
                      <w:szCs w:val="21"/>
                      <w:highlight w:val="none"/>
                      <w:u w:val="none" w:color="auto"/>
                      <w:vertAlign w:val="subscript"/>
                    </w:rPr>
                    <w:t>2</w:t>
                  </w:r>
                  <w:r>
                    <w:rPr>
                      <w:rFonts w:hint="default" w:ascii="Times New Roman" w:hAnsi="Times New Roman" w:eastAsia="宋体" w:cs="Times New Roman"/>
                      <w:color w:val="auto"/>
                      <w:spacing w:val="7"/>
                      <w:sz w:val="21"/>
                      <w:szCs w:val="21"/>
                      <w:highlight w:val="none"/>
                      <w:u w:val="none" w:color="auto"/>
                    </w:rPr>
                    <w:t>、NOx、颗粒物、烟气黑度</w:t>
                  </w:r>
                </w:p>
              </w:tc>
              <w:tc>
                <w:tcPr>
                  <w:tcW w:w="1532" w:type="pct"/>
                  <w:tcBorders>
                    <w:tl2br w:val="nil"/>
                    <w:tr2bl w:val="nil"/>
                  </w:tcBorders>
                  <w:vAlign w:val="center"/>
                </w:tcPr>
                <w:p w14:paraId="15ADC611">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每月一次</w:t>
                  </w:r>
                </w:p>
              </w:tc>
            </w:tr>
            <w:tr w14:paraId="656C510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622" w:hRule="atLeast"/>
                <w:jc w:val="center"/>
              </w:trPr>
              <w:tc>
                <w:tcPr>
                  <w:tcW w:w="515" w:type="pct"/>
                  <w:vMerge w:val="continue"/>
                  <w:tcBorders>
                    <w:tl2br w:val="nil"/>
                    <w:tr2bl w:val="nil"/>
                  </w:tcBorders>
                  <w:vAlign w:val="center"/>
                </w:tcPr>
                <w:p w14:paraId="5A75949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p>
              </w:tc>
              <w:tc>
                <w:tcPr>
                  <w:tcW w:w="1556" w:type="pct"/>
                  <w:tcBorders>
                    <w:tl2br w:val="nil"/>
                    <w:tr2bl w:val="nil"/>
                  </w:tcBorders>
                  <w:vAlign w:val="center"/>
                </w:tcPr>
                <w:p w14:paraId="203B4FB4">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cs="Times New Roman"/>
                      <w:color w:val="auto"/>
                      <w:spacing w:val="7"/>
                      <w:sz w:val="21"/>
                      <w:szCs w:val="21"/>
                      <w:highlight w:val="none"/>
                      <w:u w:val="none" w:color="auto"/>
                      <w:lang w:val="en-US" w:eastAsia="zh-CN"/>
                    </w:rPr>
                    <w:t>溶剂废气排气筒DA002</w:t>
                  </w:r>
                </w:p>
              </w:tc>
              <w:tc>
                <w:tcPr>
                  <w:tcW w:w="1395" w:type="pct"/>
                  <w:tcBorders>
                    <w:tl2br w:val="nil"/>
                    <w:tr2bl w:val="nil"/>
                  </w:tcBorders>
                  <w:vAlign w:val="center"/>
                </w:tcPr>
                <w:p w14:paraId="7C6AD53A">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val="en-US" w:eastAsia="zh-CN"/>
                    </w:rPr>
                  </w:pPr>
                  <w:r>
                    <w:rPr>
                      <w:rFonts w:hint="eastAsia" w:ascii="Times New Roman" w:hAnsi="Times New Roman" w:cs="Times New Roman"/>
                      <w:color w:val="auto"/>
                      <w:spacing w:val="7"/>
                      <w:sz w:val="21"/>
                      <w:szCs w:val="21"/>
                      <w:highlight w:val="none"/>
                      <w:u w:val="none" w:color="auto"/>
                      <w:lang w:val="en-US" w:eastAsia="zh-CN"/>
                    </w:rPr>
                    <w:t>非甲烷总烃</w:t>
                  </w:r>
                </w:p>
              </w:tc>
              <w:tc>
                <w:tcPr>
                  <w:tcW w:w="1532" w:type="pct"/>
                  <w:tcBorders>
                    <w:tl2br w:val="nil"/>
                    <w:tr2bl w:val="nil"/>
                  </w:tcBorders>
                  <w:vAlign w:val="center"/>
                </w:tcPr>
                <w:p w14:paraId="789A2831">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每</w:t>
                  </w:r>
                  <w:r>
                    <w:rPr>
                      <w:rFonts w:hint="eastAsia" w:ascii="Times New Roman" w:hAnsi="Times New Roman" w:eastAsia="宋体" w:cs="Times New Roman"/>
                      <w:color w:val="auto"/>
                      <w:spacing w:val="7"/>
                      <w:sz w:val="21"/>
                      <w:szCs w:val="21"/>
                      <w:highlight w:val="none"/>
                      <w:u w:val="none" w:color="auto"/>
                      <w:lang w:val="en-US" w:eastAsia="zh-CN"/>
                    </w:rPr>
                    <w:t>季度</w:t>
                  </w:r>
                  <w:r>
                    <w:rPr>
                      <w:rFonts w:hint="default" w:ascii="Times New Roman" w:hAnsi="Times New Roman" w:eastAsia="宋体" w:cs="Times New Roman"/>
                      <w:color w:val="auto"/>
                      <w:spacing w:val="7"/>
                      <w:sz w:val="21"/>
                      <w:szCs w:val="21"/>
                      <w:highlight w:val="none"/>
                      <w:u w:val="none" w:color="auto"/>
                    </w:rPr>
                    <w:t>一次</w:t>
                  </w:r>
                </w:p>
              </w:tc>
            </w:tr>
            <w:tr w14:paraId="746E40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515" w:type="pct"/>
                  <w:vMerge w:val="continue"/>
                  <w:tcBorders>
                    <w:tl2br w:val="nil"/>
                    <w:tr2bl w:val="nil"/>
                  </w:tcBorders>
                  <w:vAlign w:val="center"/>
                </w:tcPr>
                <w:p w14:paraId="1DBE7EB4">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p>
              </w:tc>
              <w:tc>
                <w:tcPr>
                  <w:tcW w:w="1556" w:type="pct"/>
                  <w:tcBorders>
                    <w:tl2br w:val="nil"/>
                    <w:tr2bl w:val="nil"/>
                  </w:tcBorders>
                  <w:vAlign w:val="center"/>
                </w:tcPr>
                <w:p w14:paraId="6A200163">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项目厂界上风向</w:t>
                  </w:r>
                </w:p>
              </w:tc>
              <w:tc>
                <w:tcPr>
                  <w:tcW w:w="1395" w:type="pct"/>
                  <w:vMerge w:val="restart"/>
                  <w:tcBorders>
                    <w:tl2br w:val="nil"/>
                    <w:tr2bl w:val="nil"/>
                  </w:tcBorders>
                  <w:vAlign w:val="center"/>
                </w:tcPr>
                <w:p w14:paraId="24E8ADC7">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lang w:val="en-US" w:eastAsia="zh-CN"/>
                    </w:rPr>
                  </w:pPr>
                  <w:r>
                    <w:rPr>
                      <w:rFonts w:hint="default" w:ascii="Times New Roman" w:hAnsi="Times New Roman" w:eastAsia="宋体" w:cs="Times New Roman"/>
                      <w:color w:val="auto"/>
                      <w:spacing w:val="7"/>
                      <w:sz w:val="21"/>
                      <w:szCs w:val="21"/>
                      <w:highlight w:val="none"/>
                      <w:u w:val="none" w:color="auto"/>
                    </w:rPr>
                    <w:t>颗粒物</w:t>
                  </w:r>
                  <w:r>
                    <w:rPr>
                      <w:rFonts w:hint="eastAsia" w:ascii="Times New Roman" w:hAnsi="Times New Roman" w:cs="Times New Roman"/>
                      <w:color w:val="auto"/>
                      <w:spacing w:val="7"/>
                      <w:sz w:val="21"/>
                      <w:szCs w:val="21"/>
                      <w:highlight w:val="none"/>
                      <w:u w:val="none" w:color="auto"/>
                      <w:lang w:eastAsia="zh-CN"/>
                    </w:rPr>
                    <w:t>、</w:t>
                  </w:r>
                  <w:r>
                    <w:rPr>
                      <w:rFonts w:hint="eastAsia" w:ascii="Times New Roman" w:hAnsi="Times New Roman" w:cs="Times New Roman"/>
                      <w:color w:val="auto"/>
                      <w:spacing w:val="7"/>
                      <w:sz w:val="21"/>
                      <w:szCs w:val="21"/>
                      <w:highlight w:val="none"/>
                      <w:u w:val="none" w:color="auto"/>
                      <w:lang w:val="en-US" w:eastAsia="zh-CN"/>
                    </w:rPr>
                    <w:t>非甲烷总烃</w:t>
                  </w:r>
                </w:p>
              </w:tc>
              <w:tc>
                <w:tcPr>
                  <w:tcW w:w="1532" w:type="pct"/>
                  <w:tcBorders>
                    <w:tl2br w:val="nil"/>
                    <w:tr2bl w:val="nil"/>
                  </w:tcBorders>
                  <w:vAlign w:val="center"/>
                </w:tcPr>
                <w:p w14:paraId="78CFEB7F">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每半年一次</w:t>
                  </w:r>
                </w:p>
              </w:tc>
            </w:tr>
            <w:tr w14:paraId="1762D3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4" w:hRule="atLeast"/>
                <w:jc w:val="center"/>
              </w:trPr>
              <w:tc>
                <w:tcPr>
                  <w:tcW w:w="515" w:type="pct"/>
                  <w:vMerge w:val="continue"/>
                  <w:tcBorders>
                    <w:tl2br w:val="nil"/>
                    <w:tr2bl w:val="nil"/>
                  </w:tcBorders>
                  <w:vAlign w:val="center"/>
                </w:tcPr>
                <w:p w14:paraId="585790AD">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p>
              </w:tc>
              <w:tc>
                <w:tcPr>
                  <w:tcW w:w="1556" w:type="pct"/>
                  <w:tcBorders>
                    <w:tl2br w:val="nil"/>
                    <w:tr2bl w:val="nil"/>
                  </w:tcBorders>
                  <w:vAlign w:val="center"/>
                </w:tcPr>
                <w:p w14:paraId="54A0B33D">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项目厂界下风向</w:t>
                  </w:r>
                </w:p>
              </w:tc>
              <w:tc>
                <w:tcPr>
                  <w:tcW w:w="1395" w:type="pct"/>
                  <w:vMerge w:val="continue"/>
                  <w:tcBorders>
                    <w:tl2br w:val="nil"/>
                    <w:tr2bl w:val="nil"/>
                  </w:tcBorders>
                  <w:vAlign w:val="center"/>
                </w:tcPr>
                <w:p w14:paraId="76D5997D">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p>
              </w:tc>
              <w:tc>
                <w:tcPr>
                  <w:tcW w:w="1532" w:type="pct"/>
                  <w:tcBorders>
                    <w:tl2br w:val="nil"/>
                    <w:tr2bl w:val="nil"/>
                  </w:tcBorders>
                  <w:vAlign w:val="center"/>
                </w:tcPr>
                <w:p w14:paraId="5A1D9DCF">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每半年一次</w:t>
                  </w:r>
                </w:p>
              </w:tc>
            </w:tr>
            <w:tr w14:paraId="1A1FDE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58" w:hRule="atLeast"/>
                <w:jc w:val="center"/>
              </w:trPr>
              <w:tc>
                <w:tcPr>
                  <w:tcW w:w="515" w:type="pct"/>
                  <w:tcBorders>
                    <w:tl2br w:val="nil"/>
                    <w:tr2bl w:val="nil"/>
                  </w:tcBorders>
                  <w:vAlign w:val="center"/>
                </w:tcPr>
                <w:p w14:paraId="0942E733">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噪声</w:t>
                  </w:r>
                </w:p>
              </w:tc>
              <w:tc>
                <w:tcPr>
                  <w:tcW w:w="1556" w:type="pct"/>
                  <w:tcBorders>
                    <w:tl2br w:val="nil"/>
                    <w:tr2bl w:val="nil"/>
                  </w:tcBorders>
                  <w:vAlign w:val="center"/>
                </w:tcPr>
                <w:p w14:paraId="76343194">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厂界东、南、西、北</w:t>
                  </w:r>
                </w:p>
                <w:p w14:paraId="7D94E386">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eastAsia" w:ascii="Times New Roman" w:hAnsi="Times New Roman" w:eastAsia="宋体" w:cs="Times New Roman"/>
                      <w:color w:val="auto"/>
                      <w:spacing w:val="7"/>
                      <w:sz w:val="21"/>
                      <w:szCs w:val="21"/>
                      <w:highlight w:val="none"/>
                      <w:u w:val="none" w:color="auto"/>
                      <w:lang w:eastAsia="zh-CN"/>
                    </w:rPr>
                  </w:pPr>
                  <w:r>
                    <w:rPr>
                      <w:rFonts w:hint="default" w:ascii="Times New Roman" w:hAnsi="Times New Roman" w:eastAsia="宋体" w:cs="Times New Roman"/>
                      <w:color w:val="auto"/>
                      <w:spacing w:val="7"/>
                      <w:sz w:val="21"/>
                      <w:szCs w:val="21"/>
                      <w:highlight w:val="none"/>
                      <w:u w:val="none" w:color="auto"/>
                    </w:rPr>
                    <w:t>四周</w:t>
                  </w:r>
                  <w:r>
                    <w:rPr>
                      <w:rFonts w:hint="eastAsia" w:ascii="Times New Roman" w:hAnsi="Times New Roman" w:cs="Times New Roman"/>
                      <w:color w:val="auto"/>
                      <w:spacing w:val="7"/>
                      <w:sz w:val="21"/>
                      <w:szCs w:val="21"/>
                      <w:highlight w:val="none"/>
                      <w:u w:val="none" w:color="auto"/>
                      <w:lang w:val="en-US" w:eastAsia="zh-CN"/>
                    </w:rPr>
                    <w:t>及大富村居民点</w:t>
                  </w:r>
                </w:p>
              </w:tc>
              <w:tc>
                <w:tcPr>
                  <w:tcW w:w="1395" w:type="pct"/>
                  <w:tcBorders>
                    <w:tl2br w:val="nil"/>
                    <w:tr2bl w:val="nil"/>
                  </w:tcBorders>
                  <w:vAlign w:val="center"/>
                </w:tcPr>
                <w:p w14:paraId="05B32872">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LAeq</w:t>
                  </w:r>
                </w:p>
              </w:tc>
              <w:tc>
                <w:tcPr>
                  <w:tcW w:w="1532" w:type="pct"/>
                  <w:tcBorders>
                    <w:tl2br w:val="nil"/>
                    <w:tr2bl w:val="nil"/>
                  </w:tcBorders>
                  <w:vAlign w:val="center"/>
                </w:tcPr>
                <w:p w14:paraId="75B77BA9">
                  <w:pPr>
                    <w:pStyle w:val="155"/>
                    <w:keepNext w:val="0"/>
                    <w:keepLines w:val="0"/>
                    <w:pageBreakBefore w:val="0"/>
                    <w:widowControl w:val="0"/>
                    <w:kinsoku/>
                    <w:wordWrap/>
                    <w:overflowPunct/>
                    <w:topLinePunct w:val="0"/>
                    <w:autoSpaceDE/>
                    <w:autoSpaceDN/>
                    <w:bidi w:val="0"/>
                    <w:adjustRightInd w:val="0"/>
                    <w:snapToGrid w:val="0"/>
                    <w:spacing w:line="240" w:lineRule="auto"/>
                    <w:ind w:left="0" w:right="0"/>
                    <w:jc w:val="center"/>
                    <w:textAlignment w:val="auto"/>
                    <w:rPr>
                      <w:rFonts w:hint="default" w:ascii="Times New Roman" w:hAnsi="Times New Roman" w:eastAsia="宋体" w:cs="Times New Roman"/>
                      <w:color w:val="auto"/>
                      <w:spacing w:val="7"/>
                      <w:sz w:val="21"/>
                      <w:szCs w:val="21"/>
                      <w:highlight w:val="none"/>
                      <w:u w:val="none" w:color="auto"/>
                    </w:rPr>
                  </w:pPr>
                  <w:r>
                    <w:rPr>
                      <w:rFonts w:hint="default" w:ascii="Times New Roman" w:hAnsi="Times New Roman" w:eastAsia="宋体" w:cs="Times New Roman"/>
                      <w:color w:val="auto"/>
                      <w:spacing w:val="7"/>
                      <w:sz w:val="21"/>
                      <w:szCs w:val="21"/>
                      <w:highlight w:val="none"/>
                      <w:u w:val="none" w:color="auto"/>
                    </w:rPr>
                    <w:t>每季度一次，每次各点 昼间监测一次</w:t>
                  </w:r>
                </w:p>
              </w:tc>
            </w:tr>
          </w:tbl>
          <w:p w14:paraId="47F03A36">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3、排污许可</w:t>
            </w:r>
          </w:p>
          <w:p w14:paraId="7F40394C">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根据</w:t>
            </w:r>
            <w:r>
              <w:rPr>
                <w:rFonts w:hint="eastAsia" w:ascii="Times New Roman" w:hAnsi="Times New Roman" w:cs="Times New Roman"/>
                <w:bCs/>
                <w:color w:val="auto"/>
                <w:sz w:val="24"/>
                <w:highlight w:val="none"/>
                <w:u w:val="none" w:color="auto"/>
                <w:lang w:val="en-US" w:eastAsia="zh-CN"/>
              </w:rPr>
              <w:t>《固定污染源排污许可分类管理名录》</w:t>
            </w:r>
            <w:r>
              <w:rPr>
                <w:rFonts w:hint="default" w:ascii="Times New Roman" w:hAnsi="Times New Roman" w:cs="Times New Roman"/>
                <w:bCs/>
                <w:color w:val="auto"/>
                <w:sz w:val="24"/>
                <w:highlight w:val="none"/>
                <w:u w:val="none" w:color="auto"/>
                <w:lang w:val="en-US" w:eastAsia="en-US"/>
              </w:rPr>
              <w:t>（2019年版），根据《关于做好环境影响评价制度与排污许可制衔接相关工作的通知》(环办环评(2017)84号)提出：建设项目发生实际排污行为之前，排污单位应当按照国家环境保护相关法律法规以及相关排污许可证申请与核发技术规范要求申请排污许可证，不得无证排污或不按证排污。建设单位应在产生实际排污行为前依法申报排污许可证。</w:t>
            </w:r>
          </w:p>
          <w:p w14:paraId="54C3CF7E">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4、项目竣工环境保护验收</w:t>
            </w:r>
          </w:p>
          <w:p w14:paraId="145ACC2C">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根据《建设项目竣工环境保护验收暂行办法》(国环规环评(2017]4号)文件本建设单位作为项目竣工环保验收的责任主体，按照规定的程 序和标准，组织对配套建设的环境保护设施进行验收，编制验收报告，公开相关信息，接受社会监督，确保建设项目配套建设的环境保护设 施与主体工程同时投产或者使用，对验收内容、结论和所公开信息的真实性、准确性和完整性负责。本项目配套建设的环保设施经验收合格，方投入生产或使用。</w:t>
            </w:r>
          </w:p>
          <w:p w14:paraId="48802C3B">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5、排污口规范化措施</w:t>
            </w:r>
          </w:p>
          <w:p w14:paraId="00909225">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eastAsia" w:cs="Times New Roman"/>
                <w:bCs/>
                <w:color w:val="auto"/>
                <w:sz w:val="24"/>
                <w:highlight w:val="none"/>
                <w:u w:val="none" w:color="auto"/>
                <w:lang w:val="en-US" w:eastAsia="zh-CN"/>
              </w:rPr>
              <w:t>废气</w:t>
            </w:r>
            <w:r>
              <w:rPr>
                <w:rFonts w:hint="default" w:ascii="Times New Roman" w:hAnsi="Times New Roman" w:cs="Times New Roman"/>
                <w:bCs/>
                <w:color w:val="auto"/>
                <w:sz w:val="24"/>
                <w:highlight w:val="none"/>
                <w:u w:val="none" w:color="auto"/>
                <w:lang w:val="en-US" w:eastAsia="en-US"/>
              </w:rPr>
              <w:t>排放口、固定噪声源、固体废物贮存必须按照相关要求进行建设，应符合“一明显、二合理、三便于 ”的要求，即环保标志明显，排污口设置合理，便于采集样品、便于监测计量、便于公众参与和监督管理。同时要求按照《环境保护图形标志实施细则（试行）》（环监[1996]463 号）的规定，设置与排污口相应的图形标志牌。</w:t>
            </w:r>
          </w:p>
          <w:p w14:paraId="33099309">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（1）废气排放源</w:t>
            </w:r>
            <w:r>
              <w:rPr>
                <w:rFonts w:hint="eastAsia" w:cs="Times New Roman"/>
                <w:bCs/>
                <w:color w:val="auto"/>
                <w:sz w:val="24"/>
                <w:highlight w:val="none"/>
                <w:u w:val="none" w:color="auto"/>
                <w:lang w:val="en-US" w:eastAsia="zh-CN"/>
              </w:rPr>
              <w:t>设立</w:t>
            </w:r>
            <w:r>
              <w:rPr>
                <w:rFonts w:hint="default" w:ascii="Times New Roman" w:hAnsi="Times New Roman" w:cs="Times New Roman"/>
                <w:bCs/>
                <w:color w:val="auto"/>
                <w:sz w:val="24"/>
                <w:highlight w:val="none"/>
                <w:u w:val="none" w:color="auto"/>
                <w:lang w:val="en-US" w:eastAsia="en-US"/>
              </w:rPr>
              <w:t>图形标志牌。</w:t>
            </w:r>
          </w:p>
          <w:p w14:paraId="0940CD73">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2）排污口管理。建设单位应在各个排污口处竖立标志牌，并如实填写《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及整改意见。</w:t>
            </w:r>
          </w:p>
          <w:p w14:paraId="2269C601">
            <w:pPr>
              <w:spacing w:line="360" w:lineRule="auto"/>
              <w:ind w:firstLine="480" w:firstLineChars="200"/>
              <w:rPr>
                <w:rFonts w:hint="default" w:ascii="Times New Roman" w:hAnsi="Times New Roman" w:cs="Times New Roman"/>
                <w:bCs/>
                <w:color w:val="auto"/>
                <w:sz w:val="24"/>
                <w:highlight w:val="none"/>
                <w:u w:val="none" w:color="auto"/>
                <w:lang w:val="en-US" w:eastAsia="en-US"/>
              </w:rPr>
            </w:pPr>
            <w:r>
              <w:rPr>
                <w:rFonts w:hint="default" w:ascii="Times New Roman" w:hAnsi="Times New Roman" w:cs="Times New Roman"/>
                <w:bCs/>
                <w:color w:val="auto"/>
                <w:sz w:val="24"/>
                <w:highlight w:val="none"/>
                <w:u w:val="none" w:color="auto"/>
                <w:lang w:val="en-US" w:eastAsia="en-US"/>
              </w:rPr>
              <w:t>（3）环境保护图形标志</w:t>
            </w:r>
          </w:p>
          <w:p w14:paraId="5418331D">
            <w:pPr>
              <w:spacing w:line="360" w:lineRule="auto"/>
              <w:ind w:firstLine="480" w:firstLineChars="200"/>
              <w:rPr>
                <w:rFonts w:ascii="Times New Roman" w:hAnsi="Times New Roman" w:eastAsia="宋体" w:cs="Times New Roman"/>
                <w:b w:val="0"/>
                <w:color w:val="auto"/>
                <w:spacing w:val="0"/>
                <w:kern w:val="2"/>
                <w:sz w:val="24"/>
                <w:szCs w:val="24"/>
                <w:highlight w:val="none"/>
                <w:u w:val="none" w:color="auto"/>
                <w:lang w:val="en-US" w:eastAsia="en-US" w:bidi="ar-SA"/>
              </w:rPr>
            </w:pPr>
            <w:r>
              <w:rPr>
                <w:rFonts w:hint="default" w:ascii="Times New Roman" w:hAnsi="Times New Roman" w:cs="Times New Roman"/>
                <w:bCs/>
                <w:color w:val="auto"/>
                <w:sz w:val="24"/>
                <w:highlight w:val="none"/>
                <w:u w:val="none" w:color="auto"/>
                <w:lang w:val="en-US" w:eastAsia="en-US"/>
              </w:rPr>
              <w:t>在废气排放源、固体废物贮存处置场应设置环境保护图形标</w:t>
            </w:r>
            <w:r>
              <w:rPr>
                <w:rFonts w:ascii="Times New Roman" w:hAnsi="Times New Roman" w:eastAsia="宋体" w:cs="Times New Roman"/>
                <w:b w:val="0"/>
                <w:color w:val="auto"/>
                <w:spacing w:val="0"/>
                <w:kern w:val="2"/>
                <w:sz w:val="24"/>
                <w:szCs w:val="24"/>
                <w:highlight w:val="none"/>
                <w:u w:val="none" w:color="auto"/>
                <w:lang w:val="en-US" w:eastAsia="en-US" w:bidi="ar-SA"/>
              </w:rPr>
              <w:t>志，图形符号分为提示图形和警告图形符号两种，分别按GB15562.1-1995、GB15562.2-1995</w:t>
            </w:r>
            <w:r>
              <w:rPr>
                <w:rFonts w:hint="eastAsia" w:cs="Times New Roman"/>
                <w:b w:val="0"/>
                <w:color w:val="auto"/>
                <w:spacing w:val="0"/>
                <w:kern w:val="2"/>
                <w:sz w:val="24"/>
                <w:szCs w:val="24"/>
                <w:highlight w:val="none"/>
                <w:u w:val="none" w:color="auto"/>
                <w:lang w:val="en-US" w:eastAsia="zh-CN" w:bidi="ar-SA"/>
              </w:rPr>
              <w:t>及其修改单</w:t>
            </w:r>
            <w:r>
              <w:rPr>
                <w:rFonts w:ascii="Times New Roman" w:hAnsi="Times New Roman" w:eastAsia="宋体" w:cs="Times New Roman"/>
                <w:b w:val="0"/>
                <w:color w:val="auto"/>
                <w:spacing w:val="0"/>
                <w:kern w:val="2"/>
                <w:sz w:val="24"/>
                <w:szCs w:val="24"/>
                <w:highlight w:val="none"/>
                <w:u w:val="none" w:color="auto"/>
                <w:lang w:val="en-US" w:eastAsia="en-US" w:bidi="ar-SA"/>
              </w:rPr>
              <w:t>执行。环境保护图形标志的形状及颜色见表 5-2 ，环境保护图形符号见表5-3。</w:t>
            </w:r>
          </w:p>
          <w:p w14:paraId="23D7A832">
            <w:pPr>
              <w:jc w:val="center"/>
              <w:rPr>
                <w:b/>
                <w:bCs/>
                <w:color w:val="auto"/>
                <w:spacing w:val="-2"/>
                <w:highlight w:val="none"/>
                <w:u w:val="none" w:color="auto"/>
              </w:rPr>
            </w:pPr>
            <w:r>
              <w:rPr>
                <w:rFonts w:hint="default" w:ascii="Times New Roman" w:hAnsi="Times New Roman" w:cs="Times New Roman"/>
                <w:b/>
                <w:color w:val="auto"/>
                <w:szCs w:val="21"/>
                <w:highlight w:val="none"/>
                <w:u w:val="none" w:color="auto"/>
              </w:rPr>
              <w:t>表 5-2    环境保护图形标志的形状及颜色表</w:t>
            </w:r>
          </w:p>
          <w:tbl>
            <w:tblPr>
              <w:tblStyle w:val="156"/>
              <w:tblW w:w="4971"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133"/>
              <w:gridCol w:w="2134"/>
              <w:gridCol w:w="2134"/>
              <w:gridCol w:w="1836"/>
            </w:tblGrid>
            <w:tr w14:paraId="793BB16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59" w:hRule="atLeast"/>
                <w:jc w:val="center"/>
              </w:trPr>
              <w:tc>
                <w:tcPr>
                  <w:tcW w:w="1295" w:type="pct"/>
                  <w:tcBorders>
                    <w:tl2br w:val="nil"/>
                    <w:tr2bl w:val="nil"/>
                  </w:tcBorders>
                  <w:vAlign w:val="center"/>
                </w:tcPr>
                <w:p w14:paraId="67E3DB8C">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标志名称</w:t>
                  </w:r>
                </w:p>
              </w:tc>
              <w:tc>
                <w:tcPr>
                  <w:tcW w:w="1295" w:type="pct"/>
                  <w:tcBorders>
                    <w:tl2br w:val="nil"/>
                    <w:tr2bl w:val="nil"/>
                  </w:tcBorders>
                  <w:vAlign w:val="center"/>
                </w:tcPr>
                <w:p w14:paraId="6FC8E4BF">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形状</w:t>
                  </w:r>
                </w:p>
              </w:tc>
              <w:tc>
                <w:tcPr>
                  <w:tcW w:w="1295" w:type="pct"/>
                  <w:tcBorders>
                    <w:tl2br w:val="nil"/>
                    <w:tr2bl w:val="nil"/>
                  </w:tcBorders>
                  <w:vAlign w:val="center"/>
                </w:tcPr>
                <w:p w14:paraId="6BD445F7">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背景颜色</w:t>
                  </w:r>
                </w:p>
              </w:tc>
              <w:tc>
                <w:tcPr>
                  <w:tcW w:w="1114" w:type="pct"/>
                  <w:tcBorders>
                    <w:tl2br w:val="nil"/>
                    <w:tr2bl w:val="nil"/>
                  </w:tcBorders>
                  <w:vAlign w:val="center"/>
                </w:tcPr>
                <w:p w14:paraId="2D5A653D">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图形颜色</w:t>
                  </w:r>
                </w:p>
              </w:tc>
            </w:tr>
            <w:tr w14:paraId="36F698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22" w:hRule="atLeast"/>
                <w:jc w:val="center"/>
              </w:trPr>
              <w:tc>
                <w:tcPr>
                  <w:tcW w:w="1295" w:type="pct"/>
                  <w:tcBorders>
                    <w:tl2br w:val="nil"/>
                    <w:tr2bl w:val="nil"/>
                  </w:tcBorders>
                  <w:vAlign w:val="center"/>
                </w:tcPr>
                <w:p w14:paraId="33BAF480">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警告标志</w:t>
                  </w:r>
                </w:p>
              </w:tc>
              <w:tc>
                <w:tcPr>
                  <w:tcW w:w="1295" w:type="pct"/>
                  <w:tcBorders>
                    <w:tl2br w:val="nil"/>
                    <w:tr2bl w:val="nil"/>
                  </w:tcBorders>
                  <w:vAlign w:val="center"/>
                </w:tcPr>
                <w:p w14:paraId="27C573EF">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三角形边框</w:t>
                  </w:r>
                </w:p>
              </w:tc>
              <w:tc>
                <w:tcPr>
                  <w:tcW w:w="1295" w:type="pct"/>
                  <w:tcBorders>
                    <w:tl2br w:val="nil"/>
                    <w:tr2bl w:val="nil"/>
                  </w:tcBorders>
                  <w:vAlign w:val="center"/>
                </w:tcPr>
                <w:p w14:paraId="1F36BB79">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黄色</w:t>
                  </w:r>
                </w:p>
              </w:tc>
              <w:tc>
                <w:tcPr>
                  <w:tcW w:w="1114" w:type="pct"/>
                  <w:tcBorders>
                    <w:tl2br w:val="nil"/>
                    <w:tr2bl w:val="nil"/>
                  </w:tcBorders>
                  <w:vAlign w:val="center"/>
                </w:tcPr>
                <w:p w14:paraId="614F5086">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黑色</w:t>
                  </w:r>
                </w:p>
              </w:tc>
            </w:tr>
            <w:tr w14:paraId="409911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77" w:hRule="atLeast"/>
                <w:jc w:val="center"/>
              </w:trPr>
              <w:tc>
                <w:tcPr>
                  <w:tcW w:w="1295" w:type="pct"/>
                  <w:tcBorders>
                    <w:tl2br w:val="nil"/>
                    <w:tr2bl w:val="nil"/>
                  </w:tcBorders>
                  <w:vAlign w:val="center"/>
                </w:tcPr>
                <w:p w14:paraId="12CA23A4">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提示标志</w:t>
                  </w:r>
                </w:p>
              </w:tc>
              <w:tc>
                <w:tcPr>
                  <w:tcW w:w="1295" w:type="pct"/>
                  <w:tcBorders>
                    <w:tl2br w:val="nil"/>
                    <w:tr2bl w:val="nil"/>
                  </w:tcBorders>
                  <w:vAlign w:val="center"/>
                </w:tcPr>
                <w:p w14:paraId="24463172">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正方形边框</w:t>
                  </w:r>
                </w:p>
              </w:tc>
              <w:tc>
                <w:tcPr>
                  <w:tcW w:w="1295" w:type="pct"/>
                  <w:tcBorders>
                    <w:tl2br w:val="nil"/>
                    <w:tr2bl w:val="nil"/>
                  </w:tcBorders>
                  <w:vAlign w:val="center"/>
                </w:tcPr>
                <w:p w14:paraId="16921BE0">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绿色</w:t>
                  </w:r>
                </w:p>
              </w:tc>
              <w:tc>
                <w:tcPr>
                  <w:tcW w:w="1114" w:type="pct"/>
                  <w:tcBorders>
                    <w:tl2br w:val="nil"/>
                    <w:tr2bl w:val="nil"/>
                  </w:tcBorders>
                  <w:vAlign w:val="center"/>
                </w:tcPr>
                <w:p w14:paraId="7243422E">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白色</w:t>
                  </w:r>
                </w:p>
              </w:tc>
            </w:tr>
          </w:tbl>
          <w:p w14:paraId="43F91A55">
            <w:pPr>
              <w:jc w:val="center"/>
              <w:rPr>
                <w:rFonts w:hint="default" w:ascii="Times New Roman" w:hAnsi="Times New Roman" w:cs="Times New Roman"/>
                <w:b/>
                <w:color w:val="auto"/>
                <w:szCs w:val="21"/>
                <w:highlight w:val="none"/>
                <w:u w:val="none" w:color="auto"/>
              </w:rPr>
            </w:pPr>
          </w:p>
          <w:p w14:paraId="705A46C3">
            <w:pPr>
              <w:jc w:val="center"/>
              <w:rPr>
                <w:rFonts w:hint="default" w:ascii="Times New Roman" w:hAnsi="Times New Roman" w:cs="Times New Roman"/>
                <w:b/>
                <w:color w:val="auto"/>
                <w:szCs w:val="21"/>
                <w:highlight w:val="none"/>
                <w:u w:val="none" w:color="auto"/>
              </w:rPr>
            </w:pPr>
          </w:p>
          <w:p w14:paraId="25C62520">
            <w:pPr>
              <w:jc w:val="center"/>
              <w:rPr>
                <w:rFonts w:hint="default" w:ascii="Times New Roman" w:hAnsi="Times New Roman" w:cs="Times New Roman"/>
                <w:b/>
                <w:color w:val="auto"/>
                <w:szCs w:val="21"/>
                <w:highlight w:val="none"/>
                <w:u w:val="none" w:color="auto"/>
              </w:rPr>
            </w:pPr>
          </w:p>
          <w:p w14:paraId="6E1E950D">
            <w:pPr>
              <w:jc w:val="center"/>
              <w:rPr>
                <w:rFonts w:hint="default" w:ascii="Times New Roman" w:hAnsi="Times New Roman" w:cs="Times New Roman"/>
                <w:b/>
                <w:color w:val="auto"/>
                <w:szCs w:val="21"/>
                <w:highlight w:val="none"/>
                <w:u w:val="none" w:color="auto"/>
              </w:rPr>
            </w:pPr>
          </w:p>
          <w:p w14:paraId="370CF1C9">
            <w:pPr>
              <w:jc w:val="center"/>
              <w:rPr>
                <w:rFonts w:hint="default" w:ascii="Times New Roman" w:hAnsi="Times New Roman" w:cs="Times New Roman"/>
                <w:b/>
                <w:color w:val="auto"/>
                <w:szCs w:val="21"/>
                <w:highlight w:val="none"/>
                <w:u w:val="none" w:color="auto"/>
              </w:rPr>
            </w:pPr>
          </w:p>
          <w:p w14:paraId="77ED56DC">
            <w:pPr>
              <w:jc w:val="center"/>
              <w:rPr>
                <w:rFonts w:hint="default" w:ascii="Times New Roman" w:hAnsi="Times New Roman" w:cs="Times New Roman"/>
                <w:b/>
                <w:color w:val="auto"/>
                <w:szCs w:val="21"/>
                <w:highlight w:val="none"/>
                <w:u w:val="none" w:color="auto"/>
              </w:rPr>
            </w:pPr>
          </w:p>
          <w:p w14:paraId="690F09D2">
            <w:pPr>
              <w:jc w:val="center"/>
              <w:rPr>
                <w:rFonts w:hint="default" w:ascii="Times New Roman" w:hAnsi="Times New Roman" w:cs="Times New Roman"/>
                <w:b/>
                <w:color w:val="auto"/>
                <w:szCs w:val="21"/>
                <w:highlight w:val="none"/>
                <w:u w:val="none" w:color="auto"/>
              </w:rPr>
            </w:pPr>
          </w:p>
          <w:p w14:paraId="7D46D544">
            <w:pPr>
              <w:jc w:val="center"/>
              <w:rPr>
                <w:rFonts w:hint="default" w:ascii="Times New Roman" w:hAnsi="Times New Roman" w:cs="Times New Roman"/>
                <w:b/>
                <w:color w:val="auto"/>
                <w:szCs w:val="21"/>
                <w:highlight w:val="none"/>
                <w:u w:val="none" w:color="auto"/>
              </w:rPr>
            </w:pPr>
          </w:p>
          <w:p w14:paraId="135DEDF2">
            <w:pPr>
              <w:jc w:val="center"/>
              <w:rPr>
                <w:rFonts w:hint="default" w:ascii="Times New Roman" w:hAnsi="Times New Roman" w:cs="Times New Roman"/>
                <w:b/>
                <w:color w:val="auto"/>
                <w:szCs w:val="21"/>
                <w:highlight w:val="none"/>
                <w:u w:val="none" w:color="auto"/>
              </w:rPr>
            </w:pPr>
          </w:p>
          <w:p w14:paraId="28057207">
            <w:pPr>
              <w:jc w:val="center"/>
              <w:rPr>
                <w:rFonts w:hint="default" w:ascii="Times New Roman" w:hAnsi="Times New Roman" w:cs="Times New Roman"/>
                <w:b/>
                <w:color w:val="auto"/>
                <w:szCs w:val="21"/>
                <w:highlight w:val="none"/>
                <w:u w:val="none" w:color="auto"/>
              </w:rPr>
            </w:pPr>
          </w:p>
          <w:p w14:paraId="585E0A08">
            <w:pPr>
              <w:jc w:val="center"/>
              <w:rPr>
                <w:rFonts w:hint="default" w:ascii="Times New Roman" w:hAnsi="Times New Roman" w:cs="Times New Roman"/>
                <w:b/>
                <w:color w:val="auto"/>
                <w:szCs w:val="21"/>
                <w:highlight w:val="none"/>
                <w:u w:val="none" w:color="auto"/>
              </w:rPr>
            </w:pPr>
          </w:p>
          <w:p w14:paraId="19085BCF">
            <w:pPr>
              <w:jc w:val="center"/>
              <w:rPr>
                <w:rFonts w:hint="default" w:ascii="Times New Roman" w:hAnsi="Times New Roman" w:cs="Times New Roman"/>
                <w:b/>
                <w:color w:val="auto"/>
                <w:szCs w:val="21"/>
                <w:highlight w:val="none"/>
                <w:u w:val="none" w:color="auto"/>
              </w:rPr>
            </w:pPr>
            <w:r>
              <w:rPr>
                <w:rFonts w:hint="default" w:ascii="Times New Roman" w:hAnsi="Times New Roman" w:cs="Times New Roman"/>
                <w:b/>
                <w:color w:val="auto"/>
                <w:szCs w:val="21"/>
                <w:highlight w:val="none"/>
                <w:u w:val="none" w:color="auto"/>
              </w:rPr>
              <w:t>表 5-3    环境保护图形符号一览表</w:t>
            </w:r>
          </w:p>
          <w:tbl>
            <w:tblPr>
              <w:tblStyle w:val="156"/>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25"/>
              <w:gridCol w:w="2346"/>
              <w:gridCol w:w="1615"/>
              <w:gridCol w:w="3496"/>
            </w:tblGrid>
            <w:tr w14:paraId="4BF382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498" w:type="pct"/>
                  <w:tcBorders>
                    <w:tl2br w:val="nil"/>
                    <w:tr2bl w:val="nil"/>
                  </w:tcBorders>
                  <w:vAlign w:val="center"/>
                </w:tcPr>
                <w:p w14:paraId="443C74CA">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序号</w:t>
                  </w:r>
                </w:p>
              </w:tc>
              <w:tc>
                <w:tcPr>
                  <w:tcW w:w="1416" w:type="pct"/>
                  <w:tcBorders>
                    <w:tl2br w:val="nil"/>
                    <w:tr2bl w:val="nil"/>
                  </w:tcBorders>
                  <w:vAlign w:val="center"/>
                </w:tcPr>
                <w:p w14:paraId="28563953">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警告图形符号</w:t>
                  </w:r>
                </w:p>
              </w:tc>
              <w:tc>
                <w:tcPr>
                  <w:tcW w:w="975" w:type="pct"/>
                  <w:tcBorders>
                    <w:tl2br w:val="nil"/>
                    <w:tr2bl w:val="nil"/>
                  </w:tcBorders>
                  <w:vAlign w:val="center"/>
                </w:tcPr>
                <w:p w14:paraId="74A77865">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名称</w:t>
                  </w:r>
                </w:p>
              </w:tc>
              <w:tc>
                <w:tcPr>
                  <w:tcW w:w="2110" w:type="pct"/>
                  <w:tcBorders>
                    <w:tl2br w:val="nil"/>
                    <w:tr2bl w:val="nil"/>
                  </w:tcBorders>
                  <w:vAlign w:val="center"/>
                </w:tcPr>
                <w:p w14:paraId="050212E9">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功能</w:t>
                  </w:r>
                </w:p>
              </w:tc>
            </w:tr>
            <w:tr w14:paraId="61A119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08" w:hRule="atLeast"/>
              </w:trPr>
              <w:tc>
                <w:tcPr>
                  <w:tcW w:w="498" w:type="pct"/>
                  <w:tcBorders>
                    <w:tl2br w:val="nil"/>
                    <w:tr2bl w:val="nil"/>
                  </w:tcBorders>
                  <w:vAlign w:val="center"/>
                </w:tcPr>
                <w:p w14:paraId="4A938C05">
                  <w:pPr>
                    <w:pStyle w:val="15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1</w:t>
                  </w:r>
                </w:p>
              </w:tc>
              <w:tc>
                <w:tcPr>
                  <w:tcW w:w="1416" w:type="pct"/>
                  <w:tcBorders>
                    <w:tl2br w:val="nil"/>
                    <w:tr2bl w:val="nil"/>
                  </w:tcBorders>
                  <w:vAlign w:val="center"/>
                </w:tcPr>
                <w:p w14:paraId="3EE0A0C4">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drawing>
                      <wp:inline distT="0" distB="0" distL="114300" distR="114300">
                        <wp:extent cx="828675" cy="812800"/>
                        <wp:effectExtent l="0" t="0" r="9525" b="6350"/>
                        <wp:docPr id="7" name="图片 13"/>
                        <wp:cNvGraphicFramePr/>
                        <a:graphic xmlns:a="http://schemas.openxmlformats.org/drawingml/2006/main">
                          <a:graphicData uri="http://schemas.openxmlformats.org/drawingml/2006/picture">
                            <pic:pic xmlns:pic="http://schemas.openxmlformats.org/drawingml/2006/picture">
                              <pic:nvPicPr>
                                <pic:cNvPr id="7" name="图片 13"/>
                                <pic:cNvPicPr/>
                              </pic:nvPicPr>
                              <pic:blipFill>
                                <a:blip r:embed="rId34"/>
                                <a:stretch>
                                  <a:fillRect/>
                                </a:stretch>
                              </pic:blipFill>
                              <pic:spPr>
                                <a:xfrm>
                                  <a:off x="0" y="0"/>
                                  <a:ext cx="828675" cy="812800"/>
                                </a:xfrm>
                                <a:prstGeom prst="rect">
                                  <a:avLst/>
                                </a:prstGeom>
                                <a:noFill/>
                                <a:ln>
                                  <a:noFill/>
                                </a:ln>
                              </pic:spPr>
                            </pic:pic>
                          </a:graphicData>
                        </a:graphic>
                      </wp:inline>
                    </w:drawing>
                  </w:r>
                </w:p>
              </w:tc>
              <w:tc>
                <w:tcPr>
                  <w:tcW w:w="975" w:type="pct"/>
                  <w:tcBorders>
                    <w:tl2br w:val="nil"/>
                    <w:tr2bl w:val="nil"/>
                  </w:tcBorders>
                  <w:vAlign w:val="center"/>
                </w:tcPr>
                <w:p w14:paraId="6C5A3BF0">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废气排放口</w:t>
                  </w:r>
                </w:p>
              </w:tc>
              <w:tc>
                <w:tcPr>
                  <w:tcW w:w="2110" w:type="pct"/>
                  <w:tcBorders>
                    <w:tl2br w:val="nil"/>
                    <w:tr2bl w:val="nil"/>
                  </w:tcBorders>
                  <w:vAlign w:val="center"/>
                </w:tcPr>
                <w:p w14:paraId="3A91C45D">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表示废气向大气环境排放</w:t>
                  </w:r>
                </w:p>
              </w:tc>
            </w:tr>
            <w:tr w14:paraId="58F4A5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498" w:type="pct"/>
                  <w:tcBorders>
                    <w:tl2br w:val="nil"/>
                    <w:tr2bl w:val="nil"/>
                  </w:tcBorders>
                  <w:vAlign w:val="center"/>
                </w:tcPr>
                <w:p w14:paraId="1BE2F9BE">
                  <w:pPr>
                    <w:pStyle w:val="15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s="Times New Roman"/>
                      <w:color w:val="auto"/>
                      <w:spacing w:val="4"/>
                      <w:sz w:val="21"/>
                      <w:szCs w:val="21"/>
                      <w:highlight w:val="none"/>
                      <w:u w:val="none" w:color="auto"/>
                      <w:lang w:val="en-US" w:eastAsia="zh-CN"/>
                    </w:rPr>
                  </w:pPr>
                  <w:r>
                    <w:rPr>
                      <w:rFonts w:hint="eastAsia" w:ascii="Times New Roman" w:hAnsi="Times New Roman" w:cs="Times New Roman"/>
                      <w:color w:val="auto"/>
                      <w:spacing w:val="4"/>
                      <w:sz w:val="21"/>
                      <w:szCs w:val="21"/>
                      <w:highlight w:val="none"/>
                      <w:u w:val="none" w:color="auto"/>
                      <w:lang w:val="en-US" w:eastAsia="zh-CN"/>
                    </w:rPr>
                    <w:t>2</w:t>
                  </w:r>
                </w:p>
              </w:tc>
              <w:tc>
                <w:tcPr>
                  <w:tcW w:w="1416" w:type="pct"/>
                  <w:tcBorders>
                    <w:tl2br w:val="nil"/>
                    <w:tr2bl w:val="nil"/>
                  </w:tcBorders>
                  <w:vAlign w:val="center"/>
                </w:tcPr>
                <w:p w14:paraId="065A9626">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drawing>
                      <wp:inline distT="0" distB="0" distL="114300" distR="114300">
                        <wp:extent cx="885190" cy="790575"/>
                        <wp:effectExtent l="0" t="0" r="10160" b="9525"/>
                        <wp:docPr id="10" name="图片 16"/>
                        <wp:cNvGraphicFramePr/>
                        <a:graphic xmlns:a="http://schemas.openxmlformats.org/drawingml/2006/main">
                          <a:graphicData uri="http://schemas.openxmlformats.org/drawingml/2006/picture">
                            <pic:pic xmlns:pic="http://schemas.openxmlformats.org/drawingml/2006/picture">
                              <pic:nvPicPr>
                                <pic:cNvPr id="10" name="图片 16"/>
                                <pic:cNvPicPr/>
                              </pic:nvPicPr>
                              <pic:blipFill>
                                <a:blip r:embed="rId35"/>
                                <a:stretch>
                                  <a:fillRect/>
                                </a:stretch>
                              </pic:blipFill>
                              <pic:spPr>
                                <a:xfrm>
                                  <a:off x="0" y="0"/>
                                  <a:ext cx="885190" cy="790575"/>
                                </a:xfrm>
                                <a:prstGeom prst="rect">
                                  <a:avLst/>
                                </a:prstGeom>
                                <a:noFill/>
                                <a:ln>
                                  <a:noFill/>
                                </a:ln>
                              </pic:spPr>
                            </pic:pic>
                          </a:graphicData>
                        </a:graphic>
                      </wp:inline>
                    </w:drawing>
                  </w:r>
                </w:p>
              </w:tc>
              <w:tc>
                <w:tcPr>
                  <w:tcW w:w="975" w:type="pct"/>
                  <w:tcBorders>
                    <w:tl2br w:val="nil"/>
                    <w:tr2bl w:val="nil"/>
                  </w:tcBorders>
                  <w:shd w:val="clear" w:color="auto" w:fill="auto"/>
                  <w:vAlign w:val="center"/>
                </w:tcPr>
                <w:p w14:paraId="379D4801">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噪声排放源</w:t>
                  </w:r>
                </w:p>
              </w:tc>
              <w:tc>
                <w:tcPr>
                  <w:tcW w:w="2110" w:type="pct"/>
                  <w:tcBorders>
                    <w:tl2br w:val="nil"/>
                    <w:tr2bl w:val="nil"/>
                  </w:tcBorders>
                  <w:shd w:val="clear" w:color="auto" w:fill="auto"/>
                  <w:vAlign w:val="center"/>
                </w:tcPr>
                <w:p w14:paraId="705582A8">
                  <w:pPr>
                    <w:pStyle w:val="155"/>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表示噪声向外环境排放</w:t>
                  </w:r>
                </w:p>
              </w:tc>
            </w:tr>
            <w:tr w14:paraId="17991D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68" w:hRule="atLeast"/>
              </w:trPr>
              <w:tc>
                <w:tcPr>
                  <w:tcW w:w="498" w:type="pct"/>
                  <w:tcBorders>
                    <w:tl2br w:val="nil"/>
                    <w:tr2bl w:val="nil"/>
                  </w:tcBorders>
                  <w:vAlign w:val="center"/>
                </w:tcPr>
                <w:p w14:paraId="1A867FDD">
                  <w:pPr>
                    <w:pStyle w:val="15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Times New Roman" w:hAnsi="Times New Roman" w:cs="Times New Roman"/>
                      <w:color w:val="auto"/>
                      <w:spacing w:val="4"/>
                      <w:sz w:val="21"/>
                      <w:szCs w:val="21"/>
                      <w:highlight w:val="none"/>
                      <w:u w:val="none" w:color="auto"/>
                      <w:lang w:val="en-US" w:eastAsia="zh-CN"/>
                    </w:rPr>
                  </w:pPr>
                  <w:r>
                    <w:rPr>
                      <w:rFonts w:hint="eastAsia" w:ascii="Times New Roman" w:hAnsi="Times New Roman" w:cs="Times New Roman"/>
                      <w:color w:val="auto"/>
                      <w:spacing w:val="4"/>
                      <w:sz w:val="21"/>
                      <w:szCs w:val="21"/>
                      <w:highlight w:val="none"/>
                      <w:u w:val="none" w:color="auto"/>
                      <w:lang w:val="en-US" w:eastAsia="zh-CN"/>
                    </w:rPr>
                    <w:t>3</w:t>
                  </w:r>
                </w:p>
              </w:tc>
              <w:tc>
                <w:tcPr>
                  <w:tcW w:w="1416" w:type="pct"/>
                  <w:tcBorders>
                    <w:tl2br w:val="nil"/>
                    <w:tr2bl w:val="nil"/>
                  </w:tcBorders>
                  <w:vAlign w:val="center"/>
                </w:tcPr>
                <w:p w14:paraId="21D46DAF">
                  <w:pPr>
                    <w:pStyle w:val="15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drawing>
                      <wp:inline distT="0" distB="0" distL="114300" distR="114300">
                        <wp:extent cx="920115" cy="835025"/>
                        <wp:effectExtent l="0" t="0" r="13335" b="3175"/>
                        <wp:docPr id="11" name="图片 15"/>
                        <wp:cNvGraphicFramePr/>
                        <a:graphic xmlns:a="http://schemas.openxmlformats.org/drawingml/2006/main">
                          <a:graphicData uri="http://schemas.openxmlformats.org/drawingml/2006/picture">
                            <pic:pic xmlns:pic="http://schemas.openxmlformats.org/drawingml/2006/picture">
                              <pic:nvPicPr>
                                <pic:cNvPr id="11" name="图片 15"/>
                                <pic:cNvPicPr/>
                              </pic:nvPicPr>
                              <pic:blipFill>
                                <a:blip r:embed="rId36"/>
                                <a:stretch>
                                  <a:fillRect/>
                                </a:stretch>
                              </pic:blipFill>
                              <pic:spPr>
                                <a:xfrm>
                                  <a:off x="0" y="0"/>
                                  <a:ext cx="920115" cy="835025"/>
                                </a:xfrm>
                                <a:prstGeom prst="rect">
                                  <a:avLst/>
                                </a:prstGeom>
                                <a:noFill/>
                                <a:ln>
                                  <a:noFill/>
                                </a:ln>
                              </pic:spPr>
                            </pic:pic>
                          </a:graphicData>
                        </a:graphic>
                      </wp:inline>
                    </w:drawing>
                  </w:r>
                </w:p>
              </w:tc>
              <w:tc>
                <w:tcPr>
                  <w:tcW w:w="975" w:type="pct"/>
                  <w:tcBorders>
                    <w:tl2br w:val="nil"/>
                    <w:tr2bl w:val="nil"/>
                  </w:tcBorders>
                  <w:shd w:val="clear" w:color="auto" w:fill="auto"/>
                  <w:vAlign w:val="center"/>
                </w:tcPr>
                <w:p w14:paraId="0C5F0958">
                  <w:pPr>
                    <w:pStyle w:val="15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危险废物</w:t>
                  </w:r>
                </w:p>
              </w:tc>
              <w:tc>
                <w:tcPr>
                  <w:tcW w:w="2110" w:type="pct"/>
                  <w:tcBorders>
                    <w:tl2br w:val="nil"/>
                    <w:tr2bl w:val="nil"/>
                  </w:tcBorders>
                  <w:shd w:val="clear" w:color="auto" w:fill="auto"/>
                  <w:vAlign w:val="center"/>
                </w:tcPr>
                <w:p w14:paraId="1DC01D05">
                  <w:pPr>
                    <w:pStyle w:val="155"/>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pacing w:val="4"/>
                      <w:sz w:val="21"/>
                      <w:szCs w:val="21"/>
                      <w:highlight w:val="none"/>
                      <w:u w:val="none" w:color="auto"/>
                      <w:lang w:val="en-US" w:eastAsia="zh-CN"/>
                    </w:rPr>
                  </w:pPr>
                  <w:r>
                    <w:rPr>
                      <w:rFonts w:hint="default" w:ascii="Times New Roman" w:hAnsi="Times New Roman" w:cs="Times New Roman"/>
                      <w:color w:val="auto"/>
                      <w:spacing w:val="4"/>
                      <w:sz w:val="21"/>
                      <w:szCs w:val="21"/>
                      <w:highlight w:val="none"/>
                      <w:u w:val="none" w:color="auto"/>
                      <w:lang w:val="en-US" w:eastAsia="zh-CN"/>
                    </w:rPr>
                    <w:t>表示危险废物贮存、处置场</w:t>
                  </w:r>
                </w:p>
              </w:tc>
            </w:tr>
          </w:tbl>
          <w:p w14:paraId="1B574037">
            <w:pPr>
              <w:widowControl/>
              <w:jc w:val="left"/>
              <w:textAlignment w:val="center"/>
              <w:rPr>
                <w:rFonts w:hint="eastAsia" w:eastAsia="宋体"/>
                <w:color w:val="auto"/>
                <w:szCs w:val="21"/>
                <w:highlight w:val="none"/>
                <w:u w:val="none" w:color="auto"/>
                <w:lang w:val="en-US" w:eastAsia="en-US"/>
              </w:rPr>
            </w:pPr>
          </w:p>
          <w:p w14:paraId="6EDB4532">
            <w:pPr>
              <w:widowControl/>
              <w:jc w:val="left"/>
              <w:textAlignment w:val="center"/>
              <w:rPr>
                <w:rFonts w:hint="eastAsia" w:eastAsia="宋体"/>
                <w:color w:val="auto"/>
                <w:szCs w:val="21"/>
                <w:highlight w:val="none"/>
                <w:u w:val="none" w:color="auto"/>
                <w:lang w:val="en-US" w:eastAsia="en-US"/>
              </w:rPr>
            </w:pPr>
          </w:p>
          <w:p w14:paraId="5F255CC2">
            <w:pPr>
              <w:widowControl/>
              <w:jc w:val="left"/>
              <w:textAlignment w:val="center"/>
              <w:rPr>
                <w:rFonts w:hint="eastAsia" w:eastAsia="宋体"/>
                <w:color w:val="auto"/>
                <w:szCs w:val="21"/>
                <w:highlight w:val="none"/>
                <w:u w:val="none" w:color="auto"/>
                <w:lang w:val="en-US" w:eastAsia="en-US"/>
              </w:rPr>
            </w:pPr>
          </w:p>
          <w:p w14:paraId="20E68924">
            <w:pPr>
              <w:widowControl/>
              <w:jc w:val="left"/>
              <w:textAlignment w:val="center"/>
              <w:rPr>
                <w:rFonts w:hint="eastAsia" w:eastAsia="宋体"/>
                <w:color w:val="auto"/>
                <w:szCs w:val="21"/>
                <w:highlight w:val="none"/>
                <w:u w:val="none" w:color="auto"/>
                <w:lang w:val="en-US" w:eastAsia="en-US"/>
              </w:rPr>
            </w:pPr>
          </w:p>
          <w:p w14:paraId="63DACE05">
            <w:pPr>
              <w:widowControl/>
              <w:jc w:val="left"/>
              <w:textAlignment w:val="center"/>
              <w:rPr>
                <w:rFonts w:hint="eastAsia" w:eastAsia="宋体"/>
                <w:color w:val="auto"/>
                <w:szCs w:val="21"/>
                <w:highlight w:val="none"/>
                <w:u w:val="none" w:color="auto"/>
                <w:lang w:val="en-US" w:eastAsia="en-US"/>
              </w:rPr>
            </w:pPr>
          </w:p>
          <w:p w14:paraId="0DC1BA92">
            <w:pPr>
              <w:widowControl/>
              <w:jc w:val="left"/>
              <w:textAlignment w:val="center"/>
              <w:rPr>
                <w:rFonts w:hint="eastAsia" w:eastAsia="宋体"/>
                <w:color w:val="auto"/>
                <w:szCs w:val="21"/>
                <w:highlight w:val="none"/>
                <w:u w:val="none" w:color="auto"/>
                <w:lang w:val="en-US" w:eastAsia="en-US"/>
              </w:rPr>
            </w:pPr>
          </w:p>
          <w:p w14:paraId="7808F414">
            <w:pPr>
              <w:widowControl/>
              <w:jc w:val="left"/>
              <w:textAlignment w:val="center"/>
              <w:rPr>
                <w:rFonts w:hint="eastAsia" w:eastAsia="宋体"/>
                <w:color w:val="auto"/>
                <w:szCs w:val="21"/>
                <w:highlight w:val="none"/>
                <w:u w:val="none" w:color="auto"/>
                <w:lang w:val="en-US" w:eastAsia="en-US"/>
              </w:rPr>
            </w:pPr>
          </w:p>
          <w:p w14:paraId="142E6A3A">
            <w:pPr>
              <w:widowControl/>
              <w:jc w:val="left"/>
              <w:textAlignment w:val="center"/>
              <w:rPr>
                <w:rFonts w:hint="eastAsia" w:eastAsia="宋体"/>
                <w:color w:val="auto"/>
                <w:szCs w:val="21"/>
                <w:highlight w:val="none"/>
                <w:u w:val="none" w:color="auto"/>
                <w:lang w:val="en-US" w:eastAsia="en-US"/>
              </w:rPr>
            </w:pPr>
          </w:p>
          <w:p w14:paraId="121082E8">
            <w:pPr>
              <w:widowControl/>
              <w:jc w:val="left"/>
              <w:textAlignment w:val="center"/>
              <w:rPr>
                <w:rFonts w:hint="eastAsia" w:eastAsia="宋体"/>
                <w:color w:val="auto"/>
                <w:szCs w:val="21"/>
                <w:highlight w:val="none"/>
                <w:u w:val="none" w:color="auto"/>
                <w:lang w:val="en-US" w:eastAsia="en-US"/>
              </w:rPr>
            </w:pPr>
          </w:p>
          <w:p w14:paraId="7169A499">
            <w:pPr>
              <w:widowControl/>
              <w:jc w:val="left"/>
              <w:textAlignment w:val="center"/>
              <w:rPr>
                <w:rFonts w:hint="eastAsia" w:eastAsia="宋体"/>
                <w:color w:val="auto"/>
                <w:szCs w:val="21"/>
                <w:highlight w:val="none"/>
                <w:u w:val="none" w:color="auto"/>
                <w:lang w:val="en-US" w:eastAsia="en-US"/>
              </w:rPr>
            </w:pPr>
          </w:p>
          <w:p w14:paraId="63604EDF">
            <w:pPr>
              <w:widowControl/>
              <w:jc w:val="left"/>
              <w:textAlignment w:val="center"/>
              <w:rPr>
                <w:rFonts w:hint="eastAsia" w:eastAsia="宋体"/>
                <w:color w:val="auto"/>
                <w:szCs w:val="21"/>
                <w:highlight w:val="none"/>
                <w:u w:val="none" w:color="auto"/>
                <w:lang w:val="en-US" w:eastAsia="en-US"/>
              </w:rPr>
            </w:pPr>
          </w:p>
          <w:p w14:paraId="26BD216E">
            <w:pPr>
              <w:widowControl/>
              <w:jc w:val="left"/>
              <w:textAlignment w:val="center"/>
              <w:rPr>
                <w:rFonts w:hint="eastAsia" w:eastAsia="宋体"/>
                <w:color w:val="auto"/>
                <w:szCs w:val="21"/>
                <w:highlight w:val="none"/>
                <w:u w:val="none" w:color="auto"/>
                <w:lang w:val="en-US" w:eastAsia="en-US"/>
              </w:rPr>
            </w:pPr>
          </w:p>
          <w:p w14:paraId="5C1708F1">
            <w:pPr>
              <w:widowControl/>
              <w:jc w:val="left"/>
              <w:textAlignment w:val="center"/>
              <w:rPr>
                <w:rFonts w:hint="eastAsia" w:eastAsia="宋体"/>
                <w:color w:val="auto"/>
                <w:szCs w:val="21"/>
                <w:highlight w:val="none"/>
                <w:u w:val="none" w:color="auto"/>
                <w:lang w:val="en-US" w:eastAsia="en-US"/>
              </w:rPr>
            </w:pPr>
          </w:p>
          <w:p w14:paraId="181EE8CA">
            <w:pPr>
              <w:widowControl/>
              <w:jc w:val="left"/>
              <w:textAlignment w:val="center"/>
              <w:rPr>
                <w:rFonts w:hint="eastAsia" w:eastAsia="宋体"/>
                <w:color w:val="auto"/>
                <w:szCs w:val="21"/>
                <w:highlight w:val="none"/>
                <w:u w:val="none" w:color="auto"/>
                <w:lang w:val="en-US" w:eastAsia="en-US"/>
              </w:rPr>
            </w:pPr>
          </w:p>
          <w:p w14:paraId="74C739A6">
            <w:pPr>
              <w:widowControl/>
              <w:jc w:val="left"/>
              <w:textAlignment w:val="center"/>
              <w:rPr>
                <w:rFonts w:hint="eastAsia" w:eastAsia="宋体"/>
                <w:color w:val="auto"/>
                <w:szCs w:val="21"/>
                <w:highlight w:val="none"/>
                <w:u w:val="none" w:color="auto"/>
                <w:lang w:val="en-US" w:eastAsia="en-US"/>
              </w:rPr>
            </w:pPr>
          </w:p>
          <w:p w14:paraId="08A7E013">
            <w:pPr>
              <w:widowControl/>
              <w:jc w:val="left"/>
              <w:textAlignment w:val="center"/>
              <w:rPr>
                <w:rFonts w:hint="eastAsia" w:eastAsia="宋体"/>
                <w:color w:val="auto"/>
                <w:szCs w:val="21"/>
                <w:highlight w:val="none"/>
                <w:u w:val="none" w:color="auto"/>
                <w:lang w:val="en-US" w:eastAsia="en-US"/>
              </w:rPr>
            </w:pPr>
          </w:p>
          <w:p w14:paraId="75FA59BE">
            <w:pPr>
              <w:widowControl/>
              <w:jc w:val="left"/>
              <w:textAlignment w:val="center"/>
              <w:rPr>
                <w:rFonts w:hint="eastAsia" w:eastAsia="宋体"/>
                <w:color w:val="auto"/>
                <w:szCs w:val="21"/>
                <w:highlight w:val="none"/>
                <w:u w:val="none" w:color="auto"/>
                <w:lang w:val="en-US" w:eastAsia="en-US"/>
              </w:rPr>
            </w:pPr>
          </w:p>
          <w:p w14:paraId="558388A7">
            <w:pPr>
              <w:widowControl/>
              <w:jc w:val="left"/>
              <w:textAlignment w:val="center"/>
              <w:rPr>
                <w:rFonts w:hint="eastAsia" w:eastAsia="宋体"/>
                <w:color w:val="auto"/>
                <w:szCs w:val="21"/>
                <w:highlight w:val="none"/>
                <w:u w:val="none" w:color="auto"/>
                <w:lang w:val="en-US" w:eastAsia="en-US"/>
              </w:rPr>
            </w:pPr>
          </w:p>
          <w:p w14:paraId="658524D4">
            <w:pPr>
              <w:widowControl/>
              <w:jc w:val="left"/>
              <w:textAlignment w:val="center"/>
              <w:rPr>
                <w:rFonts w:hint="eastAsia" w:eastAsia="宋体"/>
                <w:color w:val="auto"/>
                <w:szCs w:val="21"/>
                <w:highlight w:val="none"/>
                <w:u w:val="none" w:color="auto"/>
                <w:lang w:val="en-US" w:eastAsia="en-US"/>
              </w:rPr>
            </w:pPr>
          </w:p>
          <w:p w14:paraId="2D674EE0">
            <w:pPr>
              <w:widowControl/>
              <w:jc w:val="left"/>
              <w:textAlignment w:val="center"/>
              <w:rPr>
                <w:rFonts w:hint="eastAsia" w:eastAsia="宋体"/>
                <w:color w:val="auto"/>
                <w:szCs w:val="21"/>
                <w:highlight w:val="none"/>
                <w:u w:val="none" w:color="auto"/>
                <w:lang w:val="en-US" w:eastAsia="en-US"/>
              </w:rPr>
            </w:pPr>
          </w:p>
          <w:p w14:paraId="569E1D7D">
            <w:pPr>
              <w:widowControl/>
              <w:jc w:val="left"/>
              <w:textAlignment w:val="center"/>
              <w:rPr>
                <w:rFonts w:hint="eastAsia" w:eastAsia="宋体"/>
                <w:color w:val="auto"/>
                <w:szCs w:val="21"/>
                <w:highlight w:val="none"/>
                <w:u w:val="none" w:color="auto"/>
                <w:lang w:val="en-US" w:eastAsia="en-US"/>
              </w:rPr>
            </w:pPr>
          </w:p>
          <w:p w14:paraId="5FE1DC5C">
            <w:pPr>
              <w:widowControl/>
              <w:jc w:val="left"/>
              <w:textAlignment w:val="center"/>
              <w:rPr>
                <w:rFonts w:hint="eastAsia" w:eastAsia="宋体"/>
                <w:color w:val="auto"/>
                <w:szCs w:val="21"/>
                <w:highlight w:val="none"/>
                <w:u w:val="none" w:color="auto"/>
                <w:lang w:val="en-US" w:eastAsia="en-US"/>
              </w:rPr>
            </w:pPr>
          </w:p>
          <w:p w14:paraId="40537B3B">
            <w:pPr>
              <w:widowControl/>
              <w:jc w:val="left"/>
              <w:textAlignment w:val="center"/>
              <w:rPr>
                <w:rFonts w:hint="eastAsia" w:eastAsia="宋体"/>
                <w:color w:val="auto"/>
                <w:szCs w:val="21"/>
                <w:highlight w:val="none"/>
                <w:u w:val="none" w:color="auto"/>
                <w:lang w:val="en-US" w:eastAsia="en-US"/>
              </w:rPr>
            </w:pPr>
          </w:p>
          <w:p w14:paraId="187668D6">
            <w:pPr>
              <w:widowControl/>
              <w:jc w:val="left"/>
              <w:textAlignment w:val="center"/>
              <w:rPr>
                <w:rFonts w:hint="eastAsia" w:eastAsia="宋体"/>
                <w:color w:val="auto"/>
                <w:szCs w:val="21"/>
                <w:highlight w:val="none"/>
                <w:u w:val="none" w:color="auto"/>
                <w:lang w:val="en-US" w:eastAsia="en-US"/>
              </w:rPr>
            </w:pPr>
          </w:p>
          <w:p w14:paraId="76477118">
            <w:pPr>
              <w:widowControl/>
              <w:jc w:val="left"/>
              <w:textAlignment w:val="center"/>
              <w:rPr>
                <w:rFonts w:hint="eastAsia" w:eastAsia="宋体"/>
                <w:color w:val="auto"/>
                <w:szCs w:val="21"/>
                <w:highlight w:val="none"/>
                <w:u w:val="none" w:color="auto"/>
                <w:lang w:val="en-US" w:eastAsia="en-US"/>
              </w:rPr>
            </w:pPr>
          </w:p>
          <w:p w14:paraId="5AADAABB">
            <w:pPr>
              <w:pStyle w:val="22"/>
              <w:rPr>
                <w:rFonts w:hint="eastAsia" w:eastAsia="宋体"/>
                <w:color w:val="auto"/>
                <w:szCs w:val="21"/>
                <w:highlight w:val="none"/>
                <w:u w:val="none" w:color="auto"/>
                <w:lang w:val="en-US" w:eastAsia="en-US"/>
              </w:rPr>
            </w:pPr>
          </w:p>
          <w:p w14:paraId="2EFAF0C5">
            <w:pPr>
              <w:pStyle w:val="23"/>
              <w:rPr>
                <w:rFonts w:hint="eastAsia"/>
                <w:lang w:val="en-US" w:eastAsia="en-US"/>
              </w:rPr>
            </w:pPr>
          </w:p>
          <w:p w14:paraId="79ECEAB4">
            <w:pPr>
              <w:widowControl/>
              <w:jc w:val="left"/>
              <w:textAlignment w:val="center"/>
              <w:rPr>
                <w:rFonts w:hint="eastAsia" w:eastAsia="宋体"/>
                <w:color w:val="auto"/>
                <w:szCs w:val="21"/>
                <w:highlight w:val="none"/>
                <w:u w:val="none" w:color="auto"/>
                <w:lang w:val="en-US" w:eastAsia="en-US"/>
              </w:rPr>
            </w:pPr>
          </w:p>
          <w:p w14:paraId="0B3EAF6F">
            <w:pPr>
              <w:widowControl/>
              <w:jc w:val="left"/>
              <w:textAlignment w:val="center"/>
              <w:rPr>
                <w:rFonts w:hint="eastAsia" w:eastAsia="宋体"/>
                <w:color w:val="auto"/>
                <w:szCs w:val="21"/>
                <w:highlight w:val="none"/>
                <w:u w:val="none" w:color="auto"/>
                <w:lang w:val="en-US" w:eastAsia="en-US"/>
              </w:rPr>
            </w:pPr>
          </w:p>
          <w:p w14:paraId="5E242018">
            <w:pPr>
              <w:widowControl/>
              <w:jc w:val="left"/>
              <w:textAlignment w:val="center"/>
              <w:rPr>
                <w:rFonts w:hint="eastAsia" w:eastAsia="宋体"/>
                <w:color w:val="auto"/>
                <w:szCs w:val="21"/>
                <w:highlight w:val="none"/>
                <w:u w:val="none" w:color="auto"/>
                <w:lang w:val="en-US" w:eastAsia="en-US"/>
              </w:rPr>
            </w:pPr>
          </w:p>
        </w:tc>
      </w:tr>
    </w:tbl>
    <w:p w14:paraId="7701D88E">
      <w:pPr>
        <w:rPr>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78E099C6">
      <w:pPr>
        <w:pStyle w:val="39"/>
        <w:spacing w:before="0" w:beforeAutospacing="0" w:after="0" w:afterAutospacing="0" w:line="360" w:lineRule="auto"/>
        <w:jc w:val="center"/>
        <w:outlineLvl w:val="0"/>
        <w:rPr>
          <w:rFonts w:ascii="Times New Roman" w:hAnsi="Times New Roman"/>
          <w:b/>
          <w:bCs/>
          <w:snapToGrid w:val="0"/>
          <w:color w:val="auto"/>
          <w:sz w:val="30"/>
          <w:szCs w:val="30"/>
          <w:highlight w:val="none"/>
        </w:rPr>
      </w:pPr>
      <w:bookmarkStart w:id="11" w:name="_Toc92182182"/>
      <w:r>
        <w:rPr>
          <w:rFonts w:ascii="Times New Roman" w:hAnsi="Times New Roman"/>
          <w:b/>
          <w:bCs/>
          <w:snapToGrid w:val="0"/>
          <w:color w:val="auto"/>
          <w:sz w:val="30"/>
          <w:szCs w:val="30"/>
          <w:highlight w:val="none"/>
        </w:rPr>
        <w:t>六、结论</w:t>
      </w:r>
      <w:bookmarkEnd w:id="11"/>
    </w:p>
    <w:tbl>
      <w:tblPr>
        <w:tblStyle w:val="42"/>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70F7B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865" w:type="dxa"/>
            <w:vAlign w:val="center"/>
          </w:tcPr>
          <w:p w14:paraId="56C1A152">
            <w:pPr>
              <w:spacing w:line="360" w:lineRule="auto"/>
              <w:ind w:firstLine="468" w:firstLineChars="200"/>
              <w:rPr>
                <w:color w:val="auto"/>
                <w:spacing w:val="-3"/>
                <w:sz w:val="24"/>
                <w:szCs w:val="24"/>
                <w:highlight w:val="none"/>
              </w:rPr>
            </w:pPr>
          </w:p>
          <w:p w14:paraId="3100981E">
            <w:pPr>
              <w:spacing w:line="360" w:lineRule="auto"/>
              <w:ind w:firstLine="468" w:firstLineChars="200"/>
              <w:rPr>
                <w:color w:val="auto"/>
                <w:spacing w:val="-3"/>
                <w:sz w:val="24"/>
                <w:szCs w:val="24"/>
                <w:highlight w:val="none"/>
              </w:rPr>
            </w:pPr>
          </w:p>
          <w:p w14:paraId="281B9E75">
            <w:pPr>
              <w:pStyle w:val="155"/>
              <w:spacing w:before="36" w:line="359" w:lineRule="auto"/>
              <w:ind w:left="102" w:right="97" w:firstLine="455"/>
              <w:jc w:val="both"/>
              <w:rPr>
                <w:rFonts w:hint="default" w:ascii="Times New Roman" w:hAnsi="Times New Roman" w:eastAsia="宋体" w:cs="Times New Roman"/>
                <w:color w:val="auto"/>
                <w:spacing w:val="-1"/>
                <w:highlight w:val="none"/>
                <w:u w:val="none" w:color="auto"/>
                <w:lang w:val="en-US" w:eastAsia="zh-CN"/>
              </w:rPr>
            </w:pPr>
            <w:r>
              <w:rPr>
                <w:rFonts w:hint="default" w:ascii="Times New Roman" w:hAnsi="Times New Roman" w:eastAsia="宋体" w:cs="Times New Roman"/>
                <w:color w:val="auto"/>
                <w:spacing w:val="-1"/>
                <w:highlight w:val="none"/>
                <w:u w:val="none" w:color="auto"/>
                <w:lang w:val="en-US" w:eastAsia="zh-CN"/>
              </w:rPr>
              <w:t>在认真落实各项环境保护措施后，污染物可以达标排放；本次</w:t>
            </w:r>
            <w:r>
              <w:rPr>
                <w:rFonts w:hint="eastAsia" w:ascii="Times New Roman" w:hAnsi="Times New Roman" w:cs="Times New Roman"/>
                <w:color w:val="auto"/>
                <w:spacing w:val="-1"/>
                <w:highlight w:val="none"/>
                <w:u w:val="none" w:color="auto"/>
                <w:lang w:val="en-US" w:eastAsia="zh-CN"/>
              </w:rPr>
              <w:t>技改</w:t>
            </w:r>
            <w:r>
              <w:rPr>
                <w:rFonts w:hint="default" w:ascii="Times New Roman" w:hAnsi="Times New Roman" w:eastAsia="宋体" w:cs="Times New Roman"/>
                <w:color w:val="auto"/>
                <w:spacing w:val="-1"/>
                <w:highlight w:val="none"/>
                <w:u w:val="none" w:color="auto"/>
                <w:lang w:val="en-US" w:eastAsia="zh-CN"/>
              </w:rPr>
              <w:t>项目建成后对周围环境的影响是可以接受的，不会改变项目周围地区当前的</w:t>
            </w:r>
            <w:r>
              <w:rPr>
                <w:rFonts w:hint="eastAsia" w:ascii="Times New Roman" w:hAnsi="Times New Roman" w:cs="Times New Roman"/>
                <w:color w:val="auto"/>
                <w:spacing w:val="-1"/>
                <w:highlight w:val="none"/>
                <w:u w:val="none" w:color="auto"/>
                <w:lang w:val="en-US" w:eastAsia="zh-CN"/>
              </w:rPr>
              <w:t>环境空气</w:t>
            </w:r>
            <w:r>
              <w:rPr>
                <w:rFonts w:hint="default" w:ascii="Times New Roman" w:hAnsi="Times New Roman" w:eastAsia="宋体" w:cs="Times New Roman"/>
                <w:color w:val="auto"/>
                <w:spacing w:val="-1"/>
                <w:highlight w:val="none"/>
                <w:u w:val="none" w:color="auto"/>
                <w:lang w:val="en-US" w:eastAsia="zh-CN"/>
              </w:rPr>
              <w:t>、水、声环境质量的功能要求。建设单位应加强管理，在严格执行国家各项环保规章制度，切实落实本报告表提出的各项污染防治措施，保证环保设施正常运转的前提下，从环保角度分析，本次</w:t>
            </w:r>
            <w:r>
              <w:rPr>
                <w:rFonts w:hint="eastAsia" w:ascii="Times New Roman" w:hAnsi="Times New Roman" w:cs="Times New Roman"/>
                <w:color w:val="auto"/>
                <w:spacing w:val="-1"/>
                <w:highlight w:val="none"/>
                <w:u w:val="none" w:color="auto"/>
                <w:lang w:val="en-US" w:eastAsia="zh-CN"/>
              </w:rPr>
              <w:t>技改</w:t>
            </w:r>
            <w:r>
              <w:rPr>
                <w:rFonts w:hint="default" w:ascii="Times New Roman" w:hAnsi="Times New Roman" w:eastAsia="宋体" w:cs="Times New Roman"/>
                <w:color w:val="auto"/>
                <w:spacing w:val="-1"/>
                <w:highlight w:val="none"/>
                <w:u w:val="none" w:color="auto"/>
                <w:lang w:val="en-US" w:eastAsia="zh-CN"/>
              </w:rPr>
              <w:t>项目是可行的。</w:t>
            </w:r>
          </w:p>
          <w:p w14:paraId="42EAEF7F">
            <w:pPr>
              <w:spacing w:line="360" w:lineRule="auto"/>
              <w:ind w:firstLine="480" w:firstLineChars="200"/>
              <w:rPr>
                <w:color w:val="auto"/>
                <w:sz w:val="24"/>
                <w:highlight w:val="none"/>
              </w:rPr>
            </w:pPr>
          </w:p>
          <w:p w14:paraId="4703FA39">
            <w:pPr>
              <w:spacing w:line="360" w:lineRule="auto"/>
              <w:ind w:firstLine="480" w:firstLineChars="200"/>
              <w:rPr>
                <w:color w:val="auto"/>
                <w:sz w:val="24"/>
                <w:highlight w:val="none"/>
              </w:rPr>
            </w:pPr>
          </w:p>
          <w:p w14:paraId="7453DC80">
            <w:pPr>
              <w:spacing w:line="360" w:lineRule="auto"/>
              <w:ind w:firstLine="480" w:firstLineChars="200"/>
              <w:rPr>
                <w:color w:val="auto"/>
                <w:sz w:val="24"/>
                <w:highlight w:val="none"/>
              </w:rPr>
            </w:pPr>
          </w:p>
          <w:p w14:paraId="0879374C">
            <w:pPr>
              <w:spacing w:line="360" w:lineRule="auto"/>
              <w:ind w:firstLine="480" w:firstLineChars="200"/>
              <w:rPr>
                <w:color w:val="auto"/>
                <w:sz w:val="24"/>
                <w:highlight w:val="none"/>
              </w:rPr>
            </w:pPr>
          </w:p>
          <w:p w14:paraId="6F066DBB">
            <w:pPr>
              <w:spacing w:line="360" w:lineRule="auto"/>
              <w:ind w:firstLine="480" w:firstLineChars="200"/>
              <w:rPr>
                <w:color w:val="auto"/>
                <w:sz w:val="24"/>
                <w:highlight w:val="none"/>
              </w:rPr>
            </w:pPr>
          </w:p>
          <w:p w14:paraId="796BED5A">
            <w:pPr>
              <w:spacing w:line="360" w:lineRule="auto"/>
              <w:ind w:firstLine="480" w:firstLineChars="200"/>
              <w:rPr>
                <w:color w:val="auto"/>
                <w:sz w:val="24"/>
                <w:highlight w:val="none"/>
              </w:rPr>
            </w:pPr>
          </w:p>
          <w:p w14:paraId="0EACA5B0">
            <w:pPr>
              <w:spacing w:line="360" w:lineRule="auto"/>
              <w:ind w:firstLine="480" w:firstLineChars="200"/>
              <w:rPr>
                <w:color w:val="auto"/>
                <w:sz w:val="24"/>
                <w:highlight w:val="none"/>
              </w:rPr>
            </w:pPr>
          </w:p>
          <w:p w14:paraId="62EFD72D">
            <w:pPr>
              <w:spacing w:line="360" w:lineRule="auto"/>
              <w:ind w:firstLine="480" w:firstLineChars="200"/>
              <w:rPr>
                <w:color w:val="auto"/>
                <w:sz w:val="24"/>
                <w:highlight w:val="none"/>
              </w:rPr>
            </w:pPr>
          </w:p>
          <w:p w14:paraId="041EE640">
            <w:pPr>
              <w:spacing w:line="360" w:lineRule="auto"/>
              <w:ind w:firstLine="480" w:firstLineChars="200"/>
              <w:rPr>
                <w:color w:val="auto"/>
                <w:sz w:val="24"/>
                <w:highlight w:val="none"/>
              </w:rPr>
            </w:pPr>
          </w:p>
          <w:p w14:paraId="2A7DE81C">
            <w:pPr>
              <w:spacing w:line="360" w:lineRule="auto"/>
              <w:ind w:firstLine="480" w:firstLineChars="200"/>
              <w:rPr>
                <w:color w:val="auto"/>
                <w:sz w:val="24"/>
                <w:highlight w:val="none"/>
              </w:rPr>
            </w:pPr>
          </w:p>
          <w:p w14:paraId="6ABF842A">
            <w:pPr>
              <w:spacing w:line="360" w:lineRule="auto"/>
              <w:ind w:firstLine="480" w:firstLineChars="200"/>
              <w:rPr>
                <w:color w:val="auto"/>
                <w:sz w:val="24"/>
                <w:highlight w:val="none"/>
              </w:rPr>
            </w:pPr>
          </w:p>
          <w:p w14:paraId="5909EF16">
            <w:pPr>
              <w:spacing w:line="360" w:lineRule="auto"/>
              <w:ind w:firstLine="480" w:firstLineChars="200"/>
              <w:rPr>
                <w:color w:val="auto"/>
                <w:sz w:val="24"/>
                <w:highlight w:val="none"/>
              </w:rPr>
            </w:pPr>
          </w:p>
          <w:p w14:paraId="11A74CCD">
            <w:pPr>
              <w:spacing w:line="360" w:lineRule="auto"/>
              <w:ind w:firstLine="480" w:firstLineChars="200"/>
              <w:rPr>
                <w:color w:val="auto"/>
                <w:sz w:val="24"/>
                <w:highlight w:val="none"/>
              </w:rPr>
            </w:pPr>
          </w:p>
          <w:p w14:paraId="52FA50DE">
            <w:pPr>
              <w:spacing w:line="360" w:lineRule="auto"/>
              <w:ind w:firstLine="480" w:firstLineChars="200"/>
              <w:rPr>
                <w:color w:val="auto"/>
                <w:sz w:val="24"/>
                <w:highlight w:val="none"/>
              </w:rPr>
            </w:pPr>
          </w:p>
          <w:p w14:paraId="35E4D789">
            <w:pPr>
              <w:spacing w:line="360" w:lineRule="auto"/>
              <w:ind w:firstLine="480" w:firstLineChars="200"/>
              <w:rPr>
                <w:color w:val="auto"/>
                <w:sz w:val="24"/>
                <w:highlight w:val="none"/>
              </w:rPr>
            </w:pPr>
          </w:p>
          <w:p w14:paraId="2C30E632">
            <w:pPr>
              <w:spacing w:line="360" w:lineRule="auto"/>
              <w:ind w:firstLine="480" w:firstLineChars="200"/>
              <w:rPr>
                <w:color w:val="auto"/>
                <w:sz w:val="24"/>
                <w:highlight w:val="none"/>
              </w:rPr>
            </w:pPr>
          </w:p>
          <w:p w14:paraId="4C859800">
            <w:pPr>
              <w:spacing w:line="360" w:lineRule="auto"/>
              <w:ind w:firstLine="480" w:firstLineChars="200"/>
              <w:rPr>
                <w:color w:val="auto"/>
                <w:sz w:val="24"/>
                <w:highlight w:val="none"/>
              </w:rPr>
            </w:pPr>
          </w:p>
          <w:p w14:paraId="583BD980">
            <w:pPr>
              <w:spacing w:line="360" w:lineRule="auto"/>
              <w:ind w:firstLine="480" w:firstLineChars="200"/>
              <w:rPr>
                <w:color w:val="auto"/>
                <w:sz w:val="24"/>
                <w:highlight w:val="none"/>
              </w:rPr>
            </w:pPr>
          </w:p>
          <w:p w14:paraId="6DF949E9">
            <w:pPr>
              <w:spacing w:line="360" w:lineRule="auto"/>
              <w:ind w:firstLine="480" w:firstLineChars="200"/>
              <w:rPr>
                <w:color w:val="auto"/>
                <w:sz w:val="24"/>
                <w:highlight w:val="none"/>
              </w:rPr>
            </w:pPr>
          </w:p>
          <w:p w14:paraId="484F79D5">
            <w:pPr>
              <w:spacing w:line="360" w:lineRule="auto"/>
              <w:ind w:firstLine="480" w:firstLineChars="200"/>
              <w:rPr>
                <w:color w:val="auto"/>
                <w:sz w:val="24"/>
                <w:highlight w:val="none"/>
              </w:rPr>
            </w:pPr>
          </w:p>
          <w:p w14:paraId="2B6C56F2">
            <w:pPr>
              <w:spacing w:line="360" w:lineRule="auto"/>
              <w:ind w:firstLine="480" w:firstLineChars="200"/>
              <w:rPr>
                <w:color w:val="auto"/>
                <w:sz w:val="24"/>
                <w:highlight w:val="none"/>
              </w:rPr>
            </w:pPr>
          </w:p>
          <w:p w14:paraId="26558F45">
            <w:pPr>
              <w:spacing w:line="360" w:lineRule="auto"/>
              <w:rPr>
                <w:color w:val="auto"/>
                <w:sz w:val="24"/>
                <w:highlight w:val="none"/>
              </w:rPr>
            </w:pPr>
          </w:p>
        </w:tc>
      </w:tr>
    </w:tbl>
    <w:p w14:paraId="45048599">
      <w:pPr>
        <w:rPr>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cols w:space="720" w:num="1"/>
          <w:docGrid w:linePitch="312" w:charSpace="0"/>
        </w:sectPr>
      </w:pPr>
    </w:p>
    <w:p w14:paraId="24DA2251">
      <w:pPr>
        <w:pStyle w:val="39"/>
        <w:adjustRightInd w:val="0"/>
        <w:snapToGrid w:val="0"/>
        <w:spacing w:before="0" w:beforeAutospacing="0" w:after="0" w:afterAutospacing="0" w:line="360" w:lineRule="auto"/>
        <w:outlineLvl w:val="0"/>
        <w:rPr>
          <w:rFonts w:ascii="Times New Roman" w:hAnsi="Times New Roman"/>
          <w:snapToGrid w:val="0"/>
          <w:color w:val="auto"/>
          <w:sz w:val="32"/>
          <w:szCs w:val="32"/>
          <w:highlight w:val="none"/>
        </w:rPr>
      </w:pPr>
      <w:bookmarkStart w:id="12" w:name="_Toc92182183"/>
      <w:r>
        <w:rPr>
          <w:rFonts w:ascii="Times New Roman" w:hAnsi="Times New Roman"/>
          <w:snapToGrid w:val="0"/>
          <w:color w:val="auto"/>
          <w:sz w:val="32"/>
          <w:szCs w:val="32"/>
          <w:highlight w:val="none"/>
        </w:rPr>
        <w:t>附表</w:t>
      </w:r>
      <w:bookmarkEnd w:id="12"/>
    </w:p>
    <w:p w14:paraId="48DE8FF9">
      <w:pPr>
        <w:spacing w:line="360" w:lineRule="auto"/>
        <w:jc w:val="center"/>
        <w:rPr>
          <w:b/>
          <w:bCs/>
          <w:color w:val="auto"/>
          <w:sz w:val="30"/>
          <w:szCs w:val="30"/>
          <w:highlight w:val="none"/>
        </w:rPr>
      </w:pPr>
      <w:r>
        <w:rPr>
          <w:rFonts w:hint="eastAsia"/>
          <w:b/>
          <w:bCs/>
          <w:color w:val="auto"/>
          <w:sz w:val="30"/>
          <w:szCs w:val="30"/>
          <w:highlight w:val="none"/>
          <w:lang w:val="en-US" w:eastAsia="zh-CN"/>
        </w:rPr>
        <w:t>建设</w:t>
      </w:r>
      <w:r>
        <w:rPr>
          <w:rFonts w:hint="eastAsia"/>
          <w:b/>
          <w:bCs/>
          <w:color w:val="auto"/>
          <w:sz w:val="30"/>
          <w:szCs w:val="30"/>
          <w:highlight w:val="none"/>
          <w:lang w:eastAsia="zh-CN"/>
        </w:rPr>
        <w:t>项目</w:t>
      </w:r>
      <w:r>
        <w:rPr>
          <w:b/>
          <w:bCs/>
          <w:color w:val="auto"/>
          <w:sz w:val="30"/>
          <w:szCs w:val="30"/>
          <w:highlight w:val="none"/>
        </w:rPr>
        <w:t>污染物排放量汇总表（t/a）</w:t>
      </w:r>
    </w:p>
    <w:tbl>
      <w:tblPr>
        <w:tblStyle w:val="42"/>
        <w:tblW w:w="1405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944"/>
        <w:gridCol w:w="902"/>
        <w:gridCol w:w="1701"/>
        <w:gridCol w:w="1276"/>
        <w:gridCol w:w="1701"/>
        <w:gridCol w:w="1559"/>
        <w:gridCol w:w="1761"/>
        <w:gridCol w:w="1959"/>
        <w:gridCol w:w="1089"/>
      </w:tblGrid>
      <w:tr w14:paraId="01923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tcBorders>
              <w:tl2br w:val="single" w:color="auto" w:sz="4" w:space="0"/>
            </w:tcBorders>
            <w:tcMar>
              <w:left w:w="28" w:type="dxa"/>
              <w:right w:w="28" w:type="dxa"/>
            </w:tcMar>
            <w:vAlign w:val="center"/>
          </w:tcPr>
          <w:p w14:paraId="1026A879">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bookmarkStart w:id="13" w:name="_Hlk106054038"/>
            <w:r>
              <w:rPr>
                <w:rFonts w:hint="eastAsia" w:ascii="Times New Roman" w:eastAsia="宋体"/>
                <w:snapToGrid w:val="0"/>
                <w:color w:val="auto"/>
                <w:spacing w:val="-6"/>
                <w:kern w:val="21"/>
                <w:sz w:val="18"/>
                <w:szCs w:val="18"/>
                <w:highlight w:val="none"/>
                <w:lang w:val="en-US" w:eastAsia="zh-CN"/>
              </w:rPr>
              <w:t xml:space="preserve">        </w:t>
            </w:r>
            <w:r>
              <w:rPr>
                <w:rFonts w:ascii="Times New Roman" w:eastAsia="宋体"/>
                <w:snapToGrid w:val="0"/>
                <w:color w:val="auto"/>
                <w:spacing w:val="-6"/>
                <w:kern w:val="21"/>
                <w:sz w:val="18"/>
                <w:szCs w:val="18"/>
                <w:highlight w:val="none"/>
              </w:rPr>
              <w:t>项目</w:t>
            </w:r>
          </w:p>
          <w:p w14:paraId="70A3BDB3">
            <w:pPr>
              <w:pStyle w:val="53"/>
              <w:adjustRightInd/>
              <w:snapToGrid/>
              <w:spacing w:beforeLines="0" w:afterLines="0" w:line="240" w:lineRule="auto"/>
              <w:ind w:left="0" w:leftChars="0" w:right="0" w:firstLine="168" w:firstLineChars="100"/>
              <w:jc w:val="both"/>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分类</w:t>
            </w:r>
          </w:p>
        </w:tc>
        <w:tc>
          <w:tcPr>
            <w:tcW w:w="1846" w:type="dxa"/>
            <w:gridSpan w:val="2"/>
            <w:tcMar>
              <w:left w:w="28" w:type="dxa"/>
              <w:right w:w="28" w:type="dxa"/>
            </w:tcMar>
            <w:vAlign w:val="center"/>
          </w:tcPr>
          <w:p w14:paraId="49A3A8F5">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污染物名称</w:t>
            </w:r>
          </w:p>
        </w:tc>
        <w:tc>
          <w:tcPr>
            <w:tcW w:w="1701" w:type="dxa"/>
            <w:tcMar>
              <w:left w:w="28" w:type="dxa"/>
              <w:right w:w="28" w:type="dxa"/>
            </w:tcMar>
            <w:vAlign w:val="center"/>
          </w:tcPr>
          <w:p w14:paraId="423CFC8D">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现有工程</w:t>
            </w:r>
          </w:p>
          <w:p w14:paraId="4CA71A5A">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排放量（固体废物产生量）</w:t>
            </w:r>
            <w:r>
              <w:rPr>
                <w:rFonts w:ascii="Times New Roman" w:eastAsia="宋体"/>
                <w:snapToGrid w:val="0"/>
                <w:color w:val="auto"/>
                <w:spacing w:val="-6"/>
                <w:kern w:val="21"/>
                <w:sz w:val="18"/>
                <w:szCs w:val="18"/>
                <w:highlight w:val="none"/>
              </w:rPr>
              <w:fldChar w:fldCharType="begin"/>
            </w:r>
            <w:r>
              <w:rPr>
                <w:rFonts w:ascii="Times New Roman" w:eastAsia="宋体"/>
                <w:snapToGrid w:val="0"/>
                <w:color w:val="auto"/>
                <w:spacing w:val="-6"/>
                <w:kern w:val="21"/>
                <w:sz w:val="18"/>
                <w:szCs w:val="18"/>
                <w:highlight w:val="none"/>
              </w:rPr>
              <w:instrText xml:space="preserve"> = 1 \* GB3 \* MERGEFORMAT </w:instrText>
            </w:r>
            <w:r>
              <w:rPr>
                <w:rFonts w:ascii="Times New Roman" w:eastAsia="宋体"/>
                <w:snapToGrid w:val="0"/>
                <w:color w:val="auto"/>
                <w:spacing w:val="-6"/>
                <w:kern w:val="21"/>
                <w:sz w:val="18"/>
                <w:szCs w:val="18"/>
                <w:highlight w:val="none"/>
              </w:rPr>
              <w:fldChar w:fldCharType="separate"/>
            </w:r>
            <w:r>
              <w:rPr>
                <w:rFonts w:hint="eastAsia" w:hAnsi="宋体" w:eastAsia="宋体" w:cs="宋体"/>
                <w:color w:val="auto"/>
                <w:kern w:val="2"/>
                <w:sz w:val="18"/>
                <w:szCs w:val="18"/>
                <w:highlight w:val="none"/>
              </w:rPr>
              <w:t>①</w:t>
            </w:r>
            <w:r>
              <w:rPr>
                <w:rFonts w:ascii="Times New Roman" w:eastAsia="宋体"/>
                <w:snapToGrid w:val="0"/>
                <w:color w:val="auto"/>
                <w:spacing w:val="-6"/>
                <w:kern w:val="21"/>
                <w:sz w:val="18"/>
                <w:szCs w:val="18"/>
                <w:highlight w:val="none"/>
              </w:rPr>
              <w:fldChar w:fldCharType="end"/>
            </w:r>
          </w:p>
        </w:tc>
        <w:tc>
          <w:tcPr>
            <w:tcW w:w="1276" w:type="dxa"/>
            <w:tcMar>
              <w:left w:w="28" w:type="dxa"/>
              <w:right w:w="28" w:type="dxa"/>
            </w:tcMar>
            <w:vAlign w:val="center"/>
          </w:tcPr>
          <w:p w14:paraId="0263BA3E">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现有工程</w:t>
            </w:r>
          </w:p>
          <w:p w14:paraId="4F438EBE">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许可排放量</w:t>
            </w:r>
          </w:p>
          <w:p w14:paraId="7684797E">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fldChar w:fldCharType="begin"/>
            </w:r>
            <w:r>
              <w:rPr>
                <w:rFonts w:ascii="Times New Roman" w:eastAsia="宋体"/>
                <w:snapToGrid w:val="0"/>
                <w:color w:val="auto"/>
                <w:spacing w:val="-6"/>
                <w:kern w:val="21"/>
                <w:sz w:val="18"/>
                <w:szCs w:val="18"/>
                <w:highlight w:val="none"/>
              </w:rPr>
              <w:instrText xml:space="preserve"> = 2 \* GB3 \* MERGEFORMAT </w:instrText>
            </w:r>
            <w:r>
              <w:rPr>
                <w:rFonts w:ascii="Times New Roman" w:eastAsia="宋体"/>
                <w:snapToGrid w:val="0"/>
                <w:color w:val="auto"/>
                <w:spacing w:val="-6"/>
                <w:kern w:val="21"/>
                <w:sz w:val="18"/>
                <w:szCs w:val="18"/>
                <w:highlight w:val="none"/>
              </w:rPr>
              <w:fldChar w:fldCharType="separate"/>
            </w:r>
            <w:r>
              <w:rPr>
                <w:rFonts w:hint="eastAsia" w:hAnsi="宋体" w:eastAsia="宋体" w:cs="宋体"/>
                <w:snapToGrid w:val="0"/>
                <w:color w:val="auto"/>
                <w:spacing w:val="-6"/>
                <w:kern w:val="21"/>
                <w:sz w:val="18"/>
                <w:szCs w:val="18"/>
                <w:highlight w:val="none"/>
              </w:rPr>
              <w:t>②</w:t>
            </w:r>
            <w:r>
              <w:rPr>
                <w:rFonts w:ascii="Times New Roman" w:eastAsia="宋体"/>
                <w:snapToGrid w:val="0"/>
                <w:color w:val="auto"/>
                <w:spacing w:val="-6"/>
                <w:kern w:val="21"/>
                <w:sz w:val="18"/>
                <w:szCs w:val="18"/>
                <w:highlight w:val="none"/>
              </w:rPr>
              <w:fldChar w:fldCharType="end"/>
            </w:r>
          </w:p>
        </w:tc>
        <w:tc>
          <w:tcPr>
            <w:tcW w:w="1701" w:type="dxa"/>
            <w:tcMar>
              <w:left w:w="28" w:type="dxa"/>
              <w:right w:w="28" w:type="dxa"/>
            </w:tcMar>
            <w:vAlign w:val="center"/>
          </w:tcPr>
          <w:p w14:paraId="54E3AF66">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在建工程</w:t>
            </w:r>
          </w:p>
          <w:p w14:paraId="38B9418A">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排放量（固体废物产生量）</w:t>
            </w:r>
            <w:r>
              <w:rPr>
                <w:rFonts w:ascii="Times New Roman" w:eastAsia="宋体"/>
                <w:snapToGrid w:val="0"/>
                <w:color w:val="auto"/>
                <w:spacing w:val="-6"/>
                <w:kern w:val="21"/>
                <w:sz w:val="18"/>
                <w:szCs w:val="18"/>
                <w:highlight w:val="none"/>
              </w:rPr>
              <w:fldChar w:fldCharType="begin"/>
            </w:r>
            <w:r>
              <w:rPr>
                <w:rFonts w:ascii="Times New Roman" w:eastAsia="宋体"/>
                <w:snapToGrid w:val="0"/>
                <w:color w:val="auto"/>
                <w:spacing w:val="-6"/>
                <w:kern w:val="21"/>
                <w:sz w:val="18"/>
                <w:szCs w:val="18"/>
                <w:highlight w:val="none"/>
              </w:rPr>
              <w:instrText xml:space="preserve"> = 3 \* GB3 \* MERGEFORMAT </w:instrText>
            </w:r>
            <w:r>
              <w:rPr>
                <w:rFonts w:ascii="Times New Roman" w:eastAsia="宋体"/>
                <w:snapToGrid w:val="0"/>
                <w:color w:val="auto"/>
                <w:spacing w:val="-6"/>
                <w:kern w:val="21"/>
                <w:sz w:val="18"/>
                <w:szCs w:val="18"/>
                <w:highlight w:val="none"/>
              </w:rPr>
              <w:fldChar w:fldCharType="separate"/>
            </w:r>
            <w:r>
              <w:rPr>
                <w:rFonts w:hint="eastAsia" w:hAnsi="宋体" w:eastAsia="宋体" w:cs="宋体"/>
                <w:color w:val="auto"/>
                <w:kern w:val="2"/>
                <w:sz w:val="18"/>
                <w:szCs w:val="18"/>
                <w:highlight w:val="none"/>
              </w:rPr>
              <w:t>③</w:t>
            </w:r>
            <w:r>
              <w:rPr>
                <w:rFonts w:ascii="Times New Roman" w:eastAsia="宋体"/>
                <w:snapToGrid w:val="0"/>
                <w:color w:val="auto"/>
                <w:spacing w:val="-6"/>
                <w:kern w:val="21"/>
                <w:sz w:val="18"/>
                <w:szCs w:val="18"/>
                <w:highlight w:val="none"/>
              </w:rPr>
              <w:fldChar w:fldCharType="end"/>
            </w:r>
          </w:p>
        </w:tc>
        <w:tc>
          <w:tcPr>
            <w:tcW w:w="1559" w:type="dxa"/>
            <w:tcMar>
              <w:left w:w="28" w:type="dxa"/>
              <w:right w:w="28" w:type="dxa"/>
            </w:tcMar>
            <w:vAlign w:val="center"/>
          </w:tcPr>
          <w:p w14:paraId="53C58881">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本项目</w:t>
            </w:r>
          </w:p>
          <w:p w14:paraId="62BAD078">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排放量（固体废物产生量）</w:t>
            </w:r>
            <w:r>
              <w:rPr>
                <w:rFonts w:ascii="Times New Roman" w:eastAsia="宋体"/>
                <w:snapToGrid w:val="0"/>
                <w:color w:val="auto"/>
                <w:spacing w:val="-6"/>
                <w:kern w:val="21"/>
                <w:sz w:val="18"/>
                <w:szCs w:val="18"/>
                <w:highlight w:val="none"/>
              </w:rPr>
              <w:fldChar w:fldCharType="begin"/>
            </w:r>
            <w:r>
              <w:rPr>
                <w:rFonts w:ascii="Times New Roman" w:eastAsia="宋体"/>
                <w:snapToGrid w:val="0"/>
                <w:color w:val="auto"/>
                <w:spacing w:val="-6"/>
                <w:kern w:val="21"/>
                <w:sz w:val="18"/>
                <w:szCs w:val="18"/>
                <w:highlight w:val="none"/>
              </w:rPr>
              <w:instrText xml:space="preserve"> = 4 \* GB3 \* MERGEFORMAT </w:instrText>
            </w:r>
            <w:r>
              <w:rPr>
                <w:rFonts w:ascii="Times New Roman" w:eastAsia="宋体"/>
                <w:snapToGrid w:val="0"/>
                <w:color w:val="auto"/>
                <w:spacing w:val="-6"/>
                <w:kern w:val="21"/>
                <w:sz w:val="18"/>
                <w:szCs w:val="18"/>
                <w:highlight w:val="none"/>
              </w:rPr>
              <w:fldChar w:fldCharType="separate"/>
            </w:r>
            <w:r>
              <w:rPr>
                <w:rFonts w:hint="eastAsia" w:hAnsi="宋体" w:eastAsia="宋体" w:cs="宋体"/>
                <w:color w:val="auto"/>
                <w:kern w:val="2"/>
                <w:sz w:val="18"/>
                <w:szCs w:val="18"/>
                <w:highlight w:val="none"/>
              </w:rPr>
              <w:t>④</w:t>
            </w:r>
            <w:r>
              <w:rPr>
                <w:rFonts w:ascii="Times New Roman" w:eastAsia="宋体"/>
                <w:snapToGrid w:val="0"/>
                <w:color w:val="auto"/>
                <w:spacing w:val="-6"/>
                <w:kern w:val="21"/>
                <w:sz w:val="18"/>
                <w:szCs w:val="18"/>
                <w:highlight w:val="none"/>
              </w:rPr>
              <w:fldChar w:fldCharType="end"/>
            </w:r>
          </w:p>
        </w:tc>
        <w:tc>
          <w:tcPr>
            <w:tcW w:w="1761" w:type="dxa"/>
            <w:tcMar>
              <w:left w:w="28" w:type="dxa"/>
              <w:right w:w="28" w:type="dxa"/>
            </w:tcMar>
            <w:vAlign w:val="center"/>
          </w:tcPr>
          <w:p w14:paraId="4E3AF996">
            <w:pPr>
              <w:pStyle w:val="53"/>
              <w:adjustRightInd/>
              <w:snapToGrid/>
              <w:spacing w:beforeLines="0" w:afterLines="0" w:line="240" w:lineRule="auto"/>
              <w:ind w:left="0" w:right="0" w:firstLine="0"/>
              <w:jc w:val="center"/>
              <w:rPr>
                <w:rFonts w:ascii="Times New Roman" w:eastAsia="宋体"/>
                <w:snapToGrid w:val="0"/>
                <w:color w:val="auto"/>
                <w:spacing w:val="-16"/>
                <w:kern w:val="21"/>
                <w:sz w:val="18"/>
                <w:szCs w:val="18"/>
                <w:highlight w:val="none"/>
              </w:rPr>
            </w:pPr>
            <w:r>
              <w:rPr>
                <w:rFonts w:ascii="Times New Roman" w:eastAsia="宋体"/>
                <w:snapToGrid w:val="0"/>
                <w:color w:val="auto"/>
                <w:spacing w:val="-16"/>
                <w:kern w:val="21"/>
                <w:sz w:val="18"/>
                <w:szCs w:val="18"/>
                <w:highlight w:val="none"/>
              </w:rPr>
              <w:t>以新带老削减量</w:t>
            </w:r>
          </w:p>
          <w:p w14:paraId="045D5468">
            <w:pPr>
              <w:pStyle w:val="53"/>
              <w:adjustRightInd/>
              <w:snapToGrid/>
              <w:spacing w:beforeLines="0" w:afterLines="0" w:line="240" w:lineRule="auto"/>
              <w:ind w:left="0" w:right="0" w:firstLine="0"/>
              <w:jc w:val="center"/>
              <w:rPr>
                <w:rFonts w:ascii="Times New Roman" w:eastAsia="宋体"/>
                <w:snapToGrid w:val="0"/>
                <w:color w:val="auto"/>
                <w:spacing w:val="-16"/>
                <w:kern w:val="21"/>
                <w:sz w:val="18"/>
                <w:szCs w:val="18"/>
                <w:highlight w:val="none"/>
              </w:rPr>
            </w:pPr>
            <w:r>
              <w:rPr>
                <w:rFonts w:ascii="Times New Roman" w:eastAsia="宋体"/>
                <w:snapToGrid w:val="0"/>
                <w:color w:val="auto"/>
                <w:spacing w:val="-16"/>
                <w:kern w:val="21"/>
                <w:sz w:val="18"/>
                <w:szCs w:val="18"/>
                <w:highlight w:val="none"/>
              </w:rPr>
              <w:t>（新建项目不填）</w:t>
            </w:r>
            <w:r>
              <w:rPr>
                <w:rFonts w:ascii="Times New Roman" w:eastAsia="宋体"/>
                <w:snapToGrid w:val="0"/>
                <w:color w:val="auto"/>
                <w:spacing w:val="-16"/>
                <w:kern w:val="21"/>
                <w:sz w:val="18"/>
                <w:szCs w:val="18"/>
                <w:highlight w:val="none"/>
              </w:rPr>
              <w:fldChar w:fldCharType="begin"/>
            </w:r>
            <w:r>
              <w:rPr>
                <w:rFonts w:ascii="Times New Roman" w:eastAsia="宋体"/>
                <w:snapToGrid w:val="0"/>
                <w:color w:val="auto"/>
                <w:spacing w:val="-16"/>
                <w:kern w:val="21"/>
                <w:sz w:val="18"/>
                <w:szCs w:val="18"/>
                <w:highlight w:val="none"/>
              </w:rPr>
              <w:instrText xml:space="preserve"> = 5 \* GB3 \* MERGEFORMAT </w:instrText>
            </w:r>
            <w:r>
              <w:rPr>
                <w:rFonts w:ascii="Times New Roman" w:eastAsia="宋体"/>
                <w:snapToGrid w:val="0"/>
                <w:color w:val="auto"/>
                <w:spacing w:val="-16"/>
                <w:kern w:val="21"/>
                <w:sz w:val="18"/>
                <w:szCs w:val="18"/>
                <w:highlight w:val="none"/>
              </w:rPr>
              <w:fldChar w:fldCharType="separate"/>
            </w:r>
            <w:r>
              <w:rPr>
                <w:rFonts w:hint="eastAsia" w:hAnsi="宋体" w:eastAsia="宋体" w:cs="宋体"/>
                <w:color w:val="auto"/>
                <w:kern w:val="2"/>
                <w:sz w:val="18"/>
                <w:szCs w:val="18"/>
                <w:highlight w:val="none"/>
              </w:rPr>
              <w:t>⑤</w:t>
            </w:r>
            <w:r>
              <w:rPr>
                <w:rFonts w:ascii="Times New Roman" w:eastAsia="宋体"/>
                <w:snapToGrid w:val="0"/>
                <w:color w:val="auto"/>
                <w:spacing w:val="-16"/>
                <w:kern w:val="21"/>
                <w:sz w:val="18"/>
                <w:szCs w:val="18"/>
                <w:highlight w:val="none"/>
              </w:rPr>
              <w:fldChar w:fldCharType="end"/>
            </w:r>
          </w:p>
        </w:tc>
        <w:tc>
          <w:tcPr>
            <w:tcW w:w="1959" w:type="dxa"/>
            <w:tcMar>
              <w:left w:w="28" w:type="dxa"/>
              <w:right w:w="28" w:type="dxa"/>
            </w:tcMar>
            <w:vAlign w:val="center"/>
          </w:tcPr>
          <w:p w14:paraId="06FCC389">
            <w:pPr>
              <w:pStyle w:val="53"/>
              <w:adjustRightInd/>
              <w:snapToGrid/>
              <w:spacing w:beforeLines="0" w:afterLines="0" w:line="240" w:lineRule="auto"/>
              <w:ind w:left="0" w:right="0" w:firstLine="0"/>
              <w:jc w:val="center"/>
              <w:rPr>
                <w:rFonts w:ascii="Times New Roman" w:eastAsia="宋体"/>
                <w:snapToGrid w:val="0"/>
                <w:color w:val="auto"/>
                <w:spacing w:val="-16"/>
                <w:kern w:val="21"/>
                <w:sz w:val="18"/>
                <w:szCs w:val="18"/>
                <w:highlight w:val="none"/>
              </w:rPr>
            </w:pPr>
            <w:r>
              <w:rPr>
                <w:rFonts w:ascii="Times New Roman" w:eastAsia="宋体"/>
                <w:snapToGrid w:val="0"/>
                <w:color w:val="auto"/>
                <w:spacing w:val="-16"/>
                <w:kern w:val="21"/>
                <w:sz w:val="18"/>
                <w:szCs w:val="18"/>
                <w:highlight w:val="none"/>
              </w:rPr>
              <w:t>本项目建成后</w:t>
            </w:r>
          </w:p>
          <w:p w14:paraId="78CB44B9">
            <w:pPr>
              <w:pStyle w:val="53"/>
              <w:adjustRightInd/>
              <w:snapToGrid/>
              <w:spacing w:beforeLines="0" w:afterLines="0" w:line="240" w:lineRule="auto"/>
              <w:ind w:left="0" w:right="0" w:firstLine="0"/>
              <w:jc w:val="center"/>
              <w:rPr>
                <w:rFonts w:ascii="Times New Roman" w:eastAsia="宋体"/>
                <w:snapToGrid w:val="0"/>
                <w:color w:val="auto"/>
                <w:spacing w:val="-16"/>
                <w:kern w:val="21"/>
                <w:sz w:val="18"/>
                <w:szCs w:val="18"/>
                <w:highlight w:val="none"/>
              </w:rPr>
            </w:pPr>
            <w:r>
              <w:rPr>
                <w:rFonts w:ascii="Times New Roman" w:eastAsia="宋体"/>
                <w:snapToGrid w:val="0"/>
                <w:color w:val="auto"/>
                <w:spacing w:val="-16"/>
                <w:kern w:val="21"/>
                <w:sz w:val="18"/>
                <w:szCs w:val="18"/>
                <w:highlight w:val="none"/>
              </w:rPr>
              <w:t>全厂排放量（固体废物产生量）</w:t>
            </w:r>
            <w:r>
              <w:rPr>
                <w:rFonts w:ascii="Times New Roman" w:eastAsia="宋体"/>
                <w:snapToGrid w:val="0"/>
                <w:color w:val="auto"/>
                <w:spacing w:val="-16"/>
                <w:kern w:val="21"/>
                <w:sz w:val="18"/>
                <w:szCs w:val="18"/>
                <w:highlight w:val="none"/>
              </w:rPr>
              <w:fldChar w:fldCharType="begin"/>
            </w:r>
            <w:r>
              <w:rPr>
                <w:rFonts w:ascii="Times New Roman" w:eastAsia="宋体"/>
                <w:snapToGrid w:val="0"/>
                <w:color w:val="auto"/>
                <w:spacing w:val="-16"/>
                <w:kern w:val="21"/>
                <w:sz w:val="18"/>
                <w:szCs w:val="18"/>
                <w:highlight w:val="none"/>
              </w:rPr>
              <w:instrText xml:space="preserve"> = 6 \* GB3 \* MERGEFORMAT </w:instrText>
            </w:r>
            <w:r>
              <w:rPr>
                <w:rFonts w:ascii="Times New Roman" w:eastAsia="宋体"/>
                <w:snapToGrid w:val="0"/>
                <w:color w:val="auto"/>
                <w:spacing w:val="-16"/>
                <w:kern w:val="21"/>
                <w:sz w:val="18"/>
                <w:szCs w:val="18"/>
                <w:highlight w:val="none"/>
              </w:rPr>
              <w:fldChar w:fldCharType="separate"/>
            </w:r>
            <w:r>
              <w:rPr>
                <w:rFonts w:hint="eastAsia" w:hAnsi="宋体" w:eastAsia="宋体" w:cs="宋体"/>
                <w:color w:val="auto"/>
                <w:kern w:val="2"/>
                <w:sz w:val="18"/>
                <w:szCs w:val="18"/>
                <w:highlight w:val="none"/>
              </w:rPr>
              <w:t>⑥</w:t>
            </w:r>
            <w:r>
              <w:rPr>
                <w:rFonts w:ascii="Times New Roman" w:eastAsia="宋体"/>
                <w:snapToGrid w:val="0"/>
                <w:color w:val="auto"/>
                <w:spacing w:val="-16"/>
                <w:kern w:val="21"/>
                <w:sz w:val="18"/>
                <w:szCs w:val="18"/>
                <w:highlight w:val="none"/>
              </w:rPr>
              <w:fldChar w:fldCharType="end"/>
            </w:r>
          </w:p>
        </w:tc>
        <w:tc>
          <w:tcPr>
            <w:tcW w:w="1089" w:type="dxa"/>
            <w:tcMar>
              <w:left w:w="28" w:type="dxa"/>
              <w:right w:w="28" w:type="dxa"/>
            </w:tcMar>
            <w:vAlign w:val="center"/>
          </w:tcPr>
          <w:p w14:paraId="77C27784">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t>变化量</w:t>
            </w:r>
          </w:p>
          <w:p w14:paraId="4CD1FFD0">
            <w:pPr>
              <w:pStyle w:val="53"/>
              <w:adjustRightInd/>
              <w:snapToGrid/>
              <w:spacing w:beforeLines="0" w:afterLines="0" w:line="240" w:lineRule="auto"/>
              <w:ind w:left="0" w:right="0" w:firstLine="0"/>
              <w:jc w:val="center"/>
              <w:rPr>
                <w:rFonts w:ascii="Times New Roman" w:eastAsia="宋体"/>
                <w:snapToGrid w:val="0"/>
                <w:color w:val="auto"/>
                <w:spacing w:val="-6"/>
                <w:kern w:val="21"/>
                <w:sz w:val="18"/>
                <w:szCs w:val="18"/>
                <w:highlight w:val="none"/>
              </w:rPr>
            </w:pPr>
            <w:r>
              <w:rPr>
                <w:rFonts w:ascii="Times New Roman" w:eastAsia="宋体"/>
                <w:snapToGrid w:val="0"/>
                <w:color w:val="auto"/>
                <w:spacing w:val="-6"/>
                <w:kern w:val="21"/>
                <w:sz w:val="18"/>
                <w:szCs w:val="18"/>
                <w:highlight w:val="none"/>
              </w:rPr>
              <w:fldChar w:fldCharType="begin"/>
            </w:r>
            <w:r>
              <w:rPr>
                <w:rFonts w:ascii="Times New Roman" w:eastAsia="宋体"/>
                <w:snapToGrid w:val="0"/>
                <w:color w:val="auto"/>
                <w:spacing w:val="-6"/>
                <w:kern w:val="21"/>
                <w:sz w:val="18"/>
                <w:szCs w:val="18"/>
                <w:highlight w:val="none"/>
              </w:rPr>
              <w:instrText xml:space="preserve"> = 7 \* GB3 \* MERGEFORMAT </w:instrText>
            </w:r>
            <w:r>
              <w:rPr>
                <w:rFonts w:ascii="Times New Roman" w:eastAsia="宋体"/>
                <w:snapToGrid w:val="0"/>
                <w:color w:val="auto"/>
                <w:spacing w:val="-6"/>
                <w:kern w:val="21"/>
                <w:sz w:val="18"/>
                <w:szCs w:val="18"/>
                <w:highlight w:val="none"/>
              </w:rPr>
              <w:fldChar w:fldCharType="separate"/>
            </w:r>
            <w:r>
              <w:rPr>
                <w:rFonts w:hint="eastAsia" w:hAnsi="宋体" w:eastAsia="宋体" w:cs="宋体"/>
                <w:color w:val="auto"/>
                <w:kern w:val="2"/>
                <w:sz w:val="18"/>
                <w:szCs w:val="18"/>
                <w:highlight w:val="none"/>
              </w:rPr>
              <w:t>⑦</w:t>
            </w:r>
            <w:r>
              <w:rPr>
                <w:rFonts w:ascii="Times New Roman" w:eastAsia="宋体"/>
                <w:snapToGrid w:val="0"/>
                <w:color w:val="auto"/>
                <w:spacing w:val="-6"/>
                <w:kern w:val="21"/>
                <w:sz w:val="18"/>
                <w:szCs w:val="18"/>
                <w:highlight w:val="none"/>
              </w:rPr>
              <w:fldChar w:fldCharType="end"/>
            </w:r>
          </w:p>
        </w:tc>
      </w:tr>
      <w:tr w14:paraId="10686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restart"/>
            <w:vAlign w:val="center"/>
          </w:tcPr>
          <w:p w14:paraId="3D0F3022">
            <w:pPr>
              <w:pStyle w:val="53"/>
              <w:adjustRightInd/>
              <w:snapToGrid/>
              <w:spacing w:beforeLines="0" w:afterLines="0" w:line="240" w:lineRule="auto"/>
              <w:ind w:left="0" w:right="0" w:firstLine="0"/>
              <w:jc w:val="center"/>
              <w:rPr>
                <w:rFonts w:ascii="Times New Roman" w:eastAsia="宋体"/>
                <w:snapToGrid w:val="0"/>
                <w:color w:val="auto"/>
                <w:kern w:val="21"/>
                <w:sz w:val="18"/>
                <w:szCs w:val="18"/>
                <w:highlight w:val="none"/>
              </w:rPr>
            </w:pPr>
            <w:r>
              <w:rPr>
                <w:rFonts w:ascii="Times New Roman" w:eastAsia="宋体"/>
                <w:snapToGrid w:val="0"/>
                <w:color w:val="auto"/>
                <w:kern w:val="21"/>
                <w:sz w:val="18"/>
                <w:szCs w:val="18"/>
                <w:highlight w:val="none"/>
              </w:rPr>
              <w:t>废气</w:t>
            </w:r>
          </w:p>
        </w:tc>
        <w:tc>
          <w:tcPr>
            <w:tcW w:w="944" w:type="dxa"/>
            <w:vMerge w:val="restart"/>
            <w:vAlign w:val="center"/>
          </w:tcPr>
          <w:p w14:paraId="15B18B96">
            <w:pPr>
              <w:widowControl/>
              <w:jc w:val="center"/>
              <w:textAlignment w:val="center"/>
              <w:rPr>
                <w:rFonts w:hint="eastAsia" w:ascii="Times New Roman" w:hAnsi="Times New Roman" w:eastAsia="Times New Roman" w:cs="Times New Roman"/>
                <w:color w:val="auto"/>
                <w:spacing w:val="3"/>
                <w:position w:val="-1"/>
                <w:sz w:val="18"/>
                <w:szCs w:val="18"/>
                <w:highlight w:val="none"/>
                <w:vertAlign w:val="baseline"/>
              </w:rPr>
            </w:pPr>
            <w:r>
              <w:rPr>
                <w:rFonts w:hint="eastAsia" w:ascii="Times New Roman" w:hAnsi="Times New Roman" w:eastAsia="Times New Roman" w:cs="Times New Roman"/>
                <w:color w:val="auto"/>
                <w:spacing w:val="3"/>
                <w:position w:val="-1"/>
                <w:sz w:val="18"/>
                <w:szCs w:val="18"/>
                <w:highlight w:val="none"/>
                <w:vertAlign w:val="baseline"/>
                <w:lang w:val="en-US" w:eastAsia="zh-CN"/>
              </w:rPr>
              <w:t>生物质锅炉</w:t>
            </w:r>
            <w:r>
              <w:rPr>
                <w:rFonts w:hint="eastAsia" w:ascii="Times New Roman" w:hAnsi="Times New Roman" w:eastAsia="Times New Roman" w:cs="Times New Roman"/>
                <w:color w:val="auto"/>
                <w:spacing w:val="3"/>
                <w:position w:val="-1"/>
                <w:sz w:val="18"/>
                <w:szCs w:val="18"/>
                <w:highlight w:val="none"/>
                <w:vertAlign w:val="baseline"/>
              </w:rPr>
              <w:t>（t/a）</w:t>
            </w:r>
          </w:p>
        </w:tc>
        <w:tc>
          <w:tcPr>
            <w:tcW w:w="902" w:type="dxa"/>
            <w:shd w:val="clear" w:color="auto" w:fill="auto"/>
            <w:vAlign w:val="center"/>
          </w:tcPr>
          <w:p w14:paraId="336C80E4">
            <w:pPr>
              <w:widowControl/>
              <w:jc w:val="center"/>
              <w:textAlignment w:val="center"/>
              <w:rPr>
                <w:rFonts w:hint="eastAsia" w:ascii="Times New Roman" w:hAnsi="Times New Roman" w:eastAsia="Times New Roman" w:cs="Times New Roman"/>
                <w:color w:val="auto"/>
                <w:spacing w:val="3"/>
                <w:position w:val="-1"/>
                <w:sz w:val="18"/>
                <w:szCs w:val="18"/>
                <w:highlight w:val="none"/>
                <w:vertAlign w:val="baseline"/>
                <w:lang w:val="en-US" w:eastAsia="zh-CN"/>
              </w:rPr>
            </w:pPr>
            <w:r>
              <w:rPr>
                <w:rFonts w:hint="eastAsia" w:ascii="Times New Roman" w:hAnsi="Times New Roman" w:eastAsia="Times New Roman" w:cs="Times New Roman"/>
                <w:color w:val="auto"/>
                <w:spacing w:val="3"/>
                <w:position w:val="-1"/>
                <w:sz w:val="18"/>
                <w:szCs w:val="18"/>
                <w:highlight w:val="none"/>
                <w:vertAlign w:val="baseline"/>
              </w:rPr>
              <w:t>SO</w:t>
            </w:r>
            <w:r>
              <w:rPr>
                <w:rFonts w:hint="eastAsia" w:ascii="Times New Roman" w:hAnsi="Times New Roman" w:eastAsia="Times New Roman" w:cs="Times New Roman"/>
                <w:color w:val="auto"/>
                <w:spacing w:val="3"/>
                <w:position w:val="-1"/>
                <w:sz w:val="18"/>
                <w:szCs w:val="18"/>
                <w:highlight w:val="none"/>
                <w:vertAlign w:val="subscript"/>
              </w:rPr>
              <w:t>2</w:t>
            </w:r>
          </w:p>
        </w:tc>
        <w:tc>
          <w:tcPr>
            <w:tcW w:w="1701" w:type="dxa"/>
            <w:shd w:val="clear" w:color="auto" w:fill="auto"/>
            <w:vAlign w:val="center"/>
          </w:tcPr>
          <w:p w14:paraId="43F1DD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0.088</w:t>
            </w:r>
          </w:p>
        </w:tc>
        <w:tc>
          <w:tcPr>
            <w:tcW w:w="1276" w:type="dxa"/>
            <w:shd w:val="clear" w:color="auto" w:fill="auto"/>
            <w:vAlign w:val="center"/>
          </w:tcPr>
          <w:p w14:paraId="1DE135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default"/>
                <w:color w:val="auto"/>
                <w:sz w:val="18"/>
                <w:szCs w:val="18"/>
                <w:highlight w:val="none"/>
                <w:u w:val="none"/>
                <w:vertAlign w:val="baseline"/>
                <w:lang w:val="en-US" w:eastAsia="zh-CN"/>
              </w:rPr>
              <w:t>/</w:t>
            </w:r>
          </w:p>
        </w:tc>
        <w:tc>
          <w:tcPr>
            <w:tcW w:w="1701" w:type="dxa"/>
            <w:shd w:val="clear" w:color="auto" w:fill="auto"/>
            <w:vAlign w:val="center"/>
          </w:tcPr>
          <w:p w14:paraId="3B4819F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18"/>
                <w:szCs w:val="18"/>
                <w:highlight w:val="none"/>
                <w:u w:val="none"/>
                <w:vertAlign w:val="baseline"/>
                <w:lang w:val="en-US" w:eastAsia="zh-CN"/>
              </w:rPr>
            </w:pPr>
            <w:r>
              <w:rPr>
                <w:rFonts w:hint="default"/>
                <w:color w:val="auto"/>
                <w:sz w:val="18"/>
                <w:szCs w:val="18"/>
                <w:highlight w:val="none"/>
                <w:u w:val="none"/>
                <w:vertAlign w:val="baseline"/>
                <w:lang w:val="en-US" w:eastAsia="zh-CN"/>
              </w:rPr>
              <w:t>/</w:t>
            </w:r>
          </w:p>
        </w:tc>
        <w:tc>
          <w:tcPr>
            <w:tcW w:w="1559" w:type="dxa"/>
            <w:shd w:val="clear" w:color="auto" w:fill="auto"/>
            <w:vAlign w:val="center"/>
          </w:tcPr>
          <w:p w14:paraId="72258B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0.088</w:t>
            </w:r>
          </w:p>
        </w:tc>
        <w:tc>
          <w:tcPr>
            <w:tcW w:w="1761" w:type="dxa"/>
            <w:vAlign w:val="center"/>
          </w:tcPr>
          <w:p w14:paraId="15A934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0.088</w:t>
            </w:r>
          </w:p>
        </w:tc>
        <w:tc>
          <w:tcPr>
            <w:tcW w:w="1959" w:type="dxa"/>
            <w:vAlign w:val="center"/>
          </w:tcPr>
          <w:p w14:paraId="0334219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0.088</w:t>
            </w:r>
          </w:p>
        </w:tc>
        <w:tc>
          <w:tcPr>
            <w:tcW w:w="1089" w:type="dxa"/>
            <w:vAlign w:val="center"/>
          </w:tcPr>
          <w:p w14:paraId="27ECE7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w:t>
            </w:r>
          </w:p>
        </w:tc>
      </w:tr>
      <w:tr w14:paraId="521B06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3FC533D9">
            <w:pPr>
              <w:pStyle w:val="53"/>
              <w:adjustRightInd/>
              <w:snapToGrid/>
              <w:spacing w:beforeLines="0" w:afterLines="0" w:line="240" w:lineRule="auto"/>
              <w:ind w:left="0" w:right="0" w:firstLine="0"/>
              <w:jc w:val="center"/>
              <w:rPr>
                <w:rFonts w:ascii="Times New Roman" w:eastAsia="宋体"/>
                <w:snapToGrid w:val="0"/>
                <w:color w:val="auto"/>
                <w:kern w:val="21"/>
                <w:sz w:val="18"/>
                <w:szCs w:val="18"/>
                <w:highlight w:val="none"/>
              </w:rPr>
            </w:pPr>
          </w:p>
        </w:tc>
        <w:tc>
          <w:tcPr>
            <w:tcW w:w="944" w:type="dxa"/>
            <w:vMerge w:val="continue"/>
            <w:vAlign w:val="center"/>
          </w:tcPr>
          <w:p w14:paraId="63E31763">
            <w:pPr>
              <w:widowControl/>
              <w:jc w:val="center"/>
              <w:textAlignment w:val="center"/>
              <w:rPr>
                <w:rFonts w:hint="eastAsia" w:ascii="Times New Roman" w:hAnsi="Times New Roman" w:eastAsia="Times New Roman" w:cs="Times New Roman"/>
                <w:color w:val="auto"/>
                <w:spacing w:val="3"/>
                <w:position w:val="-1"/>
                <w:sz w:val="18"/>
                <w:szCs w:val="18"/>
                <w:highlight w:val="none"/>
                <w:vertAlign w:val="baseline"/>
                <w:lang w:eastAsia="zh-CN"/>
              </w:rPr>
            </w:pPr>
          </w:p>
        </w:tc>
        <w:tc>
          <w:tcPr>
            <w:tcW w:w="902" w:type="dxa"/>
            <w:shd w:val="clear" w:color="auto" w:fill="auto"/>
            <w:vAlign w:val="center"/>
          </w:tcPr>
          <w:p w14:paraId="0CAA2477">
            <w:pPr>
              <w:widowControl/>
              <w:jc w:val="center"/>
              <w:textAlignment w:val="center"/>
              <w:rPr>
                <w:rFonts w:hint="eastAsia" w:ascii="Times New Roman" w:hAnsi="Times New Roman" w:eastAsia="Times New Roman" w:cs="Times New Roman"/>
                <w:color w:val="auto"/>
                <w:spacing w:val="3"/>
                <w:position w:val="-1"/>
                <w:sz w:val="18"/>
                <w:szCs w:val="18"/>
                <w:highlight w:val="none"/>
                <w:vertAlign w:val="baseline"/>
                <w:lang w:val="en-US" w:eastAsia="zh-CN"/>
              </w:rPr>
            </w:pPr>
            <w:r>
              <w:rPr>
                <w:rFonts w:hint="eastAsia" w:ascii="Times New Roman" w:hAnsi="Times New Roman" w:eastAsia="Times New Roman" w:cs="Times New Roman"/>
                <w:color w:val="auto"/>
                <w:spacing w:val="3"/>
                <w:position w:val="-1"/>
                <w:sz w:val="18"/>
                <w:szCs w:val="18"/>
                <w:highlight w:val="none"/>
                <w:vertAlign w:val="baseline"/>
              </w:rPr>
              <w:t>NOx</w:t>
            </w:r>
          </w:p>
        </w:tc>
        <w:tc>
          <w:tcPr>
            <w:tcW w:w="1701" w:type="dxa"/>
            <w:shd w:val="clear" w:color="auto" w:fill="auto"/>
            <w:vAlign w:val="center"/>
          </w:tcPr>
          <w:p w14:paraId="15698B2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0.265</w:t>
            </w:r>
          </w:p>
        </w:tc>
        <w:tc>
          <w:tcPr>
            <w:tcW w:w="1276" w:type="dxa"/>
            <w:shd w:val="clear" w:color="auto" w:fill="auto"/>
            <w:vAlign w:val="center"/>
          </w:tcPr>
          <w:p w14:paraId="6A929DC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default"/>
                <w:color w:val="auto"/>
                <w:sz w:val="18"/>
                <w:szCs w:val="18"/>
                <w:highlight w:val="none"/>
                <w:u w:val="none"/>
                <w:vertAlign w:val="baseline"/>
                <w:lang w:val="en-US" w:eastAsia="zh-CN"/>
              </w:rPr>
              <w:t>/</w:t>
            </w:r>
          </w:p>
        </w:tc>
        <w:tc>
          <w:tcPr>
            <w:tcW w:w="1701" w:type="dxa"/>
            <w:shd w:val="clear" w:color="auto" w:fill="auto"/>
            <w:vAlign w:val="center"/>
          </w:tcPr>
          <w:p w14:paraId="5999370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18"/>
                <w:szCs w:val="18"/>
                <w:highlight w:val="none"/>
                <w:u w:val="none"/>
                <w:vertAlign w:val="baseline"/>
                <w:lang w:val="en-US" w:eastAsia="zh-CN"/>
              </w:rPr>
            </w:pPr>
            <w:r>
              <w:rPr>
                <w:rFonts w:hint="default"/>
                <w:color w:val="auto"/>
                <w:sz w:val="18"/>
                <w:szCs w:val="18"/>
                <w:highlight w:val="none"/>
                <w:u w:val="none"/>
                <w:vertAlign w:val="baseline"/>
                <w:lang w:val="en-US" w:eastAsia="zh-CN"/>
              </w:rPr>
              <w:t>/</w:t>
            </w:r>
          </w:p>
        </w:tc>
        <w:tc>
          <w:tcPr>
            <w:tcW w:w="1559" w:type="dxa"/>
            <w:shd w:val="clear" w:color="auto" w:fill="auto"/>
            <w:vAlign w:val="center"/>
          </w:tcPr>
          <w:p w14:paraId="4B69AE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0.265</w:t>
            </w:r>
          </w:p>
        </w:tc>
        <w:tc>
          <w:tcPr>
            <w:tcW w:w="1761" w:type="dxa"/>
            <w:vAlign w:val="center"/>
          </w:tcPr>
          <w:p w14:paraId="0B36C5E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0.265</w:t>
            </w:r>
          </w:p>
        </w:tc>
        <w:tc>
          <w:tcPr>
            <w:tcW w:w="1959" w:type="dxa"/>
            <w:vAlign w:val="center"/>
          </w:tcPr>
          <w:p w14:paraId="68201A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0.265</w:t>
            </w:r>
          </w:p>
        </w:tc>
        <w:tc>
          <w:tcPr>
            <w:tcW w:w="1089" w:type="dxa"/>
            <w:vAlign w:val="center"/>
          </w:tcPr>
          <w:p w14:paraId="6CAE3B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color w:val="auto"/>
                <w:sz w:val="18"/>
                <w:szCs w:val="18"/>
                <w:highlight w:val="none"/>
                <w:u w:val="none"/>
                <w:vertAlign w:val="baseline"/>
                <w:lang w:val="en-US" w:eastAsia="zh-CN"/>
              </w:rPr>
            </w:pPr>
            <w:r>
              <w:rPr>
                <w:rFonts w:hint="eastAsia"/>
                <w:color w:val="auto"/>
                <w:sz w:val="18"/>
                <w:szCs w:val="18"/>
                <w:highlight w:val="none"/>
                <w:u w:val="none"/>
                <w:vertAlign w:val="baseline"/>
                <w:lang w:val="en-US" w:eastAsia="zh-CN"/>
              </w:rPr>
              <w:t>0</w:t>
            </w:r>
          </w:p>
        </w:tc>
      </w:tr>
      <w:tr w14:paraId="6B06D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539B4A63">
            <w:pPr>
              <w:pStyle w:val="53"/>
              <w:adjustRightInd/>
              <w:snapToGrid/>
              <w:spacing w:beforeLines="0" w:afterLines="0" w:line="240" w:lineRule="auto"/>
              <w:ind w:left="0" w:right="0" w:firstLine="0"/>
              <w:jc w:val="center"/>
              <w:rPr>
                <w:rFonts w:ascii="Times New Roman" w:eastAsia="宋体"/>
                <w:snapToGrid w:val="0"/>
                <w:color w:val="auto"/>
                <w:kern w:val="21"/>
                <w:sz w:val="18"/>
                <w:szCs w:val="18"/>
                <w:highlight w:val="none"/>
              </w:rPr>
            </w:pPr>
          </w:p>
        </w:tc>
        <w:tc>
          <w:tcPr>
            <w:tcW w:w="944" w:type="dxa"/>
            <w:vMerge w:val="continue"/>
            <w:vAlign w:val="center"/>
          </w:tcPr>
          <w:p w14:paraId="2937E6E6">
            <w:pPr>
              <w:widowControl/>
              <w:jc w:val="center"/>
              <w:textAlignment w:val="center"/>
              <w:rPr>
                <w:rFonts w:hint="eastAsia" w:ascii="Times New Roman" w:hAnsi="Times New Roman" w:eastAsia="Times New Roman" w:cs="Times New Roman"/>
                <w:color w:val="auto"/>
                <w:spacing w:val="3"/>
                <w:position w:val="-1"/>
                <w:sz w:val="18"/>
                <w:szCs w:val="18"/>
                <w:highlight w:val="none"/>
                <w:vertAlign w:val="baseline"/>
                <w:lang w:eastAsia="zh-CN"/>
              </w:rPr>
            </w:pPr>
          </w:p>
        </w:tc>
        <w:tc>
          <w:tcPr>
            <w:tcW w:w="902" w:type="dxa"/>
            <w:shd w:val="clear" w:color="auto" w:fill="auto"/>
            <w:vAlign w:val="center"/>
          </w:tcPr>
          <w:p w14:paraId="1CC8302E">
            <w:pPr>
              <w:widowControl/>
              <w:jc w:val="center"/>
              <w:textAlignment w:val="center"/>
              <w:rPr>
                <w:rFonts w:hint="eastAsia" w:ascii="Times New Roman" w:hAnsi="Times New Roman" w:eastAsia="Times New Roman" w:cs="Times New Roman"/>
                <w:color w:val="auto"/>
                <w:spacing w:val="3"/>
                <w:position w:val="-1"/>
                <w:sz w:val="18"/>
                <w:szCs w:val="18"/>
                <w:highlight w:val="none"/>
                <w:vertAlign w:val="baseline"/>
                <w:lang w:val="en-US" w:eastAsia="zh-CN"/>
              </w:rPr>
            </w:pPr>
            <w:r>
              <w:rPr>
                <w:rFonts w:hint="eastAsia" w:ascii="Times New Roman" w:hAnsi="Times New Roman" w:eastAsia="Times New Roman" w:cs="Times New Roman"/>
                <w:color w:val="auto"/>
                <w:spacing w:val="3"/>
                <w:position w:val="-1"/>
                <w:sz w:val="18"/>
                <w:szCs w:val="18"/>
                <w:highlight w:val="none"/>
                <w:vertAlign w:val="baseline"/>
              </w:rPr>
              <w:t>颗粒物</w:t>
            </w:r>
          </w:p>
        </w:tc>
        <w:tc>
          <w:tcPr>
            <w:tcW w:w="1701" w:type="dxa"/>
            <w:shd w:val="clear" w:color="auto" w:fill="auto"/>
            <w:vAlign w:val="center"/>
          </w:tcPr>
          <w:p w14:paraId="2E7CEA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0.013</w:t>
            </w:r>
          </w:p>
        </w:tc>
        <w:tc>
          <w:tcPr>
            <w:tcW w:w="1276" w:type="dxa"/>
            <w:shd w:val="clear" w:color="auto" w:fill="auto"/>
            <w:vAlign w:val="center"/>
          </w:tcPr>
          <w:p w14:paraId="2F0CFB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default" w:ascii="Times New Roman" w:hAnsi="Times New Roman" w:eastAsia="宋体" w:cs="Times New Roman"/>
                <w:color w:val="auto"/>
                <w:sz w:val="18"/>
                <w:szCs w:val="18"/>
                <w:highlight w:val="none"/>
                <w:u w:val="none"/>
                <w:vertAlign w:val="baseline"/>
                <w:lang w:val="en-US" w:eastAsia="zh-CN"/>
              </w:rPr>
              <w:t>/</w:t>
            </w:r>
          </w:p>
        </w:tc>
        <w:tc>
          <w:tcPr>
            <w:tcW w:w="1701" w:type="dxa"/>
            <w:shd w:val="clear" w:color="auto" w:fill="auto"/>
            <w:vAlign w:val="center"/>
          </w:tcPr>
          <w:p w14:paraId="4E3E324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default" w:ascii="Times New Roman" w:hAnsi="Times New Roman" w:eastAsia="宋体" w:cs="Times New Roman"/>
                <w:color w:val="auto"/>
                <w:sz w:val="18"/>
                <w:szCs w:val="18"/>
                <w:highlight w:val="none"/>
                <w:u w:val="none"/>
                <w:vertAlign w:val="baseline"/>
                <w:lang w:val="en-US" w:eastAsia="zh-CN"/>
              </w:rPr>
              <w:t>/</w:t>
            </w:r>
          </w:p>
        </w:tc>
        <w:tc>
          <w:tcPr>
            <w:tcW w:w="1559" w:type="dxa"/>
            <w:shd w:val="clear" w:color="auto" w:fill="auto"/>
            <w:vAlign w:val="center"/>
          </w:tcPr>
          <w:p w14:paraId="74592F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0.013</w:t>
            </w:r>
          </w:p>
        </w:tc>
        <w:tc>
          <w:tcPr>
            <w:tcW w:w="1761" w:type="dxa"/>
            <w:vAlign w:val="center"/>
          </w:tcPr>
          <w:p w14:paraId="51AE079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0.013</w:t>
            </w:r>
          </w:p>
        </w:tc>
        <w:tc>
          <w:tcPr>
            <w:tcW w:w="1959" w:type="dxa"/>
            <w:vAlign w:val="center"/>
          </w:tcPr>
          <w:p w14:paraId="6F7C80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0.013</w:t>
            </w:r>
          </w:p>
        </w:tc>
        <w:tc>
          <w:tcPr>
            <w:tcW w:w="1089" w:type="dxa"/>
            <w:vAlign w:val="center"/>
          </w:tcPr>
          <w:p w14:paraId="34C788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w:t>
            </w:r>
          </w:p>
        </w:tc>
      </w:tr>
      <w:tr w14:paraId="259680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3E61C9F2">
            <w:pPr>
              <w:pStyle w:val="53"/>
              <w:adjustRightInd/>
              <w:snapToGrid/>
              <w:spacing w:beforeLines="0" w:afterLines="0" w:line="240" w:lineRule="auto"/>
              <w:ind w:left="0" w:right="0" w:firstLine="0"/>
              <w:jc w:val="center"/>
              <w:rPr>
                <w:rFonts w:ascii="Times New Roman" w:eastAsia="宋体"/>
                <w:snapToGrid w:val="0"/>
                <w:color w:val="auto"/>
                <w:kern w:val="21"/>
                <w:sz w:val="18"/>
                <w:szCs w:val="18"/>
                <w:highlight w:val="none"/>
              </w:rPr>
            </w:pPr>
          </w:p>
        </w:tc>
        <w:tc>
          <w:tcPr>
            <w:tcW w:w="944" w:type="dxa"/>
            <w:vAlign w:val="center"/>
          </w:tcPr>
          <w:p w14:paraId="0EE778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溶剂废气（t/a）</w:t>
            </w:r>
          </w:p>
        </w:tc>
        <w:tc>
          <w:tcPr>
            <w:tcW w:w="902" w:type="dxa"/>
            <w:vAlign w:val="center"/>
          </w:tcPr>
          <w:p w14:paraId="4DE8EF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非甲烷总烃</w:t>
            </w:r>
          </w:p>
        </w:tc>
        <w:tc>
          <w:tcPr>
            <w:tcW w:w="1701" w:type="dxa"/>
            <w:shd w:val="clear" w:color="auto" w:fill="auto"/>
            <w:vAlign w:val="center"/>
          </w:tcPr>
          <w:p w14:paraId="729F9F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cs="Times New Roman"/>
                <w:color w:val="auto"/>
                <w:sz w:val="18"/>
                <w:szCs w:val="18"/>
                <w:highlight w:val="none"/>
                <w:u w:val="none"/>
                <w:vertAlign w:val="baseline"/>
                <w:lang w:val="en-US" w:eastAsia="zh-CN"/>
              </w:rPr>
              <w:t>0.151</w:t>
            </w:r>
          </w:p>
        </w:tc>
        <w:tc>
          <w:tcPr>
            <w:tcW w:w="1276" w:type="dxa"/>
            <w:shd w:val="clear" w:color="auto" w:fill="auto"/>
            <w:vAlign w:val="center"/>
          </w:tcPr>
          <w:p w14:paraId="33B60B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default" w:ascii="Times New Roman" w:hAnsi="Times New Roman" w:eastAsia="宋体" w:cs="Times New Roman"/>
                <w:color w:val="auto"/>
                <w:sz w:val="18"/>
                <w:szCs w:val="18"/>
                <w:highlight w:val="none"/>
                <w:u w:val="none"/>
                <w:vertAlign w:val="baseline"/>
                <w:lang w:val="en-US" w:eastAsia="zh-CN"/>
              </w:rPr>
              <w:t>/</w:t>
            </w:r>
          </w:p>
        </w:tc>
        <w:tc>
          <w:tcPr>
            <w:tcW w:w="1701" w:type="dxa"/>
            <w:shd w:val="clear" w:color="auto" w:fill="auto"/>
            <w:vAlign w:val="center"/>
          </w:tcPr>
          <w:p w14:paraId="5A4F74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default" w:ascii="Times New Roman" w:hAnsi="Times New Roman" w:eastAsia="宋体" w:cs="Times New Roman"/>
                <w:color w:val="auto"/>
                <w:sz w:val="18"/>
                <w:szCs w:val="18"/>
                <w:highlight w:val="none"/>
                <w:u w:val="none"/>
                <w:vertAlign w:val="baseline"/>
                <w:lang w:val="en-US" w:eastAsia="zh-CN"/>
              </w:rPr>
              <w:t>/</w:t>
            </w:r>
          </w:p>
        </w:tc>
        <w:tc>
          <w:tcPr>
            <w:tcW w:w="1559" w:type="dxa"/>
            <w:shd w:val="clear" w:color="auto" w:fill="auto"/>
            <w:vAlign w:val="center"/>
          </w:tcPr>
          <w:p w14:paraId="3F5832E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cs="Times New Roman"/>
                <w:color w:val="auto"/>
                <w:sz w:val="18"/>
                <w:szCs w:val="18"/>
                <w:highlight w:val="none"/>
                <w:u w:val="none"/>
                <w:vertAlign w:val="baseline"/>
                <w:lang w:val="en-US" w:eastAsia="zh-CN"/>
              </w:rPr>
              <w:t>0.151</w:t>
            </w:r>
          </w:p>
        </w:tc>
        <w:tc>
          <w:tcPr>
            <w:tcW w:w="1761" w:type="dxa"/>
            <w:shd w:val="clear" w:color="auto" w:fill="auto"/>
            <w:vAlign w:val="center"/>
          </w:tcPr>
          <w:p w14:paraId="1F2C48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cs="Times New Roman"/>
                <w:color w:val="auto"/>
                <w:sz w:val="18"/>
                <w:szCs w:val="18"/>
                <w:highlight w:val="none"/>
                <w:u w:val="none"/>
                <w:vertAlign w:val="baseline"/>
                <w:lang w:val="en-US" w:eastAsia="zh-CN"/>
              </w:rPr>
              <w:t>0.151</w:t>
            </w:r>
          </w:p>
        </w:tc>
        <w:tc>
          <w:tcPr>
            <w:tcW w:w="1959" w:type="dxa"/>
            <w:vAlign w:val="center"/>
          </w:tcPr>
          <w:p w14:paraId="6663CF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cs="Times New Roman"/>
                <w:color w:val="auto"/>
                <w:sz w:val="18"/>
                <w:szCs w:val="18"/>
                <w:highlight w:val="none"/>
                <w:u w:val="none"/>
                <w:vertAlign w:val="baseline"/>
                <w:lang w:val="en-US" w:eastAsia="zh-CN"/>
              </w:rPr>
              <w:t>0.151</w:t>
            </w:r>
          </w:p>
        </w:tc>
        <w:tc>
          <w:tcPr>
            <w:tcW w:w="1089" w:type="dxa"/>
            <w:shd w:val="clear" w:color="auto" w:fill="auto"/>
            <w:vAlign w:val="center"/>
          </w:tcPr>
          <w:p w14:paraId="2BB659B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w:t>
            </w:r>
          </w:p>
        </w:tc>
      </w:tr>
      <w:tr w14:paraId="7FBA80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5C9BEE96">
            <w:pPr>
              <w:pStyle w:val="53"/>
              <w:adjustRightInd/>
              <w:snapToGrid/>
              <w:spacing w:beforeLines="0" w:afterLines="0" w:line="240" w:lineRule="auto"/>
              <w:ind w:left="0" w:right="0" w:firstLine="0"/>
              <w:jc w:val="center"/>
              <w:rPr>
                <w:rFonts w:ascii="Times New Roman" w:eastAsia="宋体"/>
                <w:snapToGrid w:val="0"/>
                <w:color w:val="auto"/>
                <w:kern w:val="21"/>
                <w:sz w:val="18"/>
                <w:szCs w:val="18"/>
                <w:highlight w:val="none"/>
              </w:rPr>
            </w:pPr>
          </w:p>
        </w:tc>
        <w:tc>
          <w:tcPr>
            <w:tcW w:w="944" w:type="dxa"/>
            <w:vAlign w:val="center"/>
          </w:tcPr>
          <w:p w14:paraId="06E30EE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破碎粉尘（t/a）</w:t>
            </w:r>
          </w:p>
        </w:tc>
        <w:tc>
          <w:tcPr>
            <w:tcW w:w="902" w:type="dxa"/>
            <w:vAlign w:val="center"/>
          </w:tcPr>
          <w:p w14:paraId="3937FAE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颗粒物</w:t>
            </w:r>
          </w:p>
        </w:tc>
        <w:tc>
          <w:tcPr>
            <w:tcW w:w="1701" w:type="dxa"/>
            <w:shd w:val="clear" w:color="auto" w:fill="auto"/>
            <w:vAlign w:val="center"/>
          </w:tcPr>
          <w:p w14:paraId="147B8E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0.002</w:t>
            </w:r>
          </w:p>
        </w:tc>
        <w:tc>
          <w:tcPr>
            <w:tcW w:w="1276" w:type="dxa"/>
            <w:shd w:val="clear" w:color="auto" w:fill="auto"/>
            <w:vAlign w:val="center"/>
          </w:tcPr>
          <w:p w14:paraId="549CE7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default" w:ascii="Times New Roman" w:hAnsi="Times New Roman" w:eastAsia="宋体" w:cs="Times New Roman"/>
                <w:color w:val="auto"/>
                <w:sz w:val="18"/>
                <w:szCs w:val="18"/>
                <w:highlight w:val="none"/>
                <w:u w:val="none"/>
                <w:vertAlign w:val="baseline"/>
                <w:lang w:val="en-US" w:eastAsia="zh-CN"/>
              </w:rPr>
              <w:t>/</w:t>
            </w:r>
          </w:p>
        </w:tc>
        <w:tc>
          <w:tcPr>
            <w:tcW w:w="1701" w:type="dxa"/>
            <w:shd w:val="clear" w:color="auto" w:fill="auto"/>
            <w:vAlign w:val="center"/>
          </w:tcPr>
          <w:p w14:paraId="590113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default" w:ascii="Times New Roman" w:hAnsi="Times New Roman" w:eastAsia="宋体" w:cs="Times New Roman"/>
                <w:color w:val="auto"/>
                <w:sz w:val="18"/>
                <w:szCs w:val="18"/>
                <w:highlight w:val="none"/>
                <w:u w:val="none"/>
                <w:vertAlign w:val="baseline"/>
                <w:lang w:val="en-US" w:eastAsia="zh-CN"/>
              </w:rPr>
              <w:t>/</w:t>
            </w:r>
          </w:p>
        </w:tc>
        <w:tc>
          <w:tcPr>
            <w:tcW w:w="1559" w:type="dxa"/>
            <w:shd w:val="clear" w:color="auto" w:fill="auto"/>
            <w:vAlign w:val="center"/>
          </w:tcPr>
          <w:p w14:paraId="3DB93E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w:t>
            </w:r>
          </w:p>
        </w:tc>
        <w:tc>
          <w:tcPr>
            <w:tcW w:w="1761" w:type="dxa"/>
            <w:shd w:val="clear" w:color="auto" w:fill="auto"/>
            <w:vAlign w:val="center"/>
          </w:tcPr>
          <w:p w14:paraId="4B339F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w:t>
            </w:r>
          </w:p>
        </w:tc>
        <w:tc>
          <w:tcPr>
            <w:tcW w:w="1959" w:type="dxa"/>
            <w:vAlign w:val="center"/>
          </w:tcPr>
          <w:p w14:paraId="6CD3D5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0.002</w:t>
            </w:r>
          </w:p>
        </w:tc>
        <w:tc>
          <w:tcPr>
            <w:tcW w:w="1089" w:type="dxa"/>
            <w:shd w:val="clear" w:color="auto" w:fill="auto"/>
            <w:vAlign w:val="center"/>
          </w:tcPr>
          <w:p w14:paraId="603FBD1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18"/>
                <w:szCs w:val="18"/>
                <w:highlight w:val="none"/>
                <w:u w:val="none"/>
                <w:vertAlign w:val="baseline"/>
                <w:lang w:val="en-US" w:eastAsia="zh-CN"/>
              </w:rPr>
            </w:pPr>
            <w:r>
              <w:rPr>
                <w:rFonts w:hint="eastAsia" w:ascii="Times New Roman" w:hAnsi="Times New Roman" w:eastAsia="宋体" w:cs="Times New Roman"/>
                <w:color w:val="auto"/>
                <w:sz w:val="18"/>
                <w:szCs w:val="18"/>
                <w:highlight w:val="none"/>
                <w:u w:val="none"/>
                <w:vertAlign w:val="baseline"/>
                <w:lang w:val="en-US" w:eastAsia="zh-CN"/>
              </w:rPr>
              <w:t>0</w:t>
            </w:r>
          </w:p>
        </w:tc>
      </w:tr>
      <w:tr w14:paraId="3EF782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restart"/>
            <w:vAlign w:val="center"/>
          </w:tcPr>
          <w:p w14:paraId="6B459FF3">
            <w:pPr>
              <w:pStyle w:val="53"/>
              <w:adjustRightInd/>
              <w:snapToGrid/>
              <w:spacing w:beforeLines="0" w:afterLines="0" w:line="240" w:lineRule="auto"/>
              <w:ind w:left="0" w:right="0" w:firstLine="0"/>
              <w:jc w:val="center"/>
              <w:rPr>
                <w:rFonts w:ascii="Times New Roman" w:eastAsia="宋体"/>
                <w:snapToGrid w:val="0"/>
                <w:color w:val="auto"/>
                <w:kern w:val="21"/>
                <w:sz w:val="18"/>
                <w:szCs w:val="18"/>
                <w:highlight w:val="none"/>
              </w:rPr>
            </w:pPr>
            <w:r>
              <w:rPr>
                <w:rFonts w:ascii="Times New Roman" w:eastAsia="宋体"/>
                <w:snapToGrid w:val="0"/>
                <w:color w:val="auto"/>
                <w:kern w:val="21"/>
                <w:sz w:val="18"/>
                <w:szCs w:val="18"/>
                <w:highlight w:val="none"/>
              </w:rPr>
              <w:t>废水</w:t>
            </w:r>
          </w:p>
        </w:tc>
        <w:tc>
          <w:tcPr>
            <w:tcW w:w="944" w:type="dxa"/>
            <w:vAlign w:val="center"/>
          </w:tcPr>
          <w:p w14:paraId="02BA251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bCs/>
                <w:snapToGrid w:val="0"/>
                <w:color w:val="auto"/>
                <w:kern w:val="21"/>
                <w:sz w:val="20"/>
                <w:szCs w:val="20"/>
                <w:highlight w:val="none"/>
                <w:lang w:val="en-US" w:eastAsia="zh-CN"/>
              </w:rPr>
            </w:pPr>
            <w:r>
              <w:rPr>
                <w:rFonts w:hint="eastAsia" w:ascii="Times New Roman" w:hAnsi="Times New Roman" w:eastAsia="宋体" w:cs="Times New Roman"/>
                <w:color w:val="auto"/>
                <w:sz w:val="20"/>
                <w:szCs w:val="20"/>
                <w:u w:val="none"/>
                <w:vertAlign w:val="baseline"/>
                <w:lang w:val="en-US" w:eastAsia="zh-CN"/>
              </w:rPr>
              <w:t>地面清洗废水（t/a）</w:t>
            </w:r>
          </w:p>
        </w:tc>
        <w:tc>
          <w:tcPr>
            <w:tcW w:w="902" w:type="dxa"/>
            <w:vAlign w:val="center"/>
          </w:tcPr>
          <w:p w14:paraId="175F453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Times New Roman" w:cs="Times New Roman"/>
                <w:color w:val="auto"/>
                <w:spacing w:val="3"/>
                <w:position w:val="-1"/>
                <w:sz w:val="20"/>
                <w:szCs w:val="20"/>
                <w:highlight w:val="none"/>
                <w:vertAlign w:val="baseline"/>
              </w:rPr>
            </w:pPr>
            <w:r>
              <w:rPr>
                <w:rFonts w:hint="eastAsia"/>
                <w:color w:val="auto"/>
                <w:sz w:val="20"/>
                <w:szCs w:val="20"/>
                <w:u w:val="none"/>
                <w:vertAlign w:val="baseline"/>
                <w:lang w:val="en-US" w:eastAsia="zh-CN"/>
              </w:rPr>
              <w:t>废水量</w:t>
            </w:r>
          </w:p>
        </w:tc>
        <w:tc>
          <w:tcPr>
            <w:tcW w:w="1701" w:type="dxa"/>
            <w:vAlign w:val="center"/>
          </w:tcPr>
          <w:p w14:paraId="7F182A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snapToGrid w:val="0"/>
                <w:color w:val="auto"/>
                <w:spacing w:val="-6"/>
                <w:kern w:val="21"/>
                <w:sz w:val="20"/>
                <w:szCs w:val="20"/>
                <w:highlight w:val="none"/>
                <w:lang w:val="en-US" w:eastAsia="zh-CN"/>
              </w:rPr>
            </w:pPr>
            <w:r>
              <w:rPr>
                <w:rFonts w:ascii="Times New Roman" w:hAnsi="Times New Roman" w:eastAsia="Times New Roman" w:cs="Times New Roman"/>
                <w:spacing w:val="-2"/>
                <w:sz w:val="20"/>
                <w:szCs w:val="20"/>
              </w:rPr>
              <w:t>13.5</w:t>
            </w:r>
          </w:p>
        </w:tc>
        <w:tc>
          <w:tcPr>
            <w:tcW w:w="1276" w:type="dxa"/>
            <w:shd w:val="clear" w:color="auto" w:fill="auto"/>
            <w:vAlign w:val="center"/>
          </w:tcPr>
          <w:p w14:paraId="6566D3A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default" w:ascii="Times New Roman" w:hAnsi="Times New Roman" w:eastAsia="宋体" w:cs="Times New Roman"/>
                <w:color w:val="auto"/>
                <w:kern w:val="2"/>
                <w:sz w:val="20"/>
                <w:szCs w:val="20"/>
                <w:highlight w:val="none"/>
                <w:u w:val="none"/>
                <w:vertAlign w:val="baseline"/>
                <w:lang w:val="en-US" w:eastAsia="zh-CN" w:bidi="ar-SA"/>
              </w:rPr>
              <w:t>/</w:t>
            </w:r>
          </w:p>
        </w:tc>
        <w:tc>
          <w:tcPr>
            <w:tcW w:w="1701" w:type="dxa"/>
            <w:shd w:val="clear" w:color="auto" w:fill="auto"/>
            <w:vAlign w:val="center"/>
          </w:tcPr>
          <w:p w14:paraId="5F5B3B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0"/>
                <w:szCs w:val="20"/>
                <w:highlight w:val="none"/>
                <w:u w:val="none"/>
                <w:vertAlign w:val="baseline"/>
                <w:lang w:val="en-US" w:eastAsia="zh-CN" w:bidi="ar-SA"/>
              </w:rPr>
            </w:pPr>
            <w:r>
              <w:rPr>
                <w:rFonts w:hint="default" w:ascii="Times New Roman" w:hAnsi="Times New Roman" w:eastAsia="宋体" w:cs="Times New Roman"/>
                <w:color w:val="auto"/>
                <w:kern w:val="2"/>
                <w:sz w:val="20"/>
                <w:szCs w:val="20"/>
                <w:highlight w:val="none"/>
                <w:u w:val="none"/>
                <w:vertAlign w:val="baseline"/>
                <w:lang w:val="en-US" w:eastAsia="zh-CN" w:bidi="ar-SA"/>
              </w:rPr>
              <w:t>/</w:t>
            </w:r>
          </w:p>
        </w:tc>
        <w:tc>
          <w:tcPr>
            <w:tcW w:w="1559" w:type="dxa"/>
            <w:shd w:val="clear" w:color="auto" w:fill="auto"/>
            <w:vAlign w:val="center"/>
          </w:tcPr>
          <w:p w14:paraId="193F02BA">
            <w:pPr>
              <w:pStyle w:val="53"/>
              <w:adjustRightInd/>
              <w:snapToGrid/>
              <w:spacing w:beforeLines="0" w:afterLines="0" w:line="240" w:lineRule="auto"/>
              <w:ind w:left="376" w:leftChars="0" w:right="0" w:rightChars="0" w:hanging="376" w:hangingChars="200"/>
              <w:jc w:val="center"/>
              <w:rPr>
                <w:rFonts w:hint="default" w:ascii="Times New Roman" w:hAnsi="Times New Roman" w:eastAsia="宋体" w:cs="Times New Roman"/>
                <w:snapToGrid w:val="0"/>
                <w:color w:val="auto"/>
                <w:kern w:val="21"/>
                <w:sz w:val="20"/>
                <w:szCs w:val="20"/>
                <w:highlight w:val="none"/>
                <w:lang w:val="en-US" w:eastAsia="zh-CN" w:bidi="ar-SA"/>
              </w:rPr>
            </w:pPr>
            <w:r>
              <w:rPr>
                <w:rFonts w:hint="eastAsia" w:ascii="Times New Roman" w:eastAsia="宋体" w:cs="Times New Roman"/>
                <w:snapToGrid w:val="0"/>
                <w:color w:val="auto"/>
                <w:spacing w:val="-6"/>
                <w:kern w:val="21"/>
                <w:sz w:val="20"/>
                <w:szCs w:val="20"/>
                <w:highlight w:val="none"/>
                <w:lang w:val="en-US" w:eastAsia="zh-CN"/>
              </w:rPr>
              <w:t>0</w:t>
            </w:r>
          </w:p>
        </w:tc>
        <w:tc>
          <w:tcPr>
            <w:tcW w:w="1761" w:type="dxa"/>
            <w:vAlign w:val="center"/>
          </w:tcPr>
          <w:p w14:paraId="49EF4C2E">
            <w:pPr>
              <w:pStyle w:val="53"/>
              <w:adjustRightInd/>
              <w:snapToGrid/>
              <w:spacing w:beforeLines="0" w:afterLines="0" w:line="240" w:lineRule="auto"/>
              <w:ind w:left="376" w:leftChars="0" w:right="0" w:rightChars="0" w:hanging="376" w:hangingChars="200"/>
              <w:jc w:val="center"/>
              <w:rPr>
                <w:color w:val="auto"/>
                <w:kern w:val="0"/>
                <w:sz w:val="20"/>
                <w:szCs w:val="20"/>
                <w:highlight w:val="none"/>
              </w:rPr>
            </w:pPr>
            <w:r>
              <w:rPr>
                <w:rFonts w:hint="eastAsia" w:ascii="Times New Roman" w:eastAsia="宋体" w:cs="Times New Roman"/>
                <w:snapToGrid w:val="0"/>
                <w:color w:val="auto"/>
                <w:spacing w:val="-6"/>
                <w:kern w:val="21"/>
                <w:sz w:val="20"/>
                <w:szCs w:val="20"/>
                <w:highlight w:val="none"/>
                <w:lang w:val="en-US" w:eastAsia="zh-CN"/>
              </w:rPr>
              <w:t>0</w:t>
            </w:r>
          </w:p>
        </w:tc>
        <w:tc>
          <w:tcPr>
            <w:tcW w:w="1959" w:type="dxa"/>
            <w:vAlign w:val="center"/>
          </w:tcPr>
          <w:p w14:paraId="1E82C72A">
            <w:pPr>
              <w:keepNext w:val="0"/>
              <w:keepLines w:val="0"/>
              <w:pageBreakBefore w:val="0"/>
              <w:widowControl/>
              <w:suppressLineNumbers w:val="0"/>
              <w:kinsoku/>
              <w:wordWrap/>
              <w:overflowPunct/>
              <w:topLinePunct w:val="0"/>
              <w:autoSpaceDE/>
              <w:autoSpaceDN/>
              <w:bidi w:val="0"/>
              <w:adjustRightInd/>
              <w:snapToGrid/>
              <w:jc w:val="center"/>
              <w:textAlignment w:val="center"/>
              <w:rPr>
                <w:color w:val="auto"/>
                <w:sz w:val="20"/>
                <w:szCs w:val="20"/>
                <w:highlight w:val="none"/>
              </w:rPr>
            </w:pPr>
            <w:r>
              <w:rPr>
                <w:rFonts w:ascii="Times New Roman" w:hAnsi="Times New Roman" w:eastAsia="Times New Roman" w:cs="Times New Roman"/>
                <w:spacing w:val="-2"/>
                <w:sz w:val="20"/>
                <w:szCs w:val="20"/>
              </w:rPr>
              <w:t>13.5</w:t>
            </w:r>
          </w:p>
        </w:tc>
        <w:tc>
          <w:tcPr>
            <w:tcW w:w="1089" w:type="dxa"/>
            <w:vAlign w:val="center"/>
          </w:tcPr>
          <w:p w14:paraId="70452A9A">
            <w:pPr>
              <w:widowControl/>
              <w:adjustRightInd w:val="0"/>
              <w:snapToGrid w:val="0"/>
              <w:jc w:val="center"/>
              <w:textAlignment w:val="center"/>
              <w:rPr>
                <w:rFonts w:hint="default"/>
                <w:snapToGrid w:val="0"/>
                <w:color w:val="auto"/>
                <w:kern w:val="21"/>
                <w:sz w:val="20"/>
                <w:szCs w:val="20"/>
                <w:highlight w:val="none"/>
                <w:lang w:val="en-US"/>
              </w:rPr>
            </w:pPr>
            <w:r>
              <w:rPr>
                <w:rFonts w:hint="eastAsia"/>
                <w:color w:val="auto"/>
                <w:sz w:val="20"/>
                <w:szCs w:val="20"/>
                <w:highlight w:val="none"/>
                <w:lang w:val="en-US" w:eastAsia="zh-CN"/>
              </w:rPr>
              <w:t>0</w:t>
            </w:r>
          </w:p>
        </w:tc>
      </w:tr>
      <w:tr w14:paraId="5151E1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3A95328C">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944" w:type="dxa"/>
            <w:vAlign w:val="top"/>
          </w:tcPr>
          <w:p w14:paraId="2D93A5F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Times New Roman" w:cs="Times New Roman"/>
                <w:color w:val="auto"/>
                <w:spacing w:val="3"/>
                <w:position w:val="-1"/>
                <w:sz w:val="20"/>
                <w:szCs w:val="20"/>
                <w:highlight w:val="none"/>
                <w:vertAlign w:val="baseline"/>
              </w:rPr>
            </w:pPr>
            <w:r>
              <w:rPr>
                <w:rFonts w:hint="eastAsia" w:ascii="Times New Roman" w:hAnsi="Times New Roman" w:eastAsia="宋体" w:cs="Times New Roman"/>
                <w:color w:val="auto"/>
                <w:sz w:val="20"/>
                <w:szCs w:val="20"/>
                <w:u w:val="none"/>
                <w:vertAlign w:val="baseline"/>
                <w:lang w:val="en-US" w:eastAsia="zh-CN"/>
              </w:rPr>
              <w:t>设备清洗废水（t/a）</w:t>
            </w:r>
          </w:p>
        </w:tc>
        <w:tc>
          <w:tcPr>
            <w:tcW w:w="902" w:type="dxa"/>
            <w:vAlign w:val="center"/>
          </w:tcPr>
          <w:p w14:paraId="40D5A94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0"/>
                <w:szCs w:val="20"/>
                <w:highlight w:val="none"/>
                <w:u w:val="none"/>
                <w:vertAlign w:val="baseline"/>
                <w:lang w:val="en-US" w:eastAsia="zh-CN"/>
              </w:rPr>
            </w:pPr>
            <w:r>
              <w:rPr>
                <w:rFonts w:hint="eastAsia"/>
                <w:color w:val="auto"/>
                <w:sz w:val="20"/>
                <w:szCs w:val="20"/>
                <w:u w:val="none"/>
                <w:vertAlign w:val="baseline"/>
                <w:lang w:val="en-US" w:eastAsia="zh-CN"/>
              </w:rPr>
              <w:t>废水量</w:t>
            </w:r>
          </w:p>
        </w:tc>
        <w:tc>
          <w:tcPr>
            <w:tcW w:w="1701" w:type="dxa"/>
            <w:vAlign w:val="center"/>
          </w:tcPr>
          <w:p w14:paraId="37A33B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snapToGrid w:val="0"/>
                <w:color w:val="auto"/>
                <w:kern w:val="21"/>
                <w:sz w:val="20"/>
                <w:szCs w:val="20"/>
                <w:highlight w:val="none"/>
                <w:lang w:val="en-US" w:eastAsia="zh-CN"/>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w:t>
            </w:r>
          </w:p>
        </w:tc>
        <w:tc>
          <w:tcPr>
            <w:tcW w:w="1276" w:type="dxa"/>
            <w:shd w:val="clear" w:color="auto" w:fill="auto"/>
            <w:vAlign w:val="center"/>
          </w:tcPr>
          <w:p w14:paraId="777AF5FA">
            <w:pPr>
              <w:jc w:val="center"/>
              <w:textAlignment w:val="baseline"/>
              <w:rPr>
                <w:rFonts w:hint="default"/>
                <w:snapToGrid w:val="0"/>
                <w:color w:val="auto"/>
                <w:kern w:val="21"/>
                <w:sz w:val="20"/>
                <w:szCs w:val="20"/>
                <w:highlight w:val="none"/>
                <w:lang w:val="en-US" w:eastAsia="zh-CN"/>
              </w:rPr>
            </w:pPr>
            <w:r>
              <w:rPr>
                <w:rFonts w:hint="default"/>
                <w:snapToGrid w:val="0"/>
                <w:color w:val="auto"/>
                <w:kern w:val="21"/>
                <w:sz w:val="20"/>
                <w:szCs w:val="20"/>
                <w:highlight w:val="none"/>
                <w:lang w:val="en-US" w:eastAsia="zh-CN"/>
              </w:rPr>
              <w:t>/</w:t>
            </w:r>
          </w:p>
        </w:tc>
        <w:tc>
          <w:tcPr>
            <w:tcW w:w="1701" w:type="dxa"/>
            <w:shd w:val="clear" w:color="auto" w:fill="auto"/>
            <w:vAlign w:val="center"/>
          </w:tcPr>
          <w:p w14:paraId="397B9DAA">
            <w:pPr>
              <w:jc w:val="center"/>
              <w:textAlignment w:val="baseline"/>
              <w:rPr>
                <w:rFonts w:hint="default"/>
                <w:snapToGrid w:val="0"/>
                <w:color w:val="auto"/>
                <w:kern w:val="21"/>
                <w:sz w:val="20"/>
                <w:szCs w:val="20"/>
                <w:highlight w:val="none"/>
                <w:lang w:val="en-US" w:eastAsia="zh-CN"/>
              </w:rPr>
            </w:pPr>
            <w:r>
              <w:rPr>
                <w:rFonts w:hint="default"/>
                <w:snapToGrid w:val="0"/>
                <w:color w:val="auto"/>
                <w:kern w:val="21"/>
                <w:sz w:val="20"/>
                <w:szCs w:val="20"/>
                <w:highlight w:val="none"/>
                <w:lang w:val="en-US" w:eastAsia="zh-CN"/>
              </w:rPr>
              <w:t>/</w:t>
            </w:r>
          </w:p>
        </w:tc>
        <w:tc>
          <w:tcPr>
            <w:tcW w:w="1559" w:type="dxa"/>
            <w:shd w:val="clear" w:color="auto" w:fill="auto"/>
            <w:vAlign w:val="center"/>
          </w:tcPr>
          <w:p w14:paraId="2A895DF8">
            <w:pPr>
              <w:jc w:val="center"/>
              <w:textAlignment w:val="baseline"/>
              <w:rPr>
                <w:rFonts w:hint="default"/>
                <w:snapToGrid w:val="0"/>
                <w:color w:val="auto"/>
                <w:kern w:val="21"/>
                <w:sz w:val="20"/>
                <w:szCs w:val="20"/>
                <w:highlight w:val="none"/>
                <w:lang w:val="en-US" w:eastAsia="zh-CN"/>
              </w:rPr>
            </w:pPr>
            <w:r>
              <w:rPr>
                <w:rFonts w:hint="eastAsia"/>
                <w:snapToGrid w:val="0"/>
                <w:color w:val="auto"/>
                <w:kern w:val="21"/>
                <w:sz w:val="20"/>
                <w:szCs w:val="20"/>
                <w:highlight w:val="none"/>
                <w:lang w:val="en-US" w:eastAsia="zh-CN"/>
              </w:rPr>
              <w:t>0</w:t>
            </w:r>
          </w:p>
        </w:tc>
        <w:tc>
          <w:tcPr>
            <w:tcW w:w="1761" w:type="dxa"/>
            <w:vAlign w:val="center"/>
          </w:tcPr>
          <w:p w14:paraId="10BB6F35">
            <w:pPr>
              <w:jc w:val="center"/>
              <w:textAlignment w:val="baseline"/>
              <w:rPr>
                <w:rFonts w:hint="default"/>
                <w:snapToGrid w:val="0"/>
                <w:color w:val="auto"/>
                <w:kern w:val="21"/>
                <w:sz w:val="20"/>
                <w:szCs w:val="20"/>
                <w:highlight w:val="none"/>
                <w:lang w:val="en-US" w:eastAsia="zh-CN"/>
              </w:rPr>
            </w:pPr>
            <w:r>
              <w:rPr>
                <w:rFonts w:hint="eastAsia"/>
                <w:snapToGrid w:val="0"/>
                <w:color w:val="auto"/>
                <w:kern w:val="21"/>
                <w:sz w:val="20"/>
                <w:szCs w:val="20"/>
                <w:highlight w:val="none"/>
                <w:lang w:val="en-US" w:eastAsia="zh-CN"/>
              </w:rPr>
              <w:t>0</w:t>
            </w:r>
          </w:p>
        </w:tc>
        <w:tc>
          <w:tcPr>
            <w:tcW w:w="1959" w:type="dxa"/>
            <w:vAlign w:val="center"/>
          </w:tcPr>
          <w:p w14:paraId="3654AE3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snapToGrid w:val="0"/>
                <w:color w:val="auto"/>
                <w:kern w:val="21"/>
                <w:sz w:val="20"/>
                <w:szCs w:val="20"/>
                <w:highlight w:val="none"/>
                <w:lang w:val="en-US" w:eastAsia="zh-CN"/>
              </w:rPr>
            </w:pPr>
            <w:r>
              <w:rPr>
                <w:rFonts w:ascii="Times New Roman" w:hAnsi="Times New Roman" w:eastAsia="Times New Roman" w:cs="Times New Roman"/>
                <w:spacing w:val="-2"/>
                <w:sz w:val="20"/>
                <w:szCs w:val="20"/>
              </w:rPr>
              <w:t>8.</w:t>
            </w:r>
            <w:r>
              <w:rPr>
                <w:rFonts w:ascii="Times New Roman" w:hAnsi="Times New Roman" w:eastAsia="Times New Roman" w:cs="Times New Roman"/>
                <w:spacing w:val="-25"/>
                <w:sz w:val="20"/>
                <w:szCs w:val="20"/>
              </w:rPr>
              <w:t xml:space="preserve"> </w:t>
            </w:r>
            <w:r>
              <w:rPr>
                <w:rFonts w:ascii="Times New Roman" w:hAnsi="Times New Roman" w:eastAsia="Times New Roman" w:cs="Times New Roman"/>
                <w:spacing w:val="-2"/>
                <w:sz w:val="20"/>
                <w:szCs w:val="20"/>
              </w:rPr>
              <w:t>1</w:t>
            </w:r>
          </w:p>
        </w:tc>
        <w:tc>
          <w:tcPr>
            <w:tcW w:w="1089" w:type="dxa"/>
            <w:vAlign w:val="center"/>
          </w:tcPr>
          <w:p w14:paraId="1E2A8F41">
            <w:pPr>
              <w:jc w:val="center"/>
              <w:textAlignment w:val="baseline"/>
              <w:rPr>
                <w:rFonts w:hint="eastAsia"/>
                <w:snapToGrid w:val="0"/>
                <w:color w:val="auto"/>
                <w:kern w:val="21"/>
                <w:sz w:val="20"/>
                <w:szCs w:val="20"/>
                <w:highlight w:val="none"/>
                <w:lang w:val="en-US" w:eastAsia="zh-CN"/>
              </w:rPr>
            </w:pPr>
            <w:r>
              <w:rPr>
                <w:rFonts w:hint="eastAsia"/>
                <w:snapToGrid w:val="0"/>
                <w:color w:val="auto"/>
                <w:kern w:val="21"/>
                <w:sz w:val="20"/>
                <w:szCs w:val="20"/>
                <w:highlight w:val="none"/>
                <w:lang w:val="en-US" w:eastAsia="zh-CN"/>
              </w:rPr>
              <w:t>0</w:t>
            </w:r>
          </w:p>
        </w:tc>
      </w:tr>
      <w:tr w14:paraId="6C49B9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6739DD13">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944" w:type="dxa"/>
            <w:vAlign w:val="top"/>
          </w:tcPr>
          <w:p w14:paraId="48B4A23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0"/>
                <w:szCs w:val="20"/>
                <w:highlight w:val="none"/>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水膜除尘废水（t/a）</w:t>
            </w:r>
          </w:p>
        </w:tc>
        <w:tc>
          <w:tcPr>
            <w:tcW w:w="902" w:type="dxa"/>
            <w:vAlign w:val="center"/>
          </w:tcPr>
          <w:p w14:paraId="0767C61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s="Times New Roman"/>
                <w:color w:val="auto"/>
                <w:kern w:val="0"/>
                <w:sz w:val="20"/>
                <w:szCs w:val="20"/>
                <w:u w:val="single"/>
                <w:lang w:val="en-US" w:eastAsia="zh-CN"/>
              </w:rPr>
            </w:pPr>
            <w:r>
              <w:rPr>
                <w:rFonts w:hint="eastAsia"/>
                <w:color w:val="auto"/>
                <w:sz w:val="20"/>
                <w:szCs w:val="20"/>
                <w:u w:val="none"/>
                <w:vertAlign w:val="baseline"/>
                <w:lang w:val="en-US" w:eastAsia="zh-CN"/>
              </w:rPr>
              <w:t>废水量</w:t>
            </w:r>
          </w:p>
        </w:tc>
        <w:tc>
          <w:tcPr>
            <w:tcW w:w="1701" w:type="dxa"/>
            <w:vAlign w:val="center"/>
          </w:tcPr>
          <w:p w14:paraId="76786A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0"/>
                <w:szCs w:val="20"/>
                <w:highlight w:val="none"/>
                <w:lang w:val="en-US" w:eastAsia="zh-CN"/>
              </w:rPr>
            </w:pPr>
            <w:r>
              <w:rPr>
                <w:rFonts w:hint="eastAsia"/>
                <w:color w:val="auto"/>
                <w:sz w:val="20"/>
                <w:szCs w:val="20"/>
                <w:highlight w:val="none"/>
                <w:u w:val="none"/>
                <w:vertAlign w:val="baseline"/>
                <w:lang w:val="en-US" w:eastAsia="zh-CN"/>
              </w:rPr>
              <w:t>0</w:t>
            </w:r>
          </w:p>
        </w:tc>
        <w:tc>
          <w:tcPr>
            <w:tcW w:w="1276" w:type="dxa"/>
            <w:shd w:val="clear" w:color="auto" w:fill="auto"/>
            <w:vAlign w:val="center"/>
          </w:tcPr>
          <w:p w14:paraId="5B21BC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default" w:ascii="Times New Roman" w:hAnsi="Times New Roman" w:eastAsia="宋体" w:cs="Times New Roman"/>
                <w:color w:val="auto"/>
                <w:kern w:val="2"/>
                <w:sz w:val="20"/>
                <w:szCs w:val="20"/>
                <w:highlight w:val="none"/>
                <w:u w:val="none"/>
                <w:vertAlign w:val="baseline"/>
                <w:lang w:val="en-US" w:eastAsia="zh-CN" w:bidi="ar-SA"/>
              </w:rPr>
              <w:t>/</w:t>
            </w:r>
          </w:p>
        </w:tc>
        <w:tc>
          <w:tcPr>
            <w:tcW w:w="1701" w:type="dxa"/>
            <w:shd w:val="clear" w:color="auto" w:fill="auto"/>
            <w:vAlign w:val="center"/>
          </w:tcPr>
          <w:p w14:paraId="240B78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default" w:ascii="Times New Roman" w:hAnsi="Times New Roman" w:eastAsia="宋体" w:cs="Times New Roman"/>
                <w:color w:val="auto"/>
                <w:kern w:val="2"/>
                <w:sz w:val="20"/>
                <w:szCs w:val="20"/>
                <w:highlight w:val="none"/>
                <w:u w:val="none"/>
                <w:vertAlign w:val="baseline"/>
                <w:lang w:val="en-US" w:eastAsia="zh-CN" w:bidi="ar-SA"/>
              </w:rPr>
              <w:t>/</w:t>
            </w:r>
          </w:p>
        </w:tc>
        <w:tc>
          <w:tcPr>
            <w:tcW w:w="1559" w:type="dxa"/>
            <w:shd w:val="clear" w:color="auto" w:fill="auto"/>
            <w:vAlign w:val="center"/>
          </w:tcPr>
          <w:p w14:paraId="7099605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0"/>
                <w:szCs w:val="20"/>
                <w:highlight w:val="none"/>
                <w:lang w:val="en-US" w:eastAsia="zh-CN"/>
              </w:rPr>
            </w:pPr>
            <w:r>
              <w:rPr>
                <w:rFonts w:hint="eastAsia" w:ascii="Times New Roman" w:hAnsi="Times New Roman" w:eastAsia="宋体" w:cs="Times New Roman"/>
                <w:color w:val="auto"/>
                <w:sz w:val="20"/>
                <w:szCs w:val="20"/>
                <w:highlight w:val="none"/>
                <w:u w:val="none"/>
                <w:vertAlign w:val="baseline"/>
                <w:lang w:val="en-US" w:eastAsia="zh-CN"/>
              </w:rPr>
              <w:t>0</w:t>
            </w:r>
          </w:p>
        </w:tc>
        <w:tc>
          <w:tcPr>
            <w:tcW w:w="1761" w:type="dxa"/>
            <w:vAlign w:val="center"/>
          </w:tcPr>
          <w:p w14:paraId="1AEFCE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0"/>
                <w:szCs w:val="20"/>
                <w:highlight w:val="none"/>
                <w:lang w:val="en-US" w:eastAsia="zh-CN"/>
              </w:rPr>
            </w:pPr>
            <w:r>
              <w:rPr>
                <w:rFonts w:hint="eastAsia" w:ascii="Times New Roman" w:hAnsi="Times New Roman" w:eastAsia="宋体" w:cs="Times New Roman"/>
                <w:color w:val="auto"/>
                <w:sz w:val="20"/>
                <w:szCs w:val="20"/>
                <w:highlight w:val="none"/>
                <w:u w:val="none"/>
                <w:vertAlign w:val="baseline"/>
                <w:lang w:val="en-US" w:eastAsia="zh-CN"/>
              </w:rPr>
              <w:t>0</w:t>
            </w:r>
          </w:p>
        </w:tc>
        <w:tc>
          <w:tcPr>
            <w:tcW w:w="1959" w:type="dxa"/>
            <w:vAlign w:val="center"/>
          </w:tcPr>
          <w:p w14:paraId="34093B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0"/>
                <w:szCs w:val="20"/>
                <w:highlight w:val="none"/>
                <w:lang w:val="en-US" w:eastAsia="zh-CN"/>
              </w:rPr>
            </w:pPr>
            <w:r>
              <w:rPr>
                <w:rFonts w:hint="eastAsia"/>
                <w:color w:val="auto"/>
                <w:sz w:val="20"/>
                <w:szCs w:val="20"/>
                <w:highlight w:val="none"/>
                <w:u w:val="none"/>
                <w:vertAlign w:val="baseline"/>
                <w:lang w:val="en-US" w:eastAsia="zh-CN"/>
              </w:rPr>
              <w:t>0</w:t>
            </w:r>
          </w:p>
        </w:tc>
        <w:tc>
          <w:tcPr>
            <w:tcW w:w="1089" w:type="dxa"/>
            <w:vAlign w:val="center"/>
          </w:tcPr>
          <w:p w14:paraId="503986A4">
            <w:pPr>
              <w:widowControl/>
              <w:adjustRightInd w:val="0"/>
              <w:snapToGrid w:val="0"/>
              <w:jc w:val="center"/>
              <w:textAlignment w:val="center"/>
              <w:rPr>
                <w:rFonts w:hint="eastAsia"/>
                <w:snapToGrid w:val="0"/>
                <w:color w:val="auto"/>
                <w:kern w:val="21"/>
                <w:sz w:val="20"/>
                <w:szCs w:val="20"/>
                <w:highlight w:val="none"/>
                <w:lang w:val="en-US" w:eastAsia="zh-CN"/>
              </w:rPr>
            </w:pPr>
            <w:r>
              <w:rPr>
                <w:rFonts w:hint="eastAsia"/>
                <w:color w:val="auto"/>
                <w:sz w:val="20"/>
                <w:szCs w:val="20"/>
                <w:highlight w:val="none"/>
                <w:lang w:val="en-US" w:eastAsia="zh-CN"/>
              </w:rPr>
              <w:t>0</w:t>
            </w:r>
          </w:p>
        </w:tc>
      </w:tr>
      <w:tr w14:paraId="7C2730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564E68A8">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944" w:type="dxa"/>
            <w:vAlign w:val="center"/>
          </w:tcPr>
          <w:p w14:paraId="068592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eastAsia="宋体"/>
                <w:color w:val="auto"/>
                <w:sz w:val="20"/>
                <w:szCs w:val="20"/>
                <w:highlight w:val="none"/>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炉排污水及软化处理废水（t/a）</w:t>
            </w:r>
          </w:p>
        </w:tc>
        <w:tc>
          <w:tcPr>
            <w:tcW w:w="902" w:type="dxa"/>
            <w:vAlign w:val="center"/>
          </w:tcPr>
          <w:p w14:paraId="76A5BE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cs="Times New Roman"/>
                <w:color w:val="auto"/>
                <w:kern w:val="0"/>
                <w:sz w:val="20"/>
                <w:szCs w:val="20"/>
                <w:u w:val="single"/>
                <w:lang w:val="en-US" w:eastAsia="zh-CN"/>
              </w:rPr>
            </w:pPr>
            <w:r>
              <w:rPr>
                <w:rFonts w:hint="eastAsia" w:eastAsia="宋体"/>
                <w:color w:val="auto"/>
                <w:sz w:val="20"/>
                <w:szCs w:val="20"/>
                <w:u w:val="none"/>
                <w:vertAlign w:val="baseline"/>
                <w:lang w:val="en-US" w:eastAsia="zh-CN"/>
              </w:rPr>
              <w:t>废水量</w:t>
            </w:r>
          </w:p>
        </w:tc>
        <w:tc>
          <w:tcPr>
            <w:tcW w:w="1701" w:type="dxa"/>
            <w:vAlign w:val="center"/>
          </w:tcPr>
          <w:p w14:paraId="07E7EA7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0"/>
                <w:szCs w:val="20"/>
                <w:highlight w:val="none"/>
                <w:lang w:val="en-US" w:eastAsia="zh-CN"/>
              </w:rPr>
            </w:pPr>
            <w:r>
              <w:rPr>
                <w:rFonts w:hint="eastAsia"/>
                <w:color w:val="auto"/>
                <w:sz w:val="20"/>
                <w:szCs w:val="20"/>
                <w:highlight w:val="none"/>
                <w:u w:val="none"/>
                <w:vertAlign w:val="baseline"/>
                <w:lang w:val="en-US" w:eastAsia="zh-CN"/>
              </w:rPr>
              <w:t>0</w:t>
            </w:r>
          </w:p>
        </w:tc>
        <w:tc>
          <w:tcPr>
            <w:tcW w:w="1276" w:type="dxa"/>
            <w:shd w:val="clear" w:color="auto" w:fill="auto"/>
            <w:vAlign w:val="center"/>
          </w:tcPr>
          <w:p w14:paraId="04B1EEAA">
            <w:pPr>
              <w:jc w:val="center"/>
              <w:textAlignment w:val="baseline"/>
              <w:rPr>
                <w:rFonts w:hint="default" w:ascii="Times New Roman" w:hAnsi="Times New Roman" w:eastAsia="宋体" w:cs="Times New Roman"/>
                <w:snapToGrid w:val="0"/>
                <w:color w:val="auto"/>
                <w:kern w:val="21"/>
                <w:sz w:val="20"/>
                <w:szCs w:val="20"/>
                <w:highlight w:val="none"/>
                <w:lang w:val="en-US" w:eastAsia="zh-CN" w:bidi="ar-SA"/>
              </w:rPr>
            </w:pPr>
            <w:r>
              <w:rPr>
                <w:rFonts w:hint="default"/>
                <w:snapToGrid w:val="0"/>
                <w:color w:val="auto"/>
                <w:kern w:val="21"/>
                <w:sz w:val="20"/>
                <w:szCs w:val="20"/>
                <w:highlight w:val="none"/>
                <w:lang w:val="en-US" w:eastAsia="zh-CN"/>
              </w:rPr>
              <w:t>/</w:t>
            </w:r>
          </w:p>
        </w:tc>
        <w:tc>
          <w:tcPr>
            <w:tcW w:w="1701" w:type="dxa"/>
            <w:shd w:val="clear" w:color="auto" w:fill="auto"/>
            <w:vAlign w:val="center"/>
          </w:tcPr>
          <w:p w14:paraId="31237126">
            <w:pPr>
              <w:jc w:val="center"/>
              <w:textAlignment w:val="baseline"/>
              <w:rPr>
                <w:rFonts w:hint="default" w:ascii="Times New Roman" w:hAnsi="Times New Roman" w:eastAsia="宋体" w:cs="Times New Roman"/>
                <w:snapToGrid w:val="0"/>
                <w:color w:val="auto"/>
                <w:kern w:val="21"/>
                <w:sz w:val="20"/>
                <w:szCs w:val="20"/>
                <w:highlight w:val="none"/>
                <w:lang w:val="en-US" w:eastAsia="zh-CN" w:bidi="ar-SA"/>
              </w:rPr>
            </w:pPr>
            <w:r>
              <w:rPr>
                <w:rFonts w:hint="default"/>
                <w:snapToGrid w:val="0"/>
                <w:color w:val="auto"/>
                <w:kern w:val="21"/>
                <w:sz w:val="20"/>
                <w:szCs w:val="20"/>
                <w:highlight w:val="none"/>
                <w:lang w:val="en-US" w:eastAsia="zh-CN"/>
              </w:rPr>
              <w:t>/</w:t>
            </w:r>
          </w:p>
        </w:tc>
        <w:tc>
          <w:tcPr>
            <w:tcW w:w="1559" w:type="dxa"/>
            <w:shd w:val="clear" w:color="auto" w:fill="auto"/>
            <w:vAlign w:val="center"/>
          </w:tcPr>
          <w:p w14:paraId="09B16825">
            <w:pPr>
              <w:pStyle w:val="53"/>
              <w:adjustRightInd/>
              <w:snapToGrid/>
              <w:spacing w:beforeLines="0" w:afterLines="0" w:line="240" w:lineRule="auto"/>
              <w:ind w:left="376" w:leftChars="0" w:right="0" w:rightChars="0" w:hanging="376" w:hangingChars="200"/>
              <w:jc w:val="center"/>
              <w:rPr>
                <w:rFonts w:hint="eastAsia"/>
                <w:snapToGrid w:val="0"/>
                <w:color w:val="auto"/>
                <w:kern w:val="21"/>
                <w:sz w:val="20"/>
                <w:szCs w:val="20"/>
                <w:highlight w:val="none"/>
                <w:lang w:val="en-US" w:eastAsia="zh-CN"/>
              </w:rPr>
            </w:pPr>
            <w:r>
              <w:rPr>
                <w:rFonts w:hint="eastAsia" w:ascii="Times New Roman" w:eastAsia="宋体" w:cs="Times New Roman"/>
                <w:snapToGrid w:val="0"/>
                <w:color w:val="auto"/>
                <w:spacing w:val="-6"/>
                <w:kern w:val="21"/>
                <w:sz w:val="20"/>
                <w:szCs w:val="20"/>
                <w:highlight w:val="none"/>
                <w:lang w:val="en-US" w:eastAsia="zh-CN"/>
              </w:rPr>
              <w:t>0</w:t>
            </w:r>
          </w:p>
        </w:tc>
        <w:tc>
          <w:tcPr>
            <w:tcW w:w="1761" w:type="dxa"/>
            <w:vAlign w:val="center"/>
          </w:tcPr>
          <w:p w14:paraId="656286D1">
            <w:pPr>
              <w:pStyle w:val="53"/>
              <w:adjustRightInd/>
              <w:snapToGrid/>
              <w:spacing w:beforeLines="0" w:afterLines="0" w:line="240" w:lineRule="auto"/>
              <w:ind w:left="376" w:leftChars="0" w:right="0" w:rightChars="0" w:hanging="376" w:hangingChars="200"/>
              <w:jc w:val="center"/>
              <w:rPr>
                <w:rFonts w:hint="eastAsia"/>
                <w:snapToGrid w:val="0"/>
                <w:color w:val="auto"/>
                <w:kern w:val="21"/>
                <w:sz w:val="20"/>
                <w:szCs w:val="20"/>
                <w:highlight w:val="none"/>
                <w:lang w:val="en-US" w:eastAsia="zh-CN"/>
              </w:rPr>
            </w:pPr>
            <w:r>
              <w:rPr>
                <w:rFonts w:hint="eastAsia" w:ascii="Times New Roman" w:eastAsia="宋体" w:cs="Times New Roman"/>
                <w:snapToGrid w:val="0"/>
                <w:color w:val="auto"/>
                <w:spacing w:val="-6"/>
                <w:kern w:val="21"/>
                <w:sz w:val="20"/>
                <w:szCs w:val="20"/>
                <w:highlight w:val="none"/>
                <w:lang w:val="en-US" w:eastAsia="zh-CN"/>
              </w:rPr>
              <w:t>0</w:t>
            </w:r>
          </w:p>
        </w:tc>
        <w:tc>
          <w:tcPr>
            <w:tcW w:w="1959" w:type="dxa"/>
            <w:vAlign w:val="center"/>
          </w:tcPr>
          <w:p w14:paraId="4918D4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snapToGrid w:val="0"/>
                <w:color w:val="auto"/>
                <w:kern w:val="21"/>
                <w:sz w:val="20"/>
                <w:szCs w:val="20"/>
                <w:highlight w:val="none"/>
                <w:lang w:val="en-US" w:eastAsia="zh-CN"/>
              </w:rPr>
            </w:pPr>
            <w:r>
              <w:rPr>
                <w:rFonts w:hint="eastAsia"/>
                <w:color w:val="auto"/>
                <w:sz w:val="20"/>
                <w:szCs w:val="20"/>
                <w:highlight w:val="none"/>
                <w:u w:val="none"/>
                <w:vertAlign w:val="baseline"/>
                <w:lang w:val="en-US" w:eastAsia="zh-CN"/>
              </w:rPr>
              <w:t>0</w:t>
            </w:r>
          </w:p>
        </w:tc>
        <w:tc>
          <w:tcPr>
            <w:tcW w:w="1089" w:type="dxa"/>
            <w:vAlign w:val="center"/>
          </w:tcPr>
          <w:p w14:paraId="42DC4B9A">
            <w:pPr>
              <w:jc w:val="center"/>
              <w:textAlignment w:val="baseline"/>
              <w:rPr>
                <w:rFonts w:hint="eastAsia"/>
                <w:snapToGrid w:val="0"/>
                <w:color w:val="auto"/>
                <w:kern w:val="21"/>
                <w:sz w:val="20"/>
                <w:szCs w:val="20"/>
                <w:highlight w:val="none"/>
                <w:lang w:val="en-US" w:eastAsia="zh-CN"/>
              </w:rPr>
            </w:pPr>
            <w:r>
              <w:rPr>
                <w:rFonts w:hint="eastAsia"/>
                <w:snapToGrid w:val="0"/>
                <w:color w:val="auto"/>
                <w:kern w:val="21"/>
                <w:sz w:val="20"/>
                <w:szCs w:val="20"/>
                <w:highlight w:val="none"/>
                <w:lang w:val="en-US" w:eastAsia="zh-CN"/>
              </w:rPr>
              <w:t>0</w:t>
            </w:r>
          </w:p>
        </w:tc>
      </w:tr>
      <w:tr w14:paraId="51737A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77E6B03E">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944" w:type="dxa"/>
            <w:vMerge w:val="restart"/>
            <w:vAlign w:val="center"/>
          </w:tcPr>
          <w:p w14:paraId="37AB6CBB">
            <w:pPr>
              <w:widowControl/>
              <w:jc w:val="center"/>
              <w:textAlignment w:val="center"/>
              <w:rPr>
                <w:rFonts w:hint="eastAsia" w:eastAsia="宋体"/>
                <w:color w:val="auto"/>
                <w:sz w:val="18"/>
                <w:szCs w:val="18"/>
                <w:highlight w:val="none"/>
                <w:u w:val="none"/>
                <w:vertAlign w:val="baseline"/>
                <w:lang w:val="en-US" w:eastAsia="zh-CN"/>
              </w:rPr>
            </w:pPr>
            <w:r>
              <w:rPr>
                <w:rFonts w:hint="eastAsia" w:eastAsia="宋体"/>
                <w:color w:val="auto"/>
                <w:sz w:val="18"/>
                <w:szCs w:val="18"/>
                <w:highlight w:val="none"/>
                <w:u w:val="none"/>
                <w:vertAlign w:val="baseline"/>
                <w:lang w:val="en-US" w:eastAsia="zh-CN"/>
              </w:rPr>
              <w:t>生活污水</w:t>
            </w:r>
            <w:r>
              <w:rPr>
                <w:rFonts w:hint="eastAsia" w:ascii="Times New Roman" w:hAnsi="Times New Roman" w:eastAsia="Times New Roman" w:cs="Times New Roman"/>
                <w:color w:val="auto"/>
                <w:spacing w:val="3"/>
                <w:position w:val="-1"/>
                <w:sz w:val="18"/>
                <w:szCs w:val="18"/>
                <w:highlight w:val="none"/>
                <w:vertAlign w:val="baseline"/>
              </w:rPr>
              <w:t>（t/a）</w:t>
            </w:r>
          </w:p>
        </w:tc>
        <w:tc>
          <w:tcPr>
            <w:tcW w:w="902" w:type="dxa"/>
            <w:shd w:val="clear" w:color="auto" w:fill="auto"/>
            <w:vAlign w:val="center"/>
          </w:tcPr>
          <w:p w14:paraId="6C46D49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eastAsia="宋体"/>
                <w:color w:val="auto"/>
                <w:sz w:val="18"/>
                <w:szCs w:val="18"/>
                <w:highlight w:val="none"/>
                <w:u w:val="none"/>
                <w:vertAlign w:val="baseline"/>
                <w:lang w:val="en-US" w:eastAsia="zh-CN"/>
              </w:rPr>
              <w:t>废水量</w:t>
            </w:r>
          </w:p>
        </w:tc>
        <w:tc>
          <w:tcPr>
            <w:tcW w:w="1701" w:type="dxa"/>
            <w:shd w:val="clear" w:color="auto" w:fill="auto"/>
            <w:vAlign w:val="center"/>
          </w:tcPr>
          <w:p w14:paraId="06D81AB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spacing w:val="-6"/>
                <w:kern w:val="21"/>
                <w:sz w:val="20"/>
                <w:szCs w:val="20"/>
                <w:highlight w:val="none"/>
                <w:lang w:val="en-US" w:eastAsia="zh-CN"/>
              </w:rPr>
            </w:pPr>
            <w:r>
              <w:rPr>
                <w:rFonts w:hint="eastAsia"/>
                <w:color w:val="auto"/>
                <w:sz w:val="20"/>
                <w:szCs w:val="20"/>
                <w:u w:val="none"/>
                <w:vertAlign w:val="baseline"/>
                <w:lang w:val="en-US" w:eastAsia="zh-CN"/>
              </w:rPr>
              <w:t>108</w:t>
            </w:r>
          </w:p>
        </w:tc>
        <w:tc>
          <w:tcPr>
            <w:tcW w:w="1276" w:type="dxa"/>
            <w:shd w:val="clear" w:color="auto" w:fill="auto"/>
            <w:vAlign w:val="center"/>
          </w:tcPr>
          <w:p w14:paraId="08BB4C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18"/>
                <w:szCs w:val="18"/>
                <w:highlight w:val="none"/>
                <w:u w:val="none"/>
                <w:vertAlign w:val="baseline"/>
                <w:lang w:val="en-US" w:eastAsia="zh-CN" w:bidi="ar-SA"/>
              </w:rPr>
            </w:pPr>
            <w:r>
              <w:rPr>
                <w:rFonts w:hint="default" w:ascii="Times New Roman" w:hAnsi="Times New Roman" w:eastAsia="宋体" w:cs="Times New Roman"/>
                <w:color w:val="auto"/>
                <w:kern w:val="2"/>
                <w:sz w:val="18"/>
                <w:szCs w:val="18"/>
                <w:highlight w:val="none"/>
                <w:u w:val="none"/>
                <w:vertAlign w:val="baseline"/>
                <w:lang w:val="en-US" w:eastAsia="zh-CN" w:bidi="ar-SA"/>
              </w:rPr>
              <w:t>/</w:t>
            </w:r>
          </w:p>
        </w:tc>
        <w:tc>
          <w:tcPr>
            <w:tcW w:w="1701" w:type="dxa"/>
            <w:shd w:val="clear" w:color="auto" w:fill="auto"/>
            <w:vAlign w:val="center"/>
          </w:tcPr>
          <w:p w14:paraId="67A075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18"/>
                <w:szCs w:val="18"/>
                <w:highlight w:val="none"/>
                <w:u w:val="none"/>
                <w:vertAlign w:val="baseline"/>
                <w:lang w:val="en-US" w:eastAsia="zh-CN" w:bidi="ar-SA"/>
              </w:rPr>
            </w:pPr>
            <w:r>
              <w:rPr>
                <w:rFonts w:hint="default" w:ascii="Times New Roman" w:hAnsi="Times New Roman" w:eastAsia="宋体" w:cs="Times New Roman"/>
                <w:color w:val="auto"/>
                <w:kern w:val="2"/>
                <w:sz w:val="18"/>
                <w:szCs w:val="18"/>
                <w:highlight w:val="none"/>
                <w:u w:val="none"/>
                <w:vertAlign w:val="baseline"/>
                <w:lang w:val="en-US" w:eastAsia="zh-CN" w:bidi="ar-SA"/>
              </w:rPr>
              <w:t>/</w:t>
            </w:r>
          </w:p>
        </w:tc>
        <w:tc>
          <w:tcPr>
            <w:tcW w:w="1559" w:type="dxa"/>
            <w:shd w:val="clear" w:color="auto" w:fill="auto"/>
            <w:vAlign w:val="center"/>
          </w:tcPr>
          <w:p w14:paraId="36BF3E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ascii="Times New Roman" w:hAnsi="Times New Roman" w:eastAsia="宋体" w:cs="Times New Roman"/>
                <w:color w:val="auto"/>
                <w:kern w:val="2"/>
                <w:sz w:val="18"/>
                <w:szCs w:val="18"/>
                <w:highlight w:val="none"/>
                <w:u w:val="none"/>
                <w:vertAlign w:val="baseline"/>
                <w:lang w:val="en-US" w:eastAsia="zh-CN" w:bidi="ar-SA"/>
              </w:rPr>
              <w:t>0</w:t>
            </w:r>
          </w:p>
        </w:tc>
        <w:tc>
          <w:tcPr>
            <w:tcW w:w="1761" w:type="dxa"/>
            <w:shd w:val="clear" w:color="auto" w:fill="auto"/>
            <w:vAlign w:val="center"/>
          </w:tcPr>
          <w:p w14:paraId="202D6C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ascii="Times New Roman" w:hAnsi="Times New Roman" w:eastAsia="宋体" w:cs="Times New Roman"/>
                <w:color w:val="auto"/>
                <w:kern w:val="2"/>
                <w:sz w:val="18"/>
                <w:szCs w:val="18"/>
                <w:highlight w:val="none"/>
                <w:u w:val="none"/>
                <w:vertAlign w:val="baseline"/>
                <w:lang w:val="en-US" w:eastAsia="zh-CN" w:bidi="ar-SA"/>
              </w:rPr>
              <w:t>0</w:t>
            </w:r>
          </w:p>
        </w:tc>
        <w:tc>
          <w:tcPr>
            <w:tcW w:w="1959" w:type="dxa"/>
            <w:shd w:val="clear" w:color="auto" w:fill="auto"/>
            <w:vAlign w:val="center"/>
          </w:tcPr>
          <w:p w14:paraId="4E06BD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0"/>
                <w:szCs w:val="20"/>
                <w:highlight w:val="none"/>
                <w:u w:val="none"/>
                <w:vertAlign w:val="baseline"/>
                <w:lang w:val="en-US" w:eastAsia="zh-CN" w:bidi="ar-SA"/>
              </w:rPr>
            </w:pPr>
            <w:r>
              <w:rPr>
                <w:rFonts w:hint="eastAsia"/>
                <w:color w:val="auto"/>
                <w:sz w:val="20"/>
                <w:szCs w:val="20"/>
                <w:u w:val="none"/>
                <w:vertAlign w:val="baseline"/>
                <w:lang w:val="en-US" w:eastAsia="zh-CN"/>
              </w:rPr>
              <w:t>108</w:t>
            </w:r>
          </w:p>
        </w:tc>
        <w:tc>
          <w:tcPr>
            <w:tcW w:w="1089" w:type="dxa"/>
            <w:shd w:val="clear" w:color="auto" w:fill="auto"/>
            <w:vAlign w:val="center"/>
          </w:tcPr>
          <w:p w14:paraId="7B095F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kern w:val="21"/>
                <w:sz w:val="18"/>
                <w:szCs w:val="18"/>
                <w:highlight w:val="none"/>
                <w:lang w:val="en-US" w:eastAsia="zh-CN" w:bidi="ar-SA"/>
              </w:rPr>
            </w:pPr>
            <w:r>
              <w:rPr>
                <w:rFonts w:hint="eastAsia"/>
                <w:color w:val="auto"/>
                <w:sz w:val="18"/>
                <w:szCs w:val="18"/>
                <w:highlight w:val="none"/>
                <w:u w:val="none"/>
                <w:vertAlign w:val="baseline"/>
                <w:lang w:val="en-US" w:eastAsia="zh-CN"/>
              </w:rPr>
              <w:t>0</w:t>
            </w:r>
          </w:p>
        </w:tc>
      </w:tr>
      <w:tr w14:paraId="57298A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5E886330">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944" w:type="dxa"/>
            <w:vMerge w:val="continue"/>
            <w:vAlign w:val="center"/>
          </w:tcPr>
          <w:p w14:paraId="6AD18255">
            <w:pPr>
              <w:widowControl/>
              <w:jc w:val="center"/>
              <w:textAlignment w:val="center"/>
              <w:rPr>
                <w:rFonts w:hint="eastAsia" w:eastAsia="宋体"/>
                <w:color w:val="auto"/>
                <w:sz w:val="18"/>
                <w:szCs w:val="18"/>
                <w:highlight w:val="none"/>
                <w:u w:val="none"/>
                <w:vertAlign w:val="baseline"/>
                <w:lang w:val="en-US" w:eastAsia="zh-CN"/>
              </w:rPr>
            </w:pPr>
          </w:p>
        </w:tc>
        <w:tc>
          <w:tcPr>
            <w:tcW w:w="902" w:type="dxa"/>
            <w:shd w:val="clear" w:color="auto" w:fill="auto"/>
            <w:vAlign w:val="center"/>
          </w:tcPr>
          <w:p w14:paraId="52D8D5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eastAsia="宋体"/>
                <w:color w:val="auto"/>
                <w:sz w:val="18"/>
                <w:szCs w:val="18"/>
                <w:highlight w:val="none"/>
                <w:u w:val="none"/>
                <w:vertAlign w:val="baseline"/>
                <w:lang w:val="en-US" w:eastAsia="zh-CN"/>
              </w:rPr>
              <w:t>COD</w:t>
            </w:r>
          </w:p>
        </w:tc>
        <w:tc>
          <w:tcPr>
            <w:tcW w:w="1701" w:type="dxa"/>
            <w:shd w:val="clear" w:color="auto" w:fill="auto"/>
            <w:vAlign w:val="center"/>
          </w:tcPr>
          <w:p w14:paraId="0C09398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spacing w:val="-6"/>
                <w:kern w:val="21"/>
                <w:sz w:val="20"/>
                <w:szCs w:val="20"/>
                <w:highlight w:val="none"/>
                <w:lang w:val="en-US" w:eastAsia="zh-CN"/>
              </w:rPr>
            </w:pPr>
            <w:r>
              <w:rPr>
                <w:rFonts w:hint="eastAsia"/>
                <w:color w:val="auto"/>
                <w:sz w:val="20"/>
                <w:szCs w:val="20"/>
                <w:u w:val="none"/>
                <w:vertAlign w:val="baseline"/>
                <w:lang w:val="en-US" w:eastAsia="zh-CN"/>
              </w:rPr>
              <w:t>0.024</w:t>
            </w:r>
          </w:p>
        </w:tc>
        <w:tc>
          <w:tcPr>
            <w:tcW w:w="1276" w:type="dxa"/>
            <w:shd w:val="clear" w:color="auto" w:fill="auto"/>
            <w:vAlign w:val="center"/>
          </w:tcPr>
          <w:p w14:paraId="1CF1ECA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18"/>
                <w:szCs w:val="18"/>
                <w:highlight w:val="none"/>
                <w:u w:val="none"/>
                <w:vertAlign w:val="baseline"/>
                <w:lang w:val="en-US" w:eastAsia="zh-CN" w:bidi="ar-SA"/>
              </w:rPr>
            </w:pPr>
            <w:r>
              <w:rPr>
                <w:rFonts w:hint="default" w:ascii="Times New Roman" w:hAnsi="Times New Roman" w:eastAsia="宋体" w:cs="Times New Roman"/>
                <w:color w:val="auto"/>
                <w:kern w:val="2"/>
                <w:sz w:val="18"/>
                <w:szCs w:val="18"/>
                <w:highlight w:val="none"/>
                <w:u w:val="none"/>
                <w:vertAlign w:val="baseline"/>
                <w:lang w:val="en-US" w:eastAsia="zh-CN" w:bidi="ar-SA"/>
              </w:rPr>
              <w:t>/</w:t>
            </w:r>
          </w:p>
        </w:tc>
        <w:tc>
          <w:tcPr>
            <w:tcW w:w="1701" w:type="dxa"/>
            <w:shd w:val="clear" w:color="auto" w:fill="auto"/>
            <w:vAlign w:val="center"/>
          </w:tcPr>
          <w:p w14:paraId="7924898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18"/>
                <w:szCs w:val="18"/>
                <w:highlight w:val="none"/>
                <w:u w:val="none"/>
                <w:vertAlign w:val="baseline"/>
                <w:lang w:val="en-US" w:eastAsia="zh-CN" w:bidi="ar-SA"/>
              </w:rPr>
            </w:pPr>
            <w:r>
              <w:rPr>
                <w:rFonts w:hint="default" w:ascii="Times New Roman" w:hAnsi="Times New Roman" w:eastAsia="宋体" w:cs="Times New Roman"/>
                <w:color w:val="auto"/>
                <w:kern w:val="2"/>
                <w:sz w:val="18"/>
                <w:szCs w:val="18"/>
                <w:highlight w:val="none"/>
                <w:u w:val="none"/>
                <w:vertAlign w:val="baseline"/>
                <w:lang w:val="en-US" w:eastAsia="zh-CN" w:bidi="ar-SA"/>
              </w:rPr>
              <w:t>/</w:t>
            </w:r>
          </w:p>
        </w:tc>
        <w:tc>
          <w:tcPr>
            <w:tcW w:w="1559" w:type="dxa"/>
            <w:shd w:val="clear" w:color="auto" w:fill="auto"/>
            <w:vAlign w:val="center"/>
          </w:tcPr>
          <w:p w14:paraId="07BA09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ascii="Times New Roman" w:hAnsi="Times New Roman" w:eastAsia="宋体" w:cs="Times New Roman"/>
                <w:color w:val="auto"/>
                <w:kern w:val="2"/>
                <w:sz w:val="18"/>
                <w:szCs w:val="18"/>
                <w:highlight w:val="none"/>
                <w:u w:val="none"/>
                <w:vertAlign w:val="baseline"/>
                <w:lang w:val="en-US" w:eastAsia="zh-CN" w:bidi="ar-SA"/>
              </w:rPr>
              <w:t>0</w:t>
            </w:r>
          </w:p>
        </w:tc>
        <w:tc>
          <w:tcPr>
            <w:tcW w:w="1761" w:type="dxa"/>
            <w:shd w:val="clear" w:color="auto" w:fill="auto"/>
            <w:vAlign w:val="center"/>
          </w:tcPr>
          <w:p w14:paraId="71BA5FD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ascii="Times New Roman" w:hAnsi="Times New Roman" w:eastAsia="宋体" w:cs="Times New Roman"/>
                <w:color w:val="auto"/>
                <w:kern w:val="2"/>
                <w:sz w:val="18"/>
                <w:szCs w:val="18"/>
                <w:highlight w:val="none"/>
                <w:u w:val="none"/>
                <w:vertAlign w:val="baseline"/>
                <w:lang w:val="en-US" w:eastAsia="zh-CN" w:bidi="ar-SA"/>
              </w:rPr>
              <w:t>0</w:t>
            </w:r>
          </w:p>
        </w:tc>
        <w:tc>
          <w:tcPr>
            <w:tcW w:w="1959" w:type="dxa"/>
            <w:shd w:val="clear" w:color="auto" w:fill="auto"/>
            <w:vAlign w:val="center"/>
          </w:tcPr>
          <w:p w14:paraId="11A7EA9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0"/>
                <w:szCs w:val="20"/>
                <w:highlight w:val="none"/>
                <w:u w:val="none"/>
                <w:vertAlign w:val="baseline"/>
                <w:lang w:val="en-US" w:eastAsia="zh-CN" w:bidi="ar-SA"/>
              </w:rPr>
            </w:pPr>
            <w:r>
              <w:rPr>
                <w:rFonts w:hint="eastAsia"/>
                <w:color w:val="auto"/>
                <w:sz w:val="20"/>
                <w:szCs w:val="20"/>
                <w:u w:val="none"/>
                <w:vertAlign w:val="baseline"/>
                <w:lang w:val="en-US" w:eastAsia="zh-CN"/>
              </w:rPr>
              <w:t>0.024</w:t>
            </w:r>
          </w:p>
        </w:tc>
        <w:tc>
          <w:tcPr>
            <w:tcW w:w="1089" w:type="dxa"/>
            <w:shd w:val="clear" w:color="auto" w:fill="auto"/>
            <w:vAlign w:val="center"/>
          </w:tcPr>
          <w:p w14:paraId="3D662D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lang w:val="en-US" w:eastAsia="zh-CN" w:bidi="ar-SA"/>
              </w:rPr>
            </w:pPr>
            <w:r>
              <w:rPr>
                <w:rFonts w:hint="eastAsia"/>
                <w:color w:val="auto"/>
                <w:sz w:val="18"/>
                <w:szCs w:val="18"/>
                <w:highlight w:val="none"/>
                <w:u w:val="none"/>
                <w:vertAlign w:val="baseline"/>
                <w:lang w:val="en-US" w:eastAsia="zh-CN"/>
              </w:rPr>
              <w:t>0</w:t>
            </w:r>
          </w:p>
        </w:tc>
      </w:tr>
      <w:tr w14:paraId="3C85A2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Merge w:val="continue"/>
            <w:vAlign w:val="center"/>
          </w:tcPr>
          <w:p w14:paraId="1F6E05CA">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944" w:type="dxa"/>
            <w:vMerge w:val="continue"/>
            <w:vAlign w:val="center"/>
          </w:tcPr>
          <w:p w14:paraId="0DA3B0D6">
            <w:pPr>
              <w:widowControl/>
              <w:jc w:val="center"/>
              <w:textAlignment w:val="center"/>
              <w:rPr>
                <w:rFonts w:hint="eastAsia" w:eastAsia="宋体"/>
                <w:color w:val="auto"/>
                <w:sz w:val="18"/>
                <w:szCs w:val="18"/>
                <w:highlight w:val="none"/>
                <w:u w:val="none"/>
                <w:vertAlign w:val="baseline"/>
                <w:lang w:val="en-US" w:eastAsia="zh-CN"/>
              </w:rPr>
            </w:pPr>
          </w:p>
        </w:tc>
        <w:tc>
          <w:tcPr>
            <w:tcW w:w="902" w:type="dxa"/>
            <w:shd w:val="clear" w:color="auto" w:fill="auto"/>
            <w:vAlign w:val="center"/>
          </w:tcPr>
          <w:p w14:paraId="703547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eastAsia="宋体"/>
                <w:color w:val="auto"/>
                <w:sz w:val="18"/>
                <w:szCs w:val="18"/>
                <w:highlight w:val="none"/>
                <w:u w:val="none"/>
                <w:vertAlign w:val="baseline"/>
                <w:lang w:val="en-US" w:eastAsia="zh-CN"/>
              </w:rPr>
              <w:t>NH</w:t>
            </w:r>
            <w:r>
              <w:rPr>
                <w:rFonts w:hint="eastAsia" w:eastAsia="宋体"/>
                <w:color w:val="auto"/>
                <w:sz w:val="18"/>
                <w:szCs w:val="18"/>
                <w:highlight w:val="none"/>
                <w:u w:val="none"/>
                <w:vertAlign w:val="subscript"/>
                <w:lang w:val="en-US" w:eastAsia="zh-CN"/>
              </w:rPr>
              <w:t>3</w:t>
            </w:r>
            <w:r>
              <w:rPr>
                <w:rFonts w:hint="eastAsia" w:eastAsia="宋体"/>
                <w:color w:val="auto"/>
                <w:sz w:val="18"/>
                <w:szCs w:val="18"/>
                <w:highlight w:val="none"/>
                <w:u w:val="none"/>
                <w:vertAlign w:val="baseline"/>
                <w:lang w:val="en-US" w:eastAsia="zh-CN"/>
              </w:rPr>
              <w:t>-N</w:t>
            </w:r>
          </w:p>
        </w:tc>
        <w:tc>
          <w:tcPr>
            <w:tcW w:w="1701" w:type="dxa"/>
            <w:shd w:val="clear" w:color="auto" w:fill="auto"/>
            <w:vAlign w:val="center"/>
          </w:tcPr>
          <w:p w14:paraId="72BB238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snapToGrid w:val="0"/>
                <w:color w:val="auto"/>
                <w:spacing w:val="-6"/>
                <w:kern w:val="21"/>
                <w:sz w:val="20"/>
                <w:szCs w:val="20"/>
                <w:highlight w:val="none"/>
                <w:lang w:val="en-US" w:eastAsia="zh-CN"/>
              </w:rPr>
            </w:pPr>
            <w:r>
              <w:rPr>
                <w:rFonts w:hint="eastAsia"/>
                <w:color w:val="auto"/>
                <w:sz w:val="20"/>
                <w:szCs w:val="20"/>
                <w:u w:val="none"/>
                <w:vertAlign w:val="baseline"/>
                <w:lang w:val="en-US" w:eastAsia="zh-CN"/>
              </w:rPr>
              <w:t>0.002</w:t>
            </w:r>
          </w:p>
        </w:tc>
        <w:tc>
          <w:tcPr>
            <w:tcW w:w="1276" w:type="dxa"/>
            <w:shd w:val="clear" w:color="auto" w:fill="auto"/>
            <w:vAlign w:val="center"/>
          </w:tcPr>
          <w:p w14:paraId="404B9FB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18"/>
                <w:szCs w:val="18"/>
                <w:highlight w:val="none"/>
                <w:u w:val="none"/>
                <w:vertAlign w:val="baseline"/>
                <w:lang w:val="en-US" w:eastAsia="zh-CN" w:bidi="ar-SA"/>
              </w:rPr>
            </w:pPr>
            <w:r>
              <w:rPr>
                <w:rFonts w:hint="default" w:ascii="Times New Roman" w:hAnsi="Times New Roman" w:eastAsia="宋体" w:cs="Times New Roman"/>
                <w:color w:val="auto"/>
                <w:kern w:val="2"/>
                <w:sz w:val="18"/>
                <w:szCs w:val="18"/>
                <w:highlight w:val="none"/>
                <w:u w:val="none"/>
                <w:vertAlign w:val="baseline"/>
                <w:lang w:val="en-US" w:eastAsia="zh-CN" w:bidi="ar-SA"/>
              </w:rPr>
              <w:t>/</w:t>
            </w:r>
          </w:p>
        </w:tc>
        <w:tc>
          <w:tcPr>
            <w:tcW w:w="1701" w:type="dxa"/>
            <w:shd w:val="clear" w:color="auto" w:fill="auto"/>
            <w:vAlign w:val="center"/>
          </w:tcPr>
          <w:p w14:paraId="30FA587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18"/>
                <w:szCs w:val="18"/>
                <w:highlight w:val="none"/>
                <w:u w:val="none"/>
                <w:vertAlign w:val="baseline"/>
                <w:lang w:val="en-US" w:eastAsia="zh-CN" w:bidi="ar-SA"/>
              </w:rPr>
            </w:pPr>
            <w:r>
              <w:rPr>
                <w:rFonts w:hint="default" w:ascii="Times New Roman" w:hAnsi="Times New Roman" w:eastAsia="宋体" w:cs="Times New Roman"/>
                <w:color w:val="auto"/>
                <w:kern w:val="2"/>
                <w:sz w:val="18"/>
                <w:szCs w:val="18"/>
                <w:highlight w:val="none"/>
                <w:u w:val="none"/>
                <w:vertAlign w:val="baseline"/>
                <w:lang w:val="en-US" w:eastAsia="zh-CN" w:bidi="ar-SA"/>
              </w:rPr>
              <w:t>/</w:t>
            </w:r>
          </w:p>
        </w:tc>
        <w:tc>
          <w:tcPr>
            <w:tcW w:w="1559" w:type="dxa"/>
            <w:shd w:val="clear" w:color="auto" w:fill="auto"/>
            <w:vAlign w:val="center"/>
          </w:tcPr>
          <w:p w14:paraId="186B527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ascii="Times New Roman" w:hAnsi="Times New Roman" w:eastAsia="宋体" w:cs="Times New Roman"/>
                <w:color w:val="auto"/>
                <w:kern w:val="2"/>
                <w:sz w:val="18"/>
                <w:szCs w:val="18"/>
                <w:highlight w:val="none"/>
                <w:u w:val="none"/>
                <w:vertAlign w:val="baseline"/>
                <w:lang w:val="en-US" w:eastAsia="zh-CN" w:bidi="ar-SA"/>
              </w:rPr>
              <w:t>0</w:t>
            </w:r>
          </w:p>
        </w:tc>
        <w:tc>
          <w:tcPr>
            <w:tcW w:w="1761" w:type="dxa"/>
            <w:shd w:val="clear" w:color="auto" w:fill="auto"/>
            <w:vAlign w:val="center"/>
          </w:tcPr>
          <w:p w14:paraId="0CA5F0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18"/>
                <w:szCs w:val="18"/>
                <w:highlight w:val="none"/>
                <w:u w:val="none"/>
                <w:vertAlign w:val="baseline"/>
                <w:lang w:val="en-US" w:eastAsia="zh-CN" w:bidi="ar-SA"/>
              </w:rPr>
            </w:pPr>
            <w:r>
              <w:rPr>
                <w:rFonts w:hint="eastAsia" w:ascii="Times New Roman" w:hAnsi="Times New Roman" w:eastAsia="宋体" w:cs="Times New Roman"/>
                <w:color w:val="auto"/>
                <w:kern w:val="2"/>
                <w:sz w:val="18"/>
                <w:szCs w:val="18"/>
                <w:highlight w:val="none"/>
                <w:u w:val="none"/>
                <w:vertAlign w:val="baseline"/>
                <w:lang w:val="en-US" w:eastAsia="zh-CN" w:bidi="ar-SA"/>
              </w:rPr>
              <w:t>0</w:t>
            </w:r>
          </w:p>
        </w:tc>
        <w:tc>
          <w:tcPr>
            <w:tcW w:w="1959" w:type="dxa"/>
            <w:shd w:val="clear" w:color="auto" w:fill="auto"/>
            <w:vAlign w:val="center"/>
          </w:tcPr>
          <w:p w14:paraId="79ACCE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0"/>
                <w:szCs w:val="20"/>
                <w:highlight w:val="none"/>
                <w:u w:val="none"/>
                <w:vertAlign w:val="baseline"/>
                <w:lang w:val="en-US" w:eastAsia="zh-CN" w:bidi="ar-SA"/>
              </w:rPr>
            </w:pPr>
            <w:r>
              <w:rPr>
                <w:rFonts w:hint="eastAsia"/>
                <w:color w:val="auto"/>
                <w:sz w:val="20"/>
                <w:szCs w:val="20"/>
                <w:u w:val="none"/>
                <w:vertAlign w:val="baseline"/>
                <w:lang w:val="en-US" w:eastAsia="zh-CN"/>
              </w:rPr>
              <w:t>0.002</w:t>
            </w:r>
          </w:p>
        </w:tc>
        <w:tc>
          <w:tcPr>
            <w:tcW w:w="1089" w:type="dxa"/>
            <w:shd w:val="clear" w:color="auto" w:fill="auto"/>
            <w:vAlign w:val="center"/>
          </w:tcPr>
          <w:p w14:paraId="05D4C39D">
            <w:pPr>
              <w:widowControl/>
              <w:adjustRightInd w:val="0"/>
              <w:snapToGrid w:val="0"/>
              <w:jc w:val="center"/>
              <w:textAlignment w:val="center"/>
              <w:rPr>
                <w:rFonts w:hint="eastAsia" w:ascii="Times New Roman" w:hAnsi="Times New Roman" w:eastAsia="宋体" w:cs="Times New Roman"/>
                <w:snapToGrid w:val="0"/>
                <w:color w:val="auto"/>
                <w:kern w:val="21"/>
                <w:sz w:val="18"/>
                <w:szCs w:val="18"/>
                <w:highlight w:val="none"/>
                <w:lang w:val="en-US" w:eastAsia="zh-CN" w:bidi="ar-SA"/>
              </w:rPr>
            </w:pPr>
            <w:r>
              <w:rPr>
                <w:rFonts w:hint="eastAsia"/>
                <w:color w:val="auto"/>
                <w:sz w:val="18"/>
                <w:szCs w:val="18"/>
                <w:highlight w:val="none"/>
                <w:lang w:val="en-US" w:eastAsia="zh-CN"/>
              </w:rPr>
              <w:t>0</w:t>
            </w:r>
          </w:p>
        </w:tc>
      </w:tr>
      <w:tr w14:paraId="69F5D7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159" w:type="dxa"/>
            <w:vMerge w:val="restart"/>
            <w:vAlign w:val="center"/>
          </w:tcPr>
          <w:p w14:paraId="58FA5597">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r>
              <w:rPr>
                <w:rFonts w:ascii="Times New Roman" w:eastAsia="宋体"/>
                <w:snapToGrid w:val="0"/>
                <w:color w:val="auto"/>
                <w:kern w:val="21"/>
                <w:sz w:val="18"/>
                <w:szCs w:val="18"/>
                <w:highlight w:val="none"/>
              </w:rPr>
              <w:t>一般工业</w:t>
            </w:r>
          </w:p>
          <w:p w14:paraId="07904050">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r>
              <w:rPr>
                <w:rFonts w:ascii="Times New Roman" w:eastAsia="宋体"/>
                <w:snapToGrid w:val="0"/>
                <w:color w:val="auto"/>
                <w:kern w:val="21"/>
                <w:sz w:val="18"/>
                <w:szCs w:val="18"/>
                <w:highlight w:val="none"/>
              </w:rPr>
              <w:t>固体废物</w:t>
            </w:r>
          </w:p>
        </w:tc>
        <w:tc>
          <w:tcPr>
            <w:tcW w:w="1846" w:type="dxa"/>
            <w:gridSpan w:val="2"/>
            <w:vAlign w:val="center"/>
          </w:tcPr>
          <w:p w14:paraId="60D464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fr-FR" w:eastAsia="zh-CN"/>
              </w:rPr>
            </w:pPr>
            <w:r>
              <w:rPr>
                <w:rFonts w:hint="eastAsia" w:ascii="Times New Roman" w:hAnsi="Times New Roman" w:eastAsia="宋体" w:cs="Times New Roman"/>
                <w:color w:val="auto"/>
                <w:sz w:val="20"/>
                <w:szCs w:val="20"/>
                <w:u w:val="none"/>
                <w:vertAlign w:val="baseline"/>
                <w:lang w:val="en-US" w:eastAsia="zh-CN"/>
              </w:rPr>
              <w:t>不合格油茶饼（t/a）</w:t>
            </w:r>
          </w:p>
        </w:tc>
        <w:tc>
          <w:tcPr>
            <w:tcW w:w="1701" w:type="dxa"/>
            <w:vAlign w:val="center"/>
          </w:tcPr>
          <w:p w14:paraId="1CED60F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1</w:t>
            </w:r>
          </w:p>
        </w:tc>
        <w:tc>
          <w:tcPr>
            <w:tcW w:w="1276" w:type="dxa"/>
            <w:shd w:val="clear" w:color="auto" w:fill="auto"/>
            <w:vAlign w:val="center"/>
          </w:tcPr>
          <w:p w14:paraId="19B41F4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701" w:type="dxa"/>
            <w:shd w:val="clear" w:color="auto" w:fill="auto"/>
            <w:vAlign w:val="center"/>
          </w:tcPr>
          <w:p w14:paraId="36862B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559" w:type="dxa"/>
            <w:shd w:val="clear" w:color="auto" w:fill="auto"/>
            <w:vAlign w:val="center"/>
          </w:tcPr>
          <w:p w14:paraId="2CF4E4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eastAsia" w:ascii="Times New Roman" w:hAnsi="Times New Roman" w:eastAsia="宋体" w:cs="Times New Roman"/>
                <w:color w:val="auto"/>
                <w:kern w:val="2"/>
                <w:sz w:val="20"/>
                <w:szCs w:val="20"/>
                <w:highlight w:val="none"/>
                <w:u w:val="none"/>
                <w:vertAlign w:val="baseline"/>
                <w:lang w:val="en-US" w:eastAsia="zh-CN" w:bidi="ar-SA"/>
              </w:rPr>
              <w:t>0</w:t>
            </w:r>
          </w:p>
        </w:tc>
        <w:tc>
          <w:tcPr>
            <w:tcW w:w="1761" w:type="dxa"/>
            <w:shd w:val="clear" w:color="auto" w:fill="auto"/>
            <w:vAlign w:val="center"/>
          </w:tcPr>
          <w:p w14:paraId="3ABC79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eastAsia" w:ascii="Times New Roman" w:hAnsi="Times New Roman" w:eastAsia="宋体" w:cs="Times New Roman"/>
                <w:color w:val="auto"/>
                <w:kern w:val="2"/>
                <w:sz w:val="20"/>
                <w:szCs w:val="20"/>
                <w:highlight w:val="none"/>
                <w:u w:val="none"/>
                <w:vertAlign w:val="baseline"/>
                <w:lang w:val="en-US" w:eastAsia="zh-CN" w:bidi="ar-SA"/>
              </w:rPr>
              <w:t>0</w:t>
            </w:r>
          </w:p>
        </w:tc>
        <w:tc>
          <w:tcPr>
            <w:tcW w:w="1959" w:type="dxa"/>
            <w:shd w:val="clear" w:color="auto" w:fill="auto"/>
            <w:vAlign w:val="center"/>
          </w:tcPr>
          <w:p w14:paraId="569266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kern w:val="2"/>
                <w:sz w:val="20"/>
                <w:szCs w:val="20"/>
                <w:u w:val="none"/>
                <w:vertAlign w:val="baseline"/>
                <w:lang w:val="en-US" w:eastAsia="zh-CN" w:bidi="ar-SA"/>
              </w:rPr>
            </w:pPr>
            <w:r>
              <w:rPr>
                <w:rFonts w:hint="eastAsia" w:ascii="Times New Roman" w:hAnsi="Times New Roman" w:eastAsia="宋体" w:cs="Times New Roman"/>
                <w:color w:val="auto"/>
                <w:sz w:val="20"/>
                <w:szCs w:val="20"/>
                <w:u w:val="none"/>
                <w:vertAlign w:val="baseline"/>
                <w:lang w:val="en-US" w:eastAsia="zh-CN"/>
              </w:rPr>
              <w:t>1</w:t>
            </w:r>
          </w:p>
        </w:tc>
        <w:tc>
          <w:tcPr>
            <w:tcW w:w="1089" w:type="dxa"/>
            <w:vAlign w:val="center"/>
          </w:tcPr>
          <w:p w14:paraId="017787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w:t>
            </w:r>
          </w:p>
        </w:tc>
      </w:tr>
      <w:tr w14:paraId="15942B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59" w:type="dxa"/>
            <w:vMerge w:val="continue"/>
            <w:vAlign w:val="center"/>
          </w:tcPr>
          <w:p w14:paraId="50CE29E6">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1846" w:type="dxa"/>
            <w:gridSpan w:val="2"/>
            <w:vAlign w:val="center"/>
          </w:tcPr>
          <w:p w14:paraId="3A3BD55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fr-FR" w:eastAsia="zh-CN"/>
              </w:rPr>
            </w:pPr>
            <w:r>
              <w:rPr>
                <w:rFonts w:hint="eastAsia" w:ascii="Times New Roman" w:hAnsi="Times New Roman" w:eastAsia="宋体" w:cs="Times New Roman"/>
                <w:color w:val="auto"/>
                <w:sz w:val="20"/>
                <w:szCs w:val="20"/>
                <w:u w:val="none"/>
                <w:vertAlign w:val="baseline"/>
                <w:lang w:val="en-US" w:eastAsia="zh-CN"/>
              </w:rPr>
              <w:t>生活垃圾（t/a）</w:t>
            </w:r>
          </w:p>
        </w:tc>
        <w:tc>
          <w:tcPr>
            <w:tcW w:w="1701" w:type="dxa"/>
            <w:vAlign w:val="center"/>
          </w:tcPr>
          <w:p w14:paraId="2EF41E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7.5</w:t>
            </w:r>
          </w:p>
        </w:tc>
        <w:tc>
          <w:tcPr>
            <w:tcW w:w="1276" w:type="dxa"/>
            <w:shd w:val="clear" w:color="auto" w:fill="auto"/>
            <w:vAlign w:val="center"/>
          </w:tcPr>
          <w:p w14:paraId="74532E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701" w:type="dxa"/>
            <w:shd w:val="clear" w:color="auto" w:fill="auto"/>
            <w:vAlign w:val="center"/>
          </w:tcPr>
          <w:p w14:paraId="17D2F5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559" w:type="dxa"/>
            <w:shd w:val="clear" w:color="auto" w:fill="auto"/>
            <w:vAlign w:val="center"/>
          </w:tcPr>
          <w:p w14:paraId="564189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eastAsia" w:ascii="Times New Roman" w:hAnsi="Times New Roman" w:eastAsia="宋体" w:cs="Times New Roman"/>
                <w:color w:val="auto"/>
                <w:kern w:val="2"/>
                <w:sz w:val="20"/>
                <w:szCs w:val="20"/>
                <w:highlight w:val="none"/>
                <w:u w:val="none"/>
                <w:vertAlign w:val="baseline"/>
                <w:lang w:val="en-US" w:eastAsia="zh-CN" w:bidi="ar-SA"/>
              </w:rPr>
              <w:t>0</w:t>
            </w:r>
          </w:p>
        </w:tc>
        <w:tc>
          <w:tcPr>
            <w:tcW w:w="1761" w:type="dxa"/>
            <w:shd w:val="clear" w:color="auto" w:fill="auto"/>
            <w:vAlign w:val="center"/>
          </w:tcPr>
          <w:p w14:paraId="099756B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highlight w:val="none"/>
                <w:u w:val="none"/>
                <w:vertAlign w:val="baseline"/>
                <w:lang w:val="en-US" w:eastAsia="zh-CN" w:bidi="ar-SA"/>
              </w:rPr>
            </w:pPr>
            <w:r>
              <w:rPr>
                <w:rFonts w:hint="eastAsia" w:ascii="Times New Roman" w:hAnsi="Times New Roman" w:eastAsia="宋体" w:cs="Times New Roman"/>
                <w:color w:val="auto"/>
                <w:kern w:val="2"/>
                <w:sz w:val="20"/>
                <w:szCs w:val="20"/>
                <w:highlight w:val="none"/>
                <w:u w:val="none"/>
                <w:vertAlign w:val="baseline"/>
                <w:lang w:val="en-US" w:eastAsia="zh-CN" w:bidi="ar-SA"/>
              </w:rPr>
              <w:t>0</w:t>
            </w:r>
          </w:p>
        </w:tc>
        <w:tc>
          <w:tcPr>
            <w:tcW w:w="1959" w:type="dxa"/>
            <w:shd w:val="clear" w:color="auto" w:fill="auto"/>
            <w:vAlign w:val="center"/>
          </w:tcPr>
          <w:p w14:paraId="022B236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kern w:val="2"/>
                <w:sz w:val="20"/>
                <w:szCs w:val="20"/>
                <w:u w:val="none"/>
                <w:vertAlign w:val="baseline"/>
                <w:lang w:val="en-US" w:eastAsia="zh-CN" w:bidi="ar-SA"/>
              </w:rPr>
            </w:pPr>
            <w:r>
              <w:rPr>
                <w:rFonts w:hint="eastAsia" w:ascii="Times New Roman" w:hAnsi="Times New Roman" w:eastAsia="宋体" w:cs="Times New Roman"/>
                <w:color w:val="auto"/>
                <w:sz w:val="20"/>
                <w:szCs w:val="20"/>
                <w:u w:val="none"/>
                <w:vertAlign w:val="baseline"/>
                <w:lang w:val="en-US" w:eastAsia="zh-CN"/>
              </w:rPr>
              <w:t>7.5</w:t>
            </w:r>
          </w:p>
        </w:tc>
        <w:tc>
          <w:tcPr>
            <w:tcW w:w="1089" w:type="dxa"/>
            <w:vAlign w:val="center"/>
          </w:tcPr>
          <w:p w14:paraId="33490AC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w:t>
            </w:r>
          </w:p>
        </w:tc>
      </w:tr>
      <w:tr w14:paraId="100CD8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59" w:type="dxa"/>
            <w:vMerge w:val="continue"/>
            <w:vAlign w:val="center"/>
          </w:tcPr>
          <w:p w14:paraId="36D6A95F">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1846" w:type="dxa"/>
            <w:gridSpan w:val="2"/>
            <w:shd w:val="clear" w:color="auto" w:fill="auto"/>
            <w:vAlign w:val="center"/>
          </w:tcPr>
          <w:p w14:paraId="2882036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锅炉灰渣（t/a）</w:t>
            </w:r>
          </w:p>
        </w:tc>
        <w:tc>
          <w:tcPr>
            <w:tcW w:w="1701" w:type="dxa"/>
            <w:shd w:val="clear" w:color="auto" w:fill="auto"/>
            <w:vAlign w:val="center"/>
          </w:tcPr>
          <w:p w14:paraId="72BA82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lang w:val="en-US" w:eastAsia="zh-CN"/>
              </w:rPr>
              <w:t>3.8</w:t>
            </w:r>
          </w:p>
        </w:tc>
        <w:tc>
          <w:tcPr>
            <w:tcW w:w="1276" w:type="dxa"/>
            <w:shd w:val="clear" w:color="auto" w:fill="auto"/>
            <w:vAlign w:val="center"/>
          </w:tcPr>
          <w:p w14:paraId="2F40D4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701" w:type="dxa"/>
            <w:shd w:val="clear" w:color="auto" w:fill="auto"/>
            <w:vAlign w:val="center"/>
          </w:tcPr>
          <w:p w14:paraId="332CA67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559" w:type="dxa"/>
            <w:shd w:val="clear" w:color="auto" w:fill="auto"/>
            <w:vAlign w:val="center"/>
          </w:tcPr>
          <w:p w14:paraId="68FC2B0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lang w:val="en-US" w:eastAsia="zh-CN"/>
              </w:rPr>
              <w:t>3.8</w:t>
            </w:r>
          </w:p>
        </w:tc>
        <w:tc>
          <w:tcPr>
            <w:tcW w:w="1761" w:type="dxa"/>
            <w:shd w:val="clear" w:color="auto" w:fill="auto"/>
            <w:vAlign w:val="center"/>
          </w:tcPr>
          <w:p w14:paraId="6B8978D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lang w:val="en-US" w:eastAsia="zh-CN"/>
              </w:rPr>
              <w:t>3.8</w:t>
            </w:r>
          </w:p>
        </w:tc>
        <w:tc>
          <w:tcPr>
            <w:tcW w:w="1959" w:type="dxa"/>
            <w:shd w:val="clear" w:color="auto" w:fill="auto"/>
            <w:vAlign w:val="center"/>
          </w:tcPr>
          <w:p w14:paraId="254E18A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lang w:val="en-US" w:eastAsia="zh-CN"/>
              </w:rPr>
              <w:t>3.8</w:t>
            </w:r>
          </w:p>
        </w:tc>
        <w:tc>
          <w:tcPr>
            <w:tcW w:w="1089" w:type="dxa"/>
            <w:shd w:val="clear" w:color="auto" w:fill="auto"/>
            <w:vAlign w:val="center"/>
          </w:tcPr>
          <w:p w14:paraId="7BB3713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w:t>
            </w:r>
          </w:p>
        </w:tc>
      </w:tr>
      <w:tr w14:paraId="6753EC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59" w:type="dxa"/>
            <w:vMerge w:val="continue"/>
            <w:vAlign w:val="center"/>
          </w:tcPr>
          <w:p w14:paraId="6F8A4C98">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1846" w:type="dxa"/>
            <w:gridSpan w:val="2"/>
            <w:shd w:val="clear" w:color="auto" w:fill="auto"/>
            <w:vAlign w:val="center"/>
          </w:tcPr>
          <w:p w14:paraId="4CE7026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水膜除尘收集的除尘灰（t/a）</w:t>
            </w:r>
          </w:p>
        </w:tc>
        <w:tc>
          <w:tcPr>
            <w:tcW w:w="1701" w:type="dxa"/>
            <w:shd w:val="clear" w:color="auto" w:fill="auto"/>
            <w:vAlign w:val="center"/>
          </w:tcPr>
          <w:p w14:paraId="2F9519F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12</w:t>
            </w:r>
          </w:p>
        </w:tc>
        <w:tc>
          <w:tcPr>
            <w:tcW w:w="1276" w:type="dxa"/>
            <w:shd w:val="clear" w:color="auto" w:fill="auto"/>
            <w:vAlign w:val="center"/>
          </w:tcPr>
          <w:p w14:paraId="3CCEDE5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701" w:type="dxa"/>
            <w:shd w:val="clear" w:color="auto" w:fill="auto"/>
            <w:vAlign w:val="center"/>
          </w:tcPr>
          <w:p w14:paraId="475392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559" w:type="dxa"/>
            <w:shd w:val="clear" w:color="auto" w:fill="auto"/>
            <w:vAlign w:val="center"/>
          </w:tcPr>
          <w:p w14:paraId="05FD565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12</w:t>
            </w:r>
          </w:p>
        </w:tc>
        <w:tc>
          <w:tcPr>
            <w:tcW w:w="1761" w:type="dxa"/>
            <w:shd w:val="clear" w:color="auto" w:fill="auto"/>
            <w:vAlign w:val="center"/>
          </w:tcPr>
          <w:p w14:paraId="276221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12</w:t>
            </w:r>
          </w:p>
        </w:tc>
        <w:tc>
          <w:tcPr>
            <w:tcW w:w="1959" w:type="dxa"/>
            <w:shd w:val="clear" w:color="auto" w:fill="auto"/>
            <w:vAlign w:val="center"/>
          </w:tcPr>
          <w:p w14:paraId="0CD7ADF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12</w:t>
            </w:r>
          </w:p>
        </w:tc>
        <w:tc>
          <w:tcPr>
            <w:tcW w:w="1089" w:type="dxa"/>
            <w:shd w:val="clear" w:color="auto" w:fill="auto"/>
            <w:vAlign w:val="center"/>
          </w:tcPr>
          <w:p w14:paraId="306529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w:t>
            </w:r>
          </w:p>
        </w:tc>
      </w:tr>
      <w:tr w14:paraId="513B0A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1159" w:type="dxa"/>
            <w:vMerge w:val="continue"/>
            <w:vAlign w:val="center"/>
          </w:tcPr>
          <w:p w14:paraId="6F6041A3">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p>
        </w:tc>
        <w:tc>
          <w:tcPr>
            <w:tcW w:w="1846" w:type="dxa"/>
            <w:gridSpan w:val="2"/>
            <w:shd w:val="clear" w:color="auto" w:fill="auto"/>
            <w:vAlign w:val="center"/>
          </w:tcPr>
          <w:p w14:paraId="1D86532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饱和或者废弃的离子交换树脂（t/a）</w:t>
            </w:r>
          </w:p>
        </w:tc>
        <w:tc>
          <w:tcPr>
            <w:tcW w:w="1701" w:type="dxa"/>
            <w:shd w:val="clear" w:color="auto" w:fill="auto"/>
            <w:vAlign w:val="center"/>
          </w:tcPr>
          <w:p w14:paraId="2B93366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w:t>
            </w:r>
          </w:p>
        </w:tc>
        <w:tc>
          <w:tcPr>
            <w:tcW w:w="1276" w:type="dxa"/>
            <w:shd w:val="clear" w:color="auto" w:fill="auto"/>
            <w:vAlign w:val="center"/>
          </w:tcPr>
          <w:p w14:paraId="1415AF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701" w:type="dxa"/>
            <w:shd w:val="clear" w:color="auto" w:fill="auto"/>
            <w:vAlign w:val="center"/>
          </w:tcPr>
          <w:p w14:paraId="0F78926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559" w:type="dxa"/>
            <w:shd w:val="clear" w:color="auto" w:fill="auto"/>
            <w:vAlign w:val="center"/>
          </w:tcPr>
          <w:p w14:paraId="1F65AA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w:t>
            </w:r>
          </w:p>
        </w:tc>
        <w:tc>
          <w:tcPr>
            <w:tcW w:w="1761" w:type="dxa"/>
            <w:shd w:val="clear" w:color="auto" w:fill="auto"/>
            <w:vAlign w:val="center"/>
          </w:tcPr>
          <w:p w14:paraId="401C379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w:t>
            </w:r>
          </w:p>
        </w:tc>
        <w:tc>
          <w:tcPr>
            <w:tcW w:w="1959" w:type="dxa"/>
            <w:shd w:val="clear" w:color="auto" w:fill="auto"/>
            <w:vAlign w:val="center"/>
          </w:tcPr>
          <w:p w14:paraId="3810BE0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cs="Times New Roman"/>
                <w:color w:val="auto"/>
                <w:sz w:val="20"/>
                <w:szCs w:val="20"/>
                <w:highlight w:val="none"/>
                <w:u w:val="none"/>
              </w:rPr>
              <w:t>0.</w:t>
            </w:r>
            <w:r>
              <w:rPr>
                <w:rFonts w:hint="eastAsia" w:ascii="Times New Roman" w:cs="Times New Roman"/>
                <w:color w:val="auto"/>
                <w:sz w:val="20"/>
                <w:szCs w:val="20"/>
                <w:highlight w:val="none"/>
                <w:u w:val="none"/>
                <w:lang w:val="en-US" w:eastAsia="zh-CN"/>
              </w:rPr>
              <w:t>1</w:t>
            </w:r>
          </w:p>
        </w:tc>
        <w:tc>
          <w:tcPr>
            <w:tcW w:w="1089" w:type="dxa"/>
            <w:shd w:val="clear" w:color="auto" w:fill="auto"/>
            <w:vAlign w:val="center"/>
          </w:tcPr>
          <w:p w14:paraId="537B85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+1</w:t>
            </w:r>
          </w:p>
        </w:tc>
      </w:tr>
      <w:tr w14:paraId="4481A9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159" w:type="dxa"/>
            <w:vAlign w:val="center"/>
          </w:tcPr>
          <w:p w14:paraId="590FFE22">
            <w:pPr>
              <w:pStyle w:val="53"/>
              <w:adjustRightInd/>
              <w:snapToGrid/>
              <w:spacing w:beforeLines="0" w:afterLines="0" w:line="240" w:lineRule="auto"/>
              <w:ind w:left="0" w:right="0" w:firstLine="0"/>
              <w:rPr>
                <w:rFonts w:ascii="Times New Roman" w:eastAsia="宋体"/>
                <w:snapToGrid w:val="0"/>
                <w:color w:val="auto"/>
                <w:kern w:val="21"/>
                <w:sz w:val="18"/>
                <w:szCs w:val="18"/>
                <w:highlight w:val="none"/>
              </w:rPr>
            </w:pPr>
            <w:r>
              <w:rPr>
                <w:rFonts w:ascii="Times New Roman" w:eastAsia="宋体"/>
                <w:snapToGrid w:val="0"/>
                <w:color w:val="auto"/>
                <w:kern w:val="21"/>
                <w:sz w:val="18"/>
                <w:szCs w:val="18"/>
                <w:highlight w:val="none"/>
              </w:rPr>
              <w:t>危险废物</w:t>
            </w:r>
          </w:p>
        </w:tc>
        <w:tc>
          <w:tcPr>
            <w:tcW w:w="1846" w:type="dxa"/>
            <w:gridSpan w:val="2"/>
            <w:vAlign w:val="center"/>
          </w:tcPr>
          <w:p w14:paraId="6E6BA2C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废含油抹布、手套、废矿物油（t/a）</w:t>
            </w:r>
          </w:p>
        </w:tc>
        <w:tc>
          <w:tcPr>
            <w:tcW w:w="1701" w:type="dxa"/>
            <w:vAlign w:val="center"/>
          </w:tcPr>
          <w:p w14:paraId="4B70C4F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0.03</w:t>
            </w:r>
          </w:p>
        </w:tc>
        <w:tc>
          <w:tcPr>
            <w:tcW w:w="1276" w:type="dxa"/>
            <w:shd w:val="clear" w:color="auto" w:fill="auto"/>
            <w:vAlign w:val="center"/>
          </w:tcPr>
          <w:p w14:paraId="7EDFAF8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701" w:type="dxa"/>
            <w:shd w:val="clear" w:color="auto" w:fill="auto"/>
            <w:vAlign w:val="center"/>
          </w:tcPr>
          <w:p w14:paraId="35EDD14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default" w:ascii="Times New Roman" w:hAnsi="Times New Roman" w:eastAsia="宋体" w:cs="Times New Roman"/>
                <w:color w:val="auto"/>
                <w:sz w:val="20"/>
                <w:szCs w:val="20"/>
                <w:u w:val="none"/>
                <w:vertAlign w:val="baseline"/>
                <w:lang w:val="en-US" w:eastAsia="zh-CN"/>
              </w:rPr>
              <w:t>/</w:t>
            </w:r>
          </w:p>
        </w:tc>
        <w:tc>
          <w:tcPr>
            <w:tcW w:w="1559" w:type="dxa"/>
            <w:shd w:val="clear" w:color="auto" w:fill="auto"/>
            <w:vAlign w:val="center"/>
          </w:tcPr>
          <w:p w14:paraId="1776062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0.002</w:t>
            </w:r>
          </w:p>
        </w:tc>
        <w:tc>
          <w:tcPr>
            <w:tcW w:w="1761" w:type="dxa"/>
            <w:shd w:val="clear" w:color="auto" w:fill="auto"/>
            <w:vAlign w:val="center"/>
          </w:tcPr>
          <w:p w14:paraId="5FD9EAF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w:t>
            </w:r>
          </w:p>
        </w:tc>
        <w:tc>
          <w:tcPr>
            <w:tcW w:w="1959" w:type="dxa"/>
            <w:vAlign w:val="center"/>
          </w:tcPr>
          <w:p w14:paraId="4F3084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0.032</w:t>
            </w:r>
          </w:p>
        </w:tc>
        <w:tc>
          <w:tcPr>
            <w:tcW w:w="1089" w:type="dxa"/>
            <w:vAlign w:val="center"/>
          </w:tcPr>
          <w:p w14:paraId="3FC44A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0"/>
                <w:szCs w:val="20"/>
                <w:u w:val="none"/>
                <w:vertAlign w:val="baseline"/>
                <w:lang w:val="en-US" w:eastAsia="zh-CN"/>
              </w:rPr>
            </w:pPr>
            <w:r>
              <w:rPr>
                <w:rFonts w:hint="eastAsia" w:ascii="Times New Roman" w:hAnsi="Times New Roman" w:eastAsia="宋体" w:cs="Times New Roman"/>
                <w:color w:val="auto"/>
                <w:sz w:val="20"/>
                <w:szCs w:val="20"/>
                <w:u w:val="none"/>
                <w:vertAlign w:val="baseline"/>
                <w:lang w:val="en-US" w:eastAsia="zh-CN"/>
              </w:rPr>
              <w:t>+0.002</w:t>
            </w:r>
          </w:p>
        </w:tc>
      </w:tr>
      <w:bookmarkEnd w:id="13"/>
    </w:tbl>
    <w:p w14:paraId="62DF19BE">
      <w:pPr>
        <w:pStyle w:val="53"/>
        <w:spacing w:beforeLines="80" w:after="24"/>
        <w:jc w:val="left"/>
        <w:rPr>
          <w:rFonts w:ascii="Times New Roman" w:eastAsia="宋体"/>
          <w:snapToGrid w:val="0"/>
          <w:color w:val="auto"/>
          <w:spacing w:val="-6"/>
          <w:kern w:val="21"/>
          <w:szCs w:val="21"/>
          <w:highlight w:val="none"/>
        </w:rPr>
      </w:pPr>
      <w:r>
        <w:rPr>
          <w:rFonts w:ascii="Times New Roman" w:eastAsia="宋体"/>
          <w:snapToGrid w:val="0"/>
          <w:color w:val="auto"/>
          <w:kern w:val="21"/>
          <w:szCs w:val="21"/>
          <w:highlight w:val="none"/>
        </w:rPr>
        <w:t>注：</w:t>
      </w:r>
      <w:r>
        <w:rPr>
          <w:rFonts w:ascii="Times New Roman" w:eastAsia="宋体"/>
          <w:snapToGrid w:val="0"/>
          <w:color w:val="auto"/>
          <w:spacing w:val="-16"/>
          <w:kern w:val="21"/>
          <w:szCs w:val="21"/>
          <w:highlight w:val="none"/>
        </w:rPr>
        <w:fldChar w:fldCharType="begin"/>
      </w:r>
      <w:r>
        <w:rPr>
          <w:rFonts w:ascii="Times New Roman" w:eastAsia="宋体"/>
          <w:snapToGrid w:val="0"/>
          <w:color w:val="auto"/>
          <w:spacing w:val="-16"/>
          <w:kern w:val="21"/>
          <w:szCs w:val="21"/>
          <w:highlight w:val="none"/>
        </w:rPr>
        <w:instrText xml:space="preserve"> = 6 \* GB3 \* MERGEFORMAT </w:instrText>
      </w:r>
      <w:r>
        <w:rPr>
          <w:rFonts w:ascii="Times New Roman" w:eastAsia="宋体"/>
          <w:snapToGrid w:val="0"/>
          <w:color w:val="auto"/>
          <w:spacing w:val="-16"/>
          <w:kern w:val="21"/>
          <w:szCs w:val="21"/>
          <w:highlight w:val="none"/>
        </w:rPr>
        <w:fldChar w:fldCharType="separate"/>
      </w:r>
      <w:r>
        <w:rPr>
          <w:rFonts w:hint="eastAsia" w:hAnsi="宋体" w:eastAsia="宋体" w:cs="宋体"/>
          <w:color w:val="auto"/>
          <w:szCs w:val="21"/>
          <w:highlight w:val="none"/>
        </w:rPr>
        <w:t>⑥</w:t>
      </w:r>
      <w:r>
        <w:rPr>
          <w:rFonts w:ascii="Times New Roman" w:eastAsia="宋体"/>
          <w:snapToGrid w:val="0"/>
          <w:color w:val="auto"/>
          <w:spacing w:val="-16"/>
          <w:kern w:val="21"/>
          <w:szCs w:val="21"/>
          <w:highlight w:val="none"/>
        </w:rPr>
        <w:fldChar w:fldCharType="end"/>
      </w:r>
      <w:r>
        <w:rPr>
          <w:rFonts w:ascii="Times New Roman" w:eastAsia="宋体"/>
          <w:snapToGrid w:val="0"/>
          <w:color w:val="auto"/>
          <w:spacing w:val="-16"/>
          <w:kern w:val="21"/>
          <w:szCs w:val="21"/>
          <w:highlight w:val="none"/>
        </w:rPr>
        <w:t>=</w:t>
      </w:r>
      <w:r>
        <w:rPr>
          <w:rFonts w:ascii="Times New Roman" w:eastAsia="宋体"/>
          <w:snapToGrid w:val="0"/>
          <w:color w:val="auto"/>
          <w:spacing w:val="-6"/>
          <w:kern w:val="21"/>
          <w:szCs w:val="21"/>
          <w:highlight w:val="none"/>
        </w:rPr>
        <w:fldChar w:fldCharType="begin"/>
      </w:r>
      <w:r>
        <w:rPr>
          <w:rFonts w:ascii="Times New Roman" w:eastAsia="宋体"/>
          <w:snapToGrid w:val="0"/>
          <w:color w:val="auto"/>
          <w:spacing w:val="-6"/>
          <w:kern w:val="21"/>
          <w:szCs w:val="21"/>
          <w:highlight w:val="none"/>
        </w:rPr>
        <w:instrText xml:space="preserve"> = 1 \* GB3 \* MERGEFORMAT </w:instrText>
      </w:r>
      <w:r>
        <w:rPr>
          <w:rFonts w:ascii="Times New Roman" w:eastAsia="宋体"/>
          <w:snapToGrid w:val="0"/>
          <w:color w:val="auto"/>
          <w:spacing w:val="-6"/>
          <w:kern w:val="21"/>
          <w:szCs w:val="21"/>
          <w:highlight w:val="none"/>
        </w:rPr>
        <w:fldChar w:fldCharType="separate"/>
      </w:r>
      <w:r>
        <w:rPr>
          <w:rFonts w:hint="eastAsia" w:hAnsi="宋体" w:eastAsia="宋体" w:cs="宋体"/>
          <w:color w:val="auto"/>
          <w:szCs w:val="21"/>
          <w:highlight w:val="none"/>
        </w:rPr>
        <w:t>①</w:t>
      </w:r>
      <w:r>
        <w:rPr>
          <w:rFonts w:ascii="Times New Roman" w:eastAsia="宋体"/>
          <w:snapToGrid w:val="0"/>
          <w:color w:val="auto"/>
          <w:spacing w:val="-6"/>
          <w:kern w:val="21"/>
          <w:szCs w:val="21"/>
          <w:highlight w:val="none"/>
        </w:rPr>
        <w:fldChar w:fldCharType="end"/>
      </w:r>
      <w:r>
        <w:rPr>
          <w:rFonts w:ascii="Times New Roman" w:eastAsia="宋体"/>
          <w:snapToGrid w:val="0"/>
          <w:color w:val="auto"/>
          <w:spacing w:val="-6"/>
          <w:kern w:val="21"/>
          <w:szCs w:val="21"/>
          <w:highlight w:val="none"/>
        </w:rPr>
        <w:t>+</w:t>
      </w:r>
      <w:r>
        <w:rPr>
          <w:rFonts w:ascii="Times New Roman" w:eastAsia="宋体"/>
          <w:snapToGrid w:val="0"/>
          <w:color w:val="auto"/>
          <w:spacing w:val="-6"/>
          <w:kern w:val="21"/>
          <w:szCs w:val="21"/>
          <w:highlight w:val="none"/>
        </w:rPr>
        <w:fldChar w:fldCharType="begin"/>
      </w:r>
      <w:r>
        <w:rPr>
          <w:rFonts w:ascii="Times New Roman" w:eastAsia="宋体"/>
          <w:snapToGrid w:val="0"/>
          <w:color w:val="auto"/>
          <w:spacing w:val="-6"/>
          <w:kern w:val="21"/>
          <w:szCs w:val="21"/>
          <w:highlight w:val="none"/>
        </w:rPr>
        <w:instrText xml:space="preserve"> = 3 \* GB3 \* MERGEFORMAT </w:instrText>
      </w:r>
      <w:r>
        <w:rPr>
          <w:rFonts w:ascii="Times New Roman" w:eastAsia="宋体"/>
          <w:snapToGrid w:val="0"/>
          <w:color w:val="auto"/>
          <w:spacing w:val="-6"/>
          <w:kern w:val="21"/>
          <w:szCs w:val="21"/>
          <w:highlight w:val="none"/>
        </w:rPr>
        <w:fldChar w:fldCharType="separate"/>
      </w:r>
      <w:r>
        <w:rPr>
          <w:rFonts w:hint="eastAsia" w:hAnsi="宋体" w:eastAsia="宋体" w:cs="宋体"/>
          <w:color w:val="auto"/>
          <w:szCs w:val="21"/>
          <w:highlight w:val="none"/>
        </w:rPr>
        <w:t>③</w:t>
      </w:r>
      <w:r>
        <w:rPr>
          <w:rFonts w:ascii="Times New Roman" w:eastAsia="宋体"/>
          <w:snapToGrid w:val="0"/>
          <w:color w:val="auto"/>
          <w:spacing w:val="-6"/>
          <w:kern w:val="21"/>
          <w:szCs w:val="21"/>
          <w:highlight w:val="none"/>
        </w:rPr>
        <w:fldChar w:fldCharType="end"/>
      </w:r>
      <w:r>
        <w:rPr>
          <w:rFonts w:ascii="Times New Roman" w:eastAsia="宋体"/>
          <w:snapToGrid w:val="0"/>
          <w:color w:val="auto"/>
          <w:spacing w:val="-6"/>
          <w:kern w:val="21"/>
          <w:szCs w:val="21"/>
          <w:highlight w:val="none"/>
        </w:rPr>
        <w:t>+</w:t>
      </w:r>
      <w:r>
        <w:rPr>
          <w:rFonts w:ascii="Times New Roman" w:eastAsia="宋体"/>
          <w:snapToGrid w:val="0"/>
          <w:color w:val="auto"/>
          <w:spacing w:val="-6"/>
          <w:kern w:val="21"/>
          <w:szCs w:val="21"/>
          <w:highlight w:val="none"/>
        </w:rPr>
        <w:fldChar w:fldCharType="begin"/>
      </w:r>
      <w:r>
        <w:rPr>
          <w:rFonts w:ascii="Times New Roman" w:eastAsia="宋体"/>
          <w:snapToGrid w:val="0"/>
          <w:color w:val="auto"/>
          <w:spacing w:val="-6"/>
          <w:kern w:val="21"/>
          <w:szCs w:val="21"/>
          <w:highlight w:val="none"/>
        </w:rPr>
        <w:instrText xml:space="preserve"> = 4 \* GB3 \* MERGEFORMAT </w:instrText>
      </w:r>
      <w:r>
        <w:rPr>
          <w:rFonts w:ascii="Times New Roman" w:eastAsia="宋体"/>
          <w:snapToGrid w:val="0"/>
          <w:color w:val="auto"/>
          <w:spacing w:val="-6"/>
          <w:kern w:val="21"/>
          <w:szCs w:val="21"/>
          <w:highlight w:val="none"/>
        </w:rPr>
        <w:fldChar w:fldCharType="separate"/>
      </w:r>
      <w:r>
        <w:rPr>
          <w:rFonts w:hint="eastAsia" w:hAnsi="宋体" w:eastAsia="宋体" w:cs="宋体"/>
          <w:color w:val="auto"/>
          <w:szCs w:val="21"/>
          <w:highlight w:val="none"/>
        </w:rPr>
        <w:t>④</w:t>
      </w:r>
      <w:r>
        <w:rPr>
          <w:rFonts w:ascii="Times New Roman" w:eastAsia="宋体"/>
          <w:snapToGrid w:val="0"/>
          <w:color w:val="auto"/>
          <w:spacing w:val="-6"/>
          <w:kern w:val="21"/>
          <w:szCs w:val="21"/>
          <w:highlight w:val="none"/>
        </w:rPr>
        <w:fldChar w:fldCharType="end"/>
      </w:r>
      <w:r>
        <w:rPr>
          <w:rFonts w:ascii="Times New Roman" w:eastAsia="宋体"/>
          <w:snapToGrid w:val="0"/>
          <w:color w:val="auto"/>
          <w:spacing w:val="-6"/>
          <w:kern w:val="21"/>
          <w:szCs w:val="21"/>
          <w:highlight w:val="none"/>
        </w:rPr>
        <w:t>-</w:t>
      </w:r>
      <w:r>
        <w:rPr>
          <w:rFonts w:ascii="Times New Roman" w:eastAsia="宋体"/>
          <w:snapToGrid w:val="0"/>
          <w:color w:val="auto"/>
          <w:spacing w:val="-16"/>
          <w:kern w:val="21"/>
          <w:szCs w:val="21"/>
          <w:highlight w:val="none"/>
        </w:rPr>
        <w:fldChar w:fldCharType="begin"/>
      </w:r>
      <w:r>
        <w:rPr>
          <w:rFonts w:ascii="Times New Roman" w:eastAsia="宋体"/>
          <w:snapToGrid w:val="0"/>
          <w:color w:val="auto"/>
          <w:spacing w:val="-16"/>
          <w:kern w:val="21"/>
          <w:szCs w:val="21"/>
          <w:highlight w:val="none"/>
        </w:rPr>
        <w:instrText xml:space="preserve"> = 5 \* GB3 \* MERGEFORMAT </w:instrText>
      </w:r>
      <w:r>
        <w:rPr>
          <w:rFonts w:ascii="Times New Roman" w:eastAsia="宋体"/>
          <w:snapToGrid w:val="0"/>
          <w:color w:val="auto"/>
          <w:spacing w:val="-16"/>
          <w:kern w:val="21"/>
          <w:szCs w:val="21"/>
          <w:highlight w:val="none"/>
        </w:rPr>
        <w:fldChar w:fldCharType="separate"/>
      </w:r>
      <w:r>
        <w:rPr>
          <w:rFonts w:hint="eastAsia" w:hAnsi="宋体" w:eastAsia="宋体" w:cs="宋体"/>
          <w:color w:val="auto"/>
          <w:szCs w:val="21"/>
          <w:highlight w:val="none"/>
        </w:rPr>
        <w:t>⑤</w:t>
      </w:r>
      <w:r>
        <w:rPr>
          <w:rFonts w:ascii="Times New Roman" w:eastAsia="宋体"/>
          <w:snapToGrid w:val="0"/>
          <w:color w:val="auto"/>
          <w:spacing w:val="-16"/>
          <w:kern w:val="21"/>
          <w:szCs w:val="21"/>
          <w:highlight w:val="none"/>
        </w:rPr>
        <w:fldChar w:fldCharType="end"/>
      </w:r>
      <w:r>
        <w:rPr>
          <w:rFonts w:ascii="Times New Roman" w:eastAsia="宋体"/>
          <w:snapToGrid w:val="0"/>
          <w:color w:val="auto"/>
          <w:spacing w:val="-16"/>
          <w:kern w:val="21"/>
          <w:szCs w:val="21"/>
          <w:highlight w:val="none"/>
        </w:rPr>
        <w:t>；</w:t>
      </w:r>
      <w:r>
        <w:rPr>
          <w:rFonts w:ascii="Times New Roman" w:eastAsia="宋体"/>
          <w:snapToGrid w:val="0"/>
          <w:color w:val="auto"/>
          <w:spacing w:val="-6"/>
          <w:kern w:val="21"/>
          <w:szCs w:val="21"/>
          <w:highlight w:val="none"/>
        </w:rPr>
        <w:fldChar w:fldCharType="begin"/>
      </w:r>
      <w:r>
        <w:rPr>
          <w:rFonts w:ascii="Times New Roman" w:eastAsia="宋体"/>
          <w:snapToGrid w:val="0"/>
          <w:color w:val="auto"/>
          <w:spacing w:val="-6"/>
          <w:kern w:val="21"/>
          <w:szCs w:val="21"/>
          <w:highlight w:val="none"/>
        </w:rPr>
        <w:instrText xml:space="preserve"> = 7 \* GB3 \* MERGEFORMAT </w:instrText>
      </w:r>
      <w:r>
        <w:rPr>
          <w:rFonts w:ascii="Times New Roman" w:eastAsia="宋体"/>
          <w:snapToGrid w:val="0"/>
          <w:color w:val="auto"/>
          <w:spacing w:val="-6"/>
          <w:kern w:val="21"/>
          <w:szCs w:val="21"/>
          <w:highlight w:val="none"/>
        </w:rPr>
        <w:fldChar w:fldCharType="separate"/>
      </w:r>
      <w:r>
        <w:rPr>
          <w:rFonts w:hint="eastAsia" w:hAnsi="宋体" w:eastAsia="宋体" w:cs="宋体"/>
          <w:color w:val="auto"/>
          <w:szCs w:val="21"/>
          <w:highlight w:val="none"/>
        </w:rPr>
        <w:t>⑦</w:t>
      </w:r>
      <w:r>
        <w:rPr>
          <w:rFonts w:ascii="Times New Roman" w:eastAsia="宋体"/>
          <w:snapToGrid w:val="0"/>
          <w:color w:val="auto"/>
          <w:spacing w:val="-6"/>
          <w:kern w:val="21"/>
          <w:szCs w:val="21"/>
          <w:highlight w:val="none"/>
        </w:rPr>
        <w:fldChar w:fldCharType="end"/>
      </w:r>
      <w:r>
        <w:rPr>
          <w:rFonts w:ascii="Times New Roman" w:eastAsia="宋体"/>
          <w:snapToGrid w:val="0"/>
          <w:color w:val="auto"/>
          <w:spacing w:val="-6"/>
          <w:kern w:val="21"/>
          <w:szCs w:val="21"/>
          <w:highlight w:val="none"/>
        </w:rPr>
        <w:t>=</w:t>
      </w:r>
      <w:r>
        <w:rPr>
          <w:rFonts w:ascii="Times New Roman" w:eastAsia="宋体"/>
          <w:snapToGrid w:val="0"/>
          <w:color w:val="auto"/>
          <w:spacing w:val="-16"/>
          <w:kern w:val="21"/>
          <w:szCs w:val="21"/>
          <w:highlight w:val="none"/>
        </w:rPr>
        <w:fldChar w:fldCharType="begin"/>
      </w:r>
      <w:r>
        <w:rPr>
          <w:rFonts w:ascii="Times New Roman" w:eastAsia="宋体"/>
          <w:snapToGrid w:val="0"/>
          <w:color w:val="auto"/>
          <w:spacing w:val="-16"/>
          <w:kern w:val="21"/>
          <w:szCs w:val="21"/>
          <w:highlight w:val="none"/>
        </w:rPr>
        <w:instrText xml:space="preserve"> = 6 \* GB3 \* MERGEFORMAT </w:instrText>
      </w:r>
      <w:r>
        <w:rPr>
          <w:rFonts w:ascii="Times New Roman" w:eastAsia="宋体"/>
          <w:snapToGrid w:val="0"/>
          <w:color w:val="auto"/>
          <w:spacing w:val="-16"/>
          <w:kern w:val="21"/>
          <w:szCs w:val="21"/>
          <w:highlight w:val="none"/>
        </w:rPr>
        <w:fldChar w:fldCharType="separate"/>
      </w:r>
      <w:r>
        <w:rPr>
          <w:rFonts w:hint="eastAsia" w:hAnsi="宋体" w:eastAsia="宋体" w:cs="宋体"/>
          <w:color w:val="auto"/>
          <w:szCs w:val="21"/>
          <w:highlight w:val="none"/>
        </w:rPr>
        <w:t>⑥</w:t>
      </w:r>
      <w:r>
        <w:rPr>
          <w:rFonts w:ascii="Times New Roman" w:eastAsia="宋体"/>
          <w:snapToGrid w:val="0"/>
          <w:color w:val="auto"/>
          <w:spacing w:val="-16"/>
          <w:kern w:val="21"/>
          <w:szCs w:val="21"/>
          <w:highlight w:val="none"/>
        </w:rPr>
        <w:fldChar w:fldCharType="end"/>
      </w:r>
      <w:r>
        <w:rPr>
          <w:rFonts w:ascii="Times New Roman" w:eastAsia="宋体"/>
          <w:snapToGrid w:val="0"/>
          <w:color w:val="auto"/>
          <w:spacing w:val="-16"/>
          <w:kern w:val="21"/>
          <w:szCs w:val="21"/>
          <w:highlight w:val="none"/>
        </w:rPr>
        <w:t>-</w:t>
      </w:r>
      <w:r>
        <w:rPr>
          <w:rFonts w:ascii="Times New Roman" w:eastAsia="宋体"/>
          <w:snapToGrid w:val="0"/>
          <w:color w:val="auto"/>
          <w:spacing w:val="-6"/>
          <w:kern w:val="21"/>
          <w:szCs w:val="21"/>
          <w:highlight w:val="none"/>
        </w:rPr>
        <w:fldChar w:fldCharType="begin"/>
      </w:r>
      <w:r>
        <w:rPr>
          <w:rFonts w:ascii="Times New Roman" w:eastAsia="宋体"/>
          <w:snapToGrid w:val="0"/>
          <w:color w:val="auto"/>
          <w:spacing w:val="-6"/>
          <w:kern w:val="21"/>
          <w:szCs w:val="21"/>
          <w:highlight w:val="none"/>
        </w:rPr>
        <w:instrText xml:space="preserve"> = 1 \* GB3 \* MERGEFORMAT </w:instrText>
      </w:r>
      <w:r>
        <w:rPr>
          <w:rFonts w:ascii="Times New Roman" w:eastAsia="宋体"/>
          <w:snapToGrid w:val="0"/>
          <w:color w:val="auto"/>
          <w:spacing w:val="-6"/>
          <w:kern w:val="21"/>
          <w:szCs w:val="21"/>
          <w:highlight w:val="none"/>
        </w:rPr>
        <w:fldChar w:fldCharType="separate"/>
      </w:r>
      <w:r>
        <w:rPr>
          <w:rFonts w:hint="eastAsia" w:hAnsi="宋体" w:eastAsia="宋体" w:cs="宋体"/>
          <w:color w:val="auto"/>
          <w:szCs w:val="21"/>
          <w:highlight w:val="none"/>
        </w:rPr>
        <w:t>①</w:t>
      </w:r>
      <w:r>
        <w:rPr>
          <w:rFonts w:ascii="Times New Roman" w:eastAsia="宋体"/>
          <w:snapToGrid w:val="0"/>
          <w:color w:val="auto"/>
          <w:spacing w:val="-6"/>
          <w:kern w:val="21"/>
          <w:szCs w:val="21"/>
          <w:highlight w:val="none"/>
        </w:rPr>
        <w:fldChar w:fldCharType="end"/>
      </w:r>
    </w:p>
    <w:sectPr>
      <w:footerReference r:id="rId6" w:type="default"/>
      <w:pgSz w:w="16838" w:h="11906" w:orient="landscape"/>
      <w:pgMar w:top="1418" w:right="1440" w:bottom="1418" w:left="1440" w:header="851" w:footer="992" w:gutter="0"/>
      <w:pgBorders>
        <w:top w:val="none" w:sz="0" w:space="0"/>
        <w:left w:val="none" w:sz="0" w:space="0"/>
        <w:bottom w:val="none" w:sz="0" w:space="0"/>
        <w:right w:val="none" w:sz="0" w:space="0"/>
      </w:pgBorders>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roman"/>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Dutch801 Rm BT">
    <w:altName w:val="Times New Roman"/>
    <w:panose1 w:val="02020603060505020304"/>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思源宋體 TW">
    <w:altName w:val="MS Gothic"/>
    <w:panose1 w:val="00000000000000000000"/>
    <w:charset w:val="80"/>
    <w:family w:val="roman"/>
    <w:pitch w:val="default"/>
    <w:sig w:usb0="00000000" w:usb1="00000000" w:usb2="00000010" w:usb3="00000000" w:csb0="00020000"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EE4F6">
    <w:pPr>
      <w:pStyle w:val="2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BD58A">
    <w:pPr>
      <w:pStyle w:val="29"/>
      <w:framePr w:wrap="around" w:vAnchor="text" w:hAnchor="margin" w:xAlign="center" w:y="1"/>
      <w:rPr>
        <w:rStyle w:val="46"/>
      </w:rPr>
    </w:pPr>
    <w:r>
      <w:fldChar w:fldCharType="begin"/>
    </w:r>
    <w:r>
      <w:rPr>
        <w:rStyle w:val="46"/>
      </w:rPr>
      <w:instrText xml:space="preserve">PAGE  </w:instrText>
    </w:r>
    <w:r>
      <w:fldChar w:fldCharType="separate"/>
    </w:r>
    <w:r>
      <w:rPr>
        <w:rStyle w:val="46"/>
      </w:rPr>
      <w:t>3</w:t>
    </w:r>
    <w:r>
      <w:fldChar w:fldCharType="end"/>
    </w:r>
  </w:p>
  <w:p w14:paraId="4127874F">
    <w:pPr>
      <w:pStyle w:val="29"/>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1F9C71">
    <w:pPr>
      <w:pStyle w:val="29"/>
      <w:adjustRightInd w:val="0"/>
      <w:jc w:val="center"/>
      <w:rPr>
        <w:sz w:val="21"/>
        <w:szCs w:val="22"/>
      </w:rPr>
    </w:pPr>
    <w:r>
      <w:rPr>
        <w:sz w:val="21"/>
        <w:szCs w:val="22"/>
      </w:rPr>
      <w:fldChar w:fldCharType="begin"/>
    </w:r>
    <w:r>
      <w:rPr>
        <w:sz w:val="21"/>
        <w:szCs w:val="22"/>
      </w:rPr>
      <w:instrText xml:space="preserve">PAGE   \* MERGEFORMAT</w:instrText>
    </w:r>
    <w:r>
      <w:rPr>
        <w:sz w:val="21"/>
        <w:szCs w:val="22"/>
      </w:rPr>
      <w:fldChar w:fldCharType="separate"/>
    </w:r>
    <w:r>
      <w:rPr>
        <w:sz w:val="21"/>
        <w:szCs w:val="22"/>
        <w:lang w:val="zh-CN"/>
      </w:rPr>
      <w:t>1</w:t>
    </w:r>
    <w:r>
      <w:rPr>
        <w:sz w:val="21"/>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8A134">
    <w:pPr>
      <w:pStyle w:val="29"/>
      <w:jc w:val="center"/>
    </w:pPr>
    <w:r>
      <w:fldChar w:fldCharType="begin"/>
    </w:r>
    <w:r>
      <w:instrText xml:space="preserve">PAGE   \* MERGEFORMAT</w:instrText>
    </w:r>
    <w:r>
      <w:fldChar w:fldCharType="separate"/>
    </w:r>
    <w:r>
      <w:rPr>
        <w:lang w:val="zh-CN"/>
      </w:rPr>
      <w:t>55</w:t>
    </w:r>
    <w:r>
      <w:rPr>
        <w:lang w:val="zh-CN"/>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C30DA"/>
    <w:multiLevelType w:val="multilevel"/>
    <w:tmpl w:val="94BC30DA"/>
    <w:lvl w:ilvl="0" w:tentative="0">
      <w:start w:val="1"/>
      <w:numFmt w:val="decimal"/>
      <w:pStyle w:val="136"/>
      <w:lvlText w:val="表%1."/>
      <w:lvlJc w:val="center"/>
      <w:pPr>
        <w:ind w:left="425" w:hanging="425"/>
      </w:pPr>
      <w:rPr>
        <w:rFonts w:hint="default" w:ascii="Times New Roman" w:hAnsi="Times New Roman" w:eastAsia="宋体" w:cs="宋体"/>
        <w:b/>
        <w:bCs/>
        <w:sz w:val="21"/>
        <w:szCs w:val="21"/>
      </w:rPr>
    </w:lvl>
    <w:lvl w:ilvl="1" w:tentative="0">
      <w:start w:val="1"/>
      <w:numFmt w:val="decimal"/>
      <w:lvlText w:val="表%1.%2."/>
      <w:lvlJc w:val="center"/>
      <w:pPr>
        <w:ind w:left="567" w:hanging="567"/>
      </w:pPr>
      <w:rPr>
        <w:rFonts w:hint="default" w:ascii="宋体" w:hAnsi="宋体" w:eastAsia="宋体" w:cs="宋体"/>
        <w:b/>
        <w:bCs/>
        <w:sz w:val="24"/>
        <w:szCs w:val="24"/>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AC5F8A18"/>
    <w:multiLevelType w:val="singleLevel"/>
    <w:tmpl w:val="AC5F8A18"/>
    <w:lvl w:ilvl="0" w:tentative="0">
      <w:start w:val="4"/>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ove&amp;peace">
    <w15:presenceInfo w15:providerId="WPS Office" w15:userId="106184608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dit="trackedChanges"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YyMzliOTY2M2QyNDhiNDc2NGE4M2FjMjU1Njc3OTYifQ=="/>
  </w:docVars>
  <w:rsids>
    <w:rsidRoot w:val="00A14947"/>
    <w:rsid w:val="000006BB"/>
    <w:rsid w:val="00000AF7"/>
    <w:rsid w:val="00000FE9"/>
    <w:rsid w:val="00001077"/>
    <w:rsid w:val="00001512"/>
    <w:rsid w:val="000017B5"/>
    <w:rsid w:val="00002154"/>
    <w:rsid w:val="00002429"/>
    <w:rsid w:val="00002431"/>
    <w:rsid w:val="000025D7"/>
    <w:rsid w:val="00002722"/>
    <w:rsid w:val="00003526"/>
    <w:rsid w:val="00003B88"/>
    <w:rsid w:val="00005ECF"/>
    <w:rsid w:val="00005F90"/>
    <w:rsid w:val="000060B3"/>
    <w:rsid w:val="000076E7"/>
    <w:rsid w:val="00007A66"/>
    <w:rsid w:val="0001040F"/>
    <w:rsid w:val="00011584"/>
    <w:rsid w:val="00013A09"/>
    <w:rsid w:val="00013E7C"/>
    <w:rsid w:val="00016015"/>
    <w:rsid w:val="000177F4"/>
    <w:rsid w:val="00017A01"/>
    <w:rsid w:val="00020A64"/>
    <w:rsid w:val="00020B61"/>
    <w:rsid w:val="00020C66"/>
    <w:rsid w:val="0002252A"/>
    <w:rsid w:val="00022DEA"/>
    <w:rsid w:val="0002327C"/>
    <w:rsid w:val="0002421F"/>
    <w:rsid w:val="00024C79"/>
    <w:rsid w:val="00024DD2"/>
    <w:rsid w:val="000253EB"/>
    <w:rsid w:val="00025716"/>
    <w:rsid w:val="0002591D"/>
    <w:rsid w:val="00025B8B"/>
    <w:rsid w:val="00027240"/>
    <w:rsid w:val="0003194C"/>
    <w:rsid w:val="00031CC1"/>
    <w:rsid w:val="0003276B"/>
    <w:rsid w:val="00032A5A"/>
    <w:rsid w:val="00032BB1"/>
    <w:rsid w:val="00034362"/>
    <w:rsid w:val="0003461C"/>
    <w:rsid w:val="00034A69"/>
    <w:rsid w:val="00034BCC"/>
    <w:rsid w:val="0003582C"/>
    <w:rsid w:val="00035C9D"/>
    <w:rsid w:val="00037ECE"/>
    <w:rsid w:val="00040D67"/>
    <w:rsid w:val="00042736"/>
    <w:rsid w:val="00042D1A"/>
    <w:rsid w:val="0004364B"/>
    <w:rsid w:val="000442C9"/>
    <w:rsid w:val="00044EDF"/>
    <w:rsid w:val="00044EE0"/>
    <w:rsid w:val="00047F98"/>
    <w:rsid w:val="000507D6"/>
    <w:rsid w:val="000511C9"/>
    <w:rsid w:val="000521A4"/>
    <w:rsid w:val="00053508"/>
    <w:rsid w:val="00054A85"/>
    <w:rsid w:val="00056590"/>
    <w:rsid w:val="00056A78"/>
    <w:rsid w:val="000577F0"/>
    <w:rsid w:val="00061B1F"/>
    <w:rsid w:val="000626DB"/>
    <w:rsid w:val="000629E7"/>
    <w:rsid w:val="0006365A"/>
    <w:rsid w:val="00064097"/>
    <w:rsid w:val="0007035B"/>
    <w:rsid w:val="0007066D"/>
    <w:rsid w:val="00070777"/>
    <w:rsid w:val="00072D65"/>
    <w:rsid w:val="000733C4"/>
    <w:rsid w:val="0007402D"/>
    <w:rsid w:val="00074088"/>
    <w:rsid w:val="00074563"/>
    <w:rsid w:val="0007457A"/>
    <w:rsid w:val="00074783"/>
    <w:rsid w:val="0007595C"/>
    <w:rsid w:val="0007678D"/>
    <w:rsid w:val="0007687D"/>
    <w:rsid w:val="00077164"/>
    <w:rsid w:val="0007779B"/>
    <w:rsid w:val="0008070B"/>
    <w:rsid w:val="00080D0B"/>
    <w:rsid w:val="00080DBB"/>
    <w:rsid w:val="000810AC"/>
    <w:rsid w:val="000817BF"/>
    <w:rsid w:val="00081A02"/>
    <w:rsid w:val="00081B06"/>
    <w:rsid w:val="00082231"/>
    <w:rsid w:val="00082239"/>
    <w:rsid w:val="00083AD8"/>
    <w:rsid w:val="00083D18"/>
    <w:rsid w:val="0008562E"/>
    <w:rsid w:val="0008574C"/>
    <w:rsid w:val="00087749"/>
    <w:rsid w:val="00090698"/>
    <w:rsid w:val="00090C1B"/>
    <w:rsid w:val="00091009"/>
    <w:rsid w:val="0009139A"/>
    <w:rsid w:val="00091515"/>
    <w:rsid w:val="00092D38"/>
    <w:rsid w:val="0009377B"/>
    <w:rsid w:val="00094CC3"/>
    <w:rsid w:val="000953AC"/>
    <w:rsid w:val="00095769"/>
    <w:rsid w:val="000960E8"/>
    <w:rsid w:val="0009777C"/>
    <w:rsid w:val="000979ED"/>
    <w:rsid w:val="00097A42"/>
    <w:rsid w:val="000A17C2"/>
    <w:rsid w:val="000A20C9"/>
    <w:rsid w:val="000A2195"/>
    <w:rsid w:val="000A2AAF"/>
    <w:rsid w:val="000A38AB"/>
    <w:rsid w:val="000A3DCD"/>
    <w:rsid w:val="000A592E"/>
    <w:rsid w:val="000A5CD7"/>
    <w:rsid w:val="000B0000"/>
    <w:rsid w:val="000B058F"/>
    <w:rsid w:val="000B0764"/>
    <w:rsid w:val="000B2117"/>
    <w:rsid w:val="000B264D"/>
    <w:rsid w:val="000B2E8E"/>
    <w:rsid w:val="000B3150"/>
    <w:rsid w:val="000B3A5D"/>
    <w:rsid w:val="000B4409"/>
    <w:rsid w:val="000B4467"/>
    <w:rsid w:val="000B4DB9"/>
    <w:rsid w:val="000B5007"/>
    <w:rsid w:val="000B5650"/>
    <w:rsid w:val="000B6EED"/>
    <w:rsid w:val="000B7E97"/>
    <w:rsid w:val="000C02CD"/>
    <w:rsid w:val="000C09AC"/>
    <w:rsid w:val="000C0FE1"/>
    <w:rsid w:val="000C1167"/>
    <w:rsid w:val="000C1AA7"/>
    <w:rsid w:val="000C4900"/>
    <w:rsid w:val="000C53E1"/>
    <w:rsid w:val="000C594C"/>
    <w:rsid w:val="000C5997"/>
    <w:rsid w:val="000C627D"/>
    <w:rsid w:val="000C72B3"/>
    <w:rsid w:val="000C767F"/>
    <w:rsid w:val="000D0012"/>
    <w:rsid w:val="000D1258"/>
    <w:rsid w:val="000D451C"/>
    <w:rsid w:val="000D4D8C"/>
    <w:rsid w:val="000D5A29"/>
    <w:rsid w:val="000D5A44"/>
    <w:rsid w:val="000D6B46"/>
    <w:rsid w:val="000D6FBD"/>
    <w:rsid w:val="000D715B"/>
    <w:rsid w:val="000D7D2E"/>
    <w:rsid w:val="000D7EBC"/>
    <w:rsid w:val="000E11FE"/>
    <w:rsid w:val="000E16F4"/>
    <w:rsid w:val="000E1899"/>
    <w:rsid w:val="000E20D4"/>
    <w:rsid w:val="000E28AF"/>
    <w:rsid w:val="000E2C3F"/>
    <w:rsid w:val="000E3962"/>
    <w:rsid w:val="000E3ED2"/>
    <w:rsid w:val="000E45F0"/>
    <w:rsid w:val="000E4905"/>
    <w:rsid w:val="000E4E98"/>
    <w:rsid w:val="000E52C8"/>
    <w:rsid w:val="000E585D"/>
    <w:rsid w:val="000E5E90"/>
    <w:rsid w:val="000E5EA5"/>
    <w:rsid w:val="000E6C2D"/>
    <w:rsid w:val="000E6D45"/>
    <w:rsid w:val="000E7F94"/>
    <w:rsid w:val="000F00E9"/>
    <w:rsid w:val="000F14C0"/>
    <w:rsid w:val="000F30DF"/>
    <w:rsid w:val="000F34E8"/>
    <w:rsid w:val="000F40A5"/>
    <w:rsid w:val="000F48FE"/>
    <w:rsid w:val="000F64E2"/>
    <w:rsid w:val="000F6887"/>
    <w:rsid w:val="000F7F0A"/>
    <w:rsid w:val="001000BA"/>
    <w:rsid w:val="00100487"/>
    <w:rsid w:val="00102B15"/>
    <w:rsid w:val="00102D6A"/>
    <w:rsid w:val="001038A0"/>
    <w:rsid w:val="0010485D"/>
    <w:rsid w:val="00104BFD"/>
    <w:rsid w:val="001053A0"/>
    <w:rsid w:val="00105B50"/>
    <w:rsid w:val="00105BF5"/>
    <w:rsid w:val="0011103D"/>
    <w:rsid w:val="001119D9"/>
    <w:rsid w:val="00111C34"/>
    <w:rsid w:val="00112570"/>
    <w:rsid w:val="00113871"/>
    <w:rsid w:val="00113AED"/>
    <w:rsid w:val="00113FD5"/>
    <w:rsid w:val="001158FD"/>
    <w:rsid w:val="00116324"/>
    <w:rsid w:val="00116F71"/>
    <w:rsid w:val="0012025F"/>
    <w:rsid w:val="00120B01"/>
    <w:rsid w:val="00120C35"/>
    <w:rsid w:val="00120D6C"/>
    <w:rsid w:val="00122609"/>
    <w:rsid w:val="001238D9"/>
    <w:rsid w:val="0012528E"/>
    <w:rsid w:val="00126FA2"/>
    <w:rsid w:val="00130E7A"/>
    <w:rsid w:val="00131069"/>
    <w:rsid w:val="00131F42"/>
    <w:rsid w:val="00134492"/>
    <w:rsid w:val="001352C1"/>
    <w:rsid w:val="001357F1"/>
    <w:rsid w:val="0013609B"/>
    <w:rsid w:val="001361CB"/>
    <w:rsid w:val="00140FA8"/>
    <w:rsid w:val="0014265A"/>
    <w:rsid w:val="00142DAD"/>
    <w:rsid w:val="00142FEB"/>
    <w:rsid w:val="00143A2D"/>
    <w:rsid w:val="001452B2"/>
    <w:rsid w:val="001452D0"/>
    <w:rsid w:val="00145A41"/>
    <w:rsid w:val="0014634D"/>
    <w:rsid w:val="0015002E"/>
    <w:rsid w:val="001508FD"/>
    <w:rsid w:val="00151675"/>
    <w:rsid w:val="001519B4"/>
    <w:rsid w:val="00151B29"/>
    <w:rsid w:val="001558A4"/>
    <w:rsid w:val="00156901"/>
    <w:rsid w:val="00156D35"/>
    <w:rsid w:val="00157435"/>
    <w:rsid w:val="00161072"/>
    <w:rsid w:val="00161382"/>
    <w:rsid w:val="00162141"/>
    <w:rsid w:val="001621E0"/>
    <w:rsid w:val="00162846"/>
    <w:rsid w:val="0016377D"/>
    <w:rsid w:val="0016424B"/>
    <w:rsid w:val="001672CE"/>
    <w:rsid w:val="001702FF"/>
    <w:rsid w:val="00171C49"/>
    <w:rsid w:val="00171E62"/>
    <w:rsid w:val="00172D75"/>
    <w:rsid w:val="0017393D"/>
    <w:rsid w:val="001743D2"/>
    <w:rsid w:val="001744B8"/>
    <w:rsid w:val="00174500"/>
    <w:rsid w:val="00174DFD"/>
    <w:rsid w:val="0017504D"/>
    <w:rsid w:val="0017671A"/>
    <w:rsid w:val="00177422"/>
    <w:rsid w:val="00180315"/>
    <w:rsid w:val="001812BA"/>
    <w:rsid w:val="00181DBB"/>
    <w:rsid w:val="00184590"/>
    <w:rsid w:val="00184D55"/>
    <w:rsid w:val="00184FFD"/>
    <w:rsid w:val="00186ACB"/>
    <w:rsid w:val="001870D1"/>
    <w:rsid w:val="0018781E"/>
    <w:rsid w:val="00190DD9"/>
    <w:rsid w:val="0019262D"/>
    <w:rsid w:val="00195109"/>
    <w:rsid w:val="00197A48"/>
    <w:rsid w:val="001A0319"/>
    <w:rsid w:val="001A1B35"/>
    <w:rsid w:val="001A235F"/>
    <w:rsid w:val="001A3993"/>
    <w:rsid w:val="001A4539"/>
    <w:rsid w:val="001A48A2"/>
    <w:rsid w:val="001A4BE2"/>
    <w:rsid w:val="001A5A8C"/>
    <w:rsid w:val="001A6000"/>
    <w:rsid w:val="001A6F61"/>
    <w:rsid w:val="001A7389"/>
    <w:rsid w:val="001B3949"/>
    <w:rsid w:val="001B3F87"/>
    <w:rsid w:val="001B4BCC"/>
    <w:rsid w:val="001B72B8"/>
    <w:rsid w:val="001C09FB"/>
    <w:rsid w:val="001C16C2"/>
    <w:rsid w:val="001C2997"/>
    <w:rsid w:val="001C314F"/>
    <w:rsid w:val="001C4727"/>
    <w:rsid w:val="001C5099"/>
    <w:rsid w:val="001C69B3"/>
    <w:rsid w:val="001C7827"/>
    <w:rsid w:val="001D22E2"/>
    <w:rsid w:val="001D4E71"/>
    <w:rsid w:val="001D5595"/>
    <w:rsid w:val="001D5793"/>
    <w:rsid w:val="001D756F"/>
    <w:rsid w:val="001D7874"/>
    <w:rsid w:val="001D7F22"/>
    <w:rsid w:val="001E1201"/>
    <w:rsid w:val="001E18FA"/>
    <w:rsid w:val="001E1BCD"/>
    <w:rsid w:val="001E23C3"/>
    <w:rsid w:val="001E27F9"/>
    <w:rsid w:val="001E42E9"/>
    <w:rsid w:val="001E4AD9"/>
    <w:rsid w:val="001E4C18"/>
    <w:rsid w:val="001E5D45"/>
    <w:rsid w:val="001E60B5"/>
    <w:rsid w:val="001E631D"/>
    <w:rsid w:val="001E6DC3"/>
    <w:rsid w:val="001E7B90"/>
    <w:rsid w:val="001F0A54"/>
    <w:rsid w:val="001F0DA7"/>
    <w:rsid w:val="001F0F17"/>
    <w:rsid w:val="001F1924"/>
    <w:rsid w:val="001F22EA"/>
    <w:rsid w:val="001F2E5B"/>
    <w:rsid w:val="001F3347"/>
    <w:rsid w:val="001F3E65"/>
    <w:rsid w:val="001F41F3"/>
    <w:rsid w:val="001F442B"/>
    <w:rsid w:val="001F473F"/>
    <w:rsid w:val="001F6851"/>
    <w:rsid w:val="001F68ED"/>
    <w:rsid w:val="001F69E4"/>
    <w:rsid w:val="001F6D4E"/>
    <w:rsid w:val="002013B1"/>
    <w:rsid w:val="00201C3E"/>
    <w:rsid w:val="002024EC"/>
    <w:rsid w:val="0020301B"/>
    <w:rsid w:val="0020313E"/>
    <w:rsid w:val="002043F7"/>
    <w:rsid w:val="002045CD"/>
    <w:rsid w:val="00204E29"/>
    <w:rsid w:val="00204FAC"/>
    <w:rsid w:val="002064CC"/>
    <w:rsid w:val="002071A0"/>
    <w:rsid w:val="002125B4"/>
    <w:rsid w:val="00212A32"/>
    <w:rsid w:val="00212AD1"/>
    <w:rsid w:val="002142F4"/>
    <w:rsid w:val="00214C18"/>
    <w:rsid w:val="002155B8"/>
    <w:rsid w:val="0021675A"/>
    <w:rsid w:val="00216ED9"/>
    <w:rsid w:val="00216FA7"/>
    <w:rsid w:val="002215B5"/>
    <w:rsid w:val="002219A2"/>
    <w:rsid w:val="00222EFE"/>
    <w:rsid w:val="002234D4"/>
    <w:rsid w:val="00224627"/>
    <w:rsid w:val="00224839"/>
    <w:rsid w:val="00224863"/>
    <w:rsid w:val="002249B2"/>
    <w:rsid w:val="00225E9F"/>
    <w:rsid w:val="00226574"/>
    <w:rsid w:val="00226A3C"/>
    <w:rsid w:val="002278EC"/>
    <w:rsid w:val="002310C0"/>
    <w:rsid w:val="0023164A"/>
    <w:rsid w:val="00231C14"/>
    <w:rsid w:val="0023280E"/>
    <w:rsid w:val="00233777"/>
    <w:rsid w:val="00235483"/>
    <w:rsid w:val="00235799"/>
    <w:rsid w:val="002377D1"/>
    <w:rsid w:val="00237CE6"/>
    <w:rsid w:val="00240AE1"/>
    <w:rsid w:val="00242A4D"/>
    <w:rsid w:val="00242C95"/>
    <w:rsid w:val="00242EAE"/>
    <w:rsid w:val="00243228"/>
    <w:rsid w:val="00243A1D"/>
    <w:rsid w:val="00244C20"/>
    <w:rsid w:val="00246050"/>
    <w:rsid w:val="002472AA"/>
    <w:rsid w:val="002506BC"/>
    <w:rsid w:val="0025264E"/>
    <w:rsid w:val="002540F0"/>
    <w:rsid w:val="00254345"/>
    <w:rsid w:val="00255038"/>
    <w:rsid w:val="00256153"/>
    <w:rsid w:val="00256554"/>
    <w:rsid w:val="00256D4C"/>
    <w:rsid w:val="00257751"/>
    <w:rsid w:val="00260CE0"/>
    <w:rsid w:val="00261BDC"/>
    <w:rsid w:val="002620C7"/>
    <w:rsid w:val="0026380B"/>
    <w:rsid w:val="00263FDA"/>
    <w:rsid w:val="00264557"/>
    <w:rsid w:val="002658EE"/>
    <w:rsid w:val="0026644C"/>
    <w:rsid w:val="00267930"/>
    <w:rsid w:val="00270240"/>
    <w:rsid w:val="00270252"/>
    <w:rsid w:val="00270490"/>
    <w:rsid w:val="00270EE9"/>
    <w:rsid w:val="00271398"/>
    <w:rsid w:val="00272261"/>
    <w:rsid w:val="0027272A"/>
    <w:rsid w:val="002728C4"/>
    <w:rsid w:val="00273470"/>
    <w:rsid w:val="00273EB6"/>
    <w:rsid w:val="00274DB3"/>
    <w:rsid w:val="00274F54"/>
    <w:rsid w:val="002754B9"/>
    <w:rsid w:val="00275E71"/>
    <w:rsid w:val="00276191"/>
    <w:rsid w:val="00276A10"/>
    <w:rsid w:val="0027724A"/>
    <w:rsid w:val="00277604"/>
    <w:rsid w:val="00277B02"/>
    <w:rsid w:val="002805AB"/>
    <w:rsid w:val="0028092D"/>
    <w:rsid w:val="0028204F"/>
    <w:rsid w:val="00282354"/>
    <w:rsid w:val="002823F1"/>
    <w:rsid w:val="0028293E"/>
    <w:rsid w:val="0028324E"/>
    <w:rsid w:val="002832FC"/>
    <w:rsid w:val="002836A4"/>
    <w:rsid w:val="00284204"/>
    <w:rsid w:val="00284DAF"/>
    <w:rsid w:val="00285C28"/>
    <w:rsid w:val="00285DEE"/>
    <w:rsid w:val="0028606D"/>
    <w:rsid w:val="002869B6"/>
    <w:rsid w:val="0029110A"/>
    <w:rsid w:val="00291773"/>
    <w:rsid w:val="00293223"/>
    <w:rsid w:val="00293AF9"/>
    <w:rsid w:val="00294160"/>
    <w:rsid w:val="0029453A"/>
    <w:rsid w:val="00294664"/>
    <w:rsid w:val="00294904"/>
    <w:rsid w:val="00296ECF"/>
    <w:rsid w:val="00297286"/>
    <w:rsid w:val="00297A05"/>
    <w:rsid w:val="00297D61"/>
    <w:rsid w:val="00297F95"/>
    <w:rsid w:val="002A0545"/>
    <w:rsid w:val="002A1506"/>
    <w:rsid w:val="002A168C"/>
    <w:rsid w:val="002A2CBE"/>
    <w:rsid w:val="002A3BB8"/>
    <w:rsid w:val="002A3DC7"/>
    <w:rsid w:val="002A452F"/>
    <w:rsid w:val="002B033A"/>
    <w:rsid w:val="002B0705"/>
    <w:rsid w:val="002B157A"/>
    <w:rsid w:val="002B357B"/>
    <w:rsid w:val="002B38C6"/>
    <w:rsid w:val="002B3F37"/>
    <w:rsid w:val="002B4361"/>
    <w:rsid w:val="002B44E4"/>
    <w:rsid w:val="002B49E2"/>
    <w:rsid w:val="002B4A68"/>
    <w:rsid w:val="002B68BD"/>
    <w:rsid w:val="002B6AD5"/>
    <w:rsid w:val="002B6D9F"/>
    <w:rsid w:val="002B7B00"/>
    <w:rsid w:val="002B7C44"/>
    <w:rsid w:val="002B7CF3"/>
    <w:rsid w:val="002C12DC"/>
    <w:rsid w:val="002C1AF5"/>
    <w:rsid w:val="002C250A"/>
    <w:rsid w:val="002C2B17"/>
    <w:rsid w:val="002C3702"/>
    <w:rsid w:val="002C4CF7"/>
    <w:rsid w:val="002C56CF"/>
    <w:rsid w:val="002C5D41"/>
    <w:rsid w:val="002C63E0"/>
    <w:rsid w:val="002C6DCC"/>
    <w:rsid w:val="002D0505"/>
    <w:rsid w:val="002D0A04"/>
    <w:rsid w:val="002D0EA5"/>
    <w:rsid w:val="002D1A02"/>
    <w:rsid w:val="002D2D05"/>
    <w:rsid w:val="002D3DD0"/>
    <w:rsid w:val="002D4E14"/>
    <w:rsid w:val="002D5A34"/>
    <w:rsid w:val="002D5A56"/>
    <w:rsid w:val="002D5ED3"/>
    <w:rsid w:val="002D6BAF"/>
    <w:rsid w:val="002D7871"/>
    <w:rsid w:val="002E1498"/>
    <w:rsid w:val="002E1605"/>
    <w:rsid w:val="002E1F3A"/>
    <w:rsid w:val="002E23A2"/>
    <w:rsid w:val="002E298A"/>
    <w:rsid w:val="002E3211"/>
    <w:rsid w:val="002E3FED"/>
    <w:rsid w:val="002E451E"/>
    <w:rsid w:val="002E4B4B"/>
    <w:rsid w:val="002E53F0"/>
    <w:rsid w:val="002E6727"/>
    <w:rsid w:val="002E678F"/>
    <w:rsid w:val="002E7746"/>
    <w:rsid w:val="002F027C"/>
    <w:rsid w:val="002F1147"/>
    <w:rsid w:val="002F230E"/>
    <w:rsid w:val="002F2B4A"/>
    <w:rsid w:val="002F3496"/>
    <w:rsid w:val="002F3763"/>
    <w:rsid w:val="002F4891"/>
    <w:rsid w:val="002F6744"/>
    <w:rsid w:val="002F6ACA"/>
    <w:rsid w:val="002F7071"/>
    <w:rsid w:val="0030018A"/>
    <w:rsid w:val="003003E2"/>
    <w:rsid w:val="00301502"/>
    <w:rsid w:val="00301978"/>
    <w:rsid w:val="003027B0"/>
    <w:rsid w:val="0030332C"/>
    <w:rsid w:val="00303AD1"/>
    <w:rsid w:val="0030462F"/>
    <w:rsid w:val="003051C2"/>
    <w:rsid w:val="00307A95"/>
    <w:rsid w:val="00311F75"/>
    <w:rsid w:val="00312296"/>
    <w:rsid w:val="00313010"/>
    <w:rsid w:val="0031475A"/>
    <w:rsid w:val="0031475D"/>
    <w:rsid w:val="0031491F"/>
    <w:rsid w:val="00314E26"/>
    <w:rsid w:val="00314F0E"/>
    <w:rsid w:val="0031530E"/>
    <w:rsid w:val="0031780B"/>
    <w:rsid w:val="0032037D"/>
    <w:rsid w:val="0032083F"/>
    <w:rsid w:val="00321D8E"/>
    <w:rsid w:val="00321F5B"/>
    <w:rsid w:val="0032278A"/>
    <w:rsid w:val="00323501"/>
    <w:rsid w:val="003243D2"/>
    <w:rsid w:val="0032493D"/>
    <w:rsid w:val="0032546C"/>
    <w:rsid w:val="00325928"/>
    <w:rsid w:val="00325B87"/>
    <w:rsid w:val="00326B54"/>
    <w:rsid w:val="00326DFF"/>
    <w:rsid w:val="00327510"/>
    <w:rsid w:val="003308CF"/>
    <w:rsid w:val="00332475"/>
    <w:rsid w:val="00332863"/>
    <w:rsid w:val="00333A94"/>
    <w:rsid w:val="00333DD3"/>
    <w:rsid w:val="00333F5B"/>
    <w:rsid w:val="00334591"/>
    <w:rsid w:val="00334D90"/>
    <w:rsid w:val="00335AE7"/>
    <w:rsid w:val="0033602D"/>
    <w:rsid w:val="0033684D"/>
    <w:rsid w:val="0033710E"/>
    <w:rsid w:val="00337B42"/>
    <w:rsid w:val="00341B42"/>
    <w:rsid w:val="00341D12"/>
    <w:rsid w:val="00341DB1"/>
    <w:rsid w:val="003422D6"/>
    <w:rsid w:val="0034348F"/>
    <w:rsid w:val="003444D0"/>
    <w:rsid w:val="0034459A"/>
    <w:rsid w:val="003453DA"/>
    <w:rsid w:val="00345F65"/>
    <w:rsid w:val="003466E2"/>
    <w:rsid w:val="00350587"/>
    <w:rsid w:val="003524C9"/>
    <w:rsid w:val="00352B9D"/>
    <w:rsid w:val="00353244"/>
    <w:rsid w:val="00353621"/>
    <w:rsid w:val="00354637"/>
    <w:rsid w:val="00354678"/>
    <w:rsid w:val="003548F4"/>
    <w:rsid w:val="0035574A"/>
    <w:rsid w:val="00356653"/>
    <w:rsid w:val="0035743F"/>
    <w:rsid w:val="003574D2"/>
    <w:rsid w:val="00357B72"/>
    <w:rsid w:val="00357BE2"/>
    <w:rsid w:val="003613B7"/>
    <w:rsid w:val="0036170C"/>
    <w:rsid w:val="00361CB4"/>
    <w:rsid w:val="003625F2"/>
    <w:rsid w:val="003627E2"/>
    <w:rsid w:val="00363EB3"/>
    <w:rsid w:val="00364D3A"/>
    <w:rsid w:val="00364DCA"/>
    <w:rsid w:val="00364E4B"/>
    <w:rsid w:val="003655DD"/>
    <w:rsid w:val="0036572F"/>
    <w:rsid w:val="00365B68"/>
    <w:rsid w:val="00366E0F"/>
    <w:rsid w:val="00367338"/>
    <w:rsid w:val="00370845"/>
    <w:rsid w:val="003717C4"/>
    <w:rsid w:val="00371C0F"/>
    <w:rsid w:val="003722F9"/>
    <w:rsid w:val="003727A4"/>
    <w:rsid w:val="00372CF9"/>
    <w:rsid w:val="00373118"/>
    <w:rsid w:val="0037385B"/>
    <w:rsid w:val="00373903"/>
    <w:rsid w:val="003753E9"/>
    <w:rsid w:val="00375CA7"/>
    <w:rsid w:val="003764C8"/>
    <w:rsid w:val="00376785"/>
    <w:rsid w:val="003779C1"/>
    <w:rsid w:val="00380652"/>
    <w:rsid w:val="003810B9"/>
    <w:rsid w:val="00381A52"/>
    <w:rsid w:val="00381A72"/>
    <w:rsid w:val="00384676"/>
    <w:rsid w:val="0038548F"/>
    <w:rsid w:val="003854D4"/>
    <w:rsid w:val="003855F3"/>
    <w:rsid w:val="00385D91"/>
    <w:rsid w:val="00386D66"/>
    <w:rsid w:val="00387148"/>
    <w:rsid w:val="00390857"/>
    <w:rsid w:val="00391E4A"/>
    <w:rsid w:val="00391FDD"/>
    <w:rsid w:val="003923AF"/>
    <w:rsid w:val="00392C91"/>
    <w:rsid w:val="00392F66"/>
    <w:rsid w:val="00394362"/>
    <w:rsid w:val="0039454D"/>
    <w:rsid w:val="00394C22"/>
    <w:rsid w:val="00395309"/>
    <w:rsid w:val="003959D7"/>
    <w:rsid w:val="00395D8A"/>
    <w:rsid w:val="00395FA9"/>
    <w:rsid w:val="00396B4E"/>
    <w:rsid w:val="003A0A4E"/>
    <w:rsid w:val="003A0ADD"/>
    <w:rsid w:val="003A0E96"/>
    <w:rsid w:val="003A1096"/>
    <w:rsid w:val="003A1E66"/>
    <w:rsid w:val="003A1EC2"/>
    <w:rsid w:val="003A26E4"/>
    <w:rsid w:val="003A360F"/>
    <w:rsid w:val="003A41A4"/>
    <w:rsid w:val="003A41D9"/>
    <w:rsid w:val="003A43AD"/>
    <w:rsid w:val="003A4BF3"/>
    <w:rsid w:val="003A5B0F"/>
    <w:rsid w:val="003A5BDB"/>
    <w:rsid w:val="003A5FFD"/>
    <w:rsid w:val="003A6A0C"/>
    <w:rsid w:val="003A75A8"/>
    <w:rsid w:val="003B1218"/>
    <w:rsid w:val="003B22B9"/>
    <w:rsid w:val="003B2647"/>
    <w:rsid w:val="003B4206"/>
    <w:rsid w:val="003B420D"/>
    <w:rsid w:val="003B5638"/>
    <w:rsid w:val="003B58E1"/>
    <w:rsid w:val="003C2343"/>
    <w:rsid w:val="003C255B"/>
    <w:rsid w:val="003C32BD"/>
    <w:rsid w:val="003C53BD"/>
    <w:rsid w:val="003C6C16"/>
    <w:rsid w:val="003D1DD2"/>
    <w:rsid w:val="003D4410"/>
    <w:rsid w:val="003D589C"/>
    <w:rsid w:val="003D6591"/>
    <w:rsid w:val="003D66EE"/>
    <w:rsid w:val="003D6E1A"/>
    <w:rsid w:val="003D794D"/>
    <w:rsid w:val="003D7E11"/>
    <w:rsid w:val="003E115C"/>
    <w:rsid w:val="003E28E4"/>
    <w:rsid w:val="003E2D32"/>
    <w:rsid w:val="003E3058"/>
    <w:rsid w:val="003E6834"/>
    <w:rsid w:val="003E7278"/>
    <w:rsid w:val="003E76A9"/>
    <w:rsid w:val="003E772C"/>
    <w:rsid w:val="003E7B46"/>
    <w:rsid w:val="003F0809"/>
    <w:rsid w:val="003F1125"/>
    <w:rsid w:val="003F132C"/>
    <w:rsid w:val="003F197E"/>
    <w:rsid w:val="003F2101"/>
    <w:rsid w:val="003F2476"/>
    <w:rsid w:val="003F2A14"/>
    <w:rsid w:val="003F2E4D"/>
    <w:rsid w:val="003F59BA"/>
    <w:rsid w:val="003F6A8C"/>
    <w:rsid w:val="003F701F"/>
    <w:rsid w:val="003F755C"/>
    <w:rsid w:val="004006D3"/>
    <w:rsid w:val="0040133C"/>
    <w:rsid w:val="0040150D"/>
    <w:rsid w:val="00403A2D"/>
    <w:rsid w:val="00404DA4"/>
    <w:rsid w:val="00405388"/>
    <w:rsid w:val="004057CD"/>
    <w:rsid w:val="00405DFE"/>
    <w:rsid w:val="00406CFB"/>
    <w:rsid w:val="00406F01"/>
    <w:rsid w:val="0040798B"/>
    <w:rsid w:val="00407FD5"/>
    <w:rsid w:val="00410E31"/>
    <w:rsid w:val="00411263"/>
    <w:rsid w:val="00411B3A"/>
    <w:rsid w:val="0041381F"/>
    <w:rsid w:val="0041474B"/>
    <w:rsid w:val="00415A09"/>
    <w:rsid w:val="00415AFA"/>
    <w:rsid w:val="004166B5"/>
    <w:rsid w:val="00416C34"/>
    <w:rsid w:val="00416D50"/>
    <w:rsid w:val="00416FD5"/>
    <w:rsid w:val="00417179"/>
    <w:rsid w:val="00417494"/>
    <w:rsid w:val="00417548"/>
    <w:rsid w:val="004176CB"/>
    <w:rsid w:val="00417772"/>
    <w:rsid w:val="0041785F"/>
    <w:rsid w:val="00417FCC"/>
    <w:rsid w:val="004209DE"/>
    <w:rsid w:val="00420E6A"/>
    <w:rsid w:val="00420F5C"/>
    <w:rsid w:val="0042283B"/>
    <w:rsid w:val="004229BE"/>
    <w:rsid w:val="00424791"/>
    <w:rsid w:val="00425097"/>
    <w:rsid w:val="00425508"/>
    <w:rsid w:val="00425A9E"/>
    <w:rsid w:val="00425C9C"/>
    <w:rsid w:val="004266A1"/>
    <w:rsid w:val="00426D6B"/>
    <w:rsid w:val="004279B2"/>
    <w:rsid w:val="00427F36"/>
    <w:rsid w:val="004305D2"/>
    <w:rsid w:val="004316C8"/>
    <w:rsid w:val="00431747"/>
    <w:rsid w:val="00431E6C"/>
    <w:rsid w:val="0043282B"/>
    <w:rsid w:val="004330E9"/>
    <w:rsid w:val="00433179"/>
    <w:rsid w:val="00433911"/>
    <w:rsid w:val="00433CE7"/>
    <w:rsid w:val="00434FDA"/>
    <w:rsid w:val="00436698"/>
    <w:rsid w:val="00436C55"/>
    <w:rsid w:val="00440668"/>
    <w:rsid w:val="00440A6D"/>
    <w:rsid w:val="00441071"/>
    <w:rsid w:val="004417E9"/>
    <w:rsid w:val="0044183C"/>
    <w:rsid w:val="00443AD4"/>
    <w:rsid w:val="00444138"/>
    <w:rsid w:val="00444DEB"/>
    <w:rsid w:val="0044595E"/>
    <w:rsid w:val="00447824"/>
    <w:rsid w:val="00450679"/>
    <w:rsid w:val="00451081"/>
    <w:rsid w:val="004515D0"/>
    <w:rsid w:val="00451D24"/>
    <w:rsid w:val="0045258D"/>
    <w:rsid w:val="00452738"/>
    <w:rsid w:val="004529CE"/>
    <w:rsid w:val="0045380F"/>
    <w:rsid w:val="00455393"/>
    <w:rsid w:val="00456091"/>
    <w:rsid w:val="00456933"/>
    <w:rsid w:val="00460787"/>
    <w:rsid w:val="00460D8A"/>
    <w:rsid w:val="004617ED"/>
    <w:rsid w:val="00461ADA"/>
    <w:rsid w:val="00462580"/>
    <w:rsid w:val="004630BE"/>
    <w:rsid w:val="00463C11"/>
    <w:rsid w:val="00465680"/>
    <w:rsid w:val="00466321"/>
    <w:rsid w:val="00466A57"/>
    <w:rsid w:val="0046788A"/>
    <w:rsid w:val="00470388"/>
    <w:rsid w:val="00470636"/>
    <w:rsid w:val="00471160"/>
    <w:rsid w:val="00471B52"/>
    <w:rsid w:val="004726C4"/>
    <w:rsid w:val="00473031"/>
    <w:rsid w:val="0047358A"/>
    <w:rsid w:val="00474D1F"/>
    <w:rsid w:val="004751C0"/>
    <w:rsid w:val="00475A9D"/>
    <w:rsid w:val="00476E0F"/>
    <w:rsid w:val="00477236"/>
    <w:rsid w:val="00477AE7"/>
    <w:rsid w:val="00477C93"/>
    <w:rsid w:val="0048009A"/>
    <w:rsid w:val="00480E95"/>
    <w:rsid w:val="00481748"/>
    <w:rsid w:val="00481F16"/>
    <w:rsid w:val="00482740"/>
    <w:rsid w:val="00482FD0"/>
    <w:rsid w:val="00483B62"/>
    <w:rsid w:val="00483C25"/>
    <w:rsid w:val="00484B9B"/>
    <w:rsid w:val="004855F6"/>
    <w:rsid w:val="0048661E"/>
    <w:rsid w:val="00490707"/>
    <w:rsid w:val="00490AAF"/>
    <w:rsid w:val="004914F0"/>
    <w:rsid w:val="00491714"/>
    <w:rsid w:val="00491D90"/>
    <w:rsid w:val="00492693"/>
    <w:rsid w:val="0049287F"/>
    <w:rsid w:val="004931A9"/>
    <w:rsid w:val="004939EA"/>
    <w:rsid w:val="00493DCD"/>
    <w:rsid w:val="00494670"/>
    <w:rsid w:val="00494719"/>
    <w:rsid w:val="00494995"/>
    <w:rsid w:val="00495500"/>
    <w:rsid w:val="00495BB8"/>
    <w:rsid w:val="00495E74"/>
    <w:rsid w:val="004963D5"/>
    <w:rsid w:val="00496A5F"/>
    <w:rsid w:val="00496A80"/>
    <w:rsid w:val="00497193"/>
    <w:rsid w:val="00497D1A"/>
    <w:rsid w:val="004A0CF6"/>
    <w:rsid w:val="004A167C"/>
    <w:rsid w:val="004A1967"/>
    <w:rsid w:val="004A244A"/>
    <w:rsid w:val="004A3375"/>
    <w:rsid w:val="004A36CD"/>
    <w:rsid w:val="004A3823"/>
    <w:rsid w:val="004A3F12"/>
    <w:rsid w:val="004A4B68"/>
    <w:rsid w:val="004A563C"/>
    <w:rsid w:val="004A589D"/>
    <w:rsid w:val="004A6F1C"/>
    <w:rsid w:val="004B077F"/>
    <w:rsid w:val="004B1E06"/>
    <w:rsid w:val="004B2A33"/>
    <w:rsid w:val="004B3195"/>
    <w:rsid w:val="004B3E2B"/>
    <w:rsid w:val="004B66B6"/>
    <w:rsid w:val="004B795A"/>
    <w:rsid w:val="004B7CE0"/>
    <w:rsid w:val="004C0BDD"/>
    <w:rsid w:val="004C1C5B"/>
    <w:rsid w:val="004C1D5D"/>
    <w:rsid w:val="004C3426"/>
    <w:rsid w:val="004C3C07"/>
    <w:rsid w:val="004C477D"/>
    <w:rsid w:val="004C607E"/>
    <w:rsid w:val="004C61DD"/>
    <w:rsid w:val="004C6D23"/>
    <w:rsid w:val="004C6DBE"/>
    <w:rsid w:val="004C7463"/>
    <w:rsid w:val="004D01F5"/>
    <w:rsid w:val="004D05C7"/>
    <w:rsid w:val="004D2892"/>
    <w:rsid w:val="004D37AA"/>
    <w:rsid w:val="004D3EEF"/>
    <w:rsid w:val="004D3F79"/>
    <w:rsid w:val="004D4214"/>
    <w:rsid w:val="004E01F8"/>
    <w:rsid w:val="004E03BD"/>
    <w:rsid w:val="004E38EA"/>
    <w:rsid w:val="004E4AC0"/>
    <w:rsid w:val="004E56F3"/>
    <w:rsid w:val="004E62FF"/>
    <w:rsid w:val="004E6946"/>
    <w:rsid w:val="004E6B60"/>
    <w:rsid w:val="004E70A8"/>
    <w:rsid w:val="004F049D"/>
    <w:rsid w:val="004F1AD8"/>
    <w:rsid w:val="004F217C"/>
    <w:rsid w:val="004F34E8"/>
    <w:rsid w:val="004F3899"/>
    <w:rsid w:val="004F39C2"/>
    <w:rsid w:val="004F3F5B"/>
    <w:rsid w:val="004F3FED"/>
    <w:rsid w:val="004F59CB"/>
    <w:rsid w:val="004F62C6"/>
    <w:rsid w:val="004F6588"/>
    <w:rsid w:val="004F6C8D"/>
    <w:rsid w:val="00500C68"/>
    <w:rsid w:val="00500F41"/>
    <w:rsid w:val="00501994"/>
    <w:rsid w:val="005039CB"/>
    <w:rsid w:val="005043AE"/>
    <w:rsid w:val="00505061"/>
    <w:rsid w:val="00505365"/>
    <w:rsid w:val="0050558F"/>
    <w:rsid w:val="00505ADD"/>
    <w:rsid w:val="00505FF4"/>
    <w:rsid w:val="0050613A"/>
    <w:rsid w:val="00506286"/>
    <w:rsid w:val="00506DC5"/>
    <w:rsid w:val="005076B9"/>
    <w:rsid w:val="00510813"/>
    <w:rsid w:val="00511990"/>
    <w:rsid w:val="00511DE0"/>
    <w:rsid w:val="00512455"/>
    <w:rsid w:val="00512CDA"/>
    <w:rsid w:val="00514870"/>
    <w:rsid w:val="00514B9B"/>
    <w:rsid w:val="00517A78"/>
    <w:rsid w:val="00517AFD"/>
    <w:rsid w:val="00517F02"/>
    <w:rsid w:val="005202A1"/>
    <w:rsid w:val="00520551"/>
    <w:rsid w:val="005211FA"/>
    <w:rsid w:val="00521D7F"/>
    <w:rsid w:val="00522DF0"/>
    <w:rsid w:val="00524303"/>
    <w:rsid w:val="005249F6"/>
    <w:rsid w:val="00524BE6"/>
    <w:rsid w:val="005253CB"/>
    <w:rsid w:val="005258A2"/>
    <w:rsid w:val="0052746F"/>
    <w:rsid w:val="00531816"/>
    <w:rsid w:val="00531EAE"/>
    <w:rsid w:val="005325C9"/>
    <w:rsid w:val="00533866"/>
    <w:rsid w:val="005339FD"/>
    <w:rsid w:val="00534B67"/>
    <w:rsid w:val="005359C2"/>
    <w:rsid w:val="005359F4"/>
    <w:rsid w:val="00535FBA"/>
    <w:rsid w:val="005401AE"/>
    <w:rsid w:val="00540227"/>
    <w:rsid w:val="005406B8"/>
    <w:rsid w:val="005412C8"/>
    <w:rsid w:val="00541A05"/>
    <w:rsid w:val="00541C09"/>
    <w:rsid w:val="00542E07"/>
    <w:rsid w:val="00543142"/>
    <w:rsid w:val="005451EF"/>
    <w:rsid w:val="00545424"/>
    <w:rsid w:val="00545597"/>
    <w:rsid w:val="00546219"/>
    <w:rsid w:val="0054648D"/>
    <w:rsid w:val="00546996"/>
    <w:rsid w:val="005477C6"/>
    <w:rsid w:val="005479BE"/>
    <w:rsid w:val="00550381"/>
    <w:rsid w:val="005509F3"/>
    <w:rsid w:val="00551134"/>
    <w:rsid w:val="005518B6"/>
    <w:rsid w:val="00552256"/>
    <w:rsid w:val="00553326"/>
    <w:rsid w:val="0055409D"/>
    <w:rsid w:val="00554A7B"/>
    <w:rsid w:val="0055572C"/>
    <w:rsid w:val="00556696"/>
    <w:rsid w:val="00557E9D"/>
    <w:rsid w:val="00560C4E"/>
    <w:rsid w:val="00561028"/>
    <w:rsid w:val="0056106A"/>
    <w:rsid w:val="00561AA5"/>
    <w:rsid w:val="00561E06"/>
    <w:rsid w:val="00562B58"/>
    <w:rsid w:val="00562CD9"/>
    <w:rsid w:val="00562E8C"/>
    <w:rsid w:val="00564AF0"/>
    <w:rsid w:val="005661E4"/>
    <w:rsid w:val="00566549"/>
    <w:rsid w:val="00566579"/>
    <w:rsid w:val="005665F6"/>
    <w:rsid w:val="0056672C"/>
    <w:rsid w:val="00566E1A"/>
    <w:rsid w:val="005677FA"/>
    <w:rsid w:val="00567924"/>
    <w:rsid w:val="00567F2D"/>
    <w:rsid w:val="00570262"/>
    <w:rsid w:val="00570F81"/>
    <w:rsid w:val="0057165F"/>
    <w:rsid w:val="005720AE"/>
    <w:rsid w:val="00572895"/>
    <w:rsid w:val="005728C1"/>
    <w:rsid w:val="00572BBD"/>
    <w:rsid w:val="0057405D"/>
    <w:rsid w:val="00575688"/>
    <w:rsid w:val="00575F37"/>
    <w:rsid w:val="00576509"/>
    <w:rsid w:val="00580254"/>
    <w:rsid w:val="0058045A"/>
    <w:rsid w:val="005805CB"/>
    <w:rsid w:val="00581271"/>
    <w:rsid w:val="00581CFB"/>
    <w:rsid w:val="00583AFF"/>
    <w:rsid w:val="00584833"/>
    <w:rsid w:val="0058502C"/>
    <w:rsid w:val="0058509B"/>
    <w:rsid w:val="00585B9F"/>
    <w:rsid w:val="0058742C"/>
    <w:rsid w:val="00590037"/>
    <w:rsid w:val="005935D5"/>
    <w:rsid w:val="00594D77"/>
    <w:rsid w:val="005953C3"/>
    <w:rsid w:val="00595F26"/>
    <w:rsid w:val="0059650F"/>
    <w:rsid w:val="005969E4"/>
    <w:rsid w:val="00597A36"/>
    <w:rsid w:val="005A0049"/>
    <w:rsid w:val="005A01F2"/>
    <w:rsid w:val="005A06B7"/>
    <w:rsid w:val="005A1759"/>
    <w:rsid w:val="005A34C9"/>
    <w:rsid w:val="005A37D8"/>
    <w:rsid w:val="005A48CD"/>
    <w:rsid w:val="005A4A3F"/>
    <w:rsid w:val="005A5765"/>
    <w:rsid w:val="005A58A2"/>
    <w:rsid w:val="005A5D87"/>
    <w:rsid w:val="005A68A7"/>
    <w:rsid w:val="005B1B7A"/>
    <w:rsid w:val="005B2E20"/>
    <w:rsid w:val="005B500E"/>
    <w:rsid w:val="005B57D4"/>
    <w:rsid w:val="005B5A66"/>
    <w:rsid w:val="005B7A82"/>
    <w:rsid w:val="005B7AAC"/>
    <w:rsid w:val="005C02C5"/>
    <w:rsid w:val="005C1A73"/>
    <w:rsid w:val="005C3819"/>
    <w:rsid w:val="005C54BD"/>
    <w:rsid w:val="005C6DD9"/>
    <w:rsid w:val="005C7467"/>
    <w:rsid w:val="005D00F2"/>
    <w:rsid w:val="005D0AA9"/>
    <w:rsid w:val="005D17EF"/>
    <w:rsid w:val="005D23AA"/>
    <w:rsid w:val="005D2410"/>
    <w:rsid w:val="005D26FA"/>
    <w:rsid w:val="005D271D"/>
    <w:rsid w:val="005D29A4"/>
    <w:rsid w:val="005D3600"/>
    <w:rsid w:val="005D36AB"/>
    <w:rsid w:val="005D3700"/>
    <w:rsid w:val="005D3FB1"/>
    <w:rsid w:val="005D7CEE"/>
    <w:rsid w:val="005E0943"/>
    <w:rsid w:val="005E2668"/>
    <w:rsid w:val="005E2B91"/>
    <w:rsid w:val="005E3541"/>
    <w:rsid w:val="005E5A9E"/>
    <w:rsid w:val="005E5E26"/>
    <w:rsid w:val="005E61A9"/>
    <w:rsid w:val="005E6D25"/>
    <w:rsid w:val="005E6FC4"/>
    <w:rsid w:val="005E7CD5"/>
    <w:rsid w:val="005F0439"/>
    <w:rsid w:val="005F0E44"/>
    <w:rsid w:val="005F0F23"/>
    <w:rsid w:val="005F15BE"/>
    <w:rsid w:val="005F3804"/>
    <w:rsid w:val="005F3D47"/>
    <w:rsid w:val="005F4CC0"/>
    <w:rsid w:val="005F6504"/>
    <w:rsid w:val="005F74C5"/>
    <w:rsid w:val="005F7C1E"/>
    <w:rsid w:val="005F7F46"/>
    <w:rsid w:val="00600AF5"/>
    <w:rsid w:val="006013A5"/>
    <w:rsid w:val="0060184A"/>
    <w:rsid w:val="00603A60"/>
    <w:rsid w:val="00604F97"/>
    <w:rsid w:val="00605997"/>
    <w:rsid w:val="00605D2C"/>
    <w:rsid w:val="00607F5D"/>
    <w:rsid w:val="00610247"/>
    <w:rsid w:val="00611F20"/>
    <w:rsid w:val="006121B2"/>
    <w:rsid w:val="0061271D"/>
    <w:rsid w:val="00612930"/>
    <w:rsid w:val="00612B04"/>
    <w:rsid w:val="0061337A"/>
    <w:rsid w:val="006140F2"/>
    <w:rsid w:val="0061449B"/>
    <w:rsid w:val="0061500E"/>
    <w:rsid w:val="006153AD"/>
    <w:rsid w:val="00615D86"/>
    <w:rsid w:val="00617CC3"/>
    <w:rsid w:val="00617D19"/>
    <w:rsid w:val="00620182"/>
    <w:rsid w:val="00620523"/>
    <w:rsid w:val="00621753"/>
    <w:rsid w:val="00622271"/>
    <w:rsid w:val="006227A1"/>
    <w:rsid w:val="00623773"/>
    <w:rsid w:val="006239BB"/>
    <w:rsid w:val="00624E56"/>
    <w:rsid w:val="006257D8"/>
    <w:rsid w:val="00626D25"/>
    <w:rsid w:val="006276E0"/>
    <w:rsid w:val="00627B84"/>
    <w:rsid w:val="00631323"/>
    <w:rsid w:val="00632372"/>
    <w:rsid w:val="00632978"/>
    <w:rsid w:val="00633A93"/>
    <w:rsid w:val="006373D7"/>
    <w:rsid w:val="006377A6"/>
    <w:rsid w:val="00637859"/>
    <w:rsid w:val="00637A3D"/>
    <w:rsid w:val="006411EF"/>
    <w:rsid w:val="00641438"/>
    <w:rsid w:val="00643BE3"/>
    <w:rsid w:val="006442E2"/>
    <w:rsid w:val="0064631F"/>
    <w:rsid w:val="00646E7B"/>
    <w:rsid w:val="006509B2"/>
    <w:rsid w:val="00650F39"/>
    <w:rsid w:val="00652473"/>
    <w:rsid w:val="00652AAE"/>
    <w:rsid w:val="00652F0B"/>
    <w:rsid w:val="00653B86"/>
    <w:rsid w:val="00655C69"/>
    <w:rsid w:val="00657336"/>
    <w:rsid w:val="006579C4"/>
    <w:rsid w:val="00657AE0"/>
    <w:rsid w:val="006608F1"/>
    <w:rsid w:val="0066193E"/>
    <w:rsid w:val="00661C9C"/>
    <w:rsid w:val="00665C3A"/>
    <w:rsid w:val="00665DE1"/>
    <w:rsid w:val="00666289"/>
    <w:rsid w:val="006662C9"/>
    <w:rsid w:val="006666CC"/>
    <w:rsid w:val="00667501"/>
    <w:rsid w:val="0067041B"/>
    <w:rsid w:val="0067074C"/>
    <w:rsid w:val="00670809"/>
    <w:rsid w:val="006711D3"/>
    <w:rsid w:val="00671BCB"/>
    <w:rsid w:val="0067238A"/>
    <w:rsid w:val="00672E3E"/>
    <w:rsid w:val="00673559"/>
    <w:rsid w:val="00674278"/>
    <w:rsid w:val="006748B8"/>
    <w:rsid w:val="00674E0F"/>
    <w:rsid w:val="00675A85"/>
    <w:rsid w:val="00676D75"/>
    <w:rsid w:val="006771C5"/>
    <w:rsid w:val="006775C3"/>
    <w:rsid w:val="00681E8B"/>
    <w:rsid w:val="00682DDB"/>
    <w:rsid w:val="006836D3"/>
    <w:rsid w:val="00683A13"/>
    <w:rsid w:val="00685A0E"/>
    <w:rsid w:val="006862D8"/>
    <w:rsid w:val="00686F0B"/>
    <w:rsid w:val="00687B35"/>
    <w:rsid w:val="00690B05"/>
    <w:rsid w:val="006910FB"/>
    <w:rsid w:val="00691E7E"/>
    <w:rsid w:val="0069290A"/>
    <w:rsid w:val="006935B6"/>
    <w:rsid w:val="00695D5B"/>
    <w:rsid w:val="00697513"/>
    <w:rsid w:val="00697605"/>
    <w:rsid w:val="0069775A"/>
    <w:rsid w:val="00697813"/>
    <w:rsid w:val="006A01FC"/>
    <w:rsid w:val="006A0E0C"/>
    <w:rsid w:val="006A1757"/>
    <w:rsid w:val="006A2669"/>
    <w:rsid w:val="006A292F"/>
    <w:rsid w:val="006A3EE8"/>
    <w:rsid w:val="006A40F1"/>
    <w:rsid w:val="006A71C0"/>
    <w:rsid w:val="006A72BF"/>
    <w:rsid w:val="006A76C9"/>
    <w:rsid w:val="006A7B89"/>
    <w:rsid w:val="006B03F2"/>
    <w:rsid w:val="006B0A9C"/>
    <w:rsid w:val="006B24CF"/>
    <w:rsid w:val="006B27C1"/>
    <w:rsid w:val="006B2B8E"/>
    <w:rsid w:val="006B362A"/>
    <w:rsid w:val="006B37DC"/>
    <w:rsid w:val="006B3D2B"/>
    <w:rsid w:val="006B4F68"/>
    <w:rsid w:val="006B5367"/>
    <w:rsid w:val="006B5709"/>
    <w:rsid w:val="006B608B"/>
    <w:rsid w:val="006B702E"/>
    <w:rsid w:val="006C0237"/>
    <w:rsid w:val="006C0592"/>
    <w:rsid w:val="006C0638"/>
    <w:rsid w:val="006C1E9A"/>
    <w:rsid w:val="006C272E"/>
    <w:rsid w:val="006C3536"/>
    <w:rsid w:val="006C43CE"/>
    <w:rsid w:val="006C4A41"/>
    <w:rsid w:val="006C530A"/>
    <w:rsid w:val="006C5479"/>
    <w:rsid w:val="006C694D"/>
    <w:rsid w:val="006C6A27"/>
    <w:rsid w:val="006D00C4"/>
    <w:rsid w:val="006D13B5"/>
    <w:rsid w:val="006D1699"/>
    <w:rsid w:val="006D3576"/>
    <w:rsid w:val="006D4149"/>
    <w:rsid w:val="006D508F"/>
    <w:rsid w:val="006D50BC"/>
    <w:rsid w:val="006D5424"/>
    <w:rsid w:val="006D5962"/>
    <w:rsid w:val="006D5D8C"/>
    <w:rsid w:val="006D6490"/>
    <w:rsid w:val="006D700F"/>
    <w:rsid w:val="006D71C8"/>
    <w:rsid w:val="006E12FF"/>
    <w:rsid w:val="006E364B"/>
    <w:rsid w:val="006E3FBE"/>
    <w:rsid w:val="006E4A37"/>
    <w:rsid w:val="006E4A70"/>
    <w:rsid w:val="006E539A"/>
    <w:rsid w:val="006E5603"/>
    <w:rsid w:val="006E5EBB"/>
    <w:rsid w:val="006E607E"/>
    <w:rsid w:val="006F0023"/>
    <w:rsid w:val="006F0998"/>
    <w:rsid w:val="006F1D2E"/>
    <w:rsid w:val="006F238C"/>
    <w:rsid w:val="006F3931"/>
    <w:rsid w:val="006F577D"/>
    <w:rsid w:val="006F634C"/>
    <w:rsid w:val="006F648B"/>
    <w:rsid w:val="006F78F6"/>
    <w:rsid w:val="006F7C6B"/>
    <w:rsid w:val="00700773"/>
    <w:rsid w:val="0070115F"/>
    <w:rsid w:val="00701290"/>
    <w:rsid w:val="007037C8"/>
    <w:rsid w:val="0070415E"/>
    <w:rsid w:val="007046C8"/>
    <w:rsid w:val="00704B78"/>
    <w:rsid w:val="007066D8"/>
    <w:rsid w:val="00706C5D"/>
    <w:rsid w:val="007103D3"/>
    <w:rsid w:val="00711569"/>
    <w:rsid w:val="0071179E"/>
    <w:rsid w:val="007136B1"/>
    <w:rsid w:val="00714117"/>
    <w:rsid w:val="00716206"/>
    <w:rsid w:val="0072117B"/>
    <w:rsid w:val="00722218"/>
    <w:rsid w:val="00722642"/>
    <w:rsid w:val="00724222"/>
    <w:rsid w:val="0072582F"/>
    <w:rsid w:val="00726A64"/>
    <w:rsid w:val="0072765D"/>
    <w:rsid w:val="00727A90"/>
    <w:rsid w:val="00727C98"/>
    <w:rsid w:val="00730C9F"/>
    <w:rsid w:val="00731845"/>
    <w:rsid w:val="00731AC3"/>
    <w:rsid w:val="00731AFA"/>
    <w:rsid w:val="00731F61"/>
    <w:rsid w:val="00732236"/>
    <w:rsid w:val="00732922"/>
    <w:rsid w:val="007332B0"/>
    <w:rsid w:val="0073353D"/>
    <w:rsid w:val="00736755"/>
    <w:rsid w:val="00741750"/>
    <w:rsid w:val="007417A1"/>
    <w:rsid w:val="00741A2F"/>
    <w:rsid w:val="00742212"/>
    <w:rsid w:val="007425A2"/>
    <w:rsid w:val="007426AD"/>
    <w:rsid w:val="00742785"/>
    <w:rsid w:val="00743475"/>
    <w:rsid w:val="00743BFC"/>
    <w:rsid w:val="0074469B"/>
    <w:rsid w:val="00745840"/>
    <w:rsid w:val="00746C31"/>
    <w:rsid w:val="00747008"/>
    <w:rsid w:val="0074738B"/>
    <w:rsid w:val="007473ED"/>
    <w:rsid w:val="00747AF7"/>
    <w:rsid w:val="00747C4E"/>
    <w:rsid w:val="00747EE9"/>
    <w:rsid w:val="00750D93"/>
    <w:rsid w:val="0075162E"/>
    <w:rsid w:val="00752A81"/>
    <w:rsid w:val="00752B06"/>
    <w:rsid w:val="00754034"/>
    <w:rsid w:val="00756163"/>
    <w:rsid w:val="00756556"/>
    <w:rsid w:val="00756612"/>
    <w:rsid w:val="00757DAA"/>
    <w:rsid w:val="00760973"/>
    <w:rsid w:val="007615A0"/>
    <w:rsid w:val="00761809"/>
    <w:rsid w:val="007618C4"/>
    <w:rsid w:val="0076190C"/>
    <w:rsid w:val="00761BA1"/>
    <w:rsid w:val="0076257A"/>
    <w:rsid w:val="007628E8"/>
    <w:rsid w:val="00763696"/>
    <w:rsid w:val="00764281"/>
    <w:rsid w:val="00765D1F"/>
    <w:rsid w:val="00765F6E"/>
    <w:rsid w:val="007663FF"/>
    <w:rsid w:val="00767955"/>
    <w:rsid w:val="00767980"/>
    <w:rsid w:val="00770B19"/>
    <w:rsid w:val="00771677"/>
    <w:rsid w:val="00771C3D"/>
    <w:rsid w:val="007735D5"/>
    <w:rsid w:val="00773D55"/>
    <w:rsid w:val="00774188"/>
    <w:rsid w:val="00774524"/>
    <w:rsid w:val="0077463F"/>
    <w:rsid w:val="007748A3"/>
    <w:rsid w:val="00775FD0"/>
    <w:rsid w:val="00776070"/>
    <w:rsid w:val="00776FDF"/>
    <w:rsid w:val="007806F0"/>
    <w:rsid w:val="00780C37"/>
    <w:rsid w:val="00780F00"/>
    <w:rsid w:val="00780FB9"/>
    <w:rsid w:val="00781D91"/>
    <w:rsid w:val="00781EAB"/>
    <w:rsid w:val="0078215C"/>
    <w:rsid w:val="00782B7D"/>
    <w:rsid w:val="0078307E"/>
    <w:rsid w:val="007836EA"/>
    <w:rsid w:val="00783CA8"/>
    <w:rsid w:val="00784795"/>
    <w:rsid w:val="00784B7E"/>
    <w:rsid w:val="00784CDA"/>
    <w:rsid w:val="00784CDC"/>
    <w:rsid w:val="00785FC4"/>
    <w:rsid w:val="00786BD3"/>
    <w:rsid w:val="00787097"/>
    <w:rsid w:val="00787815"/>
    <w:rsid w:val="00790585"/>
    <w:rsid w:val="007906C4"/>
    <w:rsid w:val="00793797"/>
    <w:rsid w:val="007940EA"/>
    <w:rsid w:val="007945F5"/>
    <w:rsid w:val="00795A8B"/>
    <w:rsid w:val="00796308"/>
    <w:rsid w:val="007967E8"/>
    <w:rsid w:val="00796847"/>
    <w:rsid w:val="00796E6A"/>
    <w:rsid w:val="00796FFF"/>
    <w:rsid w:val="00797A7A"/>
    <w:rsid w:val="007A03A9"/>
    <w:rsid w:val="007A15A0"/>
    <w:rsid w:val="007A2170"/>
    <w:rsid w:val="007A22BF"/>
    <w:rsid w:val="007A2582"/>
    <w:rsid w:val="007A266A"/>
    <w:rsid w:val="007A3192"/>
    <w:rsid w:val="007A3323"/>
    <w:rsid w:val="007A3827"/>
    <w:rsid w:val="007A435B"/>
    <w:rsid w:val="007A4FE2"/>
    <w:rsid w:val="007A5B97"/>
    <w:rsid w:val="007A5CC7"/>
    <w:rsid w:val="007A619E"/>
    <w:rsid w:val="007A66F5"/>
    <w:rsid w:val="007A6DF8"/>
    <w:rsid w:val="007A78ED"/>
    <w:rsid w:val="007B01A8"/>
    <w:rsid w:val="007B042E"/>
    <w:rsid w:val="007B043E"/>
    <w:rsid w:val="007B3192"/>
    <w:rsid w:val="007B36F9"/>
    <w:rsid w:val="007B46E4"/>
    <w:rsid w:val="007B540A"/>
    <w:rsid w:val="007B6981"/>
    <w:rsid w:val="007B72B8"/>
    <w:rsid w:val="007B7A58"/>
    <w:rsid w:val="007C062E"/>
    <w:rsid w:val="007C21B5"/>
    <w:rsid w:val="007C5962"/>
    <w:rsid w:val="007C63EF"/>
    <w:rsid w:val="007C64C5"/>
    <w:rsid w:val="007C741E"/>
    <w:rsid w:val="007C76F9"/>
    <w:rsid w:val="007C7988"/>
    <w:rsid w:val="007D0890"/>
    <w:rsid w:val="007D180C"/>
    <w:rsid w:val="007D363C"/>
    <w:rsid w:val="007D4E32"/>
    <w:rsid w:val="007D5DF7"/>
    <w:rsid w:val="007D6D19"/>
    <w:rsid w:val="007D7436"/>
    <w:rsid w:val="007D7CA3"/>
    <w:rsid w:val="007E01E5"/>
    <w:rsid w:val="007E17ED"/>
    <w:rsid w:val="007E29AC"/>
    <w:rsid w:val="007E4BD2"/>
    <w:rsid w:val="007E4D8E"/>
    <w:rsid w:val="007F1389"/>
    <w:rsid w:val="007F1CD0"/>
    <w:rsid w:val="007F2701"/>
    <w:rsid w:val="007F3425"/>
    <w:rsid w:val="007F3CAE"/>
    <w:rsid w:val="007F4243"/>
    <w:rsid w:val="007F797B"/>
    <w:rsid w:val="008009D5"/>
    <w:rsid w:val="00800CD3"/>
    <w:rsid w:val="00801393"/>
    <w:rsid w:val="00802A26"/>
    <w:rsid w:val="00802F88"/>
    <w:rsid w:val="00803220"/>
    <w:rsid w:val="0080417E"/>
    <w:rsid w:val="0080499E"/>
    <w:rsid w:val="00804DEA"/>
    <w:rsid w:val="00805D8A"/>
    <w:rsid w:val="0081019F"/>
    <w:rsid w:val="00810CB5"/>
    <w:rsid w:val="00811183"/>
    <w:rsid w:val="0081293E"/>
    <w:rsid w:val="008143DD"/>
    <w:rsid w:val="00815465"/>
    <w:rsid w:val="00815850"/>
    <w:rsid w:val="00817E9A"/>
    <w:rsid w:val="008202FE"/>
    <w:rsid w:val="0082079C"/>
    <w:rsid w:val="0082167E"/>
    <w:rsid w:val="00821816"/>
    <w:rsid w:val="00824E46"/>
    <w:rsid w:val="00826288"/>
    <w:rsid w:val="00826CD1"/>
    <w:rsid w:val="00827EBF"/>
    <w:rsid w:val="00830088"/>
    <w:rsid w:val="008306BD"/>
    <w:rsid w:val="008316FC"/>
    <w:rsid w:val="00831A80"/>
    <w:rsid w:val="00831E99"/>
    <w:rsid w:val="008320C5"/>
    <w:rsid w:val="00832529"/>
    <w:rsid w:val="0083278F"/>
    <w:rsid w:val="008333A1"/>
    <w:rsid w:val="00833743"/>
    <w:rsid w:val="008340A4"/>
    <w:rsid w:val="008342DC"/>
    <w:rsid w:val="00835141"/>
    <w:rsid w:val="00836883"/>
    <w:rsid w:val="00836F08"/>
    <w:rsid w:val="00837408"/>
    <w:rsid w:val="00837879"/>
    <w:rsid w:val="00840FB7"/>
    <w:rsid w:val="00841017"/>
    <w:rsid w:val="00841F4D"/>
    <w:rsid w:val="00842949"/>
    <w:rsid w:val="00843441"/>
    <w:rsid w:val="008439BE"/>
    <w:rsid w:val="008455DD"/>
    <w:rsid w:val="00846F5C"/>
    <w:rsid w:val="00847916"/>
    <w:rsid w:val="0085039F"/>
    <w:rsid w:val="0085162D"/>
    <w:rsid w:val="00851B18"/>
    <w:rsid w:val="008526F2"/>
    <w:rsid w:val="00853D98"/>
    <w:rsid w:val="00854A6D"/>
    <w:rsid w:val="0085524E"/>
    <w:rsid w:val="00855F26"/>
    <w:rsid w:val="00856FD6"/>
    <w:rsid w:val="00860332"/>
    <w:rsid w:val="0086046B"/>
    <w:rsid w:val="00861AAE"/>
    <w:rsid w:val="00863B7B"/>
    <w:rsid w:val="00864852"/>
    <w:rsid w:val="00864EB4"/>
    <w:rsid w:val="00865532"/>
    <w:rsid w:val="00865DAB"/>
    <w:rsid w:val="00865FE8"/>
    <w:rsid w:val="00867C08"/>
    <w:rsid w:val="00867FC2"/>
    <w:rsid w:val="008708F4"/>
    <w:rsid w:val="0087135F"/>
    <w:rsid w:val="0087151B"/>
    <w:rsid w:val="00872D94"/>
    <w:rsid w:val="00875545"/>
    <w:rsid w:val="008755E3"/>
    <w:rsid w:val="00875A38"/>
    <w:rsid w:val="008762AC"/>
    <w:rsid w:val="00876484"/>
    <w:rsid w:val="008767EB"/>
    <w:rsid w:val="00880364"/>
    <w:rsid w:val="00881E6C"/>
    <w:rsid w:val="00884CF2"/>
    <w:rsid w:val="00884F6F"/>
    <w:rsid w:val="00885663"/>
    <w:rsid w:val="00886677"/>
    <w:rsid w:val="00886DF7"/>
    <w:rsid w:val="0088734A"/>
    <w:rsid w:val="00890924"/>
    <w:rsid w:val="00890DCE"/>
    <w:rsid w:val="00891592"/>
    <w:rsid w:val="00891B01"/>
    <w:rsid w:val="00891E9E"/>
    <w:rsid w:val="00894815"/>
    <w:rsid w:val="008955F1"/>
    <w:rsid w:val="00895FE8"/>
    <w:rsid w:val="008A21B9"/>
    <w:rsid w:val="008A2F68"/>
    <w:rsid w:val="008A464F"/>
    <w:rsid w:val="008A4AEE"/>
    <w:rsid w:val="008A55EB"/>
    <w:rsid w:val="008A5BB0"/>
    <w:rsid w:val="008A685C"/>
    <w:rsid w:val="008A6D7E"/>
    <w:rsid w:val="008A6EAB"/>
    <w:rsid w:val="008A7A9B"/>
    <w:rsid w:val="008A7CA8"/>
    <w:rsid w:val="008B0AC2"/>
    <w:rsid w:val="008B235C"/>
    <w:rsid w:val="008B3DDE"/>
    <w:rsid w:val="008B424E"/>
    <w:rsid w:val="008B4FA6"/>
    <w:rsid w:val="008B5282"/>
    <w:rsid w:val="008B6523"/>
    <w:rsid w:val="008B7489"/>
    <w:rsid w:val="008B7B94"/>
    <w:rsid w:val="008B7C17"/>
    <w:rsid w:val="008C0CBC"/>
    <w:rsid w:val="008C2D01"/>
    <w:rsid w:val="008C40E6"/>
    <w:rsid w:val="008C4114"/>
    <w:rsid w:val="008C427F"/>
    <w:rsid w:val="008C52C4"/>
    <w:rsid w:val="008C7AE0"/>
    <w:rsid w:val="008D0F7A"/>
    <w:rsid w:val="008D170B"/>
    <w:rsid w:val="008D1B03"/>
    <w:rsid w:val="008D1CEE"/>
    <w:rsid w:val="008D2448"/>
    <w:rsid w:val="008D2A69"/>
    <w:rsid w:val="008D3E73"/>
    <w:rsid w:val="008D59D2"/>
    <w:rsid w:val="008D5EA8"/>
    <w:rsid w:val="008D5FE7"/>
    <w:rsid w:val="008D68E4"/>
    <w:rsid w:val="008D7ABF"/>
    <w:rsid w:val="008D7B64"/>
    <w:rsid w:val="008D7DC1"/>
    <w:rsid w:val="008E0506"/>
    <w:rsid w:val="008E0CFF"/>
    <w:rsid w:val="008E1138"/>
    <w:rsid w:val="008E155C"/>
    <w:rsid w:val="008E2BAF"/>
    <w:rsid w:val="008E3435"/>
    <w:rsid w:val="008E46EA"/>
    <w:rsid w:val="008E4A31"/>
    <w:rsid w:val="008E58F3"/>
    <w:rsid w:val="008E5C35"/>
    <w:rsid w:val="008E5D6B"/>
    <w:rsid w:val="008E63B8"/>
    <w:rsid w:val="008E666D"/>
    <w:rsid w:val="008E7374"/>
    <w:rsid w:val="008E76F0"/>
    <w:rsid w:val="008E7B1D"/>
    <w:rsid w:val="008F0ACC"/>
    <w:rsid w:val="008F15FE"/>
    <w:rsid w:val="008F1894"/>
    <w:rsid w:val="008F29A1"/>
    <w:rsid w:val="008F2D29"/>
    <w:rsid w:val="008F2E7E"/>
    <w:rsid w:val="008F3812"/>
    <w:rsid w:val="008F5187"/>
    <w:rsid w:val="008F60D8"/>
    <w:rsid w:val="008F6741"/>
    <w:rsid w:val="008F7B74"/>
    <w:rsid w:val="00900716"/>
    <w:rsid w:val="00900C17"/>
    <w:rsid w:val="00901560"/>
    <w:rsid w:val="00902727"/>
    <w:rsid w:val="00902923"/>
    <w:rsid w:val="00902A81"/>
    <w:rsid w:val="0090312B"/>
    <w:rsid w:val="00903D76"/>
    <w:rsid w:val="00904E3A"/>
    <w:rsid w:val="0090542A"/>
    <w:rsid w:val="00905F46"/>
    <w:rsid w:val="0091010B"/>
    <w:rsid w:val="00910561"/>
    <w:rsid w:val="0091152D"/>
    <w:rsid w:val="009122AA"/>
    <w:rsid w:val="00914DD4"/>
    <w:rsid w:val="00915C02"/>
    <w:rsid w:val="009162DF"/>
    <w:rsid w:val="0091736D"/>
    <w:rsid w:val="00917ED4"/>
    <w:rsid w:val="00920FC0"/>
    <w:rsid w:val="0092173D"/>
    <w:rsid w:val="00921E6A"/>
    <w:rsid w:val="00923791"/>
    <w:rsid w:val="009244A9"/>
    <w:rsid w:val="009249C3"/>
    <w:rsid w:val="00924E49"/>
    <w:rsid w:val="00925636"/>
    <w:rsid w:val="00926096"/>
    <w:rsid w:val="0093037A"/>
    <w:rsid w:val="00930BCB"/>
    <w:rsid w:val="009314D0"/>
    <w:rsid w:val="00932834"/>
    <w:rsid w:val="00932862"/>
    <w:rsid w:val="0093309F"/>
    <w:rsid w:val="00934A5B"/>
    <w:rsid w:val="0093556E"/>
    <w:rsid w:val="00937477"/>
    <w:rsid w:val="00940CE6"/>
    <w:rsid w:val="0094154D"/>
    <w:rsid w:val="00942FDE"/>
    <w:rsid w:val="00943A7D"/>
    <w:rsid w:val="00943CC4"/>
    <w:rsid w:val="00943DEF"/>
    <w:rsid w:val="009446BA"/>
    <w:rsid w:val="009460AA"/>
    <w:rsid w:val="009460B4"/>
    <w:rsid w:val="009464D8"/>
    <w:rsid w:val="00946C28"/>
    <w:rsid w:val="009472D6"/>
    <w:rsid w:val="009472EB"/>
    <w:rsid w:val="00947877"/>
    <w:rsid w:val="009478CD"/>
    <w:rsid w:val="00950189"/>
    <w:rsid w:val="0095155F"/>
    <w:rsid w:val="00951AE6"/>
    <w:rsid w:val="00952172"/>
    <w:rsid w:val="00952CC8"/>
    <w:rsid w:val="00954429"/>
    <w:rsid w:val="00955C58"/>
    <w:rsid w:val="009563CE"/>
    <w:rsid w:val="00956A5B"/>
    <w:rsid w:val="0096064C"/>
    <w:rsid w:val="00961042"/>
    <w:rsid w:val="00961DEB"/>
    <w:rsid w:val="00962584"/>
    <w:rsid w:val="00962A35"/>
    <w:rsid w:val="00963297"/>
    <w:rsid w:val="00964B42"/>
    <w:rsid w:val="00965334"/>
    <w:rsid w:val="009654AF"/>
    <w:rsid w:val="00965695"/>
    <w:rsid w:val="00965BCC"/>
    <w:rsid w:val="00965C91"/>
    <w:rsid w:val="009704C5"/>
    <w:rsid w:val="00971790"/>
    <w:rsid w:val="009721E6"/>
    <w:rsid w:val="00972ACD"/>
    <w:rsid w:val="0097405C"/>
    <w:rsid w:val="00974F3D"/>
    <w:rsid w:val="00974F70"/>
    <w:rsid w:val="00975C03"/>
    <w:rsid w:val="00976328"/>
    <w:rsid w:val="0097680D"/>
    <w:rsid w:val="00977310"/>
    <w:rsid w:val="00982438"/>
    <w:rsid w:val="00983B6C"/>
    <w:rsid w:val="0098404C"/>
    <w:rsid w:val="00985283"/>
    <w:rsid w:val="00985C38"/>
    <w:rsid w:val="00986EAC"/>
    <w:rsid w:val="009873B5"/>
    <w:rsid w:val="00987778"/>
    <w:rsid w:val="0098798B"/>
    <w:rsid w:val="00992AAF"/>
    <w:rsid w:val="00992BAD"/>
    <w:rsid w:val="0099494B"/>
    <w:rsid w:val="0099561D"/>
    <w:rsid w:val="00995992"/>
    <w:rsid w:val="00996450"/>
    <w:rsid w:val="0099652D"/>
    <w:rsid w:val="009973B2"/>
    <w:rsid w:val="009A00BE"/>
    <w:rsid w:val="009A03E5"/>
    <w:rsid w:val="009A0F3B"/>
    <w:rsid w:val="009A1BB4"/>
    <w:rsid w:val="009A241F"/>
    <w:rsid w:val="009A2628"/>
    <w:rsid w:val="009A3200"/>
    <w:rsid w:val="009A34E4"/>
    <w:rsid w:val="009A3A3F"/>
    <w:rsid w:val="009A423B"/>
    <w:rsid w:val="009A4A4C"/>
    <w:rsid w:val="009A58F7"/>
    <w:rsid w:val="009A5DF3"/>
    <w:rsid w:val="009A7644"/>
    <w:rsid w:val="009A7869"/>
    <w:rsid w:val="009B02C9"/>
    <w:rsid w:val="009B031D"/>
    <w:rsid w:val="009B05D8"/>
    <w:rsid w:val="009B0897"/>
    <w:rsid w:val="009B0B25"/>
    <w:rsid w:val="009B0C09"/>
    <w:rsid w:val="009B0E15"/>
    <w:rsid w:val="009B128E"/>
    <w:rsid w:val="009B66B9"/>
    <w:rsid w:val="009B6761"/>
    <w:rsid w:val="009B7BD9"/>
    <w:rsid w:val="009C0502"/>
    <w:rsid w:val="009C161F"/>
    <w:rsid w:val="009C2AB7"/>
    <w:rsid w:val="009C3B9E"/>
    <w:rsid w:val="009C3C91"/>
    <w:rsid w:val="009C3E0A"/>
    <w:rsid w:val="009C4584"/>
    <w:rsid w:val="009C4ED3"/>
    <w:rsid w:val="009C55D0"/>
    <w:rsid w:val="009C568B"/>
    <w:rsid w:val="009C664B"/>
    <w:rsid w:val="009C6CFC"/>
    <w:rsid w:val="009C70B1"/>
    <w:rsid w:val="009C7A12"/>
    <w:rsid w:val="009C7DD5"/>
    <w:rsid w:val="009D0599"/>
    <w:rsid w:val="009D185D"/>
    <w:rsid w:val="009D1B97"/>
    <w:rsid w:val="009D20AE"/>
    <w:rsid w:val="009D2794"/>
    <w:rsid w:val="009D3CA1"/>
    <w:rsid w:val="009D3E66"/>
    <w:rsid w:val="009D4DDC"/>
    <w:rsid w:val="009D4E36"/>
    <w:rsid w:val="009D78E0"/>
    <w:rsid w:val="009D79B9"/>
    <w:rsid w:val="009E227D"/>
    <w:rsid w:val="009E43DF"/>
    <w:rsid w:val="009E4483"/>
    <w:rsid w:val="009E5019"/>
    <w:rsid w:val="009E5E1D"/>
    <w:rsid w:val="009E7086"/>
    <w:rsid w:val="009E70F5"/>
    <w:rsid w:val="009E7EC2"/>
    <w:rsid w:val="009F0556"/>
    <w:rsid w:val="009F1E49"/>
    <w:rsid w:val="009F2FEC"/>
    <w:rsid w:val="009F35A9"/>
    <w:rsid w:val="009F3A28"/>
    <w:rsid w:val="009F59DF"/>
    <w:rsid w:val="009F6415"/>
    <w:rsid w:val="00A00ADB"/>
    <w:rsid w:val="00A0133B"/>
    <w:rsid w:val="00A0251D"/>
    <w:rsid w:val="00A02E77"/>
    <w:rsid w:val="00A04F1B"/>
    <w:rsid w:val="00A0501B"/>
    <w:rsid w:val="00A06615"/>
    <w:rsid w:val="00A07D8A"/>
    <w:rsid w:val="00A121D5"/>
    <w:rsid w:val="00A12741"/>
    <w:rsid w:val="00A12ED9"/>
    <w:rsid w:val="00A13477"/>
    <w:rsid w:val="00A1376E"/>
    <w:rsid w:val="00A14947"/>
    <w:rsid w:val="00A15382"/>
    <w:rsid w:val="00A15561"/>
    <w:rsid w:val="00A1626C"/>
    <w:rsid w:val="00A166CB"/>
    <w:rsid w:val="00A170B8"/>
    <w:rsid w:val="00A17943"/>
    <w:rsid w:val="00A21FAB"/>
    <w:rsid w:val="00A2210E"/>
    <w:rsid w:val="00A226AE"/>
    <w:rsid w:val="00A23749"/>
    <w:rsid w:val="00A243DA"/>
    <w:rsid w:val="00A24974"/>
    <w:rsid w:val="00A24E75"/>
    <w:rsid w:val="00A25090"/>
    <w:rsid w:val="00A255F0"/>
    <w:rsid w:val="00A25600"/>
    <w:rsid w:val="00A26A45"/>
    <w:rsid w:val="00A30720"/>
    <w:rsid w:val="00A3124C"/>
    <w:rsid w:val="00A31CDE"/>
    <w:rsid w:val="00A31EDB"/>
    <w:rsid w:val="00A31F59"/>
    <w:rsid w:val="00A32A83"/>
    <w:rsid w:val="00A35498"/>
    <w:rsid w:val="00A36124"/>
    <w:rsid w:val="00A368DB"/>
    <w:rsid w:val="00A37D1C"/>
    <w:rsid w:val="00A37DDF"/>
    <w:rsid w:val="00A40270"/>
    <w:rsid w:val="00A40BF9"/>
    <w:rsid w:val="00A41B0B"/>
    <w:rsid w:val="00A423AA"/>
    <w:rsid w:val="00A42EA4"/>
    <w:rsid w:val="00A44646"/>
    <w:rsid w:val="00A4519C"/>
    <w:rsid w:val="00A4652F"/>
    <w:rsid w:val="00A46C9E"/>
    <w:rsid w:val="00A47FDE"/>
    <w:rsid w:val="00A500AA"/>
    <w:rsid w:val="00A50923"/>
    <w:rsid w:val="00A529FE"/>
    <w:rsid w:val="00A53B13"/>
    <w:rsid w:val="00A53EC6"/>
    <w:rsid w:val="00A54CC1"/>
    <w:rsid w:val="00A55C0F"/>
    <w:rsid w:val="00A566AD"/>
    <w:rsid w:val="00A57C99"/>
    <w:rsid w:val="00A60FB8"/>
    <w:rsid w:val="00A62DAF"/>
    <w:rsid w:val="00A650B6"/>
    <w:rsid w:val="00A65176"/>
    <w:rsid w:val="00A65A30"/>
    <w:rsid w:val="00A65E3C"/>
    <w:rsid w:val="00A67F68"/>
    <w:rsid w:val="00A702AE"/>
    <w:rsid w:val="00A71007"/>
    <w:rsid w:val="00A71F03"/>
    <w:rsid w:val="00A726EE"/>
    <w:rsid w:val="00A7558D"/>
    <w:rsid w:val="00A75B74"/>
    <w:rsid w:val="00A7647A"/>
    <w:rsid w:val="00A76499"/>
    <w:rsid w:val="00A77B6E"/>
    <w:rsid w:val="00A80C32"/>
    <w:rsid w:val="00A81DEE"/>
    <w:rsid w:val="00A83650"/>
    <w:rsid w:val="00A84598"/>
    <w:rsid w:val="00A85736"/>
    <w:rsid w:val="00A85A41"/>
    <w:rsid w:val="00A85DCC"/>
    <w:rsid w:val="00A86312"/>
    <w:rsid w:val="00A86780"/>
    <w:rsid w:val="00A8713F"/>
    <w:rsid w:val="00A87650"/>
    <w:rsid w:val="00A87D5D"/>
    <w:rsid w:val="00A90577"/>
    <w:rsid w:val="00A90BA1"/>
    <w:rsid w:val="00A93C3C"/>
    <w:rsid w:val="00A9429D"/>
    <w:rsid w:val="00A94C92"/>
    <w:rsid w:val="00A94FCD"/>
    <w:rsid w:val="00A95360"/>
    <w:rsid w:val="00A9609D"/>
    <w:rsid w:val="00A97364"/>
    <w:rsid w:val="00A978DA"/>
    <w:rsid w:val="00A97A9A"/>
    <w:rsid w:val="00A97EDC"/>
    <w:rsid w:val="00AA01AD"/>
    <w:rsid w:val="00AA0671"/>
    <w:rsid w:val="00AA0FD3"/>
    <w:rsid w:val="00AA2531"/>
    <w:rsid w:val="00AA38C9"/>
    <w:rsid w:val="00AA3AE5"/>
    <w:rsid w:val="00AA4E2E"/>
    <w:rsid w:val="00AA51C6"/>
    <w:rsid w:val="00AA57FA"/>
    <w:rsid w:val="00AB108E"/>
    <w:rsid w:val="00AB1E09"/>
    <w:rsid w:val="00AB2B37"/>
    <w:rsid w:val="00AB5001"/>
    <w:rsid w:val="00AB5330"/>
    <w:rsid w:val="00AB5617"/>
    <w:rsid w:val="00AB5B84"/>
    <w:rsid w:val="00AB623F"/>
    <w:rsid w:val="00AB7083"/>
    <w:rsid w:val="00AB70AC"/>
    <w:rsid w:val="00AB7747"/>
    <w:rsid w:val="00AB799A"/>
    <w:rsid w:val="00AB7A64"/>
    <w:rsid w:val="00AC14CE"/>
    <w:rsid w:val="00AC1911"/>
    <w:rsid w:val="00AC2A56"/>
    <w:rsid w:val="00AC2ED0"/>
    <w:rsid w:val="00AC3A26"/>
    <w:rsid w:val="00AC4409"/>
    <w:rsid w:val="00AC46BF"/>
    <w:rsid w:val="00AC62BE"/>
    <w:rsid w:val="00AC7468"/>
    <w:rsid w:val="00AC7724"/>
    <w:rsid w:val="00AD055E"/>
    <w:rsid w:val="00AD1E0B"/>
    <w:rsid w:val="00AD2A9F"/>
    <w:rsid w:val="00AD47A7"/>
    <w:rsid w:val="00AD63D2"/>
    <w:rsid w:val="00AD6615"/>
    <w:rsid w:val="00AD69EB"/>
    <w:rsid w:val="00AD74A5"/>
    <w:rsid w:val="00AD7608"/>
    <w:rsid w:val="00AE0634"/>
    <w:rsid w:val="00AE144B"/>
    <w:rsid w:val="00AE3599"/>
    <w:rsid w:val="00AE3D5F"/>
    <w:rsid w:val="00AE6A75"/>
    <w:rsid w:val="00AE763D"/>
    <w:rsid w:val="00AF0210"/>
    <w:rsid w:val="00AF09A4"/>
    <w:rsid w:val="00AF0CBF"/>
    <w:rsid w:val="00AF257F"/>
    <w:rsid w:val="00AF33CF"/>
    <w:rsid w:val="00AF4501"/>
    <w:rsid w:val="00AF4D50"/>
    <w:rsid w:val="00AF4D68"/>
    <w:rsid w:val="00AF4F9A"/>
    <w:rsid w:val="00AF5690"/>
    <w:rsid w:val="00AF6179"/>
    <w:rsid w:val="00AF7946"/>
    <w:rsid w:val="00AF7AF9"/>
    <w:rsid w:val="00B00019"/>
    <w:rsid w:val="00B00246"/>
    <w:rsid w:val="00B0140C"/>
    <w:rsid w:val="00B01EFD"/>
    <w:rsid w:val="00B01FB5"/>
    <w:rsid w:val="00B056B3"/>
    <w:rsid w:val="00B05A30"/>
    <w:rsid w:val="00B05A3B"/>
    <w:rsid w:val="00B10000"/>
    <w:rsid w:val="00B10197"/>
    <w:rsid w:val="00B106C6"/>
    <w:rsid w:val="00B124E3"/>
    <w:rsid w:val="00B1295A"/>
    <w:rsid w:val="00B131B4"/>
    <w:rsid w:val="00B133A1"/>
    <w:rsid w:val="00B1381D"/>
    <w:rsid w:val="00B13F12"/>
    <w:rsid w:val="00B1547A"/>
    <w:rsid w:val="00B16E7B"/>
    <w:rsid w:val="00B20242"/>
    <w:rsid w:val="00B20A45"/>
    <w:rsid w:val="00B21432"/>
    <w:rsid w:val="00B2207F"/>
    <w:rsid w:val="00B224C5"/>
    <w:rsid w:val="00B22C5C"/>
    <w:rsid w:val="00B23027"/>
    <w:rsid w:val="00B23D46"/>
    <w:rsid w:val="00B24211"/>
    <w:rsid w:val="00B2437B"/>
    <w:rsid w:val="00B2470A"/>
    <w:rsid w:val="00B24F30"/>
    <w:rsid w:val="00B25A88"/>
    <w:rsid w:val="00B27059"/>
    <w:rsid w:val="00B3001C"/>
    <w:rsid w:val="00B3097E"/>
    <w:rsid w:val="00B31310"/>
    <w:rsid w:val="00B318C9"/>
    <w:rsid w:val="00B3197E"/>
    <w:rsid w:val="00B319E2"/>
    <w:rsid w:val="00B31ABF"/>
    <w:rsid w:val="00B31B85"/>
    <w:rsid w:val="00B33BE3"/>
    <w:rsid w:val="00B34C05"/>
    <w:rsid w:val="00B35953"/>
    <w:rsid w:val="00B359D2"/>
    <w:rsid w:val="00B35EC8"/>
    <w:rsid w:val="00B3664C"/>
    <w:rsid w:val="00B36DB9"/>
    <w:rsid w:val="00B36FCC"/>
    <w:rsid w:val="00B3765C"/>
    <w:rsid w:val="00B37D10"/>
    <w:rsid w:val="00B37D1F"/>
    <w:rsid w:val="00B42ACF"/>
    <w:rsid w:val="00B439C3"/>
    <w:rsid w:val="00B44873"/>
    <w:rsid w:val="00B45AE9"/>
    <w:rsid w:val="00B46C09"/>
    <w:rsid w:val="00B51881"/>
    <w:rsid w:val="00B52A35"/>
    <w:rsid w:val="00B535EC"/>
    <w:rsid w:val="00B53B5D"/>
    <w:rsid w:val="00B552D6"/>
    <w:rsid w:val="00B55692"/>
    <w:rsid w:val="00B5601C"/>
    <w:rsid w:val="00B56518"/>
    <w:rsid w:val="00B6026A"/>
    <w:rsid w:val="00B60544"/>
    <w:rsid w:val="00B6055E"/>
    <w:rsid w:val="00B6082D"/>
    <w:rsid w:val="00B612F7"/>
    <w:rsid w:val="00B61CB7"/>
    <w:rsid w:val="00B62877"/>
    <w:rsid w:val="00B6317D"/>
    <w:rsid w:val="00B63B0A"/>
    <w:rsid w:val="00B64734"/>
    <w:rsid w:val="00B6489B"/>
    <w:rsid w:val="00B64C88"/>
    <w:rsid w:val="00B65881"/>
    <w:rsid w:val="00B6600E"/>
    <w:rsid w:val="00B660A3"/>
    <w:rsid w:val="00B6673B"/>
    <w:rsid w:val="00B6734F"/>
    <w:rsid w:val="00B709C6"/>
    <w:rsid w:val="00B72D01"/>
    <w:rsid w:val="00B7383F"/>
    <w:rsid w:val="00B73D24"/>
    <w:rsid w:val="00B74BDD"/>
    <w:rsid w:val="00B756BD"/>
    <w:rsid w:val="00B75967"/>
    <w:rsid w:val="00B77048"/>
    <w:rsid w:val="00B7723F"/>
    <w:rsid w:val="00B77830"/>
    <w:rsid w:val="00B80091"/>
    <w:rsid w:val="00B804C1"/>
    <w:rsid w:val="00B80534"/>
    <w:rsid w:val="00B8063D"/>
    <w:rsid w:val="00B8077D"/>
    <w:rsid w:val="00B8112F"/>
    <w:rsid w:val="00B83048"/>
    <w:rsid w:val="00B83A12"/>
    <w:rsid w:val="00B8433C"/>
    <w:rsid w:val="00B846FF"/>
    <w:rsid w:val="00B87491"/>
    <w:rsid w:val="00B874FB"/>
    <w:rsid w:val="00B87DDA"/>
    <w:rsid w:val="00B90D4A"/>
    <w:rsid w:val="00B91BFD"/>
    <w:rsid w:val="00B91C8E"/>
    <w:rsid w:val="00B9489E"/>
    <w:rsid w:val="00B9556E"/>
    <w:rsid w:val="00B95902"/>
    <w:rsid w:val="00B96587"/>
    <w:rsid w:val="00B974DE"/>
    <w:rsid w:val="00B977E1"/>
    <w:rsid w:val="00BA0F54"/>
    <w:rsid w:val="00BA1992"/>
    <w:rsid w:val="00BA22F1"/>
    <w:rsid w:val="00BA29E9"/>
    <w:rsid w:val="00BA4928"/>
    <w:rsid w:val="00BA50EE"/>
    <w:rsid w:val="00BA59CE"/>
    <w:rsid w:val="00BA62D9"/>
    <w:rsid w:val="00BA7142"/>
    <w:rsid w:val="00BA714F"/>
    <w:rsid w:val="00BA72C6"/>
    <w:rsid w:val="00BA733F"/>
    <w:rsid w:val="00BB1969"/>
    <w:rsid w:val="00BB237C"/>
    <w:rsid w:val="00BB28A2"/>
    <w:rsid w:val="00BB36E2"/>
    <w:rsid w:val="00BB385E"/>
    <w:rsid w:val="00BB41A3"/>
    <w:rsid w:val="00BB41C7"/>
    <w:rsid w:val="00BB478E"/>
    <w:rsid w:val="00BB489B"/>
    <w:rsid w:val="00BB57F2"/>
    <w:rsid w:val="00BB58F4"/>
    <w:rsid w:val="00BB5A9C"/>
    <w:rsid w:val="00BB708E"/>
    <w:rsid w:val="00BB73C6"/>
    <w:rsid w:val="00BB799E"/>
    <w:rsid w:val="00BC06EF"/>
    <w:rsid w:val="00BC0DC2"/>
    <w:rsid w:val="00BC2265"/>
    <w:rsid w:val="00BC2B3B"/>
    <w:rsid w:val="00BC32DC"/>
    <w:rsid w:val="00BC35B6"/>
    <w:rsid w:val="00BC39B1"/>
    <w:rsid w:val="00BC456B"/>
    <w:rsid w:val="00BC4958"/>
    <w:rsid w:val="00BC7EC7"/>
    <w:rsid w:val="00BD059C"/>
    <w:rsid w:val="00BD0D87"/>
    <w:rsid w:val="00BD1967"/>
    <w:rsid w:val="00BD1B51"/>
    <w:rsid w:val="00BD1EED"/>
    <w:rsid w:val="00BD1F5C"/>
    <w:rsid w:val="00BD2CB7"/>
    <w:rsid w:val="00BD3007"/>
    <w:rsid w:val="00BD343B"/>
    <w:rsid w:val="00BD3495"/>
    <w:rsid w:val="00BD4596"/>
    <w:rsid w:val="00BD4B31"/>
    <w:rsid w:val="00BD676E"/>
    <w:rsid w:val="00BD6F6F"/>
    <w:rsid w:val="00BD7A86"/>
    <w:rsid w:val="00BD7B9A"/>
    <w:rsid w:val="00BE1405"/>
    <w:rsid w:val="00BE1FED"/>
    <w:rsid w:val="00BE211F"/>
    <w:rsid w:val="00BE312D"/>
    <w:rsid w:val="00BE3522"/>
    <w:rsid w:val="00BE42E9"/>
    <w:rsid w:val="00BE453E"/>
    <w:rsid w:val="00BE4F2C"/>
    <w:rsid w:val="00BE5B61"/>
    <w:rsid w:val="00BE61E3"/>
    <w:rsid w:val="00BE75C4"/>
    <w:rsid w:val="00BF07B2"/>
    <w:rsid w:val="00BF0E29"/>
    <w:rsid w:val="00BF17C5"/>
    <w:rsid w:val="00BF1C20"/>
    <w:rsid w:val="00BF2987"/>
    <w:rsid w:val="00BF2EBB"/>
    <w:rsid w:val="00BF52E1"/>
    <w:rsid w:val="00BF54B1"/>
    <w:rsid w:val="00BF5939"/>
    <w:rsid w:val="00BF5AC0"/>
    <w:rsid w:val="00BF6952"/>
    <w:rsid w:val="00BF6A22"/>
    <w:rsid w:val="00BF6A98"/>
    <w:rsid w:val="00BF7296"/>
    <w:rsid w:val="00C00776"/>
    <w:rsid w:val="00C0182A"/>
    <w:rsid w:val="00C01BCB"/>
    <w:rsid w:val="00C02BD6"/>
    <w:rsid w:val="00C049C8"/>
    <w:rsid w:val="00C04A2B"/>
    <w:rsid w:val="00C05C3C"/>
    <w:rsid w:val="00C0768F"/>
    <w:rsid w:val="00C10578"/>
    <w:rsid w:val="00C10979"/>
    <w:rsid w:val="00C10C99"/>
    <w:rsid w:val="00C10FEF"/>
    <w:rsid w:val="00C11E62"/>
    <w:rsid w:val="00C1251B"/>
    <w:rsid w:val="00C129AF"/>
    <w:rsid w:val="00C1351F"/>
    <w:rsid w:val="00C135B6"/>
    <w:rsid w:val="00C135BC"/>
    <w:rsid w:val="00C13834"/>
    <w:rsid w:val="00C143F3"/>
    <w:rsid w:val="00C14775"/>
    <w:rsid w:val="00C14BB1"/>
    <w:rsid w:val="00C14D0D"/>
    <w:rsid w:val="00C15894"/>
    <w:rsid w:val="00C15A9C"/>
    <w:rsid w:val="00C15C95"/>
    <w:rsid w:val="00C170E5"/>
    <w:rsid w:val="00C17B10"/>
    <w:rsid w:val="00C2023C"/>
    <w:rsid w:val="00C21D19"/>
    <w:rsid w:val="00C2231D"/>
    <w:rsid w:val="00C234C1"/>
    <w:rsid w:val="00C2457A"/>
    <w:rsid w:val="00C24C36"/>
    <w:rsid w:val="00C2596A"/>
    <w:rsid w:val="00C26D7D"/>
    <w:rsid w:val="00C27537"/>
    <w:rsid w:val="00C27D5B"/>
    <w:rsid w:val="00C3001F"/>
    <w:rsid w:val="00C31814"/>
    <w:rsid w:val="00C328FE"/>
    <w:rsid w:val="00C33507"/>
    <w:rsid w:val="00C34807"/>
    <w:rsid w:val="00C35D94"/>
    <w:rsid w:val="00C37511"/>
    <w:rsid w:val="00C4070C"/>
    <w:rsid w:val="00C40A12"/>
    <w:rsid w:val="00C41847"/>
    <w:rsid w:val="00C43568"/>
    <w:rsid w:val="00C4409D"/>
    <w:rsid w:val="00C44E72"/>
    <w:rsid w:val="00C45A06"/>
    <w:rsid w:val="00C46D7D"/>
    <w:rsid w:val="00C4743E"/>
    <w:rsid w:val="00C47D8E"/>
    <w:rsid w:val="00C47E5B"/>
    <w:rsid w:val="00C502C7"/>
    <w:rsid w:val="00C50497"/>
    <w:rsid w:val="00C5121A"/>
    <w:rsid w:val="00C5198A"/>
    <w:rsid w:val="00C52095"/>
    <w:rsid w:val="00C52FAC"/>
    <w:rsid w:val="00C54336"/>
    <w:rsid w:val="00C54637"/>
    <w:rsid w:val="00C61E4B"/>
    <w:rsid w:val="00C62F31"/>
    <w:rsid w:val="00C64370"/>
    <w:rsid w:val="00C64BFF"/>
    <w:rsid w:val="00C64F9C"/>
    <w:rsid w:val="00C654FB"/>
    <w:rsid w:val="00C669B3"/>
    <w:rsid w:val="00C66B3B"/>
    <w:rsid w:val="00C704E9"/>
    <w:rsid w:val="00C715F3"/>
    <w:rsid w:val="00C71CD9"/>
    <w:rsid w:val="00C72450"/>
    <w:rsid w:val="00C72975"/>
    <w:rsid w:val="00C72A32"/>
    <w:rsid w:val="00C73FFA"/>
    <w:rsid w:val="00C763C9"/>
    <w:rsid w:val="00C7644B"/>
    <w:rsid w:val="00C76710"/>
    <w:rsid w:val="00C76BA4"/>
    <w:rsid w:val="00C76EEB"/>
    <w:rsid w:val="00C77398"/>
    <w:rsid w:val="00C773B0"/>
    <w:rsid w:val="00C80057"/>
    <w:rsid w:val="00C8024E"/>
    <w:rsid w:val="00C82232"/>
    <w:rsid w:val="00C8257B"/>
    <w:rsid w:val="00C82913"/>
    <w:rsid w:val="00C82EA2"/>
    <w:rsid w:val="00C8426F"/>
    <w:rsid w:val="00C85F20"/>
    <w:rsid w:val="00C865A7"/>
    <w:rsid w:val="00C866CA"/>
    <w:rsid w:val="00C86B51"/>
    <w:rsid w:val="00C86D4B"/>
    <w:rsid w:val="00C8752F"/>
    <w:rsid w:val="00C9028C"/>
    <w:rsid w:val="00C90E67"/>
    <w:rsid w:val="00C93D53"/>
    <w:rsid w:val="00C93EAB"/>
    <w:rsid w:val="00C94729"/>
    <w:rsid w:val="00C94B68"/>
    <w:rsid w:val="00C959F5"/>
    <w:rsid w:val="00C96322"/>
    <w:rsid w:val="00C96677"/>
    <w:rsid w:val="00C9674B"/>
    <w:rsid w:val="00C9678F"/>
    <w:rsid w:val="00C972B1"/>
    <w:rsid w:val="00CA01B9"/>
    <w:rsid w:val="00CA0562"/>
    <w:rsid w:val="00CA20B5"/>
    <w:rsid w:val="00CA2CCE"/>
    <w:rsid w:val="00CA354C"/>
    <w:rsid w:val="00CA43FD"/>
    <w:rsid w:val="00CA5840"/>
    <w:rsid w:val="00CA6A8D"/>
    <w:rsid w:val="00CA7E75"/>
    <w:rsid w:val="00CA7EF8"/>
    <w:rsid w:val="00CB0759"/>
    <w:rsid w:val="00CB2965"/>
    <w:rsid w:val="00CB2DF2"/>
    <w:rsid w:val="00CB2FEA"/>
    <w:rsid w:val="00CB33E2"/>
    <w:rsid w:val="00CB3C74"/>
    <w:rsid w:val="00CB3F91"/>
    <w:rsid w:val="00CB437E"/>
    <w:rsid w:val="00CB462C"/>
    <w:rsid w:val="00CB4BF4"/>
    <w:rsid w:val="00CB5413"/>
    <w:rsid w:val="00CB5452"/>
    <w:rsid w:val="00CB5622"/>
    <w:rsid w:val="00CB5ECC"/>
    <w:rsid w:val="00CC0158"/>
    <w:rsid w:val="00CC2236"/>
    <w:rsid w:val="00CC27C1"/>
    <w:rsid w:val="00CC2CD1"/>
    <w:rsid w:val="00CC33D0"/>
    <w:rsid w:val="00CC40F4"/>
    <w:rsid w:val="00CC42B7"/>
    <w:rsid w:val="00CC489B"/>
    <w:rsid w:val="00CC5006"/>
    <w:rsid w:val="00CC6FFB"/>
    <w:rsid w:val="00CC76C9"/>
    <w:rsid w:val="00CD0CFA"/>
    <w:rsid w:val="00CD1FAA"/>
    <w:rsid w:val="00CD2BCD"/>
    <w:rsid w:val="00CD3A4C"/>
    <w:rsid w:val="00CD4C6B"/>
    <w:rsid w:val="00CD5406"/>
    <w:rsid w:val="00CD553A"/>
    <w:rsid w:val="00CD6274"/>
    <w:rsid w:val="00CD761C"/>
    <w:rsid w:val="00CE0D08"/>
    <w:rsid w:val="00CE10E9"/>
    <w:rsid w:val="00CE1E32"/>
    <w:rsid w:val="00CE2910"/>
    <w:rsid w:val="00CE2A85"/>
    <w:rsid w:val="00CE366B"/>
    <w:rsid w:val="00CE3A3F"/>
    <w:rsid w:val="00CE411D"/>
    <w:rsid w:val="00CE416A"/>
    <w:rsid w:val="00CE497F"/>
    <w:rsid w:val="00CE5040"/>
    <w:rsid w:val="00CE5393"/>
    <w:rsid w:val="00CE5A65"/>
    <w:rsid w:val="00CE6C46"/>
    <w:rsid w:val="00CE6E79"/>
    <w:rsid w:val="00CF0478"/>
    <w:rsid w:val="00CF1D92"/>
    <w:rsid w:val="00CF2C1B"/>
    <w:rsid w:val="00CF36BE"/>
    <w:rsid w:val="00CF6000"/>
    <w:rsid w:val="00CF6981"/>
    <w:rsid w:val="00CF6BD9"/>
    <w:rsid w:val="00CF6D8C"/>
    <w:rsid w:val="00D0000A"/>
    <w:rsid w:val="00D003F3"/>
    <w:rsid w:val="00D00B35"/>
    <w:rsid w:val="00D014BA"/>
    <w:rsid w:val="00D0168A"/>
    <w:rsid w:val="00D016DE"/>
    <w:rsid w:val="00D01C90"/>
    <w:rsid w:val="00D0364F"/>
    <w:rsid w:val="00D06834"/>
    <w:rsid w:val="00D06F65"/>
    <w:rsid w:val="00D07321"/>
    <w:rsid w:val="00D07AF7"/>
    <w:rsid w:val="00D116EF"/>
    <w:rsid w:val="00D1198A"/>
    <w:rsid w:val="00D14716"/>
    <w:rsid w:val="00D14969"/>
    <w:rsid w:val="00D14E18"/>
    <w:rsid w:val="00D159CE"/>
    <w:rsid w:val="00D16A48"/>
    <w:rsid w:val="00D2001D"/>
    <w:rsid w:val="00D23841"/>
    <w:rsid w:val="00D24341"/>
    <w:rsid w:val="00D24434"/>
    <w:rsid w:val="00D25057"/>
    <w:rsid w:val="00D2515A"/>
    <w:rsid w:val="00D259A4"/>
    <w:rsid w:val="00D25EF6"/>
    <w:rsid w:val="00D26C56"/>
    <w:rsid w:val="00D308ED"/>
    <w:rsid w:val="00D30FE1"/>
    <w:rsid w:val="00D31B5C"/>
    <w:rsid w:val="00D31DC9"/>
    <w:rsid w:val="00D32437"/>
    <w:rsid w:val="00D32596"/>
    <w:rsid w:val="00D33148"/>
    <w:rsid w:val="00D331C8"/>
    <w:rsid w:val="00D343BD"/>
    <w:rsid w:val="00D34A85"/>
    <w:rsid w:val="00D35115"/>
    <w:rsid w:val="00D352F9"/>
    <w:rsid w:val="00D3599B"/>
    <w:rsid w:val="00D36D5E"/>
    <w:rsid w:val="00D36D86"/>
    <w:rsid w:val="00D40104"/>
    <w:rsid w:val="00D401AE"/>
    <w:rsid w:val="00D421F1"/>
    <w:rsid w:val="00D428AA"/>
    <w:rsid w:val="00D441C7"/>
    <w:rsid w:val="00D4445E"/>
    <w:rsid w:val="00D44481"/>
    <w:rsid w:val="00D467AE"/>
    <w:rsid w:val="00D476C3"/>
    <w:rsid w:val="00D505C6"/>
    <w:rsid w:val="00D50A34"/>
    <w:rsid w:val="00D52295"/>
    <w:rsid w:val="00D537CA"/>
    <w:rsid w:val="00D53EFA"/>
    <w:rsid w:val="00D5480F"/>
    <w:rsid w:val="00D55C2C"/>
    <w:rsid w:val="00D55C2D"/>
    <w:rsid w:val="00D56248"/>
    <w:rsid w:val="00D563EE"/>
    <w:rsid w:val="00D5795B"/>
    <w:rsid w:val="00D602E1"/>
    <w:rsid w:val="00D60363"/>
    <w:rsid w:val="00D60B9B"/>
    <w:rsid w:val="00D613FE"/>
    <w:rsid w:val="00D64FA5"/>
    <w:rsid w:val="00D65C6F"/>
    <w:rsid w:val="00D67014"/>
    <w:rsid w:val="00D70002"/>
    <w:rsid w:val="00D705A4"/>
    <w:rsid w:val="00D71807"/>
    <w:rsid w:val="00D71D6D"/>
    <w:rsid w:val="00D72F00"/>
    <w:rsid w:val="00D73138"/>
    <w:rsid w:val="00D7361C"/>
    <w:rsid w:val="00D744F7"/>
    <w:rsid w:val="00D7459B"/>
    <w:rsid w:val="00D74D30"/>
    <w:rsid w:val="00D74DF2"/>
    <w:rsid w:val="00D74ED1"/>
    <w:rsid w:val="00D750A0"/>
    <w:rsid w:val="00D75DBD"/>
    <w:rsid w:val="00D769EB"/>
    <w:rsid w:val="00D76D3D"/>
    <w:rsid w:val="00D77460"/>
    <w:rsid w:val="00D77B71"/>
    <w:rsid w:val="00D826D4"/>
    <w:rsid w:val="00D83263"/>
    <w:rsid w:val="00D836E9"/>
    <w:rsid w:val="00D8437D"/>
    <w:rsid w:val="00D848F1"/>
    <w:rsid w:val="00D849F3"/>
    <w:rsid w:val="00D84DE3"/>
    <w:rsid w:val="00D8500B"/>
    <w:rsid w:val="00D856E5"/>
    <w:rsid w:val="00D86332"/>
    <w:rsid w:val="00D87B48"/>
    <w:rsid w:val="00D91AAB"/>
    <w:rsid w:val="00D934C9"/>
    <w:rsid w:val="00D94468"/>
    <w:rsid w:val="00D94A7C"/>
    <w:rsid w:val="00D95896"/>
    <w:rsid w:val="00D97D83"/>
    <w:rsid w:val="00D97FE8"/>
    <w:rsid w:val="00DA147B"/>
    <w:rsid w:val="00DA1BEA"/>
    <w:rsid w:val="00DA1CAE"/>
    <w:rsid w:val="00DA204B"/>
    <w:rsid w:val="00DA4899"/>
    <w:rsid w:val="00DA4AC8"/>
    <w:rsid w:val="00DA602C"/>
    <w:rsid w:val="00DA6975"/>
    <w:rsid w:val="00DA6C4C"/>
    <w:rsid w:val="00DA6DEC"/>
    <w:rsid w:val="00DA7246"/>
    <w:rsid w:val="00DA7F48"/>
    <w:rsid w:val="00DB0A38"/>
    <w:rsid w:val="00DB10CC"/>
    <w:rsid w:val="00DB12A5"/>
    <w:rsid w:val="00DB1398"/>
    <w:rsid w:val="00DB22B5"/>
    <w:rsid w:val="00DB2983"/>
    <w:rsid w:val="00DB3C1B"/>
    <w:rsid w:val="00DB3F0E"/>
    <w:rsid w:val="00DB457F"/>
    <w:rsid w:val="00DB513A"/>
    <w:rsid w:val="00DB5DDE"/>
    <w:rsid w:val="00DB77C1"/>
    <w:rsid w:val="00DC0AF4"/>
    <w:rsid w:val="00DC1130"/>
    <w:rsid w:val="00DC1257"/>
    <w:rsid w:val="00DC182C"/>
    <w:rsid w:val="00DC1B3C"/>
    <w:rsid w:val="00DC2B93"/>
    <w:rsid w:val="00DC2F63"/>
    <w:rsid w:val="00DC3DC0"/>
    <w:rsid w:val="00DC4274"/>
    <w:rsid w:val="00DC588D"/>
    <w:rsid w:val="00DC5B2B"/>
    <w:rsid w:val="00DC67DB"/>
    <w:rsid w:val="00DC6882"/>
    <w:rsid w:val="00DD0D9C"/>
    <w:rsid w:val="00DD111A"/>
    <w:rsid w:val="00DD1C83"/>
    <w:rsid w:val="00DD1CB9"/>
    <w:rsid w:val="00DD2279"/>
    <w:rsid w:val="00DD318D"/>
    <w:rsid w:val="00DD4AF8"/>
    <w:rsid w:val="00DD5872"/>
    <w:rsid w:val="00DD5E58"/>
    <w:rsid w:val="00DD6272"/>
    <w:rsid w:val="00DD7066"/>
    <w:rsid w:val="00DE04C7"/>
    <w:rsid w:val="00DE068A"/>
    <w:rsid w:val="00DE08FE"/>
    <w:rsid w:val="00DE2CCA"/>
    <w:rsid w:val="00DE313B"/>
    <w:rsid w:val="00DE3405"/>
    <w:rsid w:val="00DE39F0"/>
    <w:rsid w:val="00DE558A"/>
    <w:rsid w:val="00DE5653"/>
    <w:rsid w:val="00DE5F95"/>
    <w:rsid w:val="00DE69ED"/>
    <w:rsid w:val="00DE6D2C"/>
    <w:rsid w:val="00DE75EE"/>
    <w:rsid w:val="00DE7B79"/>
    <w:rsid w:val="00DF18ED"/>
    <w:rsid w:val="00DF2264"/>
    <w:rsid w:val="00DF2E12"/>
    <w:rsid w:val="00DF31DD"/>
    <w:rsid w:val="00DF514A"/>
    <w:rsid w:val="00DF598F"/>
    <w:rsid w:val="00DF6690"/>
    <w:rsid w:val="00DF6804"/>
    <w:rsid w:val="00DF6F4B"/>
    <w:rsid w:val="00E000D8"/>
    <w:rsid w:val="00E0127A"/>
    <w:rsid w:val="00E017E8"/>
    <w:rsid w:val="00E01A23"/>
    <w:rsid w:val="00E02408"/>
    <w:rsid w:val="00E0358D"/>
    <w:rsid w:val="00E035CF"/>
    <w:rsid w:val="00E039E1"/>
    <w:rsid w:val="00E04323"/>
    <w:rsid w:val="00E04E65"/>
    <w:rsid w:val="00E052CC"/>
    <w:rsid w:val="00E06313"/>
    <w:rsid w:val="00E070A2"/>
    <w:rsid w:val="00E10743"/>
    <w:rsid w:val="00E10F09"/>
    <w:rsid w:val="00E11031"/>
    <w:rsid w:val="00E128F5"/>
    <w:rsid w:val="00E133A1"/>
    <w:rsid w:val="00E136D9"/>
    <w:rsid w:val="00E150BC"/>
    <w:rsid w:val="00E15E96"/>
    <w:rsid w:val="00E20797"/>
    <w:rsid w:val="00E21D5D"/>
    <w:rsid w:val="00E2208C"/>
    <w:rsid w:val="00E24E72"/>
    <w:rsid w:val="00E2656A"/>
    <w:rsid w:val="00E2656F"/>
    <w:rsid w:val="00E26856"/>
    <w:rsid w:val="00E268FD"/>
    <w:rsid w:val="00E2745B"/>
    <w:rsid w:val="00E30080"/>
    <w:rsid w:val="00E30391"/>
    <w:rsid w:val="00E30A65"/>
    <w:rsid w:val="00E32555"/>
    <w:rsid w:val="00E33E4C"/>
    <w:rsid w:val="00E345B4"/>
    <w:rsid w:val="00E37520"/>
    <w:rsid w:val="00E400B8"/>
    <w:rsid w:val="00E41240"/>
    <w:rsid w:val="00E412D0"/>
    <w:rsid w:val="00E41458"/>
    <w:rsid w:val="00E41AAB"/>
    <w:rsid w:val="00E41B09"/>
    <w:rsid w:val="00E43524"/>
    <w:rsid w:val="00E4394A"/>
    <w:rsid w:val="00E43A21"/>
    <w:rsid w:val="00E43AED"/>
    <w:rsid w:val="00E44C55"/>
    <w:rsid w:val="00E461AB"/>
    <w:rsid w:val="00E46599"/>
    <w:rsid w:val="00E50022"/>
    <w:rsid w:val="00E5028A"/>
    <w:rsid w:val="00E50E7C"/>
    <w:rsid w:val="00E518B7"/>
    <w:rsid w:val="00E53253"/>
    <w:rsid w:val="00E540E8"/>
    <w:rsid w:val="00E5483F"/>
    <w:rsid w:val="00E55594"/>
    <w:rsid w:val="00E55BF5"/>
    <w:rsid w:val="00E56322"/>
    <w:rsid w:val="00E573FB"/>
    <w:rsid w:val="00E57FE9"/>
    <w:rsid w:val="00E60982"/>
    <w:rsid w:val="00E60A38"/>
    <w:rsid w:val="00E620AE"/>
    <w:rsid w:val="00E62C62"/>
    <w:rsid w:val="00E62E33"/>
    <w:rsid w:val="00E630F9"/>
    <w:rsid w:val="00E635B4"/>
    <w:rsid w:val="00E6391A"/>
    <w:rsid w:val="00E63B0D"/>
    <w:rsid w:val="00E645B5"/>
    <w:rsid w:val="00E654C1"/>
    <w:rsid w:val="00E657EC"/>
    <w:rsid w:val="00E65D97"/>
    <w:rsid w:val="00E66531"/>
    <w:rsid w:val="00E66A90"/>
    <w:rsid w:val="00E67025"/>
    <w:rsid w:val="00E7112E"/>
    <w:rsid w:val="00E721DF"/>
    <w:rsid w:val="00E72A5A"/>
    <w:rsid w:val="00E72EF7"/>
    <w:rsid w:val="00E73354"/>
    <w:rsid w:val="00E73A11"/>
    <w:rsid w:val="00E73E99"/>
    <w:rsid w:val="00E743B1"/>
    <w:rsid w:val="00E7447F"/>
    <w:rsid w:val="00E745B6"/>
    <w:rsid w:val="00E74B9D"/>
    <w:rsid w:val="00E759EB"/>
    <w:rsid w:val="00E76F31"/>
    <w:rsid w:val="00E77005"/>
    <w:rsid w:val="00E80D1E"/>
    <w:rsid w:val="00E80E9C"/>
    <w:rsid w:val="00E84424"/>
    <w:rsid w:val="00E8472C"/>
    <w:rsid w:val="00E85FF7"/>
    <w:rsid w:val="00E86DCA"/>
    <w:rsid w:val="00E872DF"/>
    <w:rsid w:val="00E879C7"/>
    <w:rsid w:val="00E87ED0"/>
    <w:rsid w:val="00E90E70"/>
    <w:rsid w:val="00E91552"/>
    <w:rsid w:val="00E9157C"/>
    <w:rsid w:val="00E9242D"/>
    <w:rsid w:val="00E9360C"/>
    <w:rsid w:val="00E941DD"/>
    <w:rsid w:val="00E96736"/>
    <w:rsid w:val="00E96CA9"/>
    <w:rsid w:val="00E97264"/>
    <w:rsid w:val="00E972ED"/>
    <w:rsid w:val="00EA12B7"/>
    <w:rsid w:val="00EA580E"/>
    <w:rsid w:val="00EA64A3"/>
    <w:rsid w:val="00EA7E7A"/>
    <w:rsid w:val="00EB0197"/>
    <w:rsid w:val="00EB0AA9"/>
    <w:rsid w:val="00EB10B5"/>
    <w:rsid w:val="00EB1AA5"/>
    <w:rsid w:val="00EB2F36"/>
    <w:rsid w:val="00EB3260"/>
    <w:rsid w:val="00EB32B3"/>
    <w:rsid w:val="00EB449C"/>
    <w:rsid w:val="00EB48E9"/>
    <w:rsid w:val="00EB4FD4"/>
    <w:rsid w:val="00EB5255"/>
    <w:rsid w:val="00EB5C47"/>
    <w:rsid w:val="00EB5EBE"/>
    <w:rsid w:val="00EB7E60"/>
    <w:rsid w:val="00EC0C58"/>
    <w:rsid w:val="00EC16F0"/>
    <w:rsid w:val="00EC2D2D"/>
    <w:rsid w:val="00EC3366"/>
    <w:rsid w:val="00EC3B74"/>
    <w:rsid w:val="00EC3BD6"/>
    <w:rsid w:val="00EC400D"/>
    <w:rsid w:val="00EC490C"/>
    <w:rsid w:val="00EC4C71"/>
    <w:rsid w:val="00EC6AEB"/>
    <w:rsid w:val="00ED0639"/>
    <w:rsid w:val="00ED07F7"/>
    <w:rsid w:val="00ED114E"/>
    <w:rsid w:val="00ED15D5"/>
    <w:rsid w:val="00ED1D96"/>
    <w:rsid w:val="00ED2AEE"/>
    <w:rsid w:val="00ED38F6"/>
    <w:rsid w:val="00ED3AA0"/>
    <w:rsid w:val="00ED424C"/>
    <w:rsid w:val="00ED52B2"/>
    <w:rsid w:val="00ED53F0"/>
    <w:rsid w:val="00ED70E3"/>
    <w:rsid w:val="00ED7C46"/>
    <w:rsid w:val="00EE1726"/>
    <w:rsid w:val="00EE1F12"/>
    <w:rsid w:val="00EE3DD2"/>
    <w:rsid w:val="00EE4938"/>
    <w:rsid w:val="00EE51CB"/>
    <w:rsid w:val="00EE68E9"/>
    <w:rsid w:val="00EF039F"/>
    <w:rsid w:val="00EF0A7B"/>
    <w:rsid w:val="00EF2489"/>
    <w:rsid w:val="00EF2BE7"/>
    <w:rsid w:val="00EF2EE8"/>
    <w:rsid w:val="00EF32AE"/>
    <w:rsid w:val="00EF4217"/>
    <w:rsid w:val="00EF465E"/>
    <w:rsid w:val="00EF4755"/>
    <w:rsid w:val="00EF5EEE"/>
    <w:rsid w:val="00EF7135"/>
    <w:rsid w:val="00EF79A1"/>
    <w:rsid w:val="00F0012E"/>
    <w:rsid w:val="00F002A1"/>
    <w:rsid w:val="00F020D6"/>
    <w:rsid w:val="00F024B4"/>
    <w:rsid w:val="00F0251B"/>
    <w:rsid w:val="00F027DB"/>
    <w:rsid w:val="00F02993"/>
    <w:rsid w:val="00F02B7F"/>
    <w:rsid w:val="00F032DE"/>
    <w:rsid w:val="00F03BB9"/>
    <w:rsid w:val="00F0524D"/>
    <w:rsid w:val="00F05CD3"/>
    <w:rsid w:val="00F061EB"/>
    <w:rsid w:val="00F06780"/>
    <w:rsid w:val="00F06E3C"/>
    <w:rsid w:val="00F104E1"/>
    <w:rsid w:val="00F11971"/>
    <w:rsid w:val="00F11E35"/>
    <w:rsid w:val="00F14A7A"/>
    <w:rsid w:val="00F14F03"/>
    <w:rsid w:val="00F15D2B"/>
    <w:rsid w:val="00F16334"/>
    <w:rsid w:val="00F1665B"/>
    <w:rsid w:val="00F175D4"/>
    <w:rsid w:val="00F22281"/>
    <w:rsid w:val="00F22985"/>
    <w:rsid w:val="00F23DA3"/>
    <w:rsid w:val="00F242CB"/>
    <w:rsid w:val="00F24B5F"/>
    <w:rsid w:val="00F25190"/>
    <w:rsid w:val="00F26469"/>
    <w:rsid w:val="00F26B19"/>
    <w:rsid w:val="00F301A2"/>
    <w:rsid w:val="00F307EC"/>
    <w:rsid w:val="00F309E6"/>
    <w:rsid w:val="00F30B53"/>
    <w:rsid w:val="00F3126E"/>
    <w:rsid w:val="00F313A8"/>
    <w:rsid w:val="00F31608"/>
    <w:rsid w:val="00F31CB6"/>
    <w:rsid w:val="00F32D42"/>
    <w:rsid w:val="00F3383E"/>
    <w:rsid w:val="00F33937"/>
    <w:rsid w:val="00F33F69"/>
    <w:rsid w:val="00F34005"/>
    <w:rsid w:val="00F34D68"/>
    <w:rsid w:val="00F3742F"/>
    <w:rsid w:val="00F3752A"/>
    <w:rsid w:val="00F37633"/>
    <w:rsid w:val="00F37D15"/>
    <w:rsid w:val="00F37F83"/>
    <w:rsid w:val="00F40B5D"/>
    <w:rsid w:val="00F424BD"/>
    <w:rsid w:val="00F43331"/>
    <w:rsid w:val="00F439AB"/>
    <w:rsid w:val="00F43ED7"/>
    <w:rsid w:val="00F446B8"/>
    <w:rsid w:val="00F44D7E"/>
    <w:rsid w:val="00F450F5"/>
    <w:rsid w:val="00F452DB"/>
    <w:rsid w:val="00F465A7"/>
    <w:rsid w:val="00F474F5"/>
    <w:rsid w:val="00F47851"/>
    <w:rsid w:val="00F50B7C"/>
    <w:rsid w:val="00F510B4"/>
    <w:rsid w:val="00F51A7C"/>
    <w:rsid w:val="00F52607"/>
    <w:rsid w:val="00F52680"/>
    <w:rsid w:val="00F54817"/>
    <w:rsid w:val="00F550E6"/>
    <w:rsid w:val="00F55188"/>
    <w:rsid w:val="00F55795"/>
    <w:rsid w:val="00F62853"/>
    <w:rsid w:val="00F62C45"/>
    <w:rsid w:val="00F63ACE"/>
    <w:rsid w:val="00F64749"/>
    <w:rsid w:val="00F647B8"/>
    <w:rsid w:val="00F65281"/>
    <w:rsid w:val="00F65B21"/>
    <w:rsid w:val="00F65CB7"/>
    <w:rsid w:val="00F66F17"/>
    <w:rsid w:val="00F67763"/>
    <w:rsid w:val="00F70251"/>
    <w:rsid w:val="00F70999"/>
    <w:rsid w:val="00F72499"/>
    <w:rsid w:val="00F73B86"/>
    <w:rsid w:val="00F74345"/>
    <w:rsid w:val="00F74A43"/>
    <w:rsid w:val="00F7734F"/>
    <w:rsid w:val="00F776DB"/>
    <w:rsid w:val="00F80A0A"/>
    <w:rsid w:val="00F8187A"/>
    <w:rsid w:val="00F81D9F"/>
    <w:rsid w:val="00F82647"/>
    <w:rsid w:val="00F8283B"/>
    <w:rsid w:val="00F82B19"/>
    <w:rsid w:val="00F82EFC"/>
    <w:rsid w:val="00F836D5"/>
    <w:rsid w:val="00F83ADA"/>
    <w:rsid w:val="00F84B42"/>
    <w:rsid w:val="00F84CD4"/>
    <w:rsid w:val="00F84DF2"/>
    <w:rsid w:val="00F872AA"/>
    <w:rsid w:val="00F87C45"/>
    <w:rsid w:val="00F90002"/>
    <w:rsid w:val="00F9083B"/>
    <w:rsid w:val="00F90AC6"/>
    <w:rsid w:val="00F91004"/>
    <w:rsid w:val="00F9212D"/>
    <w:rsid w:val="00F9285A"/>
    <w:rsid w:val="00F929B0"/>
    <w:rsid w:val="00F93233"/>
    <w:rsid w:val="00F93C7E"/>
    <w:rsid w:val="00F93F95"/>
    <w:rsid w:val="00F94396"/>
    <w:rsid w:val="00F95470"/>
    <w:rsid w:val="00F965DA"/>
    <w:rsid w:val="00F9769D"/>
    <w:rsid w:val="00FA09C3"/>
    <w:rsid w:val="00FA1F49"/>
    <w:rsid w:val="00FA285B"/>
    <w:rsid w:val="00FA2C34"/>
    <w:rsid w:val="00FA2D81"/>
    <w:rsid w:val="00FA33BA"/>
    <w:rsid w:val="00FA37A7"/>
    <w:rsid w:val="00FA37D4"/>
    <w:rsid w:val="00FA406A"/>
    <w:rsid w:val="00FA4FF5"/>
    <w:rsid w:val="00FA515F"/>
    <w:rsid w:val="00FA52F2"/>
    <w:rsid w:val="00FA6198"/>
    <w:rsid w:val="00FA620B"/>
    <w:rsid w:val="00FA653A"/>
    <w:rsid w:val="00FA6E9C"/>
    <w:rsid w:val="00FA759B"/>
    <w:rsid w:val="00FA7715"/>
    <w:rsid w:val="00FA7A00"/>
    <w:rsid w:val="00FA7ECD"/>
    <w:rsid w:val="00FB08BC"/>
    <w:rsid w:val="00FB10A0"/>
    <w:rsid w:val="00FB154C"/>
    <w:rsid w:val="00FB2282"/>
    <w:rsid w:val="00FB23A5"/>
    <w:rsid w:val="00FB289C"/>
    <w:rsid w:val="00FB45BC"/>
    <w:rsid w:val="00FB503A"/>
    <w:rsid w:val="00FB516C"/>
    <w:rsid w:val="00FB5351"/>
    <w:rsid w:val="00FB6172"/>
    <w:rsid w:val="00FB6368"/>
    <w:rsid w:val="00FB6549"/>
    <w:rsid w:val="00FB6ED7"/>
    <w:rsid w:val="00FC0090"/>
    <w:rsid w:val="00FC2E8D"/>
    <w:rsid w:val="00FC588B"/>
    <w:rsid w:val="00FC5A37"/>
    <w:rsid w:val="00FC5C38"/>
    <w:rsid w:val="00FC6317"/>
    <w:rsid w:val="00FC649D"/>
    <w:rsid w:val="00FC7567"/>
    <w:rsid w:val="00FC7FC0"/>
    <w:rsid w:val="00FD0236"/>
    <w:rsid w:val="00FD1348"/>
    <w:rsid w:val="00FD18F4"/>
    <w:rsid w:val="00FD2424"/>
    <w:rsid w:val="00FD266F"/>
    <w:rsid w:val="00FD4386"/>
    <w:rsid w:val="00FD4D76"/>
    <w:rsid w:val="00FD5125"/>
    <w:rsid w:val="00FD54DB"/>
    <w:rsid w:val="00FD5B63"/>
    <w:rsid w:val="00FD6040"/>
    <w:rsid w:val="00FD619F"/>
    <w:rsid w:val="00FD6791"/>
    <w:rsid w:val="00FD7FD4"/>
    <w:rsid w:val="00FE0809"/>
    <w:rsid w:val="00FE0EF8"/>
    <w:rsid w:val="00FE26D9"/>
    <w:rsid w:val="00FE2B4A"/>
    <w:rsid w:val="00FE3081"/>
    <w:rsid w:val="00FE450D"/>
    <w:rsid w:val="00FE5DE6"/>
    <w:rsid w:val="00FE5FC7"/>
    <w:rsid w:val="00FE7BBB"/>
    <w:rsid w:val="00FF040B"/>
    <w:rsid w:val="00FF0E60"/>
    <w:rsid w:val="00FF109A"/>
    <w:rsid w:val="00FF1C06"/>
    <w:rsid w:val="00FF309A"/>
    <w:rsid w:val="00FF3A24"/>
    <w:rsid w:val="00FF3E9C"/>
    <w:rsid w:val="00FF41F3"/>
    <w:rsid w:val="00FF6B1A"/>
    <w:rsid w:val="010756B4"/>
    <w:rsid w:val="011074D4"/>
    <w:rsid w:val="01151499"/>
    <w:rsid w:val="011545FC"/>
    <w:rsid w:val="01243A71"/>
    <w:rsid w:val="01290F7E"/>
    <w:rsid w:val="012B64AF"/>
    <w:rsid w:val="01387DCA"/>
    <w:rsid w:val="013B0DE8"/>
    <w:rsid w:val="013E0DEB"/>
    <w:rsid w:val="014852B3"/>
    <w:rsid w:val="014D7DE7"/>
    <w:rsid w:val="01527921"/>
    <w:rsid w:val="015772A4"/>
    <w:rsid w:val="015D1E09"/>
    <w:rsid w:val="01610203"/>
    <w:rsid w:val="016D4D19"/>
    <w:rsid w:val="01762C10"/>
    <w:rsid w:val="017A7332"/>
    <w:rsid w:val="017C3EDA"/>
    <w:rsid w:val="01822782"/>
    <w:rsid w:val="018856AF"/>
    <w:rsid w:val="018857CB"/>
    <w:rsid w:val="018B32D0"/>
    <w:rsid w:val="01AC75F0"/>
    <w:rsid w:val="01B74948"/>
    <w:rsid w:val="01BE4BFE"/>
    <w:rsid w:val="01BF37C7"/>
    <w:rsid w:val="01C95025"/>
    <w:rsid w:val="01CA7A93"/>
    <w:rsid w:val="01D24D4F"/>
    <w:rsid w:val="01DC6CAC"/>
    <w:rsid w:val="01DD1E9F"/>
    <w:rsid w:val="01EA0118"/>
    <w:rsid w:val="01EC5C3E"/>
    <w:rsid w:val="01F33470"/>
    <w:rsid w:val="020E2058"/>
    <w:rsid w:val="021A6631"/>
    <w:rsid w:val="02263969"/>
    <w:rsid w:val="02291C66"/>
    <w:rsid w:val="023201D6"/>
    <w:rsid w:val="023E3A16"/>
    <w:rsid w:val="0268700D"/>
    <w:rsid w:val="02697903"/>
    <w:rsid w:val="026B1FE3"/>
    <w:rsid w:val="026E2AF7"/>
    <w:rsid w:val="026F2799"/>
    <w:rsid w:val="027D4622"/>
    <w:rsid w:val="027E7935"/>
    <w:rsid w:val="0289221B"/>
    <w:rsid w:val="02895B83"/>
    <w:rsid w:val="029374D8"/>
    <w:rsid w:val="02B20C36"/>
    <w:rsid w:val="02B66326"/>
    <w:rsid w:val="02C150DA"/>
    <w:rsid w:val="02C92423"/>
    <w:rsid w:val="02CC54D3"/>
    <w:rsid w:val="02CE6832"/>
    <w:rsid w:val="02DE268A"/>
    <w:rsid w:val="02E34EA5"/>
    <w:rsid w:val="02E604C9"/>
    <w:rsid w:val="02F96569"/>
    <w:rsid w:val="030A0A72"/>
    <w:rsid w:val="030D75CB"/>
    <w:rsid w:val="03233F4D"/>
    <w:rsid w:val="0331568B"/>
    <w:rsid w:val="033B36EE"/>
    <w:rsid w:val="034642D2"/>
    <w:rsid w:val="03597303"/>
    <w:rsid w:val="035F1F92"/>
    <w:rsid w:val="036A1510"/>
    <w:rsid w:val="036C3FC7"/>
    <w:rsid w:val="0371719D"/>
    <w:rsid w:val="037B4C69"/>
    <w:rsid w:val="038D1E58"/>
    <w:rsid w:val="03905EAF"/>
    <w:rsid w:val="03915582"/>
    <w:rsid w:val="039F295E"/>
    <w:rsid w:val="03A334C0"/>
    <w:rsid w:val="03A502A7"/>
    <w:rsid w:val="03A862B0"/>
    <w:rsid w:val="03AD58A1"/>
    <w:rsid w:val="03B32F5D"/>
    <w:rsid w:val="03B647DC"/>
    <w:rsid w:val="03E56DE9"/>
    <w:rsid w:val="03EA43FF"/>
    <w:rsid w:val="03EA7B21"/>
    <w:rsid w:val="03F27EBB"/>
    <w:rsid w:val="03FA2C28"/>
    <w:rsid w:val="040E2F10"/>
    <w:rsid w:val="04163446"/>
    <w:rsid w:val="043775F0"/>
    <w:rsid w:val="043D73DF"/>
    <w:rsid w:val="0445482F"/>
    <w:rsid w:val="044C0C16"/>
    <w:rsid w:val="044E498E"/>
    <w:rsid w:val="045954B6"/>
    <w:rsid w:val="046448DE"/>
    <w:rsid w:val="046631AC"/>
    <w:rsid w:val="046D131D"/>
    <w:rsid w:val="04805B99"/>
    <w:rsid w:val="04826935"/>
    <w:rsid w:val="048760F2"/>
    <w:rsid w:val="048D195A"/>
    <w:rsid w:val="04931610"/>
    <w:rsid w:val="049C5C0D"/>
    <w:rsid w:val="04B0389B"/>
    <w:rsid w:val="04B10BD0"/>
    <w:rsid w:val="04B423EC"/>
    <w:rsid w:val="04BA08C0"/>
    <w:rsid w:val="04BC5D9C"/>
    <w:rsid w:val="04C44830"/>
    <w:rsid w:val="04D634A8"/>
    <w:rsid w:val="04E65769"/>
    <w:rsid w:val="05084DCE"/>
    <w:rsid w:val="05104339"/>
    <w:rsid w:val="0517570E"/>
    <w:rsid w:val="054120E1"/>
    <w:rsid w:val="054651BE"/>
    <w:rsid w:val="054A15F9"/>
    <w:rsid w:val="05535400"/>
    <w:rsid w:val="055537C9"/>
    <w:rsid w:val="055661F0"/>
    <w:rsid w:val="05592701"/>
    <w:rsid w:val="056120BB"/>
    <w:rsid w:val="057121C2"/>
    <w:rsid w:val="05740784"/>
    <w:rsid w:val="05834B0B"/>
    <w:rsid w:val="0599432F"/>
    <w:rsid w:val="059960DD"/>
    <w:rsid w:val="059A5FFA"/>
    <w:rsid w:val="05AD48C9"/>
    <w:rsid w:val="05B4037F"/>
    <w:rsid w:val="05BE4F94"/>
    <w:rsid w:val="05C01A94"/>
    <w:rsid w:val="05C55124"/>
    <w:rsid w:val="05D36833"/>
    <w:rsid w:val="05D63747"/>
    <w:rsid w:val="05DC421B"/>
    <w:rsid w:val="05E27A84"/>
    <w:rsid w:val="05E41922"/>
    <w:rsid w:val="05EF3F4F"/>
    <w:rsid w:val="05F3131E"/>
    <w:rsid w:val="05F8288B"/>
    <w:rsid w:val="05F83EAE"/>
    <w:rsid w:val="05F872A7"/>
    <w:rsid w:val="061F2A86"/>
    <w:rsid w:val="063708A7"/>
    <w:rsid w:val="063D3CB0"/>
    <w:rsid w:val="063E7D85"/>
    <w:rsid w:val="06533545"/>
    <w:rsid w:val="065530CD"/>
    <w:rsid w:val="0669319E"/>
    <w:rsid w:val="066A1827"/>
    <w:rsid w:val="06824515"/>
    <w:rsid w:val="069074E0"/>
    <w:rsid w:val="06963ADE"/>
    <w:rsid w:val="069B6EEA"/>
    <w:rsid w:val="06A765D7"/>
    <w:rsid w:val="06AB71F5"/>
    <w:rsid w:val="06AE3E0A"/>
    <w:rsid w:val="06AE52E3"/>
    <w:rsid w:val="06B15372"/>
    <w:rsid w:val="06E8731C"/>
    <w:rsid w:val="06FF6413"/>
    <w:rsid w:val="07030976"/>
    <w:rsid w:val="070A6B46"/>
    <w:rsid w:val="070B125C"/>
    <w:rsid w:val="070B6B66"/>
    <w:rsid w:val="071023CF"/>
    <w:rsid w:val="071A3688"/>
    <w:rsid w:val="071F777F"/>
    <w:rsid w:val="07267E44"/>
    <w:rsid w:val="07293586"/>
    <w:rsid w:val="07295285"/>
    <w:rsid w:val="072C7B40"/>
    <w:rsid w:val="073F4A62"/>
    <w:rsid w:val="07450F80"/>
    <w:rsid w:val="07462294"/>
    <w:rsid w:val="075B5D40"/>
    <w:rsid w:val="075C5614"/>
    <w:rsid w:val="07612945"/>
    <w:rsid w:val="07636392"/>
    <w:rsid w:val="0764271A"/>
    <w:rsid w:val="07645CD3"/>
    <w:rsid w:val="07690E88"/>
    <w:rsid w:val="07770C56"/>
    <w:rsid w:val="07772443"/>
    <w:rsid w:val="077961C6"/>
    <w:rsid w:val="077D2017"/>
    <w:rsid w:val="078574AF"/>
    <w:rsid w:val="07894234"/>
    <w:rsid w:val="078D7EC3"/>
    <w:rsid w:val="07950083"/>
    <w:rsid w:val="079A5EF4"/>
    <w:rsid w:val="079C505E"/>
    <w:rsid w:val="07B92A66"/>
    <w:rsid w:val="07BB1364"/>
    <w:rsid w:val="07CC0B06"/>
    <w:rsid w:val="07D176B9"/>
    <w:rsid w:val="07D24A1A"/>
    <w:rsid w:val="07F25B38"/>
    <w:rsid w:val="07FB0624"/>
    <w:rsid w:val="07FD6DF7"/>
    <w:rsid w:val="08241F16"/>
    <w:rsid w:val="082E5202"/>
    <w:rsid w:val="085A1073"/>
    <w:rsid w:val="08601792"/>
    <w:rsid w:val="086B6B84"/>
    <w:rsid w:val="086C244F"/>
    <w:rsid w:val="086F26CD"/>
    <w:rsid w:val="088E0328"/>
    <w:rsid w:val="089D5EE4"/>
    <w:rsid w:val="08A76D63"/>
    <w:rsid w:val="08B81530"/>
    <w:rsid w:val="08B843E0"/>
    <w:rsid w:val="08BE015C"/>
    <w:rsid w:val="08C77405"/>
    <w:rsid w:val="08E20912"/>
    <w:rsid w:val="08EB03DA"/>
    <w:rsid w:val="08FC0CC2"/>
    <w:rsid w:val="08FD1DEA"/>
    <w:rsid w:val="090B7225"/>
    <w:rsid w:val="091C334D"/>
    <w:rsid w:val="0920065A"/>
    <w:rsid w:val="092217DD"/>
    <w:rsid w:val="09273F19"/>
    <w:rsid w:val="093973E9"/>
    <w:rsid w:val="093A7294"/>
    <w:rsid w:val="094B6EAC"/>
    <w:rsid w:val="09574754"/>
    <w:rsid w:val="095E2056"/>
    <w:rsid w:val="096133B5"/>
    <w:rsid w:val="09644C54"/>
    <w:rsid w:val="09683BE0"/>
    <w:rsid w:val="097407FD"/>
    <w:rsid w:val="09756619"/>
    <w:rsid w:val="097A4477"/>
    <w:rsid w:val="098303A2"/>
    <w:rsid w:val="098D0CBF"/>
    <w:rsid w:val="09945539"/>
    <w:rsid w:val="09AD7032"/>
    <w:rsid w:val="09B61203"/>
    <w:rsid w:val="09BC683E"/>
    <w:rsid w:val="09BD0C84"/>
    <w:rsid w:val="09C15C02"/>
    <w:rsid w:val="09CD1BE3"/>
    <w:rsid w:val="09D83D52"/>
    <w:rsid w:val="09DB4F16"/>
    <w:rsid w:val="09DE1F31"/>
    <w:rsid w:val="09DE4490"/>
    <w:rsid w:val="09E46C23"/>
    <w:rsid w:val="09EF276F"/>
    <w:rsid w:val="09F36FDE"/>
    <w:rsid w:val="09FB1114"/>
    <w:rsid w:val="0A01277D"/>
    <w:rsid w:val="0A0228C1"/>
    <w:rsid w:val="0A0660E1"/>
    <w:rsid w:val="0A0F2A16"/>
    <w:rsid w:val="0A217932"/>
    <w:rsid w:val="0A263993"/>
    <w:rsid w:val="0A26688F"/>
    <w:rsid w:val="0A2D3AC2"/>
    <w:rsid w:val="0A326D2B"/>
    <w:rsid w:val="0A3324F1"/>
    <w:rsid w:val="0A3624D4"/>
    <w:rsid w:val="0A382368"/>
    <w:rsid w:val="0A4A4100"/>
    <w:rsid w:val="0A4C27D5"/>
    <w:rsid w:val="0A50174E"/>
    <w:rsid w:val="0A5228E8"/>
    <w:rsid w:val="0A5243FE"/>
    <w:rsid w:val="0A595E3B"/>
    <w:rsid w:val="0A5B078E"/>
    <w:rsid w:val="0A640748"/>
    <w:rsid w:val="0A6A44EC"/>
    <w:rsid w:val="0A6D18E6"/>
    <w:rsid w:val="0A722304"/>
    <w:rsid w:val="0A743AA5"/>
    <w:rsid w:val="0A793FDE"/>
    <w:rsid w:val="0A795957"/>
    <w:rsid w:val="0A856C30"/>
    <w:rsid w:val="0A88778E"/>
    <w:rsid w:val="0A901CC3"/>
    <w:rsid w:val="0A9357F1"/>
    <w:rsid w:val="0A98696D"/>
    <w:rsid w:val="0A9926DB"/>
    <w:rsid w:val="0AA755DF"/>
    <w:rsid w:val="0AC04B6A"/>
    <w:rsid w:val="0AC77248"/>
    <w:rsid w:val="0ACF5BB3"/>
    <w:rsid w:val="0AE03629"/>
    <w:rsid w:val="0AED4C27"/>
    <w:rsid w:val="0AEE2043"/>
    <w:rsid w:val="0AF21C96"/>
    <w:rsid w:val="0AF50259"/>
    <w:rsid w:val="0B022B13"/>
    <w:rsid w:val="0B094DFD"/>
    <w:rsid w:val="0B120D44"/>
    <w:rsid w:val="0B153BFE"/>
    <w:rsid w:val="0B2536F3"/>
    <w:rsid w:val="0B2E7443"/>
    <w:rsid w:val="0B40795D"/>
    <w:rsid w:val="0B4D4535"/>
    <w:rsid w:val="0B5A00BC"/>
    <w:rsid w:val="0B5F7D59"/>
    <w:rsid w:val="0B607EF6"/>
    <w:rsid w:val="0B613042"/>
    <w:rsid w:val="0B640E1B"/>
    <w:rsid w:val="0B666248"/>
    <w:rsid w:val="0B6B051B"/>
    <w:rsid w:val="0B6E1DBA"/>
    <w:rsid w:val="0B7F3FC7"/>
    <w:rsid w:val="0B814550"/>
    <w:rsid w:val="0B967AB1"/>
    <w:rsid w:val="0BAA1044"/>
    <w:rsid w:val="0BAB7F3D"/>
    <w:rsid w:val="0BBF1DEA"/>
    <w:rsid w:val="0BCA2CA6"/>
    <w:rsid w:val="0BCD7896"/>
    <w:rsid w:val="0BD27BF6"/>
    <w:rsid w:val="0BD6231D"/>
    <w:rsid w:val="0BE64EE0"/>
    <w:rsid w:val="0BE75673"/>
    <w:rsid w:val="0C023496"/>
    <w:rsid w:val="0C1C0403"/>
    <w:rsid w:val="0C1C1DCA"/>
    <w:rsid w:val="0C3B3C7D"/>
    <w:rsid w:val="0C517711"/>
    <w:rsid w:val="0C5719E5"/>
    <w:rsid w:val="0C5D1E9D"/>
    <w:rsid w:val="0C605D12"/>
    <w:rsid w:val="0C6A21FE"/>
    <w:rsid w:val="0C700313"/>
    <w:rsid w:val="0C7041F5"/>
    <w:rsid w:val="0C761F1B"/>
    <w:rsid w:val="0C796E4B"/>
    <w:rsid w:val="0C7D6E54"/>
    <w:rsid w:val="0C7E676A"/>
    <w:rsid w:val="0C9D4C8B"/>
    <w:rsid w:val="0CA14D28"/>
    <w:rsid w:val="0CA36978"/>
    <w:rsid w:val="0CAB2EAE"/>
    <w:rsid w:val="0CAC2B9A"/>
    <w:rsid w:val="0CAE6912"/>
    <w:rsid w:val="0CAF0367"/>
    <w:rsid w:val="0CB73F7E"/>
    <w:rsid w:val="0CB97065"/>
    <w:rsid w:val="0CBC3A6A"/>
    <w:rsid w:val="0CC25F19"/>
    <w:rsid w:val="0CC954FA"/>
    <w:rsid w:val="0CD13741"/>
    <w:rsid w:val="0CDB3951"/>
    <w:rsid w:val="0CE40175"/>
    <w:rsid w:val="0CF06F2A"/>
    <w:rsid w:val="0CF408A5"/>
    <w:rsid w:val="0D024B6A"/>
    <w:rsid w:val="0D155258"/>
    <w:rsid w:val="0D1A2F3A"/>
    <w:rsid w:val="0D3258E2"/>
    <w:rsid w:val="0D3C3CE6"/>
    <w:rsid w:val="0D3F2C18"/>
    <w:rsid w:val="0D4E6D61"/>
    <w:rsid w:val="0D592785"/>
    <w:rsid w:val="0D621C7D"/>
    <w:rsid w:val="0D6C7028"/>
    <w:rsid w:val="0D6F247E"/>
    <w:rsid w:val="0D73125D"/>
    <w:rsid w:val="0D7D1B69"/>
    <w:rsid w:val="0D9304EB"/>
    <w:rsid w:val="0D991814"/>
    <w:rsid w:val="0D9B08F5"/>
    <w:rsid w:val="0DBC04D7"/>
    <w:rsid w:val="0DBD3A29"/>
    <w:rsid w:val="0DC355AC"/>
    <w:rsid w:val="0DD24882"/>
    <w:rsid w:val="0DDC74AE"/>
    <w:rsid w:val="0DEA07EC"/>
    <w:rsid w:val="0DED5DA0"/>
    <w:rsid w:val="0E06277D"/>
    <w:rsid w:val="0E1F2F02"/>
    <w:rsid w:val="0E245572"/>
    <w:rsid w:val="0E26697C"/>
    <w:rsid w:val="0E53693C"/>
    <w:rsid w:val="0E5C125D"/>
    <w:rsid w:val="0E680D42"/>
    <w:rsid w:val="0E6A55DF"/>
    <w:rsid w:val="0E6E3645"/>
    <w:rsid w:val="0E6F15B4"/>
    <w:rsid w:val="0E73034D"/>
    <w:rsid w:val="0E7B0B34"/>
    <w:rsid w:val="0E9658AF"/>
    <w:rsid w:val="0EBF1454"/>
    <w:rsid w:val="0EC87A33"/>
    <w:rsid w:val="0ECC2DD5"/>
    <w:rsid w:val="0ED40186"/>
    <w:rsid w:val="0EF10D38"/>
    <w:rsid w:val="0EF81D5E"/>
    <w:rsid w:val="0EFF723E"/>
    <w:rsid w:val="0F0447C1"/>
    <w:rsid w:val="0F13775A"/>
    <w:rsid w:val="0F192E38"/>
    <w:rsid w:val="0F1A7F0E"/>
    <w:rsid w:val="0F1C3138"/>
    <w:rsid w:val="0F5F45FE"/>
    <w:rsid w:val="0F6B5537"/>
    <w:rsid w:val="0F711E78"/>
    <w:rsid w:val="0F825E34"/>
    <w:rsid w:val="0F955289"/>
    <w:rsid w:val="0F9A112B"/>
    <w:rsid w:val="0FB0474F"/>
    <w:rsid w:val="0FBA381F"/>
    <w:rsid w:val="0FBB574F"/>
    <w:rsid w:val="0FD42B11"/>
    <w:rsid w:val="0FF7237E"/>
    <w:rsid w:val="0FFB6990"/>
    <w:rsid w:val="100A06F6"/>
    <w:rsid w:val="100B3FC8"/>
    <w:rsid w:val="10120F66"/>
    <w:rsid w:val="10122B5B"/>
    <w:rsid w:val="101750D6"/>
    <w:rsid w:val="101D03EC"/>
    <w:rsid w:val="10363793"/>
    <w:rsid w:val="103E486A"/>
    <w:rsid w:val="10405FDB"/>
    <w:rsid w:val="104D4D34"/>
    <w:rsid w:val="10600AA3"/>
    <w:rsid w:val="106D2F64"/>
    <w:rsid w:val="10741C20"/>
    <w:rsid w:val="10874D2A"/>
    <w:rsid w:val="10967DE9"/>
    <w:rsid w:val="109C599C"/>
    <w:rsid w:val="10A00329"/>
    <w:rsid w:val="10A02A15"/>
    <w:rsid w:val="10A7179F"/>
    <w:rsid w:val="10AD1C6B"/>
    <w:rsid w:val="10AF0EAA"/>
    <w:rsid w:val="10B244F7"/>
    <w:rsid w:val="10B63710"/>
    <w:rsid w:val="10B922B3"/>
    <w:rsid w:val="10C90EE9"/>
    <w:rsid w:val="10D35255"/>
    <w:rsid w:val="10DB25AD"/>
    <w:rsid w:val="10E14FEF"/>
    <w:rsid w:val="10E328E8"/>
    <w:rsid w:val="10F10820"/>
    <w:rsid w:val="10F86B05"/>
    <w:rsid w:val="1102722C"/>
    <w:rsid w:val="110805BA"/>
    <w:rsid w:val="1108153D"/>
    <w:rsid w:val="1112515E"/>
    <w:rsid w:val="111B3927"/>
    <w:rsid w:val="111C2F7A"/>
    <w:rsid w:val="111D3578"/>
    <w:rsid w:val="11252528"/>
    <w:rsid w:val="112C42A9"/>
    <w:rsid w:val="112C6057"/>
    <w:rsid w:val="114A2376"/>
    <w:rsid w:val="114B3CDE"/>
    <w:rsid w:val="1154735C"/>
    <w:rsid w:val="11551A52"/>
    <w:rsid w:val="11557AE1"/>
    <w:rsid w:val="115F7F76"/>
    <w:rsid w:val="11665CA1"/>
    <w:rsid w:val="116879D0"/>
    <w:rsid w:val="116F308E"/>
    <w:rsid w:val="117A5014"/>
    <w:rsid w:val="117C163B"/>
    <w:rsid w:val="11855AB8"/>
    <w:rsid w:val="119A2F13"/>
    <w:rsid w:val="119B423C"/>
    <w:rsid w:val="11BB562D"/>
    <w:rsid w:val="11BE58B3"/>
    <w:rsid w:val="11C426CE"/>
    <w:rsid w:val="11DE2D99"/>
    <w:rsid w:val="11DE311B"/>
    <w:rsid w:val="11DE5B38"/>
    <w:rsid w:val="11E06E41"/>
    <w:rsid w:val="11F50B3F"/>
    <w:rsid w:val="121A3657"/>
    <w:rsid w:val="122907E8"/>
    <w:rsid w:val="123D2B5C"/>
    <w:rsid w:val="12406524"/>
    <w:rsid w:val="12420330"/>
    <w:rsid w:val="12490E8B"/>
    <w:rsid w:val="125753C5"/>
    <w:rsid w:val="125F245C"/>
    <w:rsid w:val="12617558"/>
    <w:rsid w:val="126805E3"/>
    <w:rsid w:val="12955846"/>
    <w:rsid w:val="129A3494"/>
    <w:rsid w:val="12BA7692"/>
    <w:rsid w:val="12D57A88"/>
    <w:rsid w:val="12E14289"/>
    <w:rsid w:val="12E502C7"/>
    <w:rsid w:val="12F26E2C"/>
    <w:rsid w:val="12F27141"/>
    <w:rsid w:val="12FA4174"/>
    <w:rsid w:val="12FC7BD2"/>
    <w:rsid w:val="13183CAA"/>
    <w:rsid w:val="131D034D"/>
    <w:rsid w:val="131F1ABC"/>
    <w:rsid w:val="132F0080"/>
    <w:rsid w:val="1335567A"/>
    <w:rsid w:val="133C3DD0"/>
    <w:rsid w:val="13414C7D"/>
    <w:rsid w:val="13426006"/>
    <w:rsid w:val="134F26C3"/>
    <w:rsid w:val="13541895"/>
    <w:rsid w:val="13623FB2"/>
    <w:rsid w:val="13683243"/>
    <w:rsid w:val="13751BAD"/>
    <w:rsid w:val="1380632E"/>
    <w:rsid w:val="13870C25"/>
    <w:rsid w:val="13951726"/>
    <w:rsid w:val="13965E33"/>
    <w:rsid w:val="139E68C6"/>
    <w:rsid w:val="13AA5F30"/>
    <w:rsid w:val="13AD41D0"/>
    <w:rsid w:val="13B07D55"/>
    <w:rsid w:val="13C46F77"/>
    <w:rsid w:val="13C640FF"/>
    <w:rsid w:val="13CD0F80"/>
    <w:rsid w:val="13D50C28"/>
    <w:rsid w:val="13DB5B12"/>
    <w:rsid w:val="13FC5D87"/>
    <w:rsid w:val="13FF5CA5"/>
    <w:rsid w:val="14036859"/>
    <w:rsid w:val="140F28AC"/>
    <w:rsid w:val="14101E09"/>
    <w:rsid w:val="14115C0D"/>
    <w:rsid w:val="141205F1"/>
    <w:rsid w:val="14253E14"/>
    <w:rsid w:val="142932E7"/>
    <w:rsid w:val="14396509"/>
    <w:rsid w:val="145A1E9B"/>
    <w:rsid w:val="145C5DE3"/>
    <w:rsid w:val="146009B1"/>
    <w:rsid w:val="14602C66"/>
    <w:rsid w:val="146F27F0"/>
    <w:rsid w:val="147C10A3"/>
    <w:rsid w:val="14854B12"/>
    <w:rsid w:val="148A36E6"/>
    <w:rsid w:val="148D7481"/>
    <w:rsid w:val="14975409"/>
    <w:rsid w:val="149840F4"/>
    <w:rsid w:val="149F1820"/>
    <w:rsid w:val="14B531A3"/>
    <w:rsid w:val="14B940A6"/>
    <w:rsid w:val="14BC1DE8"/>
    <w:rsid w:val="14BC5944"/>
    <w:rsid w:val="14DA42AD"/>
    <w:rsid w:val="14DD2C3C"/>
    <w:rsid w:val="14E30599"/>
    <w:rsid w:val="14F7760C"/>
    <w:rsid w:val="14FE3F1E"/>
    <w:rsid w:val="14FE5603"/>
    <w:rsid w:val="15023F0C"/>
    <w:rsid w:val="151F4F43"/>
    <w:rsid w:val="15232EAD"/>
    <w:rsid w:val="152417FB"/>
    <w:rsid w:val="152F25BA"/>
    <w:rsid w:val="1533502B"/>
    <w:rsid w:val="1534197E"/>
    <w:rsid w:val="15360FCA"/>
    <w:rsid w:val="15516BAB"/>
    <w:rsid w:val="156264EB"/>
    <w:rsid w:val="157E0E4B"/>
    <w:rsid w:val="157E7309"/>
    <w:rsid w:val="158443BB"/>
    <w:rsid w:val="1594066F"/>
    <w:rsid w:val="15C6181B"/>
    <w:rsid w:val="15D307BD"/>
    <w:rsid w:val="15E21042"/>
    <w:rsid w:val="15E406C2"/>
    <w:rsid w:val="15FC399F"/>
    <w:rsid w:val="160172B5"/>
    <w:rsid w:val="16087E1D"/>
    <w:rsid w:val="161377E5"/>
    <w:rsid w:val="16184DFC"/>
    <w:rsid w:val="16193F6D"/>
    <w:rsid w:val="161A212E"/>
    <w:rsid w:val="161C300B"/>
    <w:rsid w:val="162009C6"/>
    <w:rsid w:val="162646D1"/>
    <w:rsid w:val="16290DB7"/>
    <w:rsid w:val="162A73C8"/>
    <w:rsid w:val="162B2D81"/>
    <w:rsid w:val="164448DD"/>
    <w:rsid w:val="164478A7"/>
    <w:rsid w:val="16485811"/>
    <w:rsid w:val="166C1284"/>
    <w:rsid w:val="166E7112"/>
    <w:rsid w:val="167B26BB"/>
    <w:rsid w:val="16994135"/>
    <w:rsid w:val="169B185C"/>
    <w:rsid w:val="16AE1DDF"/>
    <w:rsid w:val="16AE64AC"/>
    <w:rsid w:val="16B03286"/>
    <w:rsid w:val="16BA0B33"/>
    <w:rsid w:val="16BE54F3"/>
    <w:rsid w:val="16CE3D40"/>
    <w:rsid w:val="16D054C6"/>
    <w:rsid w:val="16D76C9E"/>
    <w:rsid w:val="16DB5EEA"/>
    <w:rsid w:val="16E178E4"/>
    <w:rsid w:val="17076407"/>
    <w:rsid w:val="17095DB3"/>
    <w:rsid w:val="17111C02"/>
    <w:rsid w:val="17233A58"/>
    <w:rsid w:val="173F6E12"/>
    <w:rsid w:val="174A66F7"/>
    <w:rsid w:val="174E33E4"/>
    <w:rsid w:val="175C5646"/>
    <w:rsid w:val="17701D14"/>
    <w:rsid w:val="17735226"/>
    <w:rsid w:val="177C13BA"/>
    <w:rsid w:val="1782216E"/>
    <w:rsid w:val="17831DED"/>
    <w:rsid w:val="17884203"/>
    <w:rsid w:val="1789148D"/>
    <w:rsid w:val="17942EC1"/>
    <w:rsid w:val="17A65C14"/>
    <w:rsid w:val="17A821AF"/>
    <w:rsid w:val="17AF3E3E"/>
    <w:rsid w:val="17B230D9"/>
    <w:rsid w:val="17C25929"/>
    <w:rsid w:val="17CA481C"/>
    <w:rsid w:val="17E02308"/>
    <w:rsid w:val="17E111CC"/>
    <w:rsid w:val="17EA0A1A"/>
    <w:rsid w:val="17EC2A99"/>
    <w:rsid w:val="17F139B7"/>
    <w:rsid w:val="17FE59C7"/>
    <w:rsid w:val="18003D99"/>
    <w:rsid w:val="18115E05"/>
    <w:rsid w:val="1829038B"/>
    <w:rsid w:val="18500EE4"/>
    <w:rsid w:val="1853612C"/>
    <w:rsid w:val="185F501D"/>
    <w:rsid w:val="1867206B"/>
    <w:rsid w:val="186D0013"/>
    <w:rsid w:val="186E0991"/>
    <w:rsid w:val="186E6D83"/>
    <w:rsid w:val="189015C1"/>
    <w:rsid w:val="189B1DE2"/>
    <w:rsid w:val="189F624C"/>
    <w:rsid w:val="18A138D0"/>
    <w:rsid w:val="18AF6EB7"/>
    <w:rsid w:val="18BA47B6"/>
    <w:rsid w:val="18BC4694"/>
    <w:rsid w:val="18C354F3"/>
    <w:rsid w:val="18DF00FF"/>
    <w:rsid w:val="18E57A32"/>
    <w:rsid w:val="18E6464F"/>
    <w:rsid w:val="18E95D4F"/>
    <w:rsid w:val="18EA6F23"/>
    <w:rsid w:val="18EB2C9C"/>
    <w:rsid w:val="190A2398"/>
    <w:rsid w:val="190B5505"/>
    <w:rsid w:val="19192E19"/>
    <w:rsid w:val="191E02D6"/>
    <w:rsid w:val="192F74DC"/>
    <w:rsid w:val="193938E2"/>
    <w:rsid w:val="193D11DB"/>
    <w:rsid w:val="193E0F10"/>
    <w:rsid w:val="193F08F1"/>
    <w:rsid w:val="19473593"/>
    <w:rsid w:val="19566367"/>
    <w:rsid w:val="19763280"/>
    <w:rsid w:val="19771E48"/>
    <w:rsid w:val="1982540F"/>
    <w:rsid w:val="1992036F"/>
    <w:rsid w:val="199C6598"/>
    <w:rsid w:val="19A601AD"/>
    <w:rsid w:val="19A6128D"/>
    <w:rsid w:val="19AF5A04"/>
    <w:rsid w:val="19B57B9A"/>
    <w:rsid w:val="19CC5215"/>
    <w:rsid w:val="19CE706F"/>
    <w:rsid w:val="19E25003"/>
    <w:rsid w:val="19F63EA3"/>
    <w:rsid w:val="19F73F9B"/>
    <w:rsid w:val="1A0C111B"/>
    <w:rsid w:val="1A147FD0"/>
    <w:rsid w:val="1A1719CC"/>
    <w:rsid w:val="1A1C66C0"/>
    <w:rsid w:val="1A310B82"/>
    <w:rsid w:val="1A3F53E4"/>
    <w:rsid w:val="1A414FE6"/>
    <w:rsid w:val="1A42393B"/>
    <w:rsid w:val="1A425E80"/>
    <w:rsid w:val="1A493319"/>
    <w:rsid w:val="1A5605E9"/>
    <w:rsid w:val="1A584361"/>
    <w:rsid w:val="1A587EBD"/>
    <w:rsid w:val="1A6B2F57"/>
    <w:rsid w:val="1A6C1BBA"/>
    <w:rsid w:val="1A6E5932"/>
    <w:rsid w:val="1A6E7303"/>
    <w:rsid w:val="1A746080"/>
    <w:rsid w:val="1A7647E7"/>
    <w:rsid w:val="1A7B1DFD"/>
    <w:rsid w:val="1A7F5449"/>
    <w:rsid w:val="1A802F97"/>
    <w:rsid w:val="1A805249"/>
    <w:rsid w:val="1A950C46"/>
    <w:rsid w:val="1A9C24D7"/>
    <w:rsid w:val="1AAD45DE"/>
    <w:rsid w:val="1AB078C4"/>
    <w:rsid w:val="1AB175CD"/>
    <w:rsid w:val="1ABC044C"/>
    <w:rsid w:val="1AD559B1"/>
    <w:rsid w:val="1ADC2950"/>
    <w:rsid w:val="1AED2CFB"/>
    <w:rsid w:val="1AF04599"/>
    <w:rsid w:val="1AF177AE"/>
    <w:rsid w:val="1AFF2805"/>
    <w:rsid w:val="1B046F80"/>
    <w:rsid w:val="1B0818E3"/>
    <w:rsid w:val="1B1C4C0F"/>
    <w:rsid w:val="1B1E2EB4"/>
    <w:rsid w:val="1B293E03"/>
    <w:rsid w:val="1B3267B5"/>
    <w:rsid w:val="1B3934E2"/>
    <w:rsid w:val="1B397CEE"/>
    <w:rsid w:val="1B40161D"/>
    <w:rsid w:val="1B441859"/>
    <w:rsid w:val="1B54583F"/>
    <w:rsid w:val="1B5543FC"/>
    <w:rsid w:val="1B59213E"/>
    <w:rsid w:val="1B5D3A0F"/>
    <w:rsid w:val="1B653DC4"/>
    <w:rsid w:val="1B6606B1"/>
    <w:rsid w:val="1B6D6076"/>
    <w:rsid w:val="1B736F07"/>
    <w:rsid w:val="1B8171F7"/>
    <w:rsid w:val="1B882A24"/>
    <w:rsid w:val="1B8F6A2D"/>
    <w:rsid w:val="1B9273FE"/>
    <w:rsid w:val="1B987FF4"/>
    <w:rsid w:val="1BA23AE5"/>
    <w:rsid w:val="1BB653BC"/>
    <w:rsid w:val="1BBE099F"/>
    <w:rsid w:val="1BC11A92"/>
    <w:rsid w:val="1BCA6039"/>
    <w:rsid w:val="1BCD6428"/>
    <w:rsid w:val="1BEA0FE8"/>
    <w:rsid w:val="1BF46D97"/>
    <w:rsid w:val="1BFB7987"/>
    <w:rsid w:val="1BFC0F65"/>
    <w:rsid w:val="1C033E58"/>
    <w:rsid w:val="1C0C55B0"/>
    <w:rsid w:val="1C0F5C83"/>
    <w:rsid w:val="1C2A481A"/>
    <w:rsid w:val="1C357519"/>
    <w:rsid w:val="1C3F5862"/>
    <w:rsid w:val="1C4526C3"/>
    <w:rsid w:val="1C536B8E"/>
    <w:rsid w:val="1C575E6B"/>
    <w:rsid w:val="1C5E7925"/>
    <w:rsid w:val="1C715113"/>
    <w:rsid w:val="1C732ECF"/>
    <w:rsid w:val="1C7955F9"/>
    <w:rsid w:val="1C7B60E4"/>
    <w:rsid w:val="1C7F1678"/>
    <w:rsid w:val="1C856F63"/>
    <w:rsid w:val="1C883A90"/>
    <w:rsid w:val="1C9D42AD"/>
    <w:rsid w:val="1C9F6A45"/>
    <w:rsid w:val="1CA8392D"/>
    <w:rsid w:val="1CAF69A0"/>
    <w:rsid w:val="1CB46F25"/>
    <w:rsid w:val="1CB93978"/>
    <w:rsid w:val="1CD25383"/>
    <w:rsid w:val="1CD757C7"/>
    <w:rsid w:val="1CD75929"/>
    <w:rsid w:val="1CD81789"/>
    <w:rsid w:val="1CEA2369"/>
    <w:rsid w:val="1CEB6DC6"/>
    <w:rsid w:val="1CFD04F5"/>
    <w:rsid w:val="1CFD070F"/>
    <w:rsid w:val="1D0448EA"/>
    <w:rsid w:val="1D081AEA"/>
    <w:rsid w:val="1D0936F0"/>
    <w:rsid w:val="1D1A58FD"/>
    <w:rsid w:val="1D1C05CD"/>
    <w:rsid w:val="1D233BDF"/>
    <w:rsid w:val="1D302D06"/>
    <w:rsid w:val="1D392227"/>
    <w:rsid w:val="1D3C5874"/>
    <w:rsid w:val="1D3F2AC7"/>
    <w:rsid w:val="1D497F91"/>
    <w:rsid w:val="1D502B09"/>
    <w:rsid w:val="1D5A7F0F"/>
    <w:rsid w:val="1D5F6196"/>
    <w:rsid w:val="1D6132A5"/>
    <w:rsid w:val="1D660B43"/>
    <w:rsid w:val="1D671E4B"/>
    <w:rsid w:val="1D677FC0"/>
    <w:rsid w:val="1D6B6159"/>
    <w:rsid w:val="1D6C7032"/>
    <w:rsid w:val="1D835ABE"/>
    <w:rsid w:val="1D8941D8"/>
    <w:rsid w:val="1D8A14F0"/>
    <w:rsid w:val="1D8A2A83"/>
    <w:rsid w:val="1D8E56D5"/>
    <w:rsid w:val="1D93080B"/>
    <w:rsid w:val="1DA17DCD"/>
    <w:rsid w:val="1DC61818"/>
    <w:rsid w:val="1DC80609"/>
    <w:rsid w:val="1DD64B1F"/>
    <w:rsid w:val="1DE73E2A"/>
    <w:rsid w:val="1DED6B6E"/>
    <w:rsid w:val="1DF919B7"/>
    <w:rsid w:val="1E037064"/>
    <w:rsid w:val="1E242829"/>
    <w:rsid w:val="1E254CDC"/>
    <w:rsid w:val="1E366C95"/>
    <w:rsid w:val="1E376453"/>
    <w:rsid w:val="1E476A6D"/>
    <w:rsid w:val="1E4C7396"/>
    <w:rsid w:val="1E595ADF"/>
    <w:rsid w:val="1E63196B"/>
    <w:rsid w:val="1E751742"/>
    <w:rsid w:val="1E7A43DA"/>
    <w:rsid w:val="1E960FB4"/>
    <w:rsid w:val="1EA63B0E"/>
    <w:rsid w:val="1EAC549C"/>
    <w:rsid w:val="1EAE0992"/>
    <w:rsid w:val="1EB27864"/>
    <w:rsid w:val="1ECB747F"/>
    <w:rsid w:val="1ECC5632"/>
    <w:rsid w:val="1EDB10BC"/>
    <w:rsid w:val="1EE05092"/>
    <w:rsid w:val="1EE665FA"/>
    <w:rsid w:val="1EFF4AEA"/>
    <w:rsid w:val="1F0D3DE8"/>
    <w:rsid w:val="1F0F1EAB"/>
    <w:rsid w:val="1F130856"/>
    <w:rsid w:val="1F1A0394"/>
    <w:rsid w:val="1F1F3457"/>
    <w:rsid w:val="1F211765"/>
    <w:rsid w:val="1F2202D0"/>
    <w:rsid w:val="1F2D1AD0"/>
    <w:rsid w:val="1F33268E"/>
    <w:rsid w:val="1F49071C"/>
    <w:rsid w:val="1F4B0F94"/>
    <w:rsid w:val="1F4F3B57"/>
    <w:rsid w:val="1F50595F"/>
    <w:rsid w:val="1F5B0940"/>
    <w:rsid w:val="1F757258"/>
    <w:rsid w:val="1F767E86"/>
    <w:rsid w:val="1FA57B4F"/>
    <w:rsid w:val="1FA85442"/>
    <w:rsid w:val="1FB738D7"/>
    <w:rsid w:val="1FB90A1C"/>
    <w:rsid w:val="1FE7539E"/>
    <w:rsid w:val="1FF52D86"/>
    <w:rsid w:val="1FFC21D2"/>
    <w:rsid w:val="201E0AA4"/>
    <w:rsid w:val="202319F1"/>
    <w:rsid w:val="202B1BD0"/>
    <w:rsid w:val="20344F28"/>
    <w:rsid w:val="2039253E"/>
    <w:rsid w:val="203D0DFD"/>
    <w:rsid w:val="203E5DA7"/>
    <w:rsid w:val="204C4020"/>
    <w:rsid w:val="204F50F3"/>
    <w:rsid w:val="20566C4C"/>
    <w:rsid w:val="20573DCC"/>
    <w:rsid w:val="20601879"/>
    <w:rsid w:val="20611287"/>
    <w:rsid w:val="2066215D"/>
    <w:rsid w:val="20671BE0"/>
    <w:rsid w:val="20675279"/>
    <w:rsid w:val="208F03B0"/>
    <w:rsid w:val="20963CB8"/>
    <w:rsid w:val="209A648E"/>
    <w:rsid w:val="209F7872"/>
    <w:rsid w:val="20A81A1B"/>
    <w:rsid w:val="20AB6E7E"/>
    <w:rsid w:val="20B07FB6"/>
    <w:rsid w:val="20B34AA7"/>
    <w:rsid w:val="20B646FB"/>
    <w:rsid w:val="20B6593D"/>
    <w:rsid w:val="20B7497A"/>
    <w:rsid w:val="20B83213"/>
    <w:rsid w:val="20B95F06"/>
    <w:rsid w:val="20C359E2"/>
    <w:rsid w:val="20C473C7"/>
    <w:rsid w:val="20C7367E"/>
    <w:rsid w:val="20DB2206"/>
    <w:rsid w:val="20F55E9C"/>
    <w:rsid w:val="20F75A0D"/>
    <w:rsid w:val="21000979"/>
    <w:rsid w:val="21090163"/>
    <w:rsid w:val="2109072C"/>
    <w:rsid w:val="2109235A"/>
    <w:rsid w:val="210B3EDB"/>
    <w:rsid w:val="210C7933"/>
    <w:rsid w:val="21143ECF"/>
    <w:rsid w:val="2124491F"/>
    <w:rsid w:val="21262AC3"/>
    <w:rsid w:val="213550A5"/>
    <w:rsid w:val="213B74B1"/>
    <w:rsid w:val="21505678"/>
    <w:rsid w:val="21582EE0"/>
    <w:rsid w:val="215A2310"/>
    <w:rsid w:val="215F4D77"/>
    <w:rsid w:val="21627873"/>
    <w:rsid w:val="21667363"/>
    <w:rsid w:val="216B08FE"/>
    <w:rsid w:val="219903E6"/>
    <w:rsid w:val="219A6736"/>
    <w:rsid w:val="219D530E"/>
    <w:rsid w:val="21A128F3"/>
    <w:rsid w:val="21A734D8"/>
    <w:rsid w:val="21C24974"/>
    <w:rsid w:val="21C803E4"/>
    <w:rsid w:val="21D1038F"/>
    <w:rsid w:val="21DE318A"/>
    <w:rsid w:val="21E10E5D"/>
    <w:rsid w:val="21ED1832"/>
    <w:rsid w:val="21EF5B80"/>
    <w:rsid w:val="21F26E49"/>
    <w:rsid w:val="21F33048"/>
    <w:rsid w:val="21FA5198"/>
    <w:rsid w:val="21FB0E73"/>
    <w:rsid w:val="223C67F4"/>
    <w:rsid w:val="224E4D0C"/>
    <w:rsid w:val="22573150"/>
    <w:rsid w:val="22576990"/>
    <w:rsid w:val="2258466D"/>
    <w:rsid w:val="22624288"/>
    <w:rsid w:val="226C0FC3"/>
    <w:rsid w:val="22801362"/>
    <w:rsid w:val="22896796"/>
    <w:rsid w:val="22954C25"/>
    <w:rsid w:val="229B4DEB"/>
    <w:rsid w:val="22BE6D2B"/>
    <w:rsid w:val="22D36C7A"/>
    <w:rsid w:val="22D73A08"/>
    <w:rsid w:val="22DB5B2F"/>
    <w:rsid w:val="22E542B8"/>
    <w:rsid w:val="22EF5D5A"/>
    <w:rsid w:val="22F10EAE"/>
    <w:rsid w:val="22F374DF"/>
    <w:rsid w:val="22F47480"/>
    <w:rsid w:val="22F90A6F"/>
    <w:rsid w:val="22FD5FC0"/>
    <w:rsid w:val="230C5CE8"/>
    <w:rsid w:val="231A4D75"/>
    <w:rsid w:val="23250B58"/>
    <w:rsid w:val="232676CE"/>
    <w:rsid w:val="23452FA8"/>
    <w:rsid w:val="23474F72"/>
    <w:rsid w:val="235D6544"/>
    <w:rsid w:val="2375361B"/>
    <w:rsid w:val="2389558B"/>
    <w:rsid w:val="23907410"/>
    <w:rsid w:val="23985A3E"/>
    <w:rsid w:val="23A22E59"/>
    <w:rsid w:val="23A37DFF"/>
    <w:rsid w:val="23A91EC3"/>
    <w:rsid w:val="23AD7CC4"/>
    <w:rsid w:val="23B7025B"/>
    <w:rsid w:val="23B9398E"/>
    <w:rsid w:val="23C10881"/>
    <w:rsid w:val="23C363C2"/>
    <w:rsid w:val="23C6233B"/>
    <w:rsid w:val="23CA61CA"/>
    <w:rsid w:val="23D703EA"/>
    <w:rsid w:val="23DE1C48"/>
    <w:rsid w:val="23DE6370"/>
    <w:rsid w:val="23F616AA"/>
    <w:rsid w:val="240210CD"/>
    <w:rsid w:val="240424FD"/>
    <w:rsid w:val="240510B5"/>
    <w:rsid w:val="24081B0B"/>
    <w:rsid w:val="240A66CC"/>
    <w:rsid w:val="240D1D18"/>
    <w:rsid w:val="240E6A29"/>
    <w:rsid w:val="241423BB"/>
    <w:rsid w:val="24160E40"/>
    <w:rsid w:val="24216404"/>
    <w:rsid w:val="2426102C"/>
    <w:rsid w:val="24286B52"/>
    <w:rsid w:val="242D3C7F"/>
    <w:rsid w:val="2441432B"/>
    <w:rsid w:val="244461B1"/>
    <w:rsid w:val="2446347C"/>
    <w:rsid w:val="245F6D2E"/>
    <w:rsid w:val="2468132F"/>
    <w:rsid w:val="2469512F"/>
    <w:rsid w:val="24697B84"/>
    <w:rsid w:val="246A21DB"/>
    <w:rsid w:val="24777820"/>
    <w:rsid w:val="247B4AD1"/>
    <w:rsid w:val="24810FE3"/>
    <w:rsid w:val="248D2E59"/>
    <w:rsid w:val="248E12C2"/>
    <w:rsid w:val="24AB32DF"/>
    <w:rsid w:val="24AB5DE0"/>
    <w:rsid w:val="24AB767D"/>
    <w:rsid w:val="24B26FF0"/>
    <w:rsid w:val="24BF09F7"/>
    <w:rsid w:val="24CD4275"/>
    <w:rsid w:val="24CE594B"/>
    <w:rsid w:val="24DB1E16"/>
    <w:rsid w:val="24DD5B76"/>
    <w:rsid w:val="2500538E"/>
    <w:rsid w:val="250A26FB"/>
    <w:rsid w:val="252D53FE"/>
    <w:rsid w:val="25530418"/>
    <w:rsid w:val="25772666"/>
    <w:rsid w:val="257D2ECD"/>
    <w:rsid w:val="258D3C15"/>
    <w:rsid w:val="258F4257"/>
    <w:rsid w:val="25916979"/>
    <w:rsid w:val="25924268"/>
    <w:rsid w:val="259A3BEE"/>
    <w:rsid w:val="259A3E82"/>
    <w:rsid w:val="25A14027"/>
    <w:rsid w:val="25AB51DE"/>
    <w:rsid w:val="25AC3881"/>
    <w:rsid w:val="25BD151C"/>
    <w:rsid w:val="25C878F0"/>
    <w:rsid w:val="25EC2D81"/>
    <w:rsid w:val="25F053A9"/>
    <w:rsid w:val="25F07BA6"/>
    <w:rsid w:val="25F84DFF"/>
    <w:rsid w:val="25F86609"/>
    <w:rsid w:val="261460CA"/>
    <w:rsid w:val="261B47DF"/>
    <w:rsid w:val="26321F0A"/>
    <w:rsid w:val="263306B3"/>
    <w:rsid w:val="264A7253"/>
    <w:rsid w:val="2661634B"/>
    <w:rsid w:val="266C5658"/>
    <w:rsid w:val="266D6A9E"/>
    <w:rsid w:val="26743BF7"/>
    <w:rsid w:val="2685028B"/>
    <w:rsid w:val="268F0E0F"/>
    <w:rsid w:val="26957B6C"/>
    <w:rsid w:val="26A7521B"/>
    <w:rsid w:val="26A95C00"/>
    <w:rsid w:val="26BA76BD"/>
    <w:rsid w:val="26BE379D"/>
    <w:rsid w:val="26CE03C3"/>
    <w:rsid w:val="26E56F7C"/>
    <w:rsid w:val="26EC66EC"/>
    <w:rsid w:val="26F64CE5"/>
    <w:rsid w:val="26FE699E"/>
    <w:rsid w:val="270601B1"/>
    <w:rsid w:val="27067CDE"/>
    <w:rsid w:val="27090EBD"/>
    <w:rsid w:val="27111B1F"/>
    <w:rsid w:val="27201D62"/>
    <w:rsid w:val="2723736A"/>
    <w:rsid w:val="27270300"/>
    <w:rsid w:val="27334965"/>
    <w:rsid w:val="2736724A"/>
    <w:rsid w:val="27371BE7"/>
    <w:rsid w:val="27414187"/>
    <w:rsid w:val="274176DD"/>
    <w:rsid w:val="275749DE"/>
    <w:rsid w:val="275B0792"/>
    <w:rsid w:val="27613F0C"/>
    <w:rsid w:val="276E2ACE"/>
    <w:rsid w:val="276E7041"/>
    <w:rsid w:val="277057A2"/>
    <w:rsid w:val="27BF4753"/>
    <w:rsid w:val="27C22F64"/>
    <w:rsid w:val="27C926C1"/>
    <w:rsid w:val="27D6204F"/>
    <w:rsid w:val="27E05F01"/>
    <w:rsid w:val="27E234BC"/>
    <w:rsid w:val="28012F15"/>
    <w:rsid w:val="2808162B"/>
    <w:rsid w:val="281041F1"/>
    <w:rsid w:val="2818603D"/>
    <w:rsid w:val="281F026C"/>
    <w:rsid w:val="282363D8"/>
    <w:rsid w:val="28397580"/>
    <w:rsid w:val="283F6D68"/>
    <w:rsid w:val="28562E01"/>
    <w:rsid w:val="285F2D5E"/>
    <w:rsid w:val="28726073"/>
    <w:rsid w:val="28A22D97"/>
    <w:rsid w:val="28AC76B5"/>
    <w:rsid w:val="28B5472C"/>
    <w:rsid w:val="28C34D04"/>
    <w:rsid w:val="28C83441"/>
    <w:rsid w:val="28CB4DAA"/>
    <w:rsid w:val="28E3573D"/>
    <w:rsid w:val="28F15BC1"/>
    <w:rsid w:val="29003BF9"/>
    <w:rsid w:val="290E307A"/>
    <w:rsid w:val="29164368"/>
    <w:rsid w:val="29177195"/>
    <w:rsid w:val="29206EB8"/>
    <w:rsid w:val="292D576E"/>
    <w:rsid w:val="2936586D"/>
    <w:rsid w:val="293E50CC"/>
    <w:rsid w:val="29430DF1"/>
    <w:rsid w:val="29480827"/>
    <w:rsid w:val="295403E9"/>
    <w:rsid w:val="29557225"/>
    <w:rsid w:val="29595666"/>
    <w:rsid w:val="29634066"/>
    <w:rsid w:val="296F5223"/>
    <w:rsid w:val="2973261D"/>
    <w:rsid w:val="297445E7"/>
    <w:rsid w:val="29874881"/>
    <w:rsid w:val="29943032"/>
    <w:rsid w:val="299741EC"/>
    <w:rsid w:val="29AE5D4B"/>
    <w:rsid w:val="29C235A5"/>
    <w:rsid w:val="29CB2916"/>
    <w:rsid w:val="29CC0C81"/>
    <w:rsid w:val="29CC7F7F"/>
    <w:rsid w:val="29DC0C2A"/>
    <w:rsid w:val="29E05586"/>
    <w:rsid w:val="29E17ECF"/>
    <w:rsid w:val="29E325E0"/>
    <w:rsid w:val="29EC23D0"/>
    <w:rsid w:val="29EF5E58"/>
    <w:rsid w:val="29F42E9D"/>
    <w:rsid w:val="29F54FA2"/>
    <w:rsid w:val="2A0961E2"/>
    <w:rsid w:val="2A17668E"/>
    <w:rsid w:val="2A1A19DE"/>
    <w:rsid w:val="2A1B45E1"/>
    <w:rsid w:val="2A1E2D2D"/>
    <w:rsid w:val="2A221E77"/>
    <w:rsid w:val="2A222295"/>
    <w:rsid w:val="2A2A12D0"/>
    <w:rsid w:val="2A2F6883"/>
    <w:rsid w:val="2A420242"/>
    <w:rsid w:val="2A452503"/>
    <w:rsid w:val="2A554419"/>
    <w:rsid w:val="2A5A37DD"/>
    <w:rsid w:val="2A5C7555"/>
    <w:rsid w:val="2A5E32CD"/>
    <w:rsid w:val="2A66796D"/>
    <w:rsid w:val="2A6C15DE"/>
    <w:rsid w:val="2A703001"/>
    <w:rsid w:val="2A724BAF"/>
    <w:rsid w:val="2A7A792F"/>
    <w:rsid w:val="2A80340D"/>
    <w:rsid w:val="2A8F6CB2"/>
    <w:rsid w:val="2A9A3FF5"/>
    <w:rsid w:val="2A9D36CA"/>
    <w:rsid w:val="2A9F7442"/>
    <w:rsid w:val="2AA40306"/>
    <w:rsid w:val="2AA76BFC"/>
    <w:rsid w:val="2AA809EC"/>
    <w:rsid w:val="2AC46CF4"/>
    <w:rsid w:val="2AC800C8"/>
    <w:rsid w:val="2ADB2B70"/>
    <w:rsid w:val="2ADD6A85"/>
    <w:rsid w:val="2AE7399F"/>
    <w:rsid w:val="2AF61758"/>
    <w:rsid w:val="2B141BDE"/>
    <w:rsid w:val="2B230073"/>
    <w:rsid w:val="2B454771"/>
    <w:rsid w:val="2B6220D4"/>
    <w:rsid w:val="2B6E57EA"/>
    <w:rsid w:val="2B830A9A"/>
    <w:rsid w:val="2B830B12"/>
    <w:rsid w:val="2B967CE2"/>
    <w:rsid w:val="2B990335"/>
    <w:rsid w:val="2B9B31F6"/>
    <w:rsid w:val="2BA936A8"/>
    <w:rsid w:val="2BB008CE"/>
    <w:rsid w:val="2BB34418"/>
    <w:rsid w:val="2BC03A9D"/>
    <w:rsid w:val="2BC5112A"/>
    <w:rsid w:val="2BCD78C0"/>
    <w:rsid w:val="2BCE44CD"/>
    <w:rsid w:val="2BCE5DBB"/>
    <w:rsid w:val="2BD756F5"/>
    <w:rsid w:val="2BD90319"/>
    <w:rsid w:val="2BDC315C"/>
    <w:rsid w:val="2BDD3B36"/>
    <w:rsid w:val="2BEA0167"/>
    <w:rsid w:val="2BF57C61"/>
    <w:rsid w:val="2C1D20F0"/>
    <w:rsid w:val="2C2422F5"/>
    <w:rsid w:val="2C273B93"/>
    <w:rsid w:val="2C2E0D7E"/>
    <w:rsid w:val="2C315A5A"/>
    <w:rsid w:val="2C3A7F86"/>
    <w:rsid w:val="2C3D33B6"/>
    <w:rsid w:val="2C3F712F"/>
    <w:rsid w:val="2C4B1C25"/>
    <w:rsid w:val="2C7445ED"/>
    <w:rsid w:val="2C772A32"/>
    <w:rsid w:val="2C7C3EDF"/>
    <w:rsid w:val="2C7E6258"/>
    <w:rsid w:val="2C80242C"/>
    <w:rsid w:val="2C892A42"/>
    <w:rsid w:val="2CAA51C0"/>
    <w:rsid w:val="2CB847EB"/>
    <w:rsid w:val="2CB868D0"/>
    <w:rsid w:val="2CBF3A22"/>
    <w:rsid w:val="2CCB3966"/>
    <w:rsid w:val="2CCD7ACD"/>
    <w:rsid w:val="2CD453AE"/>
    <w:rsid w:val="2CD6181C"/>
    <w:rsid w:val="2CF33A75"/>
    <w:rsid w:val="2CF55A3F"/>
    <w:rsid w:val="2D0B0099"/>
    <w:rsid w:val="2D125002"/>
    <w:rsid w:val="2D2F71A3"/>
    <w:rsid w:val="2D346BFC"/>
    <w:rsid w:val="2D443D65"/>
    <w:rsid w:val="2D616030"/>
    <w:rsid w:val="2D783662"/>
    <w:rsid w:val="2D866E6C"/>
    <w:rsid w:val="2D9810B3"/>
    <w:rsid w:val="2D9818DA"/>
    <w:rsid w:val="2D9E4C7E"/>
    <w:rsid w:val="2D9E56F5"/>
    <w:rsid w:val="2DB63F8D"/>
    <w:rsid w:val="2DDD275B"/>
    <w:rsid w:val="2DEF248E"/>
    <w:rsid w:val="2E035723"/>
    <w:rsid w:val="2E0C5E9C"/>
    <w:rsid w:val="2E0E4F95"/>
    <w:rsid w:val="2E117AA1"/>
    <w:rsid w:val="2E3E0684"/>
    <w:rsid w:val="2E400F3C"/>
    <w:rsid w:val="2E48665F"/>
    <w:rsid w:val="2E667F96"/>
    <w:rsid w:val="2E6A1006"/>
    <w:rsid w:val="2E6A1978"/>
    <w:rsid w:val="2E6A7D67"/>
    <w:rsid w:val="2E7B064A"/>
    <w:rsid w:val="2E8226AB"/>
    <w:rsid w:val="2E8D1DF4"/>
    <w:rsid w:val="2EAC4855"/>
    <w:rsid w:val="2EB54BB1"/>
    <w:rsid w:val="2EBB0B9C"/>
    <w:rsid w:val="2EBD0CBE"/>
    <w:rsid w:val="2EC06467"/>
    <w:rsid w:val="2ECE6548"/>
    <w:rsid w:val="2ED533DD"/>
    <w:rsid w:val="2EDA4EED"/>
    <w:rsid w:val="2EDF63DC"/>
    <w:rsid w:val="2EE20276"/>
    <w:rsid w:val="2F2C24AF"/>
    <w:rsid w:val="2F2C363E"/>
    <w:rsid w:val="2F2D3B68"/>
    <w:rsid w:val="2F3C6F86"/>
    <w:rsid w:val="2F4033C5"/>
    <w:rsid w:val="2F4920C0"/>
    <w:rsid w:val="2F4A02C4"/>
    <w:rsid w:val="2F5727BC"/>
    <w:rsid w:val="2F5810F8"/>
    <w:rsid w:val="2F807842"/>
    <w:rsid w:val="2F8F4B6B"/>
    <w:rsid w:val="2F94153F"/>
    <w:rsid w:val="2F9B3664"/>
    <w:rsid w:val="2F9C6C2E"/>
    <w:rsid w:val="2FA379D4"/>
    <w:rsid w:val="2FAC4ADB"/>
    <w:rsid w:val="2FAE7101"/>
    <w:rsid w:val="2FBC648A"/>
    <w:rsid w:val="2FCA4F61"/>
    <w:rsid w:val="2FCE2B17"/>
    <w:rsid w:val="2FD065E6"/>
    <w:rsid w:val="2FD14C2F"/>
    <w:rsid w:val="2FD3233B"/>
    <w:rsid w:val="2FD96870"/>
    <w:rsid w:val="2FDD2BAB"/>
    <w:rsid w:val="2FE130A0"/>
    <w:rsid w:val="2FE778C1"/>
    <w:rsid w:val="2FEF2C1A"/>
    <w:rsid w:val="2FEF5060"/>
    <w:rsid w:val="2FF35785"/>
    <w:rsid w:val="2FF81E59"/>
    <w:rsid w:val="30115FC1"/>
    <w:rsid w:val="302962D3"/>
    <w:rsid w:val="30464D9A"/>
    <w:rsid w:val="30580BC9"/>
    <w:rsid w:val="305B205D"/>
    <w:rsid w:val="306C5C5C"/>
    <w:rsid w:val="30701104"/>
    <w:rsid w:val="30770738"/>
    <w:rsid w:val="307A23F1"/>
    <w:rsid w:val="307F2B49"/>
    <w:rsid w:val="307F4548"/>
    <w:rsid w:val="30913CD1"/>
    <w:rsid w:val="309F73DD"/>
    <w:rsid w:val="30A734F4"/>
    <w:rsid w:val="30AB577E"/>
    <w:rsid w:val="30B01166"/>
    <w:rsid w:val="30EE2F70"/>
    <w:rsid w:val="30FE1366"/>
    <w:rsid w:val="311E2ED7"/>
    <w:rsid w:val="31246A6F"/>
    <w:rsid w:val="313A1FB0"/>
    <w:rsid w:val="314A3090"/>
    <w:rsid w:val="314B3E80"/>
    <w:rsid w:val="314E185E"/>
    <w:rsid w:val="315619EE"/>
    <w:rsid w:val="315C449C"/>
    <w:rsid w:val="31644F41"/>
    <w:rsid w:val="316A227C"/>
    <w:rsid w:val="318223C3"/>
    <w:rsid w:val="31857392"/>
    <w:rsid w:val="318A0FE7"/>
    <w:rsid w:val="319530BD"/>
    <w:rsid w:val="31A06F6B"/>
    <w:rsid w:val="31B1658A"/>
    <w:rsid w:val="31B41A25"/>
    <w:rsid w:val="31B639EF"/>
    <w:rsid w:val="31B82709"/>
    <w:rsid w:val="31B9703B"/>
    <w:rsid w:val="31C14142"/>
    <w:rsid w:val="31D05482"/>
    <w:rsid w:val="31EA7E07"/>
    <w:rsid w:val="31EE02D1"/>
    <w:rsid w:val="31F369F1"/>
    <w:rsid w:val="31F57450"/>
    <w:rsid w:val="320F1CEF"/>
    <w:rsid w:val="320F4EAD"/>
    <w:rsid w:val="32132BEF"/>
    <w:rsid w:val="32243EA7"/>
    <w:rsid w:val="322F4172"/>
    <w:rsid w:val="322F72FD"/>
    <w:rsid w:val="323E2C6D"/>
    <w:rsid w:val="32400B34"/>
    <w:rsid w:val="32472899"/>
    <w:rsid w:val="324949F6"/>
    <w:rsid w:val="3249576B"/>
    <w:rsid w:val="32560D2E"/>
    <w:rsid w:val="32704425"/>
    <w:rsid w:val="3271353A"/>
    <w:rsid w:val="32717916"/>
    <w:rsid w:val="329E6876"/>
    <w:rsid w:val="32A0583E"/>
    <w:rsid w:val="32A108E2"/>
    <w:rsid w:val="32A2020C"/>
    <w:rsid w:val="32A55811"/>
    <w:rsid w:val="32B80EA8"/>
    <w:rsid w:val="32C378EA"/>
    <w:rsid w:val="32CB34CA"/>
    <w:rsid w:val="32DC60CC"/>
    <w:rsid w:val="32EF703C"/>
    <w:rsid w:val="33011E4F"/>
    <w:rsid w:val="3320793D"/>
    <w:rsid w:val="333015F2"/>
    <w:rsid w:val="33321D2A"/>
    <w:rsid w:val="333D6166"/>
    <w:rsid w:val="334B6320"/>
    <w:rsid w:val="3369683F"/>
    <w:rsid w:val="336F44D8"/>
    <w:rsid w:val="337068B0"/>
    <w:rsid w:val="3371728B"/>
    <w:rsid w:val="337A0A4C"/>
    <w:rsid w:val="337C2B8E"/>
    <w:rsid w:val="339F5AED"/>
    <w:rsid w:val="33A25524"/>
    <w:rsid w:val="33A3446E"/>
    <w:rsid w:val="33D934D4"/>
    <w:rsid w:val="33F61864"/>
    <w:rsid w:val="33FE2F6A"/>
    <w:rsid w:val="33FE4E14"/>
    <w:rsid w:val="33FE78CF"/>
    <w:rsid w:val="34030A42"/>
    <w:rsid w:val="340E07E5"/>
    <w:rsid w:val="34134E9D"/>
    <w:rsid w:val="341744ED"/>
    <w:rsid w:val="341A44F7"/>
    <w:rsid w:val="34235BF7"/>
    <w:rsid w:val="342D463E"/>
    <w:rsid w:val="343230D5"/>
    <w:rsid w:val="343611C2"/>
    <w:rsid w:val="34391D02"/>
    <w:rsid w:val="34563267"/>
    <w:rsid w:val="34592D57"/>
    <w:rsid w:val="345D0842"/>
    <w:rsid w:val="345D45F6"/>
    <w:rsid w:val="345F6CD7"/>
    <w:rsid w:val="346314E0"/>
    <w:rsid w:val="347D6A46"/>
    <w:rsid w:val="349F18F7"/>
    <w:rsid w:val="34A174FA"/>
    <w:rsid w:val="34B27C70"/>
    <w:rsid w:val="34C12DD7"/>
    <w:rsid w:val="34C93C26"/>
    <w:rsid w:val="34E50E10"/>
    <w:rsid w:val="34F53053"/>
    <w:rsid w:val="350A48DC"/>
    <w:rsid w:val="351078BA"/>
    <w:rsid w:val="351F18AB"/>
    <w:rsid w:val="353B41CE"/>
    <w:rsid w:val="355377A7"/>
    <w:rsid w:val="35556599"/>
    <w:rsid w:val="355877DA"/>
    <w:rsid w:val="3566572C"/>
    <w:rsid w:val="35675413"/>
    <w:rsid w:val="356F1943"/>
    <w:rsid w:val="358C5FA8"/>
    <w:rsid w:val="358E5B04"/>
    <w:rsid w:val="359009FB"/>
    <w:rsid w:val="35973B37"/>
    <w:rsid w:val="35986AE3"/>
    <w:rsid w:val="35A52592"/>
    <w:rsid w:val="35A605DB"/>
    <w:rsid w:val="35A61FCC"/>
    <w:rsid w:val="35B072B5"/>
    <w:rsid w:val="35B5408B"/>
    <w:rsid w:val="35BB5A78"/>
    <w:rsid w:val="35C15DF1"/>
    <w:rsid w:val="35DD6E5E"/>
    <w:rsid w:val="35E01D9B"/>
    <w:rsid w:val="35E64731"/>
    <w:rsid w:val="35EE0E56"/>
    <w:rsid w:val="35F44AE6"/>
    <w:rsid w:val="36062A6B"/>
    <w:rsid w:val="36074A7F"/>
    <w:rsid w:val="360B1E2F"/>
    <w:rsid w:val="360D5BA8"/>
    <w:rsid w:val="3643623A"/>
    <w:rsid w:val="36551167"/>
    <w:rsid w:val="36567ABF"/>
    <w:rsid w:val="366F318F"/>
    <w:rsid w:val="367747D3"/>
    <w:rsid w:val="36804D5B"/>
    <w:rsid w:val="368C19D9"/>
    <w:rsid w:val="36923549"/>
    <w:rsid w:val="369260AD"/>
    <w:rsid w:val="3699461D"/>
    <w:rsid w:val="369B7657"/>
    <w:rsid w:val="369D2CC5"/>
    <w:rsid w:val="36B75FBF"/>
    <w:rsid w:val="36BD0C45"/>
    <w:rsid w:val="36C05952"/>
    <w:rsid w:val="36C143AD"/>
    <w:rsid w:val="36D13079"/>
    <w:rsid w:val="36D641EB"/>
    <w:rsid w:val="36DA6785"/>
    <w:rsid w:val="36DB291D"/>
    <w:rsid w:val="36DD0878"/>
    <w:rsid w:val="36EB12B9"/>
    <w:rsid w:val="370A0EAB"/>
    <w:rsid w:val="371511B8"/>
    <w:rsid w:val="37182A56"/>
    <w:rsid w:val="371D006C"/>
    <w:rsid w:val="37203CEE"/>
    <w:rsid w:val="372E04CB"/>
    <w:rsid w:val="37307496"/>
    <w:rsid w:val="373C0021"/>
    <w:rsid w:val="373C7683"/>
    <w:rsid w:val="373F40E0"/>
    <w:rsid w:val="37411658"/>
    <w:rsid w:val="374933CD"/>
    <w:rsid w:val="374D237C"/>
    <w:rsid w:val="37692CB0"/>
    <w:rsid w:val="377203B8"/>
    <w:rsid w:val="37734130"/>
    <w:rsid w:val="377D44A0"/>
    <w:rsid w:val="37A13D0C"/>
    <w:rsid w:val="37B30CA3"/>
    <w:rsid w:val="37B863BE"/>
    <w:rsid w:val="37CA182D"/>
    <w:rsid w:val="37E00298"/>
    <w:rsid w:val="37E36311"/>
    <w:rsid w:val="37F60FE9"/>
    <w:rsid w:val="38066D52"/>
    <w:rsid w:val="3807105B"/>
    <w:rsid w:val="38082ACA"/>
    <w:rsid w:val="381C175F"/>
    <w:rsid w:val="382611A3"/>
    <w:rsid w:val="382B1748"/>
    <w:rsid w:val="38322791"/>
    <w:rsid w:val="383A5394"/>
    <w:rsid w:val="38683DB9"/>
    <w:rsid w:val="388D2FD0"/>
    <w:rsid w:val="388D43CA"/>
    <w:rsid w:val="389E659D"/>
    <w:rsid w:val="38A01134"/>
    <w:rsid w:val="38A95BFB"/>
    <w:rsid w:val="38B302F9"/>
    <w:rsid w:val="38BD38B5"/>
    <w:rsid w:val="38BE13DB"/>
    <w:rsid w:val="38D356E1"/>
    <w:rsid w:val="38E469C2"/>
    <w:rsid w:val="38E52E0C"/>
    <w:rsid w:val="38E83E39"/>
    <w:rsid w:val="38ED6EB0"/>
    <w:rsid w:val="38EF3C8A"/>
    <w:rsid w:val="38F12CD3"/>
    <w:rsid w:val="38F916C9"/>
    <w:rsid w:val="38F94775"/>
    <w:rsid w:val="38FE2F77"/>
    <w:rsid w:val="390361A7"/>
    <w:rsid w:val="390432B3"/>
    <w:rsid w:val="39050DB8"/>
    <w:rsid w:val="390C65EA"/>
    <w:rsid w:val="39257B81"/>
    <w:rsid w:val="392971ED"/>
    <w:rsid w:val="392E59B4"/>
    <w:rsid w:val="39325651"/>
    <w:rsid w:val="394448B6"/>
    <w:rsid w:val="39541442"/>
    <w:rsid w:val="395724AC"/>
    <w:rsid w:val="39600BEF"/>
    <w:rsid w:val="396B3311"/>
    <w:rsid w:val="39750C62"/>
    <w:rsid w:val="397A0EBA"/>
    <w:rsid w:val="39882A16"/>
    <w:rsid w:val="39931BF9"/>
    <w:rsid w:val="39A35E40"/>
    <w:rsid w:val="39AD5E7D"/>
    <w:rsid w:val="39B44C42"/>
    <w:rsid w:val="39D6047A"/>
    <w:rsid w:val="39EE4B3E"/>
    <w:rsid w:val="39FD1880"/>
    <w:rsid w:val="3A0B3DC3"/>
    <w:rsid w:val="3A245684"/>
    <w:rsid w:val="3A274A57"/>
    <w:rsid w:val="3A323E2F"/>
    <w:rsid w:val="3A4536E5"/>
    <w:rsid w:val="3A6B5876"/>
    <w:rsid w:val="3A6C3E0C"/>
    <w:rsid w:val="3A7667C1"/>
    <w:rsid w:val="3A767DF5"/>
    <w:rsid w:val="3A777CB4"/>
    <w:rsid w:val="3A7F1DF9"/>
    <w:rsid w:val="3A856654"/>
    <w:rsid w:val="3A872856"/>
    <w:rsid w:val="3A891719"/>
    <w:rsid w:val="3A961525"/>
    <w:rsid w:val="3A971EE4"/>
    <w:rsid w:val="3A9B19D4"/>
    <w:rsid w:val="3AB21B79"/>
    <w:rsid w:val="3ABC7B9C"/>
    <w:rsid w:val="3ABD4362"/>
    <w:rsid w:val="3AC5774B"/>
    <w:rsid w:val="3AD35612"/>
    <w:rsid w:val="3AD71B2B"/>
    <w:rsid w:val="3AD849D6"/>
    <w:rsid w:val="3AE50E19"/>
    <w:rsid w:val="3AEB1C49"/>
    <w:rsid w:val="3AF13CEA"/>
    <w:rsid w:val="3AF21789"/>
    <w:rsid w:val="3AF9494C"/>
    <w:rsid w:val="3B0E664A"/>
    <w:rsid w:val="3B101BD3"/>
    <w:rsid w:val="3B1A3241"/>
    <w:rsid w:val="3B1A4233"/>
    <w:rsid w:val="3B1E43B3"/>
    <w:rsid w:val="3B2A2D58"/>
    <w:rsid w:val="3B3763D1"/>
    <w:rsid w:val="3B3D6FA8"/>
    <w:rsid w:val="3B3F5D44"/>
    <w:rsid w:val="3B587B7A"/>
    <w:rsid w:val="3B6A3F2B"/>
    <w:rsid w:val="3B8343BB"/>
    <w:rsid w:val="3B8C30C5"/>
    <w:rsid w:val="3B90705F"/>
    <w:rsid w:val="3BA47484"/>
    <w:rsid w:val="3BAC059F"/>
    <w:rsid w:val="3BB07701"/>
    <w:rsid w:val="3BB20C3A"/>
    <w:rsid w:val="3BB75A86"/>
    <w:rsid w:val="3BBC42F8"/>
    <w:rsid w:val="3BC74A4B"/>
    <w:rsid w:val="3BD32CD7"/>
    <w:rsid w:val="3BE865EF"/>
    <w:rsid w:val="3BED2703"/>
    <w:rsid w:val="3BF7608E"/>
    <w:rsid w:val="3BF80823"/>
    <w:rsid w:val="3BFA0653"/>
    <w:rsid w:val="3BFE66BE"/>
    <w:rsid w:val="3C0161AE"/>
    <w:rsid w:val="3C0B4B35"/>
    <w:rsid w:val="3C0E6D26"/>
    <w:rsid w:val="3C1311BE"/>
    <w:rsid w:val="3C2E5C5A"/>
    <w:rsid w:val="3C2F6E1E"/>
    <w:rsid w:val="3C363616"/>
    <w:rsid w:val="3C3D657F"/>
    <w:rsid w:val="3C4B0F9B"/>
    <w:rsid w:val="3C4F64BA"/>
    <w:rsid w:val="3C502942"/>
    <w:rsid w:val="3C504A40"/>
    <w:rsid w:val="3C5A6146"/>
    <w:rsid w:val="3C6D55F2"/>
    <w:rsid w:val="3C74072E"/>
    <w:rsid w:val="3C805A5B"/>
    <w:rsid w:val="3C84241F"/>
    <w:rsid w:val="3C8D5A61"/>
    <w:rsid w:val="3C9371A7"/>
    <w:rsid w:val="3C9436B4"/>
    <w:rsid w:val="3C9B435F"/>
    <w:rsid w:val="3C9C5ED7"/>
    <w:rsid w:val="3CB13731"/>
    <w:rsid w:val="3CBF1A5E"/>
    <w:rsid w:val="3CCB2319"/>
    <w:rsid w:val="3CCC15BB"/>
    <w:rsid w:val="3CD45671"/>
    <w:rsid w:val="3CD74B1A"/>
    <w:rsid w:val="3CDA245A"/>
    <w:rsid w:val="3CEA2307"/>
    <w:rsid w:val="3CEB3E3A"/>
    <w:rsid w:val="3CFC0570"/>
    <w:rsid w:val="3D006466"/>
    <w:rsid w:val="3D054D37"/>
    <w:rsid w:val="3D0A699E"/>
    <w:rsid w:val="3D111585"/>
    <w:rsid w:val="3D1A7267"/>
    <w:rsid w:val="3D1E06B7"/>
    <w:rsid w:val="3D4124DC"/>
    <w:rsid w:val="3D5441CA"/>
    <w:rsid w:val="3D680FDF"/>
    <w:rsid w:val="3D835735"/>
    <w:rsid w:val="3D8E3A72"/>
    <w:rsid w:val="3D96639A"/>
    <w:rsid w:val="3D981069"/>
    <w:rsid w:val="3D9E2FED"/>
    <w:rsid w:val="3DA02290"/>
    <w:rsid w:val="3DA212CB"/>
    <w:rsid w:val="3DA70690"/>
    <w:rsid w:val="3DAA3839"/>
    <w:rsid w:val="3DAB60B8"/>
    <w:rsid w:val="3DD46170"/>
    <w:rsid w:val="3DD57AF0"/>
    <w:rsid w:val="3DEC6BE7"/>
    <w:rsid w:val="3DEE1991"/>
    <w:rsid w:val="3DEE5378"/>
    <w:rsid w:val="3DF03A8E"/>
    <w:rsid w:val="3DF12A97"/>
    <w:rsid w:val="3DFE70CD"/>
    <w:rsid w:val="3E047890"/>
    <w:rsid w:val="3E0D59F0"/>
    <w:rsid w:val="3E1A5306"/>
    <w:rsid w:val="3E257EB8"/>
    <w:rsid w:val="3E271E14"/>
    <w:rsid w:val="3E41620B"/>
    <w:rsid w:val="3E470A55"/>
    <w:rsid w:val="3E5562E7"/>
    <w:rsid w:val="3E5E0787"/>
    <w:rsid w:val="3E5E5A38"/>
    <w:rsid w:val="3E695BB7"/>
    <w:rsid w:val="3E6E552A"/>
    <w:rsid w:val="3E8135D7"/>
    <w:rsid w:val="3E821AE9"/>
    <w:rsid w:val="3E834C59"/>
    <w:rsid w:val="3E8804C1"/>
    <w:rsid w:val="3EA27551"/>
    <w:rsid w:val="3EB1402D"/>
    <w:rsid w:val="3EBC6D06"/>
    <w:rsid w:val="3EC64D3E"/>
    <w:rsid w:val="3ED25BE0"/>
    <w:rsid w:val="3ED300E1"/>
    <w:rsid w:val="3ED96F6F"/>
    <w:rsid w:val="3EDA0523"/>
    <w:rsid w:val="3EDC5FE4"/>
    <w:rsid w:val="3EE82592"/>
    <w:rsid w:val="3EE857FD"/>
    <w:rsid w:val="3F0655D5"/>
    <w:rsid w:val="3F0A67DF"/>
    <w:rsid w:val="3F1173C7"/>
    <w:rsid w:val="3F122481"/>
    <w:rsid w:val="3F1C04CC"/>
    <w:rsid w:val="3F2521B4"/>
    <w:rsid w:val="3F263653"/>
    <w:rsid w:val="3F42776D"/>
    <w:rsid w:val="3F4339EF"/>
    <w:rsid w:val="3F5918F3"/>
    <w:rsid w:val="3F8E6B5B"/>
    <w:rsid w:val="3F944E99"/>
    <w:rsid w:val="3F9F3011"/>
    <w:rsid w:val="3FAC0C72"/>
    <w:rsid w:val="3FB07AE4"/>
    <w:rsid w:val="3FB35A12"/>
    <w:rsid w:val="3FD140EA"/>
    <w:rsid w:val="3FD55113"/>
    <w:rsid w:val="3FDC5509"/>
    <w:rsid w:val="3FDD2DA4"/>
    <w:rsid w:val="3FDF304A"/>
    <w:rsid w:val="3FE72C2A"/>
    <w:rsid w:val="3FFD04C6"/>
    <w:rsid w:val="401C35B7"/>
    <w:rsid w:val="401D2E8B"/>
    <w:rsid w:val="4030273D"/>
    <w:rsid w:val="40347D82"/>
    <w:rsid w:val="404B0B8C"/>
    <w:rsid w:val="404E5DB8"/>
    <w:rsid w:val="405C74F2"/>
    <w:rsid w:val="40604BB1"/>
    <w:rsid w:val="406812D2"/>
    <w:rsid w:val="406D5BC1"/>
    <w:rsid w:val="406E0974"/>
    <w:rsid w:val="407A6407"/>
    <w:rsid w:val="407D1B7C"/>
    <w:rsid w:val="4080278D"/>
    <w:rsid w:val="40965F39"/>
    <w:rsid w:val="40972E6D"/>
    <w:rsid w:val="40A9471F"/>
    <w:rsid w:val="40B32CAB"/>
    <w:rsid w:val="40BC79FD"/>
    <w:rsid w:val="40BE0DB2"/>
    <w:rsid w:val="40C003E6"/>
    <w:rsid w:val="40CC5652"/>
    <w:rsid w:val="40D735C1"/>
    <w:rsid w:val="40DC33FB"/>
    <w:rsid w:val="40E8163A"/>
    <w:rsid w:val="40EA2288"/>
    <w:rsid w:val="40ED540E"/>
    <w:rsid w:val="40F1319F"/>
    <w:rsid w:val="40F73208"/>
    <w:rsid w:val="40F73432"/>
    <w:rsid w:val="40FC3DD7"/>
    <w:rsid w:val="40FE2CBD"/>
    <w:rsid w:val="4105740C"/>
    <w:rsid w:val="410E3E35"/>
    <w:rsid w:val="41107286"/>
    <w:rsid w:val="41126AEB"/>
    <w:rsid w:val="41126F75"/>
    <w:rsid w:val="411814CC"/>
    <w:rsid w:val="41260850"/>
    <w:rsid w:val="412878B9"/>
    <w:rsid w:val="413838B2"/>
    <w:rsid w:val="413B4B8E"/>
    <w:rsid w:val="4142139B"/>
    <w:rsid w:val="4142415F"/>
    <w:rsid w:val="41467BE7"/>
    <w:rsid w:val="41504B07"/>
    <w:rsid w:val="41526B64"/>
    <w:rsid w:val="416706EA"/>
    <w:rsid w:val="41826A35"/>
    <w:rsid w:val="41840F13"/>
    <w:rsid w:val="418A45F7"/>
    <w:rsid w:val="41932D5F"/>
    <w:rsid w:val="41961147"/>
    <w:rsid w:val="41AB1CA7"/>
    <w:rsid w:val="41B45A71"/>
    <w:rsid w:val="41B64DC4"/>
    <w:rsid w:val="41B83A53"/>
    <w:rsid w:val="41D11ED4"/>
    <w:rsid w:val="41DB349A"/>
    <w:rsid w:val="41EC76F6"/>
    <w:rsid w:val="41F67E38"/>
    <w:rsid w:val="41F90DE3"/>
    <w:rsid w:val="4200449D"/>
    <w:rsid w:val="42206C63"/>
    <w:rsid w:val="42243E44"/>
    <w:rsid w:val="423A3BCC"/>
    <w:rsid w:val="424B0D42"/>
    <w:rsid w:val="424E57D2"/>
    <w:rsid w:val="426A2B0B"/>
    <w:rsid w:val="426D634C"/>
    <w:rsid w:val="426E11B4"/>
    <w:rsid w:val="426E75F8"/>
    <w:rsid w:val="42725710"/>
    <w:rsid w:val="42791BE0"/>
    <w:rsid w:val="4279411E"/>
    <w:rsid w:val="42AB29D0"/>
    <w:rsid w:val="42AB54B2"/>
    <w:rsid w:val="42B26C49"/>
    <w:rsid w:val="42E3216A"/>
    <w:rsid w:val="42E63A08"/>
    <w:rsid w:val="42E73E04"/>
    <w:rsid w:val="42F06058"/>
    <w:rsid w:val="42F97BDF"/>
    <w:rsid w:val="42FE4F4C"/>
    <w:rsid w:val="43051083"/>
    <w:rsid w:val="430B6BC2"/>
    <w:rsid w:val="430F11B1"/>
    <w:rsid w:val="431053BE"/>
    <w:rsid w:val="431E31A2"/>
    <w:rsid w:val="432E3DDB"/>
    <w:rsid w:val="433A0EF7"/>
    <w:rsid w:val="433A6FE6"/>
    <w:rsid w:val="43476A7F"/>
    <w:rsid w:val="43480868"/>
    <w:rsid w:val="4350713C"/>
    <w:rsid w:val="43620DA7"/>
    <w:rsid w:val="436508A4"/>
    <w:rsid w:val="436653E0"/>
    <w:rsid w:val="437078E9"/>
    <w:rsid w:val="437E1482"/>
    <w:rsid w:val="438374A9"/>
    <w:rsid w:val="438902EA"/>
    <w:rsid w:val="439A7BEC"/>
    <w:rsid w:val="43C4431A"/>
    <w:rsid w:val="43C817CC"/>
    <w:rsid w:val="43CC70A2"/>
    <w:rsid w:val="43D7255B"/>
    <w:rsid w:val="43DC4D87"/>
    <w:rsid w:val="43E328B1"/>
    <w:rsid w:val="43E50164"/>
    <w:rsid w:val="43FE1509"/>
    <w:rsid w:val="440A5A5D"/>
    <w:rsid w:val="440A7B24"/>
    <w:rsid w:val="44166896"/>
    <w:rsid w:val="44191BBB"/>
    <w:rsid w:val="441A389F"/>
    <w:rsid w:val="44292A1B"/>
    <w:rsid w:val="442B6778"/>
    <w:rsid w:val="44305883"/>
    <w:rsid w:val="444A285F"/>
    <w:rsid w:val="4456696C"/>
    <w:rsid w:val="4467266E"/>
    <w:rsid w:val="446B6CC3"/>
    <w:rsid w:val="447D214A"/>
    <w:rsid w:val="44890AEF"/>
    <w:rsid w:val="448F34CE"/>
    <w:rsid w:val="44903312"/>
    <w:rsid w:val="44962DE2"/>
    <w:rsid w:val="44966653"/>
    <w:rsid w:val="4497641F"/>
    <w:rsid w:val="44B951CC"/>
    <w:rsid w:val="44CD14E0"/>
    <w:rsid w:val="44CD6B1C"/>
    <w:rsid w:val="44CE5A6E"/>
    <w:rsid w:val="44E438EF"/>
    <w:rsid w:val="44EC107E"/>
    <w:rsid w:val="44EF6A10"/>
    <w:rsid w:val="44F20B0B"/>
    <w:rsid w:val="44FA0F89"/>
    <w:rsid w:val="44FB7A1B"/>
    <w:rsid w:val="44FF20B3"/>
    <w:rsid w:val="45052B5C"/>
    <w:rsid w:val="450C5F03"/>
    <w:rsid w:val="45120AE5"/>
    <w:rsid w:val="452E5F4C"/>
    <w:rsid w:val="453E2C65"/>
    <w:rsid w:val="45440C4D"/>
    <w:rsid w:val="4548631D"/>
    <w:rsid w:val="455237D8"/>
    <w:rsid w:val="45612018"/>
    <w:rsid w:val="45654C8F"/>
    <w:rsid w:val="4566565B"/>
    <w:rsid w:val="456823CC"/>
    <w:rsid w:val="457277D5"/>
    <w:rsid w:val="4575784A"/>
    <w:rsid w:val="458946E9"/>
    <w:rsid w:val="45895A44"/>
    <w:rsid w:val="459A551C"/>
    <w:rsid w:val="45A47C0E"/>
    <w:rsid w:val="45C51FFB"/>
    <w:rsid w:val="45CD7101"/>
    <w:rsid w:val="45D40FA3"/>
    <w:rsid w:val="45E76415"/>
    <w:rsid w:val="45F87850"/>
    <w:rsid w:val="45FA77F3"/>
    <w:rsid w:val="46021CB3"/>
    <w:rsid w:val="46053A8E"/>
    <w:rsid w:val="46081EE8"/>
    <w:rsid w:val="46093776"/>
    <w:rsid w:val="46113BCE"/>
    <w:rsid w:val="46146ADE"/>
    <w:rsid w:val="461C27E3"/>
    <w:rsid w:val="46315BEC"/>
    <w:rsid w:val="464253F9"/>
    <w:rsid w:val="4643752B"/>
    <w:rsid w:val="46494FE1"/>
    <w:rsid w:val="464A59BB"/>
    <w:rsid w:val="46577FD6"/>
    <w:rsid w:val="466A5972"/>
    <w:rsid w:val="46705EF1"/>
    <w:rsid w:val="467A46AE"/>
    <w:rsid w:val="46815F57"/>
    <w:rsid w:val="46904907"/>
    <w:rsid w:val="46A5052F"/>
    <w:rsid w:val="46A75BA4"/>
    <w:rsid w:val="46AF4534"/>
    <w:rsid w:val="46C10A14"/>
    <w:rsid w:val="46C2653A"/>
    <w:rsid w:val="46C82208"/>
    <w:rsid w:val="46CB1893"/>
    <w:rsid w:val="46D36999"/>
    <w:rsid w:val="46D9208F"/>
    <w:rsid w:val="46D955A7"/>
    <w:rsid w:val="46DA0359"/>
    <w:rsid w:val="46E110B6"/>
    <w:rsid w:val="46EE6F82"/>
    <w:rsid w:val="46F935AD"/>
    <w:rsid w:val="46FE5AC4"/>
    <w:rsid w:val="47003781"/>
    <w:rsid w:val="470D200C"/>
    <w:rsid w:val="47133957"/>
    <w:rsid w:val="471F1BDF"/>
    <w:rsid w:val="472745EF"/>
    <w:rsid w:val="47287B5B"/>
    <w:rsid w:val="473D2E84"/>
    <w:rsid w:val="474F4272"/>
    <w:rsid w:val="47512B10"/>
    <w:rsid w:val="475F4FF5"/>
    <w:rsid w:val="477B2DBC"/>
    <w:rsid w:val="479D78A8"/>
    <w:rsid w:val="479F0632"/>
    <w:rsid w:val="479F6FFC"/>
    <w:rsid w:val="47A05A22"/>
    <w:rsid w:val="47A07E0C"/>
    <w:rsid w:val="47AD387B"/>
    <w:rsid w:val="47B71E17"/>
    <w:rsid w:val="47C001EC"/>
    <w:rsid w:val="47C245A1"/>
    <w:rsid w:val="47C702AC"/>
    <w:rsid w:val="47CE4D13"/>
    <w:rsid w:val="47E62A69"/>
    <w:rsid w:val="47F14E1F"/>
    <w:rsid w:val="47F4371C"/>
    <w:rsid w:val="47F9082A"/>
    <w:rsid w:val="47FB61A8"/>
    <w:rsid w:val="47FF1613"/>
    <w:rsid w:val="47FF7027"/>
    <w:rsid w:val="480A4932"/>
    <w:rsid w:val="4818445A"/>
    <w:rsid w:val="482C010F"/>
    <w:rsid w:val="48340801"/>
    <w:rsid w:val="48396CD0"/>
    <w:rsid w:val="485F64E4"/>
    <w:rsid w:val="486275B7"/>
    <w:rsid w:val="48701A81"/>
    <w:rsid w:val="4870272E"/>
    <w:rsid w:val="487129E5"/>
    <w:rsid w:val="48782F97"/>
    <w:rsid w:val="487D4A85"/>
    <w:rsid w:val="48883FAF"/>
    <w:rsid w:val="48885A86"/>
    <w:rsid w:val="488A76C9"/>
    <w:rsid w:val="48902ED0"/>
    <w:rsid w:val="489D397A"/>
    <w:rsid w:val="48AA54D8"/>
    <w:rsid w:val="48AE281E"/>
    <w:rsid w:val="48B56357"/>
    <w:rsid w:val="48BF71D5"/>
    <w:rsid w:val="48EA3FCD"/>
    <w:rsid w:val="48ED191F"/>
    <w:rsid w:val="48FD7222"/>
    <w:rsid w:val="49102C4E"/>
    <w:rsid w:val="491D5CAA"/>
    <w:rsid w:val="49314B9D"/>
    <w:rsid w:val="49323515"/>
    <w:rsid w:val="49463453"/>
    <w:rsid w:val="494B0A69"/>
    <w:rsid w:val="49520049"/>
    <w:rsid w:val="49551F3F"/>
    <w:rsid w:val="495A5150"/>
    <w:rsid w:val="495E079C"/>
    <w:rsid w:val="496A0F9E"/>
    <w:rsid w:val="496B2BA7"/>
    <w:rsid w:val="496B3593"/>
    <w:rsid w:val="497269E1"/>
    <w:rsid w:val="497300FC"/>
    <w:rsid w:val="4973477C"/>
    <w:rsid w:val="4974192B"/>
    <w:rsid w:val="49783238"/>
    <w:rsid w:val="497C3843"/>
    <w:rsid w:val="498811FA"/>
    <w:rsid w:val="49926698"/>
    <w:rsid w:val="4997611E"/>
    <w:rsid w:val="49A63ABB"/>
    <w:rsid w:val="49A779EF"/>
    <w:rsid w:val="49AE5AA8"/>
    <w:rsid w:val="49BC3549"/>
    <w:rsid w:val="49D16402"/>
    <w:rsid w:val="49D74998"/>
    <w:rsid w:val="49DC7715"/>
    <w:rsid w:val="49E61395"/>
    <w:rsid w:val="49F20EE5"/>
    <w:rsid w:val="49F42EAF"/>
    <w:rsid w:val="49F92273"/>
    <w:rsid w:val="4A023139"/>
    <w:rsid w:val="4A042DCF"/>
    <w:rsid w:val="4A0A4480"/>
    <w:rsid w:val="4A1B076F"/>
    <w:rsid w:val="4A1B7DBB"/>
    <w:rsid w:val="4A3069B1"/>
    <w:rsid w:val="4A372D9B"/>
    <w:rsid w:val="4A47506A"/>
    <w:rsid w:val="4A4861AE"/>
    <w:rsid w:val="4A554841"/>
    <w:rsid w:val="4A601E8F"/>
    <w:rsid w:val="4A7345EB"/>
    <w:rsid w:val="4A7B576F"/>
    <w:rsid w:val="4A9401EE"/>
    <w:rsid w:val="4AAD305D"/>
    <w:rsid w:val="4AAF0B45"/>
    <w:rsid w:val="4AB616FA"/>
    <w:rsid w:val="4ABA54AB"/>
    <w:rsid w:val="4ABF49B6"/>
    <w:rsid w:val="4AC32CF8"/>
    <w:rsid w:val="4ACC1D23"/>
    <w:rsid w:val="4ACF20B9"/>
    <w:rsid w:val="4AD11442"/>
    <w:rsid w:val="4AD11694"/>
    <w:rsid w:val="4AE86B80"/>
    <w:rsid w:val="4AEB2653"/>
    <w:rsid w:val="4AF15640"/>
    <w:rsid w:val="4AF55130"/>
    <w:rsid w:val="4AF561A9"/>
    <w:rsid w:val="4AFC2E3C"/>
    <w:rsid w:val="4AFC7BF7"/>
    <w:rsid w:val="4B076C12"/>
    <w:rsid w:val="4B130AFE"/>
    <w:rsid w:val="4B14595B"/>
    <w:rsid w:val="4B1E14E5"/>
    <w:rsid w:val="4B245A16"/>
    <w:rsid w:val="4B2D3DA5"/>
    <w:rsid w:val="4B33752B"/>
    <w:rsid w:val="4B3814C1"/>
    <w:rsid w:val="4B3D2633"/>
    <w:rsid w:val="4B481058"/>
    <w:rsid w:val="4B4A5F4D"/>
    <w:rsid w:val="4B4D57CE"/>
    <w:rsid w:val="4B6202EC"/>
    <w:rsid w:val="4B635D13"/>
    <w:rsid w:val="4B654D52"/>
    <w:rsid w:val="4B701FD3"/>
    <w:rsid w:val="4B734150"/>
    <w:rsid w:val="4B8818E3"/>
    <w:rsid w:val="4B9C0C83"/>
    <w:rsid w:val="4B9C7ED4"/>
    <w:rsid w:val="4B9D4EAB"/>
    <w:rsid w:val="4BA93904"/>
    <w:rsid w:val="4BB5422E"/>
    <w:rsid w:val="4BBB220E"/>
    <w:rsid w:val="4BBC601E"/>
    <w:rsid w:val="4BD05255"/>
    <w:rsid w:val="4BFA772B"/>
    <w:rsid w:val="4C1C493F"/>
    <w:rsid w:val="4C2061DD"/>
    <w:rsid w:val="4C2432F0"/>
    <w:rsid w:val="4C2A2BB8"/>
    <w:rsid w:val="4C360F71"/>
    <w:rsid w:val="4C4602A1"/>
    <w:rsid w:val="4C4A0649"/>
    <w:rsid w:val="4C5639AD"/>
    <w:rsid w:val="4C590C5E"/>
    <w:rsid w:val="4C615739"/>
    <w:rsid w:val="4C651E42"/>
    <w:rsid w:val="4C6E4C61"/>
    <w:rsid w:val="4C7C1898"/>
    <w:rsid w:val="4C7C7DDD"/>
    <w:rsid w:val="4C7E5ECA"/>
    <w:rsid w:val="4C827813"/>
    <w:rsid w:val="4C876AA5"/>
    <w:rsid w:val="4C90324F"/>
    <w:rsid w:val="4C9D5F2D"/>
    <w:rsid w:val="4CAC181F"/>
    <w:rsid w:val="4CBB4C0D"/>
    <w:rsid w:val="4CD12DC0"/>
    <w:rsid w:val="4CD705FA"/>
    <w:rsid w:val="4CE83F1B"/>
    <w:rsid w:val="4CEF2809"/>
    <w:rsid w:val="4CF33687"/>
    <w:rsid w:val="4CF86CAE"/>
    <w:rsid w:val="4D096C71"/>
    <w:rsid w:val="4D0E00FB"/>
    <w:rsid w:val="4D1473C4"/>
    <w:rsid w:val="4D152F26"/>
    <w:rsid w:val="4D176606"/>
    <w:rsid w:val="4D183358"/>
    <w:rsid w:val="4D1B28FA"/>
    <w:rsid w:val="4D2069F5"/>
    <w:rsid w:val="4D285F08"/>
    <w:rsid w:val="4D2F209B"/>
    <w:rsid w:val="4D474BA9"/>
    <w:rsid w:val="4D4A40F4"/>
    <w:rsid w:val="4D520111"/>
    <w:rsid w:val="4D7F6E9C"/>
    <w:rsid w:val="4D897DB2"/>
    <w:rsid w:val="4D8D78A2"/>
    <w:rsid w:val="4D9458E8"/>
    <w:rsid w:val="4DC720C7"/>
    <w:rsid w:val="4DD1086D"/>
    <w:rsid w:val="4DD202D6"/>
    <w:rsid w:val="4DDC2B1F"/>
    <w:rsid w:val="4DE03DE9"/>
    <w:rsid w:val="4DEC4FB0"/>
    <w:rsid w:val="4DEF1F77"/>
    <w:rsid w:val="4DEF40B9"/>
    <w:rsid w:val="4DFD20CD"/>
    <w:rsid w:val="4E075D8A"/>
    <w:rsid w:val="4E102281"/>
    <w:rsid w:val="4E1458CD"/>
    <w:rsid w:val="4E175F30"/>
    <w:rsid w:val="4E1862D2"/>
    <w:rsid w:val="4E2E745F"/>
    <w:rsid w:val="4E3B5550"/>
    <w:rsid w:val="4E616639"/>
    <w:rsid w:val="4E6C5BD4"/>
    <w:rsid w:val="4E724CEA"/>
    <w:rsid w:val="4E7B76FB"/>
    <w:rsid w:val="4E7C116E"/>
    <w:rsid w:val="4E7E3107"/>
    <w:rsid w:val="4E824463"/>
    <w:rsid w:val="4E920EE8"/>
    <w:rsid w:val="4E974E4A"/>
    <w:rsid w:val="4E9C50B5"/>
    <w:rsid w:val="4EAA7579"/>
    <w:rsid w:val="4EAF55F6"/>
    <w:rsid w:val="4EC00FAD"/>
    <w:rsid w:val="4EC54E1A"/>
    <w:rsid w:val="4ECF3EEA"/>
    <w:rsid w:val="4EF915EB"/>
    <w:rsid w:val="4F072F59"/>
    <w:rsid w:val="4F135B85"/>
    <w:rsid w:val="4F196F13"/>
    <w:rsid w:val="4F1B2C8C"/>
    <w:rsid w:val="4F2F464C"/>
    <w:rsid w:val="4F5D5B8E"/>
    <w:rsid w:val="4F645431"/>
    <w:rsid w:val="4F705C01"/>
    <w:rsid w:val="4F711F6A"/>
    <w:rsid w:val="4F763B66"/>
    <w:rsid w:val="4F910CFD"/>
    <w:rsid w:val="4F9843DC"/>
    <w:rsid w:val="4F9B4013"/>
    <w:rsid w:val="4F9E30E2"/>
    <w:rsid w:val="4FB4521D"/>
    <w:rsid w:val="4FBF3D7B"/>
    <w:rsid w:val="4FC62A8C"/>
    <w:rsid w:val="4FC6709B"/>
    <w:rsid w:val="4FC96B8B"/>
    <w:rsid w:val="4FCB2904"/>
    <w:rsid w:val="4FCD0728"/>
    <w:rsid w:val="4FD01A6E"/>
    <w:rsid w:val="4FE20F0D"/>
    <w:rsid w:val="4FE26BA7"/>
    <w:rsid w:val="4FE51552"/>
    <w:rsid w:val="4FEC694D"/>
    <w:rsid w:val="4FF4487D"/>
    <w:rsid w:val="500A094A"/>
    <w:rsid w:val="501875DC"/>
    <w:rsid w:val="501B10B2"/>
    <w:rsid w:val="50504C4B"/>
    <w:rsid w:val="50556129"/>
    <w:rsid w:val="505E1082"/>
    <w:rsid w:val="50680152"/>
    <w:rsid w:val="507F5BF1"/>
    <w:rsid w:val="50901457"/>
    <w:rsid w:val="50952BFE"/>
    <w:rsid w:val="509C6E7C"/>
    <w:rsid w:val="50B45146"/>
    <w:rsid w:val="50ED0658"/>
    <w:rsid w:val="50EF6FEA"/>
    <w:rsid w:val="50F639B0"/>
    <w:rsid w:val="50F87D9F"/>
    <w:rsid w:val="510A3C2F"/>
    <w:rsid w:val="510D2AA8"/>
    <w:rsid w:val="51267BA2"/>
    <w:rsid w:val="512A6D52"/>
    <w:rsid w:val="513242BC"/>
    <w:rsid w:val="51357C3A"/>
    <w:rsid w:val="513B20BB"/>
    <w:rsid w:val="513D1E12"/>
    <w:rsid w:val="513F3F05"/>
    <w:rsid w:val="5141379C"/>
    <w:rsid w:val="514F0FC3"/>
    <w:rsid w:val="51600E2A"/>
    <w:rsid w:val="5162104E"/>
    <w:rsid w:val="51713037"/>
    <w:rsid w:val="51856AE2"/>
    <w:rsid w:val="5190006E"/>
    <w:rsid w:val="51917235"/>
    <w:rsid w:val="51A05EC6"/>
    <w:rsid w:val="51B55C83"/>
    <w:rsid w:val="51C02B2F"/>
    <w:rsid w:val="51C25640"/>
    <w:rsid w:val="51ED72DD"/>
    <w:rsid w:val="51EE0D9D"/>
    <w:rsid w:val="51EE4687"/>
    <w:rsid w:val="51F021AD"/>
    <w:rsid w:val="51FE4E43"/>
    <w:rsid w:val="52021EE1"/>
    <w:rsid w:val="520B66FB"/>
    <w:rsid w:val="521117AA"/>
    <w:rsid w:val="5221002A"/>
    <w:rsid w:val="522B700A"/>
    <w:rsid w:val="52392697"/>
    <w:rsid w:val="52403A03"/>
    <w:rsid w:val="524E4882"/>
    <w:rsid w:val="525D7E1D"/>
    <w:rsid w:val="52662470"/>
    <w:rsid w:val="52691AA2"/>
    <w:rsid w:val="526A3904"/>
    <w:rsid w:val="5274446C"/>
    <w:rsid w:val="527A5F1B"/>
    <w:rsid w:val="527A778E"/>
    <w:rsid w:val="527F5C1A"/>
    <w:rsid w:val="52804906"/>
    <w:rsid w:val="5281492F"/>
    <w:rsid w:val="529E3361"/>
    <w:rsid w:val="529F5AD2"/>
    <w:rsid w:val="52A6597E"/>
    <w:rsid w:val="52BA3C9F"/>
    <w:rsid w:val="52CA50F4"/>
    <w:rsid w:val="52CB3396"/>
    <w:rsid w:val="52D90E94"/>
    <w:rsid w:val="52E77C30"/>
    <w:rsid w:val="52EA2A6B"/>
    <w:rsid w:val="52EB7B66"/>
    <w:rsid w:val="52EC7E07"/>
    <w:rsid w:val="52FB7921"/>
    <w:rsid w:val="53043CC0"/>
    <w:rsid w:val="5307650F"/>
    <w:rsid w:val="530D0BC4"/>
    <w:rsid w:val="53220A8C"/>
    <w:rsid w:val="532D6376"/>
    <w:rsid w:val="53495BA4"/>
    <w:rsid w:val="534E7AD3"/>
    <w:rsid w:val="535A0198"/>
    <w:rsid w:val="535D2770"/>
    <w:rsid w:val="53806410"/>
    <w:rsid w:val="53932417"/>
    <w:rsid w:val="539B083F"/>
    <w:rsid w:val="53A039CC"/>
    <w:rsid w:val="53A1505A"/>
    <w:rsid w:val="53A616BE"/>
    <w:rsid w:val="53A64FA5"/>
    <w:rsid w:val="53B740A0"/>
    <w:rsid w:val="53C05263"/>
    <w:rsid w:val="53DF072C"/>
    <w:rsid w:val="53E340AE"/>
    <w:rsid w:val="53FB308C"/>
    <w:rsid w:val="540057FF"/>
    <w:rsid w:val="54010E23"/>
    <w:rsid w:val="5402355E"/>
    <w:rsid w:val="54063E08"/>
    <w:rsid w:val="540E7263"/>
    <w:rsid w:val="54117B20"/>
    <w:rsid w:val="54134879"/>
    <w:rsid w:val="54172C85"/>
    <w:rsid w:val="541A1764"/>
    <w:rsid w:val="54224722"/>
    <w:rsid w:val="54244390"/>
    <w:rsid w:val="54306A90"/>
    <w:rsid w:val="54316AAD"/>
    <w:rsid w:val="543437E8"/>
    <w:rsid w:val="54413194"/>
    <w:rsid w:val="544261AB"/>
    <w:rsid w:val="544773A1"/>
    <w:rsid w:val="545253A1"/>
    <w:rsid w:val="54612138"/>
    <w:rsid w:val="5465560E"/>
    <w:rsid w:val="54655E06"/>
    <w:rsid w:val="54684BC5"/>
    <w:rsid w:val="546A7BA2"/>
    <w:rsid w:val="547A17E4"/>
    <w:rsid w:val="547A7484"/>
    <w:rsid w:val="54830AA8"/>
    <w:rsid w:val="54891A20"/>
    <w:rsid w:val="549856F8"/>
    <w:rsid w:val="54CD26D6"/>
    <w:rsid w:val="54D77655"/>
    <w:rsid w:val="54D81478"/>
    <w:rsid w:val="54EF7CB9"/>
    <w:rsid w:val="54F41600"/>
    <w:rsid w:val="54F73313"/>
    <w:rsid w:val="54F80955"/>
    <w:rsid w:val="54FE7582"/>
    <w:rsid w:val="550B35F5"/>
    <w:rsid w:val="55127748"/>
    <w:rsid w:val="555170A7"/>
    <w:rsid w:val="55540CA5"/>
    <w:rsid w:val="55576B62"/>
    <w:rsid w:val="5587536D"/>
    <w:rsid w:val="558C7A4D"/>
    <w:rsid w:val="559B174B"/>
    <w:rsid w:val="55B43E76"/>
    <w:rsid w:val="55B773A2"/>
    <w:rsid w:val="55B94FAC"/>
    <w:rsid w:val="55B969CE"/>
    <w:rsid w:val="55C12BA1"/>
    <w:rsid w:val="55C93441"/>
    <w:rsid w:val="55CE0CF4"/>
    <w:rsid w:val="55DC4434"/>
    <w:rsid w:val="55DD1F13"/>
    <w:rsid w:val="55E467B8"/>
    <w:rsid w:val="55ED6F99"/>
    <w:rsid w:val="55F0785B"/>
    <w:rsid w:val="55F6789A"/>
    <w:rsid w:val="560B4CD7"/>
    <w:rsid w:val="561B2E46"/>
    <w:rsid w:val="56242D6E"/>
    <w:rsid w:val="563444EF"/>
    <w:rsid w:val="564047B0"/>
    <w:rsid w:val="56427575"/>
    <w:rsid w:val="56460727"/>
    <w:rsid w:val="565151E5"/>
    <w:rsid w:val="56523597"/>
    <w:rsid w:val="5656482C"/>
    <w:rsid w:val="56641E65"/>
    <w:rsid w:val="567D3A87"/>
    <w:rsid w:val="56874511"/>
    <w:rsid w:val="568B3B27"/>
    <w:rsid w:val="569539AF"/>
    <w:rsid w:val="56986659"/>
    <w:rsid w:val="56B22A9C"/>
    <w:rsid w:val="56B764FB"/>
    <w:rsid w:val="56C23EE8"/>
    <w:rsid w:val="56CF0F2B"/>
    <w:rsid w:val="56D50351"/>
    <w:rsid w:val="56D93B58"/>
    <w:rsid w:val="56D976B4"/>
    <w:rsid w:val="56DC4E01"/>
    <w:rsid w:val="56E322E1"/>
    <w:rsid w:val="56E45420"/>
    <w:rsid w:val="56F125AB"/>
    <w:rsid w:val="56FE711B"/>
    <w:rsid w:val="570034B8"/>
    <w:rsid w:val="57007337"/>
    <w:rsid w:val="57064221"/>
    <w:rsid w:val="571A4CEF"/>
    <w:rsid w:val="571C5F7A"/>
    <w:rsid w:val="57267B87"/>
    <w:rsid w:val="572F51DD"/>
    <w:rsid w:val="5730701C"/>
    <w:rsid w:val="573C18D3"/>
    <w:rsid w:val="574C0815"/>
    <w:rsid w:val="574F7976"/>
    <w:rsid w:val="57655C0C"/>
    <w:rsid w:val="57831D16"/>
    <w:rsid w:val="57872D8E"/>
    <w:rsid w:val="578A2F69"/>
    <w:rsid w:val="578F5C2B"/>
    <w:rsid w:val="57AE2419"/>
    <w:rsid w:val="57B55791"/>
    <w:rsid w:val="57B72A76"/>
    <w:rsid w:val="57B94ADE"/>
    <w:rsid w:val="57BA311F"/>
    <w:rsid w:val="57C3426C"/>
    <w:rsid w:val="57CB5CED"/>
    <w:rsid w:val="57CE1F93"/>
    <w:rsid w:val="57CF0AB7"/>
    <w:rsid w:val="57EA58F1"/>
    <w:rsid w:val="57F61675"/>
    <w:rsid w:val="57F64A80"/>
    <w:rsid w:val="57F87DC0"/>
    <w:rsid w:val="58144523"/>
    <w:rsid w:val="581E3959"/>
    <w:rsid w:val="582C7CB7"/>
    <w:rsid w:val="58337298"/>
    <w:rsid w:val="583F79EB"/>
    <w:rsid w:val="58407993"/>
    <w:rsid w:val="58507E4A"/>
    <w:rsid w:val="586B6F6A"/>
    <w:rsid w:val="586E3DC4"/>
    <w:rsid w:val="58786725"/>
    <w:rsid w:val="5883265F"/>
    <w:rsid w:val="588743D1"/>
    <w:rsid w:val="5887701A"/>
    <w:rsid w:val="589717CC"/>
    <w:rsid w:val="589C6BEB"/>
    <w:rsid w:val="58A5006E"/>
    <w:rsid w:val="58AA6296"/>
    <w:rsid w:val="58AC120F"/>
    <w:rsid w:val="58AC1930"/>
    <w:rsid w:val="58C6175D"/>
    <w:rsid w:val="58D17568"/>
    <w:rsid w:val="58DD79E4"/>
    <w:rsid w:val="58E248AA"/>
    <w:rsid w:val="58EA2507"/>
    <w:rsid w:val="5903310E"/>
    <w:rsid w:val="5909322F"/>
    <w:rsid w:val="590B7B6A"/>
    <w:rsid w:val="59101387"/>
    <w:rsid w:val="59113174"/>
    <w:rsid w:val="59123A84"/>
    <w:rsid w:val="591823A6"/>
    <w:rsid w:val="591C03F1"/>
    <w:rsid w:val="591F781C"/>
    <w:rsid w:val="59215074"/>
    <w:rsid w:val="59253085"/>
    <w:rsid w:val="5925591F"/>
    <w:rsid w:val="59305585"/>
    <w:rsid w:val="5932754F"/>
    <w:rsid w:val="593F2D65"/>
    <w:rsid w:val="594D4389"/>
    <w:rsid w:val="596A5E68"/>
    <w:rsid w:val="5975017F"/>
    <w:rsid w:val="597909F8"/>
    <w:rsid w:val="597B108E"/>
    <w:rsid w:val="597B512C"/>
    <w:rsid w:val="597E2E22"/>
    <w:rsid w:val="599A0390"/>
    <w:rsid w:val="59A71CEC"/>
    <w:rsid w:val="59AD134A"/>
    <w:rsid w:val="59B368E2"/>
    <w:rsid w:val="59BC22DC"/>
    <w:rsid w:val="59C0439F"/>
    <w:rsid w:val="59C72A09"/>
    <w:rsid w:val="59CB0374"/>
    <w:rsid w:val="59CB5746"/>
    <w:rsid w:val="59CD43D9"/>
    <w:rsid w:val="59D13DE6"/>
    <w:rsid w:val="59D1585A"/>
    <w:rsid w:val="59D6437F"/>
    <w:rsid w:val="59EC2741"/>
    <w:rsid w:val="59F359C5"/>
    <w:rsid w:val="59F92CC7"/>
    <w:rsid w:val="5A037D6A"/>
    <w:rsid w:val="5A1645DA"/>
    <w:rsid w:val="5A2E7D17"/>
    <w:rsid w:val="5A3D32DD"/>
    <w:rsid w:val="5A3F1133"/>
    <w:rsid w:val="5A581238"/>
    <w:rsid w:val="5A774C30"/>
    <w:rsid w:val="5A7938DB"/>
    <w:rsid w:val="5A7C65C6"/>
    <w:rsid w:val="5A7D2A4C"/>
    <w:rsid w:val="5A7F784F"/>
    <w:rsid w:val="5A9023E4"/>
    <w:rsid w:val="5A987886"/>
    <w:rsid w:val="5ABE2233"/>
    <w:rsid w:val="5ACA0EFB"/>
    <w:rsid w:val="5AD05644"/>
    <w:rsid w:val="5ADD589E"/>
    <w:rsid w:val="5AEC4B01"/>
    <w:rsid w:val="5AF977F4"/>
    <w:rsid w:val="5AFA63EB"/>
    <w:rsid w:val="5B01367D"/>
    <w:rsid w:val="5B072F34"/>
    <w:rsid w:val="5B1323D9"/>
    <w:rsid w:val="5B303F63"/>
    <w:rsid w:val="5B490B80"/>
    <w:rsid w:val="5B516E1D"/>
    <w:rsid w:val="5B525AE6"/>
    <w:rsid w:val="5B6559BA"/>
    <w:rsid w:val="5B6D7986"/>
    <w:rsid w:val="5B7A7E3D"/>
    <w:rsid w:val="5B8429D0"/>
    <w:rsid w:val="5B8D16C2"/>
    <w:rsid w:val="5B8F0C89"/>
    <w:rsid w:val="5B997033"/>
    <w:rsid w:val="5BAE1A39"/>
    <w:rsid w:val="5BB02E25"/>
    <w:rsid w:val="5BB64468"/>
    <w:rsid w:val="5BD23CD1"/>
    <w:rsid w:val="5BDD6458"/>
    <w:rsid w:val="5BDF5D95"/>
    <w:rsid w:val="5BEA75B7"/>
    <w:rsid w:val="5BEC07B0"/>
    <w:rsid w:val="5BFE7528"/>
    <w:rsid w:val="5C0C47DB"/>
    <w:rsid w:val="5C0C5D2B"/>
    <w:rsid w:val="5C0F5EF4"/>
    <w:rsid w:val="5C1131A3"/>
    <w:rsid w:val="5C1C74EB"/>
    <w:rsid w:val="5C302BB6"/>
    <w:rsid w:val="5C391A9C"/>
    <w:rsid w:val="5C515F3F"/>
    <w:rsid w:val="5C521369"/>
    <w:rsid w:val="5C617A21"/>
    <w:rsid w:val="5C6B34A4"/>
    <w:rsid w:val="5C737BB0"/>
    <w:rsid w:val="5C800036"/>
    <w:rsid w:val="5C9710BF"/>
    <w:rsid w:val="5C9E454D"/>
    <w:rsid w:val="5CA75C3E"/>
    <w:rsid w:val="5CA832C6"/>
    <w:rsid w:val="5CB845C1"/>
    <w:rsid w:val="5CB8595B"/>
    <w:rsid w:val="5CBA37D5"/>
    <w:rsid w:val="5CBC016A"/>
    <w:rsid w:val="5CBC409A"/>
    <w:rsid w:val="5CC200BD"/>
    <w:rsid w:val="5CCC3B61"/>
    <w:rsid w:val="5CD01559"/>
    <w:rsid w:val="5CDF179C"/>
    <w:rsid w:val="5CFA67D8"/>
    <w:rsid w:val="5D150713"/>
    <w:rsid w:val="5D153410"/>
    <w:rsid w:val="5D1A0A26"/>
    <w:rsid w:val="5D24469B"/>
    <w:rsid w:val="5D395350"/>
    <w:rsid w:val="5D3A2E77"/>
    <w:rsid w:val="5D3B56D7"/>
    <w:rsid w:val="5D3E7CB6"/>
    <w:rsid w:val="5D415CE9"/>
    <w:rsid w:val="5D431D2B"/>
    <w:rsid w:val="5D4A301F"/>
    <w:rsid w:val="5D5977A1"/>
    <w:rsid w:val="5D5A0E29"/>
    <w:rsid w:val="5D5A7075"/>
    <w:rsid w:val="5D6D5C5D"/>
    <w:rsid w:val="5D780DC3"/>
    <w:rsid w:val="5D840754"/>
    <w:rsid w:val="5D92680F"/>
    <w:rsid w:val="5D9445E0"/>
    <w:rsid w:val="5D995DEF"/>
    <w:rsid w:val="5DB6208E"/>
    <w:rsid w:val="5DB93D9B"/>
    <w:rsid w:val="5DBD129E"/>
    <w:rsid w:val="5DBD1BFF"/>
    <w:rsid w:val="5DC866D4"/>
    <w:rsid w:val="5DCA0B67"/>
    <w:rsid w:val="5DDB6093"/>
    <w:rsid w:val="5DDE1A54"/>
    <w:rsid w:val="5DF94658"/>
    <w:rsid w:val="5E111E29"/>
    <w:rsid w:val="5E13169C"/>
    <w:rsid w:val="5E185D0C"/>
    <w:rsid w:val="5E1B479E"/>
    <w:rsid w:val="5E2467F1"/>
    <w:rsid w:val="5E2E0A91"/>
    <w:rsid w:val="5E3653EC"/>
    <w:rsid w:val="5E37591C"/>
    <w:rsid w:val="5E3D4730"/>
    <w:rsid w:val="5E56783C"/>
    <w:rsid w:val="5E5B5D21"/>
    <w:rsid w:val="5E69724E"/>
    <w:rsid w:val="5E8425FB"/>
    <w:rsid w:val="5E8C14B0"/>
    <w:rsid w:val="5EA06D09"/>
    <w:rsid w:val="5EA13984"/>
    <w:rsid w:val="5EA303E5"/>
    <w:rsid w:val="5EA92752"/>
    <w:rsid w:val="5EB00087"/>
    <w:rsid w:val="5EB049D8"/>
    <w:rsid w:val="5EB858CC"/>
    <w:rsid w:val="5EBB1968"/>
    <w:rsid w:val="5EC51758"/>
    <w:rsid w:val="5ED2719B"/>
    <w:rsid w:val="5ED30E8D"/>
    <w:rsid w:val="5ED326CA"/>
    <w:rsid w:val="5ED35331"/>
    <w:rsid w:val="5EDC0152"/>
    <w:rsid w:val="5EDD7F5D"/>
    <w:rsid w:val="5EE237C6"/>
    <w:rsid w:val="5EF07471"/>
    <w:rsid w:val="5EF33B4F"/>
    <w:rsid w:val="5EF55A63"/>
    <w:rsid w:val="5F014F67"/>
    <w:rsid w:val="5F081AA9"/>
    <w:rsid w:val="5F1A2B43"/>
    <w:rsid w:val="5F1F4EBE"/>
    <w:rsid w:val="5F1F7BA0"/>
    <w:rsid w:val="5F2A701C"/>
    <w:rsid w:val="5F2B2A77"/>
    <w:rsid w:val="5F2D25DB"/>
    <w:rsid w:val="5F347E11"/>
    <w:rsid w:val="5F577D10"/>
    <w:rsid w:val="5F5B4AFD"/>
    <w:rsid w:val="5F5C5326"/>
    <w:rsid w:val="5F846E03"/>
    <w:rsid w:val="5F8662EB"/>
    <w:rsid w:val="5F8B5C0B"/>
    <w:rsid w:val="5F9A0CFC"/>
    <w:rsid w:val="5FA23837"/>
    <w:rsid w:val="5FA40A7B"/>
    <w:rsid w:val="5FA52FF5"/>
    <w:rsid w:val="5FB23198"/>
    <w:rsid w:val="5FB837BB"/>
    <w:rsid w:val="5FBA1479"/>
    <w:rsid w:val="5FBA3DFB"/>
    <w:rsid w:val="5FC21E1E"/>
    <w:rsid w:val="5FC42B81"/>
    <w:rsid w:val="5FDC772C"/>
    <w:rsid w:val="5FDE2001"/>
    <w:rsid w:val="5FE66644"/>
    <w:rsid w:val="5FF501C6"/>
    <w:rsid w:val="600957DA"/>
    <w:rsid w:val="600A0A22"/>
    <w:rsid w:val="601B2AEB"/>
    <w:rsid w:val="60200102"/>
    <w:rsid w:val="60226F9D"/>
    <w:rsid w:val="6026216E"/>
    <w:rsid w:val="6027617D"/>
    <w:rsid w:val="60351C6F"/>
    <w:rsid w:val="60427493"/>
    <w:rsid w:val="60561D75"/>
    <w:rsid w:val="605C4EB2"/>
    <w:rsid w:val="6066347B"/>
    <w:rsid w:val="60672014"/>
    <w:rsid w:val="607E307A"/>
    <w:rsid w:val="60834225"/>
    <w:rsid w:val="6086064B"/>
    <w:rsid w:val="60884494"/>
    <w:rsid w:val="6091557B"/>
    <w:rsid w:val="609E61A6"/>
    <w:rsid w:val="60A96349"/>
    <w:rsid w:val="60AD570E"/>
    <w:rsid w:val="60AE372D"/>
    <w:rsid w:val="60B02A72"/>
    <w:rsid w:val="60B92304"/>
    <w:rsid w:val="60CA5C5B"/>
    <w:rsid w:val="60CC405A"/>
    <w:rsid w:val="60D64C64"/>
    <w:rsid w:val="60D67DFC"/>
    <w:rsid w:val="60D80493"/>
    <w:rsid w:val="60D86C2E"/>
    <w:rsid w:val="60FA6CA7"/>
    <w:rsid w:val="6103203F"/>
    <w:rsid w:val="610E08A2"/>
    <w:rsid w:val="61102E1B"/>
    <w:rsid w:val="61151C31"/>
    <w:rsid w:val="611A0140"/>
    <w:rsid w:val="611D364B"/>
    <w:rsid w:val="61227757"/>
    <w:rsid w:val="61277149"/>
    <w:rsid w:val="61300818"/>
    <w:rsid w:val="61373B45"/>
    <w:rsid w:val="613C2115"/>
    <w:rsid w:val="6151253D"/>
    <w:rsid w:val="61540DB7"/>
    <w:rsid w:val="61626B32"/>
    <w:rsid w:val="616C22EB"/>
    <w:rsid w:val="6178606B"/>
    <w:rsid w:val="619C4100"/>
    <w:rsid w:val="61A60ADB"/>
    <w:rsid w:val="61B77AEA"/>
    <w:rsid w:val="61B84E22"/>
    <w:rsid w:val="61BA41B5"/>
    <w:rsid w:val="61CC079D"/>
    <w:rsid w:val="61D218D0"/>
    <w:rsid w:val="61D513C0"/>
    <w:rsid w:val="61DB53B6"/>
    <w:rsid w:val="61DF7A83"/>
    <w:rsid w:val="61E215D8"/>
    <w:rsid w:val="61E37639"/>
    <w:rsid w:val="61EF3C1A"/>
    <w:rsid w:val="61F92778"/>
    <w:rsid w:val="61FC4B9F"/>
    <w:rsid w:val="61FD714E"/>
    <w:rsid w:val="620A0821"/>
    <w:rsid w:val="620E5989"/>
    <w:rsid w:val="62165F0A"/>
    <w:rsid w:val="621B3775"/>
    <w:rsid w:val="622911D3"/>
    <w:rsid w:val="62322205"/>
    <w:rsid w:val="62364782"/>
    <w:rsid w:val="62397BA1"/>
    <w:rsid w:val="623D3F5E"/>
    <w:rsid w:val="62415D97"/>
    <w:rsid w:val="62422353"/>
    <w:rsid w:val="624502F4"/>
    <w:rsid w:val="62540843"/>
    <w:rsid w:val="625B6730"/>
    <w:rsid w:val="626104BF"/>
    <w:rsid w:val="62654F80"/>
    <w:rsid w:val="62706FA6"/>
    <w:rsid w:val="627D5CDF"/>
    <w:rsid w:val="62816E52"/>
    <w:rsid w:val="62853336"/>
    <w:rsid w:val="628F75C3"/>
    <w:rsid w:val="629616EA"/>
    <w:rsid w:val="629B1803"/>
    <w:rsid w:val="62A50D92"/>
    <w:rsid w:val="62AD6045"/>
    <w:rsid w:val="62B429ED"/>
    <w:rsid w:val="62B86F1C"/>
    <w:rsid w:val="62C27B96"/>
    <w:rsid w:val="62C84A81"/>
    <w:rsid w:val="62CF5C7E"/>
    <w:rsid w:val="62E041DA"/>
    <w:rsid w:val="62E86EC6"/>
    <w:rsid w:val="62EC3974"/>
    <w:rsid w:val="62F6339C"/>
    <w:rsid w:val="630006A9"/>
    <w:rsid w:val="63072E16"/>
    <w:rsid w:val="63163A3E"/>
    <w:rsid w:val="63181564"/>
    <w:rsid w:val="632E2B36"/>
    <w:rsid w:val="636724EC"/>
    <w:rsid w:val="636F1A16"/>
    <w:rsid w:val="63732C3E"/>
    <w:rsid w:val="6383194F"/>
    <w:rsid w:val="638D3316"/>
    <w:rsid w:val="6394356A"/>
    <w:rsid w:val="63A81BA8"/>
    <w:rsid w:val="63C4349A"/>
    <w:rsid w:val="63C61B2C"/>
    <w:rsid w:val="63C705E7"/>
    <w:rsid w:val="63D00937"/>
    <w:rsid w:val="63D27965"/>
    <w:rsid w:val="63D40BE9"/>
    <w:rsid w:val="63D53536"/>
    <w:rsid w:val="63D538F9"/>
    <w:rsid w:val="63D556A7"/>
    <w:rsid w:val="63EB6C79"/>
    <w:rsid w:val="63F079E4"/>
    <w:rsid w:val="63F41F75"/>
    <w:rsid w:val="63F63329"/>
    <w:rsid w:val="63F84591"/>
    <w:rsid w:val="640D4486"/>
    <w:rsid w:val="64102431"/>
    <w:rsid w:val="64166F7B"/>
    <w:rsid w:val="64241F01"/>
    <w:rsid w:val="642E75DF"/>
    <w:rsid w:val="643E2B2A"/>
    <w:rsid w:val="64496597"/>
    <w:rsid w:val="644D6288"/>
    <w:rsid w:val="6457223C"/>
    <w:rsid w:val="64573E4F"/>
    <w:rsid w:val="6460175B"/>
    <w:rsid w:val="64630C9A"/>
    <w:rsid w:val="646E671C"/>
    <w:rsid w:val="64753107"/>
    <w:rsid w:val="64757600"/>
    <w:rsid w:val="647B07E0"/>
    <w:rsid w:val="647F0199"/>
    <w:rsid w:val="648C5DA2"/>
    <w:rsid w:val="648D102D"/>
    <w:rsid w:val="648F3AA8"/>
    <w:rsid w:val="64992502"/>
    <w:rsid w:val="649D518A"/>
    <w:rsid w:val="649E2EC3"/>
    <w:rsid w:val="64A5243A"/>
    <w:rsid w:val="64BB5F24"/>
    <w:rsid w:val="64C21AA1"/>
    <w:rsid w:val="64C866F4"/>
    <w:rsid w:val="64CA4AE0"/>
    <w:rsid w:val="64CB52DA"/>
    <w:rsid w:val="64D34C7C"/>
    <w:rsid w:val="64D43BB1"/>
    <w:rsid w:val="64DE67DD"/>
    <w:rsid w:val="64E75692"/>
    <w:rsid w:val="64EE6A20"/>
    <w:rsid w:val="64F270AC"/>
    <w:rsid w:val="64F531DE"/>
    <w:rsid w:val="64FE021F"/>
    <w:rsid w:val="65030C85"/>
    <w:rsid w:val="65056949"/>
    <w:rsid w:val="651079D8"/>
    <w:rsid w:val="651B1D04"/>
    <w:rsid w:val="651D6AFC"/>
    <w:rsid w:val="65312DB1"/>
    <w:rsid w:val="653346BC"/>
    <w:rsid w:val="65373578"/>
    <w:rsid w:val="65515201"/>
    <w:rsid w:val="65532D27"/>
    <w:rsid w:val="65656ADE"/>
    <w:rsid w:val="656A5889"/>
    <w:rsid w:val="656B62C3"/>
    <w:rsid w:val="6571235E"/>
    <w:rsid w:val="657859CA"/>
    <w:rsid w:val="657C3A9D"/>
    <w:rsid w:val="65926E20"/>
    <w:rsid w:val="65A20414"/>
    <w:rsid w:val="65A43583"/>
    <w:rsid w:val="65B40043"/>
    <w:rsid w:val="65B51364"/>
    <w:rsid w:val="65C507E3"/>
    <w:rsid w:val="65CB63BA"/>
    <w:rsid w:val="65D12701"/>
    <w:rsid w:val="65D24659"/>
    <w:rsid w:val="65DE6DEC"/>
    <w:rsid w:val="65E13975"/>
    <w:rsid w:val="65E1566E"/>
    <w:rsid w:val="65E64A9D"/>
    <w:rsid w:val="65F37E4F"/>
    <w:rsid w:val="65F71905"/>
    <w:rsid w:val="66026D86"/>
    <w:rsid w:val="6610575F"/>
    <w:rsid w:val="661A57F9"/>
    <w:rsid w:val="662F72F1"/>
    <w:rsid w:val="663761A5"/>
    <w:rsid w:val="667C1E0A"/>
    <w:rsid w:val="669F7F7B"/>
    <w:rsid w:val="66A763EF"/>
    <w:rsid w:val="66AA7DAB"/>
    <w:rsid w:val="66B617C0"/>
    <w:rsid w:val="66BB0B84"/>
    <w:rsid w:val="66C67529"/>
    <w:rsid w:val="66CC00E1"/>
    <w:rsid w:val="66D53137"/>
    <w:rsid w:val="66DF75CA"/>
    <w:rsid w:val="66E245DB"/>
    <w:rsid w:val="66F61BBC"/>
    <w:rsid w:val="66F978FF"/>
    <w:rsid w:val="67125292"/>
    <w:rsid w:val="67130066"/>
    <w:rsid w:val="671571E5"/>
    <w:rsid w:val="671B7875"/>
    <w:rsid w:val="671F124A"/>
    <w:rsid w:val="67377530"/>
    <w:rsid w:val="674C3ED2"/>
    <w:rsid w:val="67566AFF"/>
    <w:rsid w:val="67660D4B"/>
    <w:rsid w:val="676D68B5"/>
    <w:rsid w:val="677A33C6"/>
    <w:rsid w:val="677D5E3A"/>
    <w:rsid w:val="678A67A9"/>
    <w:rsid w:val="678C2521"/>
    <w:rsid w:val="678C42CF"/>
    <w:rsid w:val="678E732F"/>
    <w:rsid w:val="679413D5"/>
    <w:rsid w:val="679A69EC"/>
    <w:rsid w:val="67A05FCC"/>
    <w:rsid w:val="67C12433"/>
    <w:rsid w:val="67C9107F"/>
    <w:rsid w:val="67E12F76"/>
    <w:rsid w:val="67E625AF"/>
    <w:rsid w:val="67EF78EE"/>
    <w:rsid w:val="67F72090"/>
    <w:rsid w:val="680D4821"/>
    <w:rsid w:val="680D5484"/>
    <w:rsid w:val="681A01F7"/>
    <w:rsid w:val="681F6961"/>
    <w:rsid w:val="682044D8"/>
    <w:rsid w:val="68264053"/>
    <w:rsid w:val="682B1D3A"/>
    <w:rsid w:val="68316928"/>
    <w:rsid w:val="683349E3"/>
    <w:rsid w:val="68403510"/>
    <w:rsid w:val="68492FC4"/>
    <w:rsid w:val="68521D51"/>
    <w:rsid w:val="685740E3"/>
    <w:rsid w:val="685B1C31"/>
    <w:rsid w:val="68610A2F"/>
    <w:rsid w:val="68635576"/>
    <w:rsid w:val="686A0AB4"/>
    <w:rsid w:val="686E4C63"/>
    <w:rsid w:val="68784853"/>
    <w:rsid w:val="68805514"/>
    <w:rsid w:val="68907268"/>
    <w:rsid w:val="689A6C6E"/>
    <w:rsid w:val="689E7DA6"/>
    <w:rsid w:val="68B82285"/>
    <w:rsid w:val="68B97345"/>
    <w:rsid w:val="68C22747"/>
    <w:rsid w:val="68D66149"/>
    <w:rsid w:val="68E1029A"/>
    <w:rsid w:val="69171A9D"/>
    <w:rsid w:val="69195A63"/>
    <w:rsid w:val="692301F8"/>
    <w:rsid w:val="692A762E"/>
    <w:rsid w:val="692E34FC"/>
    <w:rsid w:val="69316E2F"/>
    <w:rsid w:val="693C4933"/>
    <w:rsid w:val="69464DC7"/>
    <w:rsid w:val="694E2071"/>
    <w:rsid w:val="694E5081"/>
    <w:rsid w:val="695A4176"/>
    <w:rsid w:val="695A4545"/>
    <w:rsid w:val="69656A55"/>
    <w:rsid w:val="696715D3"/>
    <w:rsid w:val="69766163"/>
    <w:rsid w:val="697A3B33"/>
    <w:rsid w:val="697E73F7"/>
    <w:rsid w:val="699F518E"/>
    <w:rsid w:val="69BC195C"/>
    <w:rsid w:val="69C34EFD"/>
    <w:rsid w:val="69CD7D15"/>
    <w:rsid w:val="69D44760"/>
    <w:rsid w:val="69D839A7"/>
    <w:rsid w:val="69D8779F"/>
    <w:rsid w:val="69DA495A"/>
    <w:rsid w:val="69F12B0F"/>
    <w:rsid w:val="69F767C2"/>
    <w:rsid w:val="69F84EAF"/>
    <w:rsid w:val="6A022E42"/>
    <w:rsid w:val="6A050E04"/>
    <w:rsid w:val="6A2E680E"/>
    <w:rsid w:val="6A4A0105"/>
    <w:rsid w:val="6A520EC7"/>
    <w:rsid w:val="6A577BAB"/>
    <w:rsid w:val="6A6109B5"/>
    <w:rsid w:val="6A617C95"/>
    <w:rsid w:val="6A690BF6"/>
    <w:rsid w:val="6A696B49"/>
    <w:rsid w:val="6A813E93"/>
    <w:rsid w:val="6A877509"/>
    <w:rsid w:val="6A906D98"/>
    <w:rsid w:val="6A911353"/>
    <w:rsid w:val="6A9E2C97"/>
    <w:rsid w:val="6AA8133D"/>
    <w:rsid w:val="6AA8645C"/>
    <w:rsid w:val="6AC67BF5"/>
    <w:rsid w:val="6AD93CCF"/>
    <w:rsid w:val="6AE76A24"/>
    <w:rsid w:val="6AF87E20"/>
    <w:rsid w:val="6B016D82"/>
    <w:rsid w:val="6B0869DC"/>
    <w:rsid w:val="6B2379A6"/>
    <w:rsid w:val="6B244B6D"/>
    <w:rsid w:val="6B322639"/>
    <w:rsid w:val="6B4C0980"/>
    <w:rsid w:val="6B557947"/>
    <w:rsid w:val="6B584FD3"/>
    <w:rsid w:val="6B694E79"/>
    <w:rsid w:val="6B70786D"/>
    <w:rsid w:val="6B8754D9"/>
    <w:rsid w:val="6B96571C"/>
    <w:rsid w:val="6B9B3D39"/>
    <w:rsid w:val="6BA02A3F"/>
    <w:rsid w:val="6BAE5D03"/>
    <w:rsid w:val="6BAE6F0A"/>
    <w:rsid w:val="6BB614B4"/>
    <w:rsid w:val="6BC51081"/>
    <w:rsid w:val="6BD27121"/>
    <w:rsid w:val="6BE02E3B"/>
    <w:rsid w:val="6BE40B7D"/>
    <w:rsid w:val="6BF6440D"/>
    <w:rsid w:val="6BF84629"/>
    <w:rsid w:val="6BF93519"/>
    <w:rsid w:val="6BF9444D"/>
    <w:rsid w:val="6C232995"/>
    <w:rsid w:val="6C3D203B"/>
    <w:rsid w:val="6C3D64DF"/>
    <w:rsid w:val="6C4429CE"/>
    <w:rsid w:val="6C5B7246"/>
    <w:rsid w:val="6C636C38"/>
    <w:rsid w:val="6C697FF8"/>
    <w:rsid w:val="6C795E19"/>
    <w:rsid w:val="6C861C34"/>
    <w:rsid w:val="6C884A11"/>
    <w:rsid w:val="6C8975E2"/>
    <w:rsid w:val="6C954A80"/>
    <w:rsid w:val="6C9C1458"/>
    <w:rsid w:val="6CE03ECA"/>
    <w:rsid w:val="6CEA21C3"/>
    <w:rsid w:val="6CF7043C"/>
    <w:rsid w:val="6CFE5C6F"/>
    <w:rsid w:val="6D003795"/>
    <w:rsid w:val="6D286848"/>
    <w:rsid w:val="6D3156C2"/>
    <w:rsid w:val="6D321474"/>
    <w:rsid w:val="6D3E0BB1"/>
    <w:rsid w:val="6D437648"/>
    <w:rsid w:val="6D592EA5"/>
    <w:rsid w:val="6D5A57E4"/>
    <w:rsid w:val="6D5B6DA7"/>
    <w:rsid w:val="6D7E0B5E"/>
    <w:rsid w:val="6D9149E6"/>
    <w:rsid w:val="6D9F208A"/>
    <w:rsid w:val="6DA1107A"/>
    <w:rsid w:val="6DA47CF5"/>
    <w:rsid w:val="6DAE1443"/>
    <w:rsid w:val="6DB0149C"/>
    <w:rsid w:val="6DB141CC"/>
    <w:rsid w:val="6DB34098"/>
    <w:rsid w:val="6DB545B6"/>
    <w:rsid w:val="6DDD441D"/>
    <w:rsid w:val="6DE02FB4"/>
    <w:rsid w:val="6DE62427"/>
    <w:rsid w:val="6DE76703"/>
    <w:rsid w:val="6DF76589"/>
    <w:rsid w:val="6E051F2C"/>
    <w:rsid w:val="6E0948CB"/>
    <w:rsid w:val="6E105C5A"/>
    <w:rsid w:val="6E121E6E"/>
    <w:rsid w:val="6E1F2D38"/>
    <w:rsid w:val="6E2118FE"/>
    <w:rsid w:val="6E2A66DC"/>
    <w:rsid w:val="6E514CED"/>
    <w:rsid w:val="6E54333B"/>
    <w:rsid w:val="6E597819"/>
    <w:rsid w:val="6E6715F2"/>
    <w:rsid w:val="6E6B4DAF"/>
    <w:rsid w:val="6E8126B3"/>
    <w:rsid w:val="6E9D74DF"/>
    <w:rsid w:val="6EA56849"/>
    <w:rsid w:val="6EA855BC"/>
    <w:rsid w:val="6EA97E5C"/>
    <w:rsid w:val="6EB563D5"/>
    <w:rsid w:val="6EB8009F"/>
    <w:rsid w:val="6EB9146A"/>
    <w:rsid w:val="6ECE4FF7"/>
    <w:rsid w:val="6ED053E9"/>
    <w:rsid w:val="6ED1025D"/>
    <w:rsid w:val="6ED66AFB"/>
    <w:rsid w:val="6ED92677"/>
    <w:rsid w:val="6EE175F6"/>
    <w:rsid w:val="6EE60768"/>
    <w:rsid w:val="6EE648A0"/>
    <w:rsid w:val="6EE73F19"/>
    <w:rsid w:val="6EED6E98"/>
    <w:rsid w:val="6EF74724"/>
    <w:rsid w:val="6EFA1E10"/>
    <w:rsid w:val="6EFB74C7"/>
    <w:rsid w:val="6F002B71"/>
    <w:rsid w:val="6F002C83"/>
    <w:rsid w:val="6F135451"/>
    <w:rsid w:val="6F225983"/>
    <w:rsid w:val="6F2375E4"/>
    <w:rsid w:val="6F280D81"/>
    <w:rsid w:val="6F3569EF"/>
    <w:rsid w:val="6F364253"/>
    <w:rsid w:val="6F365A14"/>
    <w:rsid w:val="6F3E2352"/>
    <w:rsid w:val="6F541B76"/>
    <w:rsid w:val="6F541EC8"/>
    <w:rsid w:val="6F574CBB"/>
    <w:rsid w:val="6F6D5F2B"/>
    <w:rsid w:val="6F6D6178"/>
    <w:rsid w:val="6F6E6551"/>
    <w:rsid w:val="6F826AA6"/>
    <w:rsid w:val="6F832CFC"/>
    <w:rsid w:val="6F92269E"/>
    <w:rsid w:val="6F9B3AFB"/>
    <w:rsid w:val="6FB31DFD"/>
    <w:rsid w:val="6FB865A9"/>
    <w:rsid w:val="6FBE3493"/>
    <w:rsid w:val="6FDF1749"/>
    <w:rsid w:val="6FEA57B8"/>
    <w:rsid w:val="6FEE7143"/>
    <w:rsid w:val="6FFC5590"/>
    <w:rsid w:val="70056DFC"/>
    <w:rsid w:val="701067B5"/>
    <w:rsid w:val="7012558D"/>
    <w:rsid w:val="701C374E"/>
    <w:rsid w:val="70283BB3"/>
    <w:rsid w:val="704A6ECC"/>
    <w:rsid w:val="704B61D3"/>
    <w:rsid w:val="704F155E"/>
    <w:rsid w:val="7056191E"/>
    <w:rsid w:val="705B0CE2"/>
    <w:rsid w:val="70610955"/>
    <w:rsid w:val="706758D9"/>
    <w:rsid w:val="706C2EEF"/>
    <w:rsid w:val="706D1DD0"/>
    <w:rsid w:val="70755BB4"/>
    <w:rsid w:val="7080699B"/>
    <w:rsid w:val="708414E3"/>
    <w:rsid w:val="70856B87"/>
    <w:rsid w:val="70864126"/>
    <w:rsid w:val="70912956"/>
    <w:rsid w:val="709C73AA"/>
    <w:rsid w:val="70A55C96"/>
    <w:rsid w:val="70AD6588"/>
    <w:rsid w:val="70B054D2"/>
    <w:rsid w:val="70B929CB"/>
    <w:rsid w:val="70D2231F"/>
    <w:rsid w:val="70D527EE"/>
    <w:rsid w:val="70D958FE"/>
    <w:rsid w:val="70DF5DB7"/>
    <w:rsid w:val="70ED58B4"/>
    <w:rsid w:val="70F73101"/>
    <w:rsid w:val="71155335"/>
    <w:rsid w:val="71280DFE"/>
    <w:rsid w:val="712E63F7"/>
    <w:rsid w:val="713A3DD3"/>
    <w:rsid w:val="715045BF"/>
    <w:rsid w:val="7154102E"/>
    <w:rsid w:val="715B5300"/>
    <w:rsid w:val="71670A05"/>
    <w:rsid w:val="717464FF"/>
    <w:rsid w:val="717F263E"/>
    <w:rsid w:val="718D1CD4"/>
    <w:rsid w:val="71970440"/>
    <w:rsid w:val="719B485C"/>
    <w:rsid w:val="719B7F30"/>
    <w:rsid w:val="719F16DB"/>
    <w:rsid w:val="71A05546"/>
    <w:rsid w:val="71A5490B"/>
    <w:rsid w:val="71A84219"/>
    <w:rsid w:val="71AF3F93"/>
    <w:rsid w:val="71B405FE"/>
    <w:rsid w:val="71B72F76"/>
    <w:rsid w:val="71BF0B2F"/>
    <w:rsid w:val="71C70D25"/>
    <w:rsid w:val="71CB54AB"/>
    <w:rsid w:val="71D23226"/>
    <w:rsid w:val="71D27F8A"/>
    <w:rsid w:val="71DB032D"/>
    <w:rsid w:val="71DE1BCB"/>
    <w:rsid w:val="71E01DE7"/>
    <w:rsid w:val="71E44E55"/>
    <w:rsid w:val="71E511AB"/>
    <w:rsid w:val="71F4319C"/>
    <w:rsid w:val="7202642B"/>
    <w:rsid w:val="720C2BDC"/>
    <w:rsid w:val="72165809"/>
    <w:rsid w:val="721750DD"/>
    <w:rsid w:val="721B4BCD"/>
    <w:rsid w:val="72281835"/>
    <w:rsid w:val="72323B77"/>
    <w:rsid w:val="72451C4A"/>
    <w:rsid w:val="72553024"/>
    <w:rsid w:val="72684737"/>
    <w:rsid w:val="727503A7"/>
    <w:rsid w:val="72886BE3"/>
    <w:rsid w:val="72A60224"/>
    <w:rsid w:val="72A66B8C"/>
    <w:rsid w:val="72AA3506"/>
    <w:rsid w:val="72B41889"/>
    <w:rsid w:val="72C25048"/>
    <w:rsid w:val="72C62D8B"/>
    <w:rsid w:val="72C64B7E"/>
    <w:rsid w:val="72D46E8A"/>
    <w:rsid w:val="72D6257F"/>
    <w:rsid w:val="72D62944"/>
    <w:rsid w:val="72DD6326"/>
    <w:rsid w:val="72E94CCB"/>
    <w:rsid w:val="72EC6569"/>
    <w:rsid w:val="72F22421"/>
    <w:rsid w:val="72F25927"/>
    <w:rsid w:val="72F776CE"/>
    <w:rsid w:val="73114938"/>
    <w:rsid w:val="73122968"/>
    <w:rsid w:val="731F5D5E"/>
    <w:rsid w:val="731F5EC9"/>
    <w:rsid w:val="73314C5B"/>
    <w:rsid w:val="73342710"/>
    <w:rsid w:val="734D525A"/>
    <w:rsid w:val="735859AD"/>
    <w:rsid w:val="737547B1"/>
    <w:rsid w:val="737E1C02"/>
    <w:rsid w:val="737F12F8"/>
    <w:rsid w:val="73836ECE"/>
    <w:rsid w:val="7386717B"/>
    <w:rsid w:val="73996916"/>
    <w:rsid w:val="739C4BD8"/>
    <w:rsid w:val="73A11102"/>
    <w:rsid w:val="73A330CC"/>
    <w:rsid w:val="73A61034"/>
    <w:rsid w:val="73A772F2"/>
    <w:rsid w:val="73A909E7"/>
    <w:rsid w:val="73AD43ED"/>
    <w:rsid w:val="73BA3B59"/>
    <w:rsid w:val="73C51AD5"/>
    <w:rsid w:val="73CD1EF7"/>
    <w:rsid w:val="73CE3DC7"/>
    <w:rsid w:val="73EB05CF"/>
    <w:rsid w:val="74050B89"/>
    <w:rsid w:val="7406375E"/>
    <w:rsid w:val="74065409"/>
    <w:rsid w:val="74080B2F"/>
    <w:rsid w:val="740C11DA"/>
    <w:rsid w:val="741A5493"/>
    <w:rsid w:val="741E793C"/>
    <w:rsid w:val="7423565D"/>
    <w:rsid w:val="74263935"/>
    <w:rsid w:val="74303184"/>
    <w:rsid w:val="74363B80"/>
    <w:rsid w:val="745A37DF"/>
    <w:rsid w:val="745A47EE"/>
    <w:rsid w:val="745E10BC"/>
    <w:rsid w:val="745E3944"/>
    <w:rsid w:val="7460622B"/>
    <w:rsid w:val="74613957"/>
    <w:rsid w:val="746C11B7"/>
    <w:rsid w:val="746D7944"/>
    <w:rsid w:val="747547F2"/>
    <w:rsid w:val="74844CAB"/>
    <w:rsid w:val="748D068F"/>
    <w:rsid w:val="74934EEE"/>
    <w:rsid w:val="74951FDC"/>
    <w:rsid w:val="749A5368"/>
    <w:rsid w:val="74C30A5B"/>
    <w:rsid w:val="74C87981"/>
    <w:rsid w:val="74CC5122"/>
    <w:rsid w:val="74D15A17"/>
    <w:rsid w:val="74D23F70"/>
    <w:rsid w:val="74DF0134"/>
    <w:rsid w:val="74DF6F46"/>
    <w:rsid w:val="74E65C66"/>
    <w:rsid w:val="74EF6395"/>
    <w:rsid w:val="74F14535"/>
    <w:rsid w:val="74F60E4B"/>
    <w:rsid w:val="74FC4522"/>
    <w:rsid w:val="74FD05BA"/>
    <w:rsid w:val="75110E60"/>
    <w:rsid w:val="75174AB1"/>
    <w:rsid w:val="75181898"/>
    <w:rsid w:val="751853F4"/>
    <w:rsid w:val="752473A4"/>
    <w:rsid w:val="75353BC7"/>
    <w:rsid w:val="753A6C3F"/>
    <w:rsid w:val="75483F2B"/>
    <w:rsid w:val="754B774E"/>
    <w:rsid w:val="75504E0A"/>
    <w:rsid w:val="75520FD7"/>
    <w:rsid w:val="75533BF5"/>
    <w:rsid w:val="75554C4E"/>
    <w:rsid w:val="75602192"/>
    <w:rsid w:val="756D3392"/>
    <w:rsid w:val="756E3266"/>
    <w:rsid w:val="756E5368"/>
    <w:rsid w:val="75703482"/>
    <w:rsid w:val="75705230"/>
    <w:rsid w:val="757B75F5"/>
    <w:rsid w:val="758C758A"/>
    <w:rsid w:val="75C01D68"/>
    <w:rsid w:val="75C22026"/>
    <w:rsid w:val="75C303F6"/>
    <w:rsid w:val="75C36725"/>
    <w:rsid w:val="75C4776B"/>
    <w:rsid w:val="75D558B6"/>
    <w:rsid w:val="75DE488F"/>
    <w:rsid w:val="75E672A0"/>
    <w:rsid w:val="75E84ED4"/>
    <w:rsid w:val="75F12037"/>
    <w:rsid w:val="76022B63"/>
    <w:rsid w:val="7605430A"/>
    <w:rsid w:val="760616F0"/>
    <w:rsid w:val="761D05B2"/>
    <w:rsid w:val="7620613A"/>
    <w:rsid w:val="762B069E"/>
    <w:rsid w:val="762B0BEA"/>
    <w:rsid w:val="7635099D"/>
    <w:rsid w:val="763D3998"/>
    <w:rsid w:val="76432944"/>
    <w:rsid w:val="764F2E8E"/>
    <w:rsid w:val="76533002"/>
    <w:rsid w:val="76610B37"/>
    <w:rsid w:val="76647C68"/>
    <w:rsid w:val="7677439C"/>
    <w:rsid w:val="768F2110"/>
    <w:rsid w:val="76986234"/>
    <w:rsid w:val="76991174"/>
    <w:rsid w:val="76B876D3"/>
    <w:rsid w:val="76BD77A7"/>
    <w:rsid w:val="76C03F95"/>
    <w:rsid w:val="76C1417F"/>
    <w:rsid w:val="76CD13F8"/>
    <w:rsid w:val="76D442C8"/>
    <w:rsid w:val="76E01F41"/>
    <w:rsid w:val="76E70316"/>
    <w:rsid w:val="76E77774"/>
    <w:rsid w:val="76E8087F"/>
    <w:rsid w:val="76E934EC"/>
    <w:rsid w:val="76EC6B38"/>
    <w:rsid w:val="76F040CB"/>
    <w:rsid w:val="76FE532B"/>
    <w:rsid w:val="77170059"/>
    <w:rsid w:val="771E4B9A"/>
    <w:rsid w:val="7730111A"/>
    <w:rsid w:val="77312493"/>
    <w:rsid w:val="7734311F"/>
    <w:rsid w:val="77345A75"/>
    <w:rsid w:val="775A0916"/>
    <w:rsid w:val="77601ABD"/>
    <w:rsid w:val="776B26D0"/>
    <w:rsid w:val="77762421"/>
    <w:rsid w:val="77831EE9"/>
    <w:rsid w:val="77856479"/>
    <w:rsid w:val="778A4376"/>
    <w:rsid w:val="778E3FB0"/>
    <w:rsid w:val="77955421"/>
    <w:rsid w:val="77986645"/>
    <w:rsid w:val="779A37B6"/>
    <w:rsid w:val="77AE09DD"/>
    <w:rsid w:val="77B56B1F"/>
    <w:rsid w:val="77B77146"/>
    <w:rsid w:val="77C340F9"/>
    <w:rsid w:val="77CD2096"/>
    <w:rsid w:val="77D25D2E"/>
    <w:rsid w:val="77E01EB2"/>
    <w:rsid w:val="77EC24AD"/>
    <w:rsid w:val="77EE4F4C"/>
    <w:rsid w:val="77F250B7"/>
    <w:rsid w:val="77F452D0"/>
    <w:rsid w:val="77F63322"/>
    <w:rsid w:val="780F09F4"/>
    <w:rsid w:val="781F6A99"/>
    <w:rsid w:val="78207408"/>
    <w:rsid w:val="782807F9"/>
    <w:rsid w:val="782D11B6"/>
    <w:rsid w:val="78413231"/>
    <w:rsid w:val="78574485"/>
    <w:rsid w:val="785A3BFE"/>
    <w:rsid w:val="786A2F2B"/>
    <w:rsid w:val="787753C8"/>
    <w:rsid w:val="789037FB"/>
    <w:rsid w:val="789F7357"/>
    <w:rsid w:val="78A90480"/>
    <w:rsid w:val="78BF420C"/>
    <w:rsid w:val="78C743AF"/>
    <w:rsid w:val="78D635FC"/>
    <w:rsid w:val="78D65786"/>
    <w:rsid w:val="78E421BD"/>
    <w:rsid w:val="78E4360C"/>
    <w:rsid w:val="78FB5758"/>
    <w:rsid w:val="78FC6CD5"/>
    <w:rsid w:val="78FE08A5"/>
    <w:rsid w:val="792410CB"/>
    <w:rsid w:val="792840AD"/>
    <w:rsid w:val="792A6432"/>
    <w:rsid w:val="792C3B64"/>
    <w:rsid w:val="792E4ADB"/>
    <w:rsid w:val="79446344"/>
    <w:rsid w:val="794C38BE"/>
    <w:rsid w:val="794C7D62"/>
    <w:rsid w:val="79501AEB"/>
    <w:rsid w:val="795F5CE7"/>
    <w:rsid w:val="797F0B8C"/>
    <w:rsid w:val="798437EE"/>
    <w:rsid w:val="79955265"/>
    <w:rsid w:val="79975AC4"/>
    <w:rsid w:val="79A50BF7"/>
    <w:rsid w:val="79C326BD"/>
    <w:rsid w:val="79CC2C61"/>
    <w:rsid w:val="79E07F17"/>
    <w:rsid w:val="79E44F47"/>
    <w:rsid w:val="79F77CCE"/>
    <w:rsid w:val="7A0217EC"/>
    <w:rsid w:val="7A062F9D"/>
    <w:rsid w:val="7A0D74F1"/>
    <w:rsid w:val="7A0F59D5"/>
    <w:rsid w:val="7A1256FF"/>
    <w:rsid w:val="7A145921"/>
    <w:rsid w:val="7A15269A"/>
    <w:rsid w:val="7A1545F8"/>
    <w:rsid w:val="7A185437"/>
    <w:rsid w:val="7A1C43EF"/>
    <w:rsid w:val="7A1C7C5C"/>
    <w:rsid w:val="7A236D15"/>
    <w:rsid w:val="7A33053A"/>
    <w:rsid w:val="7A364017"/>
    <w:rsid w:val="7A3F1A0D"/>
    <w:rsid w:val="7A454EDD"/>
    <w:rsid w:val="7A5947FF"/>
    <w:rsid w:val="7A5978B4"/>
    <w:rsid w:val="7A5C29A3"/>
    <w:rsid w:val="7A694186"/>
    <w:rsid w:val="7A6A143E"/>
    <w:rsid w:val="7A7B08FF"/>
    <w:rsid w:val="7A8265E1"/>
    <w:rsid w:val="7A9741D9"/>
    <w:rsid w:val="7A9E7181"/>
    <w:rsid w:val="7AA15E8B"/>
    <w:rsid w:val="7AAC721F"/>
    <w:rsid w:val="7ABE4D5B"/>
    <w:rsid w:val="7ABE6A3D"/>
    <w:rsid w:val="7AC00C09"/>
    <w:rsid w:val="7AC62683"/>
    <w:rsid w:val="7AD20FB7"/>
    <w:rsid w:val="7ADA01F4"/>
    <w:rsid w:val="7ADB139D"/>
    <w:rsid w:val="7AE75153"/>
    <w:rsid w:val="7AE91D0C"/>
    <w:rsid w:val="7AF91745"/>
    <w:rsid w:val="7AF91C89"/>
    <w:rsid w:val="7AFE5CF3"/>
    <w:rsid w:val="7B090EAC"/>
    <w:rsid w:val="7B0C77A9"/>
    <w:rsid w:val="7B0F54EB"/>
    <w:rsid w:val="7B3411CB"/>
    <w:rsid w:val="7B351C7F"/>
    <w:rsid w:val="7B4B665B"/>
    <w:rsid w:val="7B686D42"/>
    <w:rsid w:val="7B7D678D"/>
    <w:rsid w:val="7B841746"/>
    <w:rsid w:val="7B841A35"/>
    <w:rsid w:val="7BC63DFB"/>
    <w:rsid w:val="7BCC798E"/>
    <w:rsid w:val="7BEE3352"/>
    <w:rsid w:val="7BF344C5"/>
    <w:rsid w:val="7C097B64"/>
    <w:rsid w:val="7C1F350C"/>
    <w:rsid w:val="7C375D72"/>
    <w:rsid w:val="7C3A37BE"/>
    <w:rsid w:val="7C4B2553"/>
    <w:rsid w:val="7C52159C"/>
    <w:rsid w:val="7C684EB3"/>
    <w:rsid w:val="7C6C5AC7"/>
    <w:rsid w:val="7C6F6241"/>
    <w:rsid w:val="7C8810B1"/>
    <w:rsid w:val="7C924C68"/>
    <w:rsid w:val="7C9B7C83"/>
    <w:rsid w:val="7CC06A9D"/>
    <w:rsid w:val="7CC6544B"/>
    <w:rsid w:val="7CC6608C"/>
    <w:rsid w:val="7CC922AF"/>
    <w:rsid w:val="7CDE1536"/>
    <w:rsid w:val="7CE16A13"/>
    <w:rsid w:val="7D0239FF"/>
    <w:rsid w:val="7D2B09CF"/>
    <w:rsid w:val="7D2D1C19"/>
    <w:rsid w:val="7D314E1F"/>
    <w:rsid w:val="7D425E07"/>
    <w:rsid w:val="7D442ADE"/>
    <w:rsid w:val="7D495003"/>
    <w:rsid w:val="7D52346D"/>
    <w:rsid w:val="7D5E40CD"/>
    <w:rsid w:val="7D6573C7"/>
    <w:rsid w:val="7D834D23"/>
    <w:rsid w:val="7D870C05"/>
    <w:rsid w:val="7D8920B8"/>
    <w:rsid w:val="7D8C2B9A"/>
    <w:rsid w:val="7D970DD3"/>
    <w:rsid w:val="7D9D0B8C"/>
    <w:rsid w:val="7DA261A2"/>
    <w:rsid w:val="7DAA31B9"/>
    <w:rsid w:val="7DB56486"/>
    <w:rsid w:val="7DBB7264"/>
    <w:rsid w:val="7DCA46FB"/>
    <w:rsid w:val="7DCD56F2"/>
    <w:rsid w:val="7DCE51E9"/>
    <w:rsid w:val="7DCF226A"/>
    <w:rsid w:val="7DDD71DA"/>
    <w:rsid w:val="7DDE5692"/>
    <w:rsid w:val="7DE20C95"/>
    <w:rsid w:val="7DE93DD1"/>
    <w:rsid w:val="7DEC38C1"/>
    <w:rsid w:val="7DF52776"/>
    <w:rsid w:val="7DFA7D8C"/>
    <w:rsid w:val="7DFC148F"/>
    <w:rsid w:val="7E070E4D"/>
    <w:rsid w:val="7E0B15AC"/>
    <w:rsid w:val="7E0D3F64"/>
    <w:rsid w:val="7E386B07"/>
    <w:rsid w:val="7E6A3164"/>
    <w:rsid w:val="7E6A41D9"/>
    <w:rsid w:val="7E7E7168"/>
    <w:rsid w:val="7E7F530E"/>
    <w:rsid w:val="7E7F59C1"/>
    <w:rsid w:val="7E8273B2"/>
    <w:rsid w:val="7E834226"/>
    <w:rsid w:val="7E863A9A"/>
    <w:rsid w:val="7E8C21E9"/>
    <w:rsid w:val="7E9228F4"/>
    <w:rsid w:val="7E9401E1"/>
    <w:rsid w:val="7EAD4DFF"/>
    <w:rsid w:val="7EB51F05"/>
    <w:rsid w:val="7EBC5D01"/>
    <w:rsid w:val="7EC76AE6"/>
    <w:rsid w:val="7EDC1888"/>
    <w:rsid w:val="7EEA1A74"/>
    <w:rsid w:val="7EEA6053"/>
    <w:rsid w:val="7EF1213E"/>
    <w:rsid w:val="7F0013D2"/>
    <w:rsid w:val="7F001CE7"/>
    <w:rsid w:val="7F066F18"/>
    <w:rsid w:val="7F0A11CA"/>
    <w:rsid w:val="7F183EFE"/>
    <w:rsid w:val="7F2732F0"/>
    <w:rsid w:val="7F31433D"/>
    <w:rsid w:val="7F3A0B6B"/>
    <w:rsid w:val="7F3A0E2A"/>
    <w:rsid w:val="7F3B065C"/>
    <w:rsid w:val="7F565496"/>
    <w:rsid w:val="7F607C85"/>
    <w:rsid w:val="7F6C60C6"/>
    <w:rsid w:val="7F7F0C07"/>
    <w:rsid w:val="7F880815"/>
    <w:rsid w:val="7F89406B"/>
    <w:rsid w:val="7F99624F"/>
    <w:rsid w:val="7F9F27A4"/>
    <w:rsid w:val="7FB90C2F"/>
    <w:rsid w:val="7FDB66FB"/>
    <w:rsid w:val="7FDC27D2"/>
    <w:rsid w:val="7FE31053"/>
    <w:rsid w:val="7FE47E50"/>
    <w:rsid w:val="7FE707E4"/>
    <w:rsid w:val="7FF83E0E"/>
    <w:rsid w:val="7FFF5B2E"/>
    <w:rsid w:val="91FC591C"/>
    <w:rsid w:val="EEBF2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iPriority="39" w:semiHidden="0" w:name="toc 1" w:locked="1"/>
    <w:lsdException w:qFormat="1"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qFormat="1" w:unhideWhenUsed="0" w:uiPriority="0" w:semiHidden="0" w:name="table of figures" w:locked="1"/>
    <w:lsdException w:unhideWhenUsed="0" w:uiPriority="0" w:semiHidden="0" w:name="envelope address" w:locked="1"/>
    <w:lsdException w:qFormat="1" w:uiPriority="99"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qFormat="1"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qFormat="1"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qFormat="1" w:unhideWhenUsed="0" w:uiPriority="99" w:semiHidden="0" w:name="Note Heading" w:locked="1"/>
    <w:lsdException w:qFormat="1"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nhideWhenUsed="0" w:uiPriority="99"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3">
    <w:name w:val="heading 2"/>
    <w:basedOn w:val="1"/>
    <w:next w:val="1"/>
    <w:semiHidden/>
    <w:unhideWhenUsed/>
    <w:qFormat/>
    <w:locked/>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link w:val="122"/>
    <w:autoRedefine/>
    <w:qFormat/>
    <w:locked/>
    <w:uiPriority w:val="0"/>
    <w:pPr>
      <w:keepNext/>
      <w:keepLines/>
      <w:spacing w:before="260" w:after="260" w:line="416" w:lineRule="auto"/>
      <w:outlineLvl w:val="2"/>
    </w:pPr>
    <w:rPr>
      <w:b/>
      <w:bCs/>
      <w:sz w:val="32"/>
      <w:szCs w:val="32"/>
    </w:rPr>
  </w:style>
  <w:style w:type="paragraph" w:styleId="5">
    <w:name w:val="heading 4"/>
    <w:basedOn w:val="1"/>
    <w:next w:val="1"/>
    <w:autoRedefine/>
    <w:qFormat/>
    <w:locked/>
    <w:uiPriority w:val="0"/>
    <w:pPr>
      <w:keepLines/>
      <w:overflowPunct w:val="0"/>
      <w:adjustRightInd w:val="0"/>
      <w:spacing w:before="120" w:line="360" w:lineRule="auto"/>
      <w:textAlignment w:val="baseline"/>
      <w:outlineLvl w:val="3"/>
    </w:pPr>
    <w:rPr>
      <w:rFonts w:ascii="Arial" w:hAnsi="Arial"/>
      <w:b/>
      <w:kern w:val="0"/>
      <w:sz w:val="28"/>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6">
    <w:name w:val="table of authorities"/>
    <w:basedOn w:val="1"/>
    <w:next w:val="1"/>
    <w:qFormat/>
    <w:locked/>
    <w:uiPriority w:val="0"/>
    <w:pPr>
      <w:ind w:left="420" w:leftChars="200"/>
    </w:pPr>
    <w:rPr>
      <w:rFonts w:ascii="Times New Roman" w:hAnsi="Times New Roman" w:eastAsia="宋体" w:cs="Times New Roman"/>
    </w:rPr>
  </w:style>
  <w:style w:type="paragraph" w:styleId="7">
    <w:name w:val="Note Heading"/>
    <w:basedOn w:val="1"/>
    <w:next w:val="1"/>
    <w:link w:val="117"/>
    <w:autoRedefine/>
    <w:qFormat/>
    <w:locked/>
    <w:uiPriority w:val="99"/>
    <w:pPr>
      <w:jc w:val="center"/>
    </w:pPr>
  </w:style>
  <w:style w:type="paragraph" w:styleId="8">
    <w:name w:val="Normal Indent"/>
    <w:basedOn w:val="1"/>
    <w:next w:val="1"/>
    <w:link w:val="131"/>
    <w:autoRedefine/>
    <w:qFormat/>
    <w:locked/>
    <w:uiPriority w:val="0"/>
    <w:pPr>
      <w:jc w:val="center"/>
    </w:pPr>
    <w:rPr>
      <w:rFonts w:eastAsia="黑体"/>
      <w:szCs w:val="21"/>
    </w:rPr>
  </w:style>
  <w:style w:type="paragraph" w:styleId="9">
    <w:name w:val="caption"/>
    <w:basedOn w:val="1"/>
    <w:next w:val="1"/>
    <w:autoRedefine/>
    <w:qFormat/>
    <w:locked/>
    <w:uiPriority w:val="0"/>
    <w:rPr>
      <w:rFonts w:ascii="Calibri Light" w:hAnsi="Calibri Light" w:eastAsia="黑体"/>
      <w:sz w:val="20"/>
      <w:szCs w:val="20"/>
    </w:rPr>
  </w:style>
  <w:style w:type="paragraph" w:styleId="10">
    <w:name w:val="annotation text"/>
    <w:basedOn w:val="1"/>
    <w:link w:val="73"/>
    <w:autoRedefine/>
    <w:semiHidden/>
    <w:qFormat/>
    <w:uiPriority w:val="0"/>
    <w:pPr>
      <w:jc w:val="left"/>
    </w:pPr>
    <w:rPr>
      <w:kern w:val="0"/>
      <w:sz w:val="24"/>
      <w:szCs w:val="20"/>
    </w:rPr>
  </w:style>
  <w:style w:type="paragraph" w:styleId="11">
    <w:name w:val="Closing"/>
    <w:basedOn w:val="1"/>
    <w:next w:val="12"/>
    <w:autoRedefine/>
    <w:qFormat/>
    <w:locked/>
    <w:uiPriority w:val="0"/>
    <w:pPr>
      <w:ind w:left="100" w:leftChars="2100"/>
    </w:pPr>
  </w:style>
  <w:style w:type="paragraph" w:customStyle="1" w:styleId="12">
    <w:name w:val="段落"/>
    <w:basedOn w:val="1"/>
    <w:next w:val="13"/>
    <w:autoRedefine/>
    <w:qFormat/>
    <w:uiPriority w:val="0"/>
    <w:pPr>
      <w:tabs>
        <w:tab w:val="left" w:pos="1021"/>
      </w:tabs>
      <w:snapToGrid w:val="0"/>
      <w:spacing w:line="360" w:lineRule="auto"/>
      <w:ind w:firstLine="480" w:firstLineChars="200"/>
    </w:pPr>
    <w:rPr>
      <w:rFonts w:ascii="宋体" w:hAnsi="宋体"/>
      <w:sz w:val="24"/>
    </w:rPr>
  </w:style>
  <w:style w:type="paragraph" w:customStyle="1" w:styleId="13">
    <w:name w:val="默认段落字体 Para Char"/>
    <w:basedOn w:val="1"/>
    <w:next w:val="14"/>
    <w:autoRedefine/>
    <w:qFormat/>
    <w:uiPriority w:val="0"/>
    <w:pPr>
      <w:spacing w:line="360" w:lineRule="auto"/>
      <w:ind w:firstLine="200" w:firstLineChars="200"/>
    </w:pPr>
    <w:rPr>
      <w:rFonts w:ascii="宋体" w:hAnsi="宋体" w:cs="宋体"/>
      <w:sz w:val="24"/>
      <w:szCs w:val="24"/>
    </w:rPr>
  </w:style>
  <w:style w:type="paragraph" w:customStyle="1" w:styleId="14">
    <w:name w:val="样式 正文首行缩进 2 + 左侧:  2 字符 首行缩进:  2 字符 +"/>
    <w:basedOn w:val="1"/>
    <w:next w:val="15"/>
    <w:autoRedefine/>
    <w:semiHidden/>
    <w:qFormat/>
    <w:uiPriority w:val="0"/>
    <w:pPr>
      <w:spacing w:before="156" w:beforeLines="50"/>
      <w:ind w:firstLine="561"/>
    </w:pPr>
    <w:rPr>
      <w:rFonts w:cs="宋体"/>
    </w:rPr>
  </w:style>
  <w:style w:type="paragraph" w:customStyle="1" w:styleId="15">
    <w:name w:val="正文 32"/>
    <w:basedOn w:val="1"/>
    <w:next w:val="16"/>
    <w:autoRedefine/>
    <w:qFormat/>
    <w:uiPriority w:val="0"/>
    <w:pPr>
      <w:autoSpaceDE w:val="0"/>
      <w:autoSpaceDN w:val="0"/>
      <w:adjustRightInd w:val="0"/>
      <w:spacing w:line="300" w:lineRule="auto"/>
      <w:ind w:firstLine="567"/>
      <w:textAlignment w:val="baseline"/>
    </w:pPr>
    <w:rPr>
      <w:rFonts w:ascii="Times New Roman" w:hAnsi="Times New Roman" w:eastAsia="楷体_GB2312"/>
      <w:kern w:val="0"/>
      <w:sz w:val="24"/>
      <w:szCs w:val="20"/>
    </w:rPr>
  </w:style>
  <w:style w:type="paragraph" w:customStyle="1" w:styleId="16">
    <w:name w:val="xl30"/>
    <w:basedOn w:val="1"/>
    <w:next w:val="17"/>
    <w:autoRedefine/>
    <w:qFormat/>
    <w:uiPriority w:val="0"/>
    <w:pPr>
      <w:widowControl/>
      <w:pBdr>
        <w:bottom w:val="single" w:color="auto" w:sz="4" w:space="0"/>
      </w:pBdr>
      <w:spacing w:before="156" w:beforeLines="50"/>
      <w:jc w:val="center"/>
      <w:textAlignment w:val="center"/>
    </w:pPr>
    <w:rPr>
      <w:rFonts w:eastAsia="Arial Unicode MS"/>
      <w:kern w:val="0"/>
    </w:rPr>
  </w:style>
  <w:style w:type="paragraph" w:styleId="17">
    <w:name w:val="annotation subject"/>
    <w:basedOn w:val="10"/>
    <w:next w:val="18"/>
    <w:link w:val="70"/>
    <w:autoRedefine/>
    <w:semiHidden/>
    <w:qFormat/>
    <w:uiPriority w:val="0"/>
    <w:rPr>
      <w:b/>
    </w:rPr>
  </w:style>
  <w:style w:type="paragraph" w:customStyle="1" w:styleId="18">
    <w:name w:val="样式 标题 1 + 黑色"/>
    <w:basedOn w:val="2"/>
    <w:next w:val="1"/>
    <w:autoRedefine/>
    <w:qFormat/>
    <w:uiPriority w:val="0"/>
    <w:pPr>
      <w:keepNext w:val="0"/>
      <w:pageBreakBefore/>
      <w:widowControl/>
      <w:numPr>
        <w:ilvl w:val="0"/>
        <w:numId w:val="0"/>
      </w:numPr>
      <w:tabs>
        <w:tab w:val="left" w:pos="567"/>
        <w:tab w:val="left" w:pos="5652"/>
      </w:tabs>
      <w:spacing w:before="240" w:line="240" w:lineRule="auto"/>
      <w:ind w:left="431" w:hanging="431"/>
      <w:jc w:val="left"/>
    </w:pPr>
    <w:rPr>
      <w:snapToGrid/>
      <w:color w:val="000000"/>
      <w:kern w:val="32"/>
      <w:sz w:val="32"/>
      <w:szCs w:val="32"/>
    </w:rPr>
  </w:style>
  <w:style w:type="paragraph" w:styleId="19">
    <w:name w:val="Body Text"/>
    <w:basedOn w:val="1"/>
    <w:next w:val="20"/>
    <w:link w:val="62"/>
    <w:autoRedefine/>
    <w:qFormat/>
    <w:uiPriority w:val="0"/>
    <w:pPr>
      <w:widowControl/>
      <w:snapToGrid w:val="0"/>
      <w:spacing w:before="60" w:after="160" w:line="259" w:lineRule="auto"/>
      <w:ind w:right="113"/>
    </w:pPr>
    <w:rPr>
      <w:kern w:val="0"/>
      <w:sz w:val="18"/>
      <w:szCs w:val="20"/>
    </w:rPr>
  </w:style>
  <w:style w:type="paragraph" w:customStyle="1" w:styleId="20">
    <w:name w:val="xl27"/>
    <w:basedOn w:val="6"/>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4"/>
    </w:rPr>
  </w:style>
  <w:style w:type="paragraph" w:styleId="21">
    <w:name w:val="Body Text Indent"/>
    <w:basedOn w:val="1"/>
    <w:next w:val="22"/>
    <w:link w:val="67"/>
    <w:autoRedefine/>
    <w:qFormat/>
    <w:uiPriority w:val="0"/>
    <w:pPr>
      <w:spacing w:after="120"/>
      <w:ind w:left="420" w:leftChars="200"/>
    </w:pPr>
    <w:rPr>
      <w:kern w:val="0"/>
      <w:sz w:val="24"/>
      <w:szCs w:val="20"/>
    </w:rPr>
  </w:style>
  <w:style w:type="paragraph" w:styleId="22">
    <w:name w:val="Body Text First Indent 2"/>
    <w:basedOn w:val="21"/>
    <w:next w:val="23"/>
    <w:link w:val="118"/>
    <w:autoRedefine/>
    <w:qFormat/>
    <w:locked/>
    <w:uiPriority w:val="0"/>
    <w:pPr>
      <w:ind w:firstLine="420" w:firstLineChars="200"/>
    </w:pPr>
  </w:style>
  <w:style w:type="paragraph" w:customStyle="1" w:styleId="23">
    <w:name w:val="1正文"/>
    <w:next w:val="1"/>
    <w:qFormat/>
    <w:uiPriority w:val="0"/>
    <w:pPr>
      <w:snapToGrid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4">
    <w:name w:val="Block Text"/>
    <w:basedOn w:val="1"/>
    <w:autoRedefine/>
    <w:qFormat/>
    <w:locked/>
    <w:uiPriority w:val="0"/>
    <w:pPr>
      <w:widowControl/>
      <w:spacing w:line="440" w:lineRule="exact"/>
      <w:ind w:left="113" w:right="113" w:firstLine="567"/>
    </w:pPr>
    <w:rPr>
      <w:rFonts w:ascii="仿宋_GB2312" w:eastAsia="仿宋_GB2312"/>
      <w:kern w:val="0"/>
      <w:sz w:val="28"/>
      <w:szCs w:val="20"/>
    </w:rPr>
  </w:style>
  <w:style w:type="paragraph" w:styleId="25">
    <w:name w:val="Plain Text"/>
    <w:basedOn w:val="1"/>
    <w:link w:val="127"/>
    <w:autoRedefine/>
    <w:qFormat/>
    <w:locked/>
    <w:uiPriority w:val="0"/>
    <w:rPr>
      <w:rFonts w:ascii="宋体" w:hAnsi="Courier New"/>
    </w:rPr>
  </w:style>
  <w:style w:type="paragraph" w:styleId="26">
    <w:name w:val="Date"/>
    <w:basedOn w:val="1"/>
    <w:next w:val="1"/>
    <w:link w:val="71"/>
    <w:autoRedefine/>
    <w:qFormat/>
    <w:uiPriority w:val="0"/>
    <w:pPr>
      <w:ind w:left="100" w:leftChars="2500"/>
    </w:pPr>
    <w:rPr>
      <w:kern w:val="0"/>
      <w:sz w:val="24"/>
      <w:szCs w:val="20"/>
    </w:rPr>
  </w:style>
  <w:style w:type="paragraph" w:styleId="27">
    <w:name w:val="Body Text Indent 2"/>
    <w:basedOn w:val="1"/>
    <w:next w:val="25"/>
    <w:autoRedefine/>
    <w:qFormat/>
    <w:locked/>
    <w:uiPriority w:val="0"/>
    <w:pPr>
      <w:spacing w:after="120" w:line="480" w:lineRule="auto"/>
      <w:ind w:left="420" w:leftChars="200"/>
    </w:pPr>
  </w:style>
  <w:style w:type="paragraph" w:styleId="28">
    <w:name w:val="Balloon Text"/>
    <w:basedOn w:val="1"/>
    <w:link w:val="65"/>
    <w:autoRedefine/>
    <w:semiHidden/>
    <w:qFormat/>
    <w:uiPriority w:val="0"/>
    <w:rPr>
      <w:kern w:val="0"/>
      <w:sz w:val="18"/>
      <w:szCs w:val="20"/>
    </w:rPr>
  </w:style>
  <w:style w:type="paragraph" w:styleId="29">
    <w:name w:val="footer"/>
    <w:basedOn w:val="1"/>
    <w:link w:val="69"/>
    <w:autoRedefine/>
    <w:qFormat/>
    <w:uiPriority w:val="99"/>
    <w:pPr>
      <w:tabs>
        <w:tab w:val="center" w:pos="4153"/>
        <w:tab w:val="right" w:pos="8306"/>
      </w:tabs>
      <w:snapToGrid w:val="0"/>
      <w:jc w:val="left"/>
    </w:pPr>
    <w:rPr>
      <w:kern w:val="0"/>
      <w:sz w:val="18"/>
      <w:szCs w:val="20"/>
    </w:rPr>
  </w:style>
  <w:style w:type="paragraph" w:styleId="30">
    <w:name w:val="envelope return"/>
    <w:basedOn w:val="1"/>
    <w:autoRedefine/>
    <w:unhideWhenUsed/>
    <w:qFormat/>
    <w:locked/>
    <w:uiPriority w:val="99"/>
    <w:pPr>
      <w:snapToGrid w:val="0"/>
    </w:pPr>
    <w:rPr>
      <w:rFonts w:ascii="Arial" w:hAnsi="Arial"/>
    </w:rPr>
  </w:style>
  <w:style w:type="paragraph" w:styleId="31">
    <w:name w:val="header"/>
    <w:basedOn w:val="1"/>
    <w:link w:val="66"/>
    <w:autoRedefine/>
    <w:qFormat/>
    <w:uiPriority w:val="0"/>
    <w:pPr>
      <w:pBdr>
        <w:bottom w:val="single" w:color="auto" w:sz="6" w:space="1"/>
      </w:pBdr>
      <w:tabs>
        <w:tab w:val="center" w:pos="4153"/>
        <w:tab w:val="right" w:pos="8306"/>
      </w:tabs>
      <w:snapToGrid w:val="0"/>
      <w:jc w:val="center"/>
    </w:pPr>
    <w:rPr>
      <w:kern w:val="0"/>
      <w:sz w:val="18"/>
      <w:szCs w:val="20"/>
    </w:rPr>
  </w:style>
  <w:style w:type="paragraph" w:styleId="32">
    <w:name w:val="toc 1"/>
    <w:basedOn w:val="1"/>
    <w:next w:val="1"/>
    <w:autoRedefine/>
    <w:unhideWhenUsed/>
    <w:qFormat/>
    <w:locked/>
    <w:uiPriority w:val="39"/>
  </w:style>
  <w:style w:type="paragraph" w:styleId="33">
    <w:name w:val="Subtitle"/>
    <w:basedOn w:val="1"/>
    <w:link w:val="108"/>
    <w:autoRedefine/>
    <w:qFormat/>
    <w:locked/>
    <w:uiPriority w:val="0"/>
    <w:pPr>
      <w:widowControl/>
      <w:spacing w:line="440" w:lineRule="exact"/>
      <w:jc w:val="center"/>
    </w:pPr>
    <w:rPr>
      <w:b/>
      <w:bCs/>
      <w:kern w:val="28"/>
      <w:sz w:val="24"/>
    </w:rPr>
  </w:style>
  <w:style w:type="paragraph" w:styleId="34">
    <w:name w:val="List"/>
    <w:basedOn w:val="1"/>
    <w:qFormat/>
    <w:locked/>
    <w:uiPriority w:val="0"/>
    <w:pPr>
      <w:spacing w:line="240" w:lineRule="auto"/>
      <w:ind w:left="200" w:hanging="200" w:hangingChars="200"/>
    </w:pPr>
    <w:rPr>
      <w:rFonts w:eastAsia="华文中宋"/>
      <w:sz w:val="28"/>
    </w:rPr>
  </w:style>
  <w:style w:type="paragraph" w:styleId="35">
    <w:name w:val="Body Text Indent 3"/>
    <w:basedOn w:val="1"/>
    <w:autoRedefine/>
    <w:qFormat/>
    <w:locked/>
    <w:uiPriority w:val="0"/>
    <w:pPr>
      <w:spacing w:after="120"/>
      <w:ind w:left="420" w:leftChars="200"/>
    </w:pPr>
    <w:rPr>
      <w:sz w:val="16"/>
      <w:szCs w:val="16"/>
    </w:rPr>
  </w:style>
  <w:style w:type="paragraph" w:styleId="36">
    <w:name w:val="table of figures"/>
    <w:basedOn w:val="1"/>
    <w:next w:val="1"/>
    <w:autoRedefine/>
    <w:qFormat/>
    <w:locked/>
    <w:uiPriority w:val="0"/>
    <w:pPr>
      <w:ind w:left="200" w:leftChars="200" w:hanging="200" w:hangingChars="200"/>
    </w:pPr>
  </w:style>
  <w:style w:type="paragraph" w:styleId="37">
    <w:name w:val="toc 2"/>
    <w:basedOn w:val="1"/>
    <w:next w:val="1"/>
    <w:qFormat/>
    <w:locked/>
    <w:uiPriority w:val="0"/>
    <w:pPr>
      <w:tabs>
        <w:tab w:val="right" w:leader="dot" w:pos="8296"/>
      </w:tabs>
      <w:ind w:left="210"/>
    </w:pPr>
    <w:rPr>
      <w:rFonts w:ascii="黑体" w:hAnsi="黑体" w:eastAsia="黑体"/>
      <w:smallCaps/>
      <w:sz w:val="28"/>
    </w:rPr>
  </w:style>
  <w:style w:type="paragraph" w:styleId="38">
    <w:name w:val="Body Text 2"/>
    <w:basedOn w:val="1"/>
    <w:autoRedefine/>
    <w:qFormat/>
    <w:locked/>
    <w:uiPriority w:val="0"/>
    <w:pPr>
      <w:spacing w:after="120" w:line="480" w:lineRule="auto"/>
    </w:pPr>
  </w:style>
  <w:style w:type="paragraph" w:styleId="39">
    <w:name w:val="Normal (Web)"/>
    <w:basedOn w:val="1"/>
    <w:link w:val="68"/>
    <w:autoRedefine/>
    <w:qFormat/>
    <w:uiPriority w:val="99"/>
    <w:pPr>
      <w:widowControl/>
      <w:spacing w:before="100" w:beforeAutospacing="1" w:after="100" w:afterAutospacing="1"/>
      <w:jc w:val="left"/>
    </w:pPr>
    <w:rPr>
      <w:rFonts w:ascii="宋体" w:hAnsi="宋体"/>
      <w:kern w:val="0"/>
      <w:sz w:val="24"/>
      <w:szCs w:val="20"/>
    </w:rPr>
  </w:style>
  <w:style w:type="paragraph" w:styleId="40">
    <w:name w:val="Title"/>
    <w:basedOn w:val="1"/>
    <w:next w:val="41"/>
    <w:link w:val="107"/>
    <w:autoRedefine/>
    <w:qFormat/>
    <w:locked/>
    <w:uiPriority w:val="0"/>
    <w:pPr>
      <w:adjustRightInd w:val="0"/>
      <w:snapToGrid w:val="0"/>
      <w:spacing w:line="360" w:lineRule="auto"/>
      <w:jc w:val="center"/>
    </w:pPr>
    <w:rPr>
      <w:rFonts w:eastAsia="黑体"/>
      <w:bCs/>
      <w:kern w:val="0"/>
      <w:sz w:val="36"/>
      <w:szCs w:val="32"/>
    </w:rPr>
  </w:style>
  <w:style w:type="paragraph" w:styleId="41">
    <w:name w:val="Body Text First Indent"/>
    <w:basedOn w:val="19"/>
    <w:next w:val="1"/>
    <w:autoRedefine/>
    <w:qFormat/>
    <w:locked/>
    <w:uiPriority w:val="0"/>
    <w:pPr>
      <w:adjustRightInd w:val="0"/>
      <w:spacing w:beforeLines="50" w:after="0" w:line="360" w:lineRule="auto"/>
      <w:ind w:firstLine="200" w:firstLineChars="200"/>
    </w:pPr>
    <w:rPr>
      <w:sz w:val="24"/>
    </w:rPr>
  </w:style>
  <w:style w:type="table" w:styleId="43">
    <w:name w:val="Table Grid"/>
    <w:basedOn w:val="42"/>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basedOn w:val="44"/>
    <w:qFormat/>
    <w:locked/>
    <w:uiPriority w:val="0"/>
    <w:rPr>
      <w:b/>
    </w:rPr>
  </w:style>
  <w:style w:type="character" w:styleId="46">
    <w:name w:val="page number"/>
    <w:basedOn w:val="44"/>
    <w:autoRedefine/>
    <w:qFormat/>
    <w:locked/>
    <w:uiPriority w:val="0"/>
  </w:style>
  <w:style w:type="character" w:styleId="47">
    <w:name w:val="Emphasis"/>
    <w:autoRedefine/>
    <w:qFormat/>
    <w:locked/>
    <w:uiPriority w:val="0"/>
    <w:rPr>
      <w:i/>
    </w:rPr>
  </w:style>
  <w:style w:type="character" w:styleId="48">
    <w:name w:val="Hyperlink"/>
    <w:basedOn w:val="44"/>
    <w:autoRedefine/>
    <w:qFormat/>
    <w:locked/>
    <w:uiPriority w:val="99"/>
    <w:rPr>
      <w:color w:val="0000FF"/>
      <w:u w:val="single"/>
    </w:rPr>
  </w:style>
  <w:style w:type="character" w:styleId="49">
    <w:name w:val="annotation reference"/>
    <w:basedOn w:val="44"/>
    <w:autoRedefine/>
    <w:semiHidden/>
    <w:qFormat/>
    <w:uiPriority w:val="0"/>
    <w:rPr>
      <w:sz w:val="21"/>
    </w:rPr>
  </w:style>
  <w:style w:type="paragraph" w:customStyle="1" w:styleId="50">
    <w:name w:val="A正文"/>
    <w:next w:val="19"/>
    <w:qFormat/>
    <w:uiPriority w:val="0"/>
    <w:pPr>
      <w:spacing w:line="480" w:lineRule="exact"/>
    </w:pPr>
    <w:rPr>
      <w:rFonts w:ascii="Times New Roman" w:hAnsi="Times New Roman" w:eastAsia="宋体" w:cs="Times New Roman"/>
      <w:sz w:val="21"/>
      <w:szCs w:val="22"/>
      <w:lang w:val="en-US" w:eastAsia="zh-CN" w:bidi="ar-SA"/>
    </w:rPr>
  </w:style>
  <w:style w:type="paragraph" w:customStyle="1" w:styleId="51">
    <w:name w:val="Default"/>
    <w:basedOn w:val="52"/>
    <w:next w:val="22"/>
    <w:link w:val="103"/>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2">
    <w:name w:val="纯文本1"/>
    <w:basedOn w:val="1"/>
    <w:autoRedefine/>
    <w:qFormat/>
    <w:uiPriority w:val="0"/>
    <w:rPr>
      <w:rFonts w:ascii="宋体" w:hAnsi="Courier New"/>
    </w:rPr>
  </w:style>
  <w:style w:type="paragraph" w:customStyle="1" w:styleId="53">
    <w:name w:val="表格"/>
    <w:basedOn w:val="34"/>
    <w:next w:val="1"/>
    <w:link w:val="63"/>
    <w:autoRedefine/>
    <w:qFormat/>
    <w:uiPriority w:val="0"/>
    <w:pPr>
      <w:snapToGrid w:val="0"/>
      <w:spacing w:beforeLines="10" w:afterLines="10" w:line="259" w:lineRule="auto"/>
    </w:pPr>
    <w:rPr>
      <w:rFonts w:ascii="宋体"/>
      <w:szCs w:val="20"/>
    </w:rPr>
  </w:style>
  <w:style w:type="paragraph" w:customStyle="1" w:styleId="54">
    <w:name w:val="表头"/>
    <w:basedOn w:val="55"/>
    <w:next w:val="35"/>
    <w:autoRedefine/>
    <w:qFormat/>
    <w:uiPriority w:val="0"/>
    <w:pPr>
      <w:jc w:val="center"/>
    </w:pPr>
    <w:rPr>
      <w:rFonts w:ascii="黑体" w:eastAsia="黑体"/>
    </w:rPr>
  </w:style>
  <w:style w:type="paragraph" w:customStyle="1" w:styleId="55">
    <w:name w:val="报告表正文"/>
    <w:basedOn w:val="1"/>
    <w:autoRedefine/>
    <w:qFormat/>
    <w:uiPriority w:val="0"/>
    <w:pPr>
      <w:adjustRightInd w:val="0"/>
      <w:spacing w:line="312" w:lineRule="auto"/>
      <w:ind w:left="113" w:right="113" w:firstLine="482"/>
      <w:jc w:val="left"/>
      <w:textAlignment w:val="baseline"/>
    </w:pPr>
    <w:rPr>
      <w:kern w:val="0"/>
      <w:sz w:val="24"/>
    </w:rPr>
  </w:style>
  <w:style w:type="paragraph" w:customStyle="1" w:styleId="56">
    <w:name w:val="正文 首行缩进:  2 字符"/>
    <w:basedOn w:val="1"/>
    <w:autoRedefine/>
    <w:qFormat/>
    <w:uiPriority w:val="0"/>
    <w:pPr>
      <w:ind w:firstLine="579" w:firstLineChars="200"/>
    </w:pPr>
  </w:style>
  <w:style w:type="paragraph" w:customStyle="1" w:styleId="57">
    <w:name w:val="样式 标题 1一级标题 + 段前: 0.5 行 段后: 0.5 行"/>
    <w:basedOn w:val="2"/>
    <w:autoRedefine/>
    <w:qFormat/>
    <w:uiPriority w:val="99"/>
    <w:pPr>
      <w:spacing w:line="320" w:lineRule="exact"/>
      <w:outlineLvl w:val="9"/>
    </w:pPr>
    <w:rPr>
      <w:spacing w:val="-6"/>
      <w:sz w:val="21"/>
      <w:szCs w:val="21"/>
    </w:rPr>
  </w:style>
  <w:style w:type="paragraph" w:customStyle="1" w:styleId="58">
    <w:name w:val="列出段落1"/>
    <w:basedOn w:val="1"/>
    <w:autoRedefine/>
    <w:qFormat/>
    <w:uiPriority w:val="34"/>
    <w:pPr>
      <w:spacing w:line="264" w:lineRule="auto"/>
      <w:ind w:firstLine="420"/>
      <w:jc w:val="left"/>
    </w:pPr>
    <w:rPr>
      <w:sz w:val="28"/>
      <w:szCs w:val="24"/>
    </w:rPr>
  </w:style>
  <w:style w:type="paragraph" w:customStyle="1" w:styleId="59">
    <w:name w:val=" Char Char1 Char Char"/>
    <w:basedOn w:val="1"/>
    <w:next w:val="60"/>
    <w:autoRedefine/>
    <w:qFormat/>
    <w:uiPriority w:val="0"/>
    <w:pPr>
      <w:widowControl w:val="0"/>
      <w:autoSpaceDE/>
      <w:autoSpaceDN/>
      <w:spacing w:before="0" w:after="0" w:line="240" w:lineRule="auto"/>
      <w:ind w:left="0" w:firstLine="0"/>
      <w:jc w:val="both"/>
    </w:pPr>
    <w:rPr>
      <w:rFonts w:ascii="Times New Roman" w:eastAsia="宋体"/>
      <w:sz w:val="24"/>
    </w:rPr>
  </w:style>
  <w:style w:type="paragraph" w:customStyle="1" w:styleId="60">
    <w:name w:val="xl42"/>
    <w:basedOn w:val="1"/>
    <w:next w:val="1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eastAsia="Arial Unicode MS"/>
      <w:kern w:val="0"/>
    </w:rPr>
  </w:style>
  <w:style w:type="character" w:customStyle="1" w:styleId="61">
    <w:name w:val="日期 字符"/>
    <w:autoRedefine/>
    <w:semiHidden/>
    <w:qFormat/>
    <w:uiPriority w:val="0"/>
    <w:rPr>
      <w:rFonts w:ascii="Times New Roman" w:hAnsi="Times New Roman" w:eastAsia="宋体"/>
      <w:sz w:val="24"/>
    </w:rPr>
  </w:style>
  <w:style w:type="character" w:customStyle="1" w:styleId="62">
    <w:name w:val="正文文本 Char"/>
    <w:link w:val="19"/>
    <w:autoRedefine/>
    <w:qFormat/>
    <w:locked/>
    <w:uiPriority w:val="0"/>
    <w:rPr>
      <w:sz w:val="18"/>
    </w:rPr>
  </w:style>
  <w:style w:type="character" w:customStyle="1" w:styleId="63">
    <w:name w:val="表格 Char"/>
    <w:link w:val="53"/>
    <w:autoRedefine/>
    <w:qFormat/>
    <w:locked/>
    <w:uiPriority w:val="0"/>
    <w:rPr>
      <w:rFonts w:ascii="宋体"/>
      <w:sz w:val="21"/>
    </w:rPr>
  </w:style>
  <w:style w:type="character" w:customStyle="1" w:styleId="64">
    <w:name w:val="font31"/>
    <w:autoRedefine/>
    <w:qFormat/>
    <w:uiPriority w:val="0"/>
    <w:rPr>
      <w:rFonts w:hint="default" w:ascii="Times New Roman" w:hAnsi="Times New Roman" w:cs="Times New Roman"/>
      <w:b/>
      <w:color w:val="000000"/>
      <w:sz w:val="18"/>
      <w:szCs w:val="18"/>
      <w:u w:val="none"/>
    </w:rPr>
  </w:style>
  <w:style w:type="character" w:customStyle="1" w:styleId="65">
    <w:name w:val="批注框文本 Char"/>
    <w:link w:val="28"/>
    <w:autoRedefine/>
    <w:semiHidden/>
    <w:qFormat/>
    <w:locked/>
    <w:uiPriority w:val="0"/>
    <w:rPr>
      <w:rFonts w:ascii="Times New Roman" w:hAnsi="Times New Roman" w:eastAsia="宋体"/>
      <w:sz w:val="18"/>
    </w:rPr>
  </w:style>
  <w:style w:type="character" w:customStyle="1" w:styleId="66">
    <w:name w:val="页眉 Char"/>
    <w:link w:val="31"/>
    <w:autoRedefine/>
    <w:qFormat/>
    <w:locked/>
    <w:uiPriority w:val="0"/>
    <w:rPr>
      <w:sz w:val="18"/>
    </w:rPr>
  </w:style>
  <w:style w:type="character" w:customStyle="1" w:styleId="67">
    <w:name w:val="正文文本缩进 Char"/>
    <w:link w:val="21"/>
    <w:autoRedefine/>
    <w:semiHidden/>
    <w:qFormat/>
    <w:locked/>
    <w:uiPriority w:val="0"/>
    <w:rPr>
      <w:rFonts w:ascii="Times New Roman" w:hAnsi="Times New Roman" w:eastAsia="宋体"/>
      <w:sz w:val="24"/>
    </w:rPr>
  </w:style>
  <w:style w:type="character" w:customStyle="1" w:styleId="68">
    <w:name w:val="普通(网站) Char"/>
    <w:link w:val="39"/>
    <w:autoRedefine/>
    <w:qFormat/>
    <w:locked/>
    <w:uiPriority w:val="0"/>
    <w:rPr>
      <w:rFonts w:ascii="宋体" w:hAnsi="宋体" w:eastAsia="宋体"/>
      <w:sz w:val="24"/>
    </w:rPr>
  </w:style>
  <w:style w:type="character" w:customStyle="1" w:styleId="69">
    <w:name w:val="页脚 Char"/>
    <w:link w:val="29"/>
    <w:autoRedefine/>
    <w:qFormat/>
    <w:locked/>
    <w:uiPriority w:val="99"/>
    <w:rPr>
      <w:sz w:val="18"/>
    </w:rPr>
  </w:style>
  <w:style w:type="character" w:customStyle="1" w:styleId="70">
    <w:name w:val="批注主题 Char"/>
    <w:link w:val="17"/>
    <w:autoRedefine/>
    <w:semiHidden/>
    <w:qFormat/>
    <w:locked/>
    <w:uiPriority w:val="0"/>
    <w:rPr>
      <w:rFonts w:ascii="Times New Roman" w:hAnsi="Times New Roman" w:eastAsia="宋体"/>
      <w:b/>
      <w:kern w:val="2"/>
      <w:sz w:val="24"/>
    </w:rPr>
  </w:style>
  <w:style w:type="character" w:customStyle="1" w:styleId="71">
    <w:name w:val="日期 Char"/>
    <w:link w:val="26"/>
    <w:autoRedefine/>
    <w:qFormat/>
    <w:locked/>
    <w:uiPriority w:val="0"/>
    <w:rPr>
      <w:rFonts w:ascii="Times New Roman" w:hAnsi="Times New Roman" w:eastAsia="宋体"/>
      <w:sz w:val="24"/>
    </w:rPr>
  </w:style>
  <w:style w:type="character" w:customStyle="1" w:styleId="72">
    <w:name w:val="font21"/>
    <w:autoRedefine/>
    <w:qFormat/>
    <w:uiPriority w:val="0"/>
    <w:rPr>
      <w:rFonts w:hint="eastAsia" w:ascii="宋体" w:hAnsi="宋体" w:eastAsia="宋体" w:cs="宋体"/>
      <w:b/>
      <w:color w:val="000000"/>
      <w:sz w:val="18"/>
      <w:szCs w:val="18"/>
      <w:u w:val="none"/>
    </w:rPr>
  </w:style>
  <w:style w:type="character" w:customStyle="1" w:styleId="73">
    <w:name w:val="批注文字 Char1"/>
    <w:link w:val="10"/>
    <w:autoRedefine/>
    <w:qFormat/>
    <w:locked/>
    <w:uiPriority w:val="0"/>
    <w:rPr>
      <w:rFonts w:ascii="Times New Roman" w:hAnsi="Times New Roman" w:eastAsia="宋体"/>
      <w:sz w:val="24"/>
    </w:rPr>
  </w:style>
  <w:style w:type="character" w:customStyle="1" w:styleId="74">
    <w:name w:val="批注文字 字符1"/>
    <w:autoRedefine/>
    <w:semiHidden/>
    <w:qFormat/>
    <w:uiPriority w:val="0"/>
    <w:rPr>
      <w:rFonts w:ascii="Times New Roman" w:hAnsi="Times New Roman" w:eastAsia="宋体"/>
      <w:sz w:val="24"/>
    </w:rPr>
  </w:style>
  <w:style w:type="character" w:customStyle="1" w:styleId="75">
    <w:name w:val="正文文本 字符1"/>
    <w:autoRedefine/>
    <w:semiHidden/>
    <w:qFormat/>
    <w:uiPriority w:val="0"/>
    <w:rPr>
      <w:rFonts w:ascii="Times New Roman" w:hAnsi="Times New Roman" w:eastAsia="宋体"/>
      <w:sz w:val="24"/>
    </w:rPr>
  </w:style>
  <w:style w:type="character" w:customStyle="1" w:styleId="76">
    <w:name w:val="页脚 字符"/>
    <w:basedOn w:val="44"/>
    <w:autoRedefine/>
    <w:qFormat/>
    <w:uiPriority w:val="99"/>
  </w:style>
  <w:style w:type="paragraph" w:customStyle="1" w:styleId="77">
    <w:name w:val="说明书正文"/>
    <w:basedOn w:val="1"/>
    <w:autoRedefine/>
    <w:qFormat/>
    <w:uiPriority w:val="0"/>
    <w:pPr>
      <w:spacing w:line="480" w:lineRule="exact"/>
      <w:ind w:firstLine="600" w:firstLineChars="200"/>
    </w:pPr>
    <w:rPr>
      <w:rFonts w:eastAsia="仿宋_GB2312"/>
      <w:color w:val="000000"/>
      <w:sz w:val="30"/>
    </w:rPr>
  </w:style>
  <w:style w:type="paragraph" w:customStyle="1" w:styleId="78">
    <w:name w:val="报告书正文 Char Char Char"/>
    <w:basedOn w:val="1"/>
    <w:autoRedefine/>
    <w:qFormat/>
    <w:uiPriority w:val="0"/>
    <w:pPr>
      <w:spacing w:line="300" w:lineRule="auto"/>
      <w:ind w:firstLine="480" w:firstLineChars="200"/>
    </w:pPr>
    <w:rPr>
      <w:rFonts w:ascii="宋体" w:hAnsi="宋体"/>
      <w:sz w:val="24"/>
      <w:szCs w:val="20"/>
    </w:rPr>
  </w:style>
  <w:style w:type="paragraph" w:customStyle="1" w:styleId="79">
    <w:name w:val="表格文字"/>
    <w:basedOn w:val="19"/>
    <w:link w:val="104"/>
    <w:autoRedefine/>
    <w:qFormat/>
    <w:uiPriority w:val="99"/>
    <w:pPr>
      <w:adjustRightInd w:val="0"/>
      <w:snapToGrid w:val="0"/>
      <w:jc w:val="center"/>
      <w:textAlignment w:val="center"/>
    </w:pPr>
  </w:style>
  <w:style w:type="paragraph" w:customStyle="1" w:styleId="80">
    <w:name w:val="xl22"/>
    <w:basedOn w:val="1"/>
    <w:autoRedefine/>
    <w:qFormat/>
    <w:uiPriority w:val="0"/>
    <w:pPr>
      <w:widowControl/>
      <w:spacing w:before="100" w:after="100"/>
      <w:jc w:val="center"/>
    </w:pPr>
    <w:rPr>
      <w:kern w:val="0"/>
      <w:sz w:val="24"/>
      <w:szCs w:val="20"/>
    </w:rPr>
  </w:style>
  <w:style w:type="paragraph" w:customStyle="1" w:styleId="81">
    <w:name w:val="sheet"/>
    <w:basedOn w:val="1"/>
    <w:autoRedefine/>
    <w:qFormat/>
    <w:uiPriority w:val="0"/>
    <w:pPr>
      <w:suppressAutoHyphens/>
      <w:topLinePunct/>
      <w:jc w:val="center"/>
    </w:pPr>
    <w:rPr>
      <w:kern w:val="0"/>
    </w:rPr>
  </w:style>
  <w:style w:type="paragraph" w:customStyle="1" w:styleId="82">
    <w:name w:val="报告书：表格表头"/>
    <w:basedOn w:val="1"/>
    <w:next w:val="1"/>
    <w:autoRedefine/>
    <w:qFormat/>
    <w:uiPriority w:val="0"/>
    <w:pPr>
      <w:jc w:val="center"/>
    </w:pPr>
    <w:rPr>
      <w:rFonts w:eastAsia="仿宋_GB2312"/>
      <w:b/>
    </w:rPr>
  </w:style>
  <w:style w:type="paragraph" w:customStyle="1" w:styleId="83">
    <w:name w:val="表 图 内容"/>
    <w:basedOn w:val="1"/>
    <w:autoRedefine/>
    <w:qFormat/>
    <w:uiPriority w:val="0"/>
    <w:pPr>
      <w:jc w:val="center"/>
    </w:pPr>
    <w:rPr>
      <w:color w:val="000000"/>
    </w:rPr>
  </w:style>
  <w:style w:type="paragraph" w:customStyle="1" w:styleId="84">
    <w:name w:val="样式1"/>
    <w:basedOn w:val="1"/>
    <w:autoRedefine/>
    <w:qFormat/>
    <w:uiPriority w:val="99"/>
    <w:pPr>
      <w:spacing w:line="360" w:lineRule="auto"/>
      <w:ind w:firstLine="560" w:firstLineChars="200"/>
    </w:pPr>
    <w:rPr>
      <w:rFonts w:ascii="宋体" w:hAnsi="宋体"/>
      <w:sz w:val="28"/>
      <w:szCs w:val="20"/>
    </w:rPr>
  </w:style>
  <w:style w:type="paragraph" w:customStyle="1" w:styleId="85">
    <w:name w:val="报告正文"/>
    <w:basedOn w:val="1"/>
    <w:link w:val="121"/>
    <w:autoRedefine/>
    <w:qFormat/>
    <w:uiPriority w:val="0"/>
    <w:pPr>
      <w:adjustRightInd w:val="0"/>
      <w:snapToGrid w:val="0"/>
      <w:spacing w:line="360" w:lineRule="auto"/>
      <w:ind w:firstLine="200" w:firstLineChars="200"/>
    </w:pPr>
    <w:rPr>
      <w:rFonts w:ascii="宋体"/>
      <w:sz w:val="24"/>
      <w:szCs w:val="20"/>
    </w:rPr>
  </w:style>
  <w:style w:type="paragraph" w:customStyle="1" w:styleId="86">
    <w:name w:val="普通(网站)2"/>
    <w:basedOn w:val="1"/>
    <w:autoRedefine/>
    <w:qFormat/>
    <w:uiPriority w:val="0"/>
    <w:pPr>
      <w:widowControl/>
      <w:spacing w:before="100" w:beforeAutospacing="1" w:after="100" w:afterAutospacing="1"/>
      <w:jc w:val="left"/>
    </w:pPr>
    <w:rPr>
      <w:rFonts w:ascii="宋体" w:hAnsi="宋体"/>
      <w:sz w:val="24"/>
      <w:szCs w:val="20"/>
    </w:rPr>
  </w:style>
  <w:style w:type="paragraph" w:customStyle="1" w:styleId="87">
    <w:name w:val="Body Text 22"/>
    <w:basedOn w:val="1"/>
    <w:autoRedefine/>
    <w:qFormat/>
    <w:uiPriority w:val="0"/>
    <w:pPr>
      <w:adjustRightInd w:val="0"/>
      <w:spacing w:line="440" w:lineRule="atLeast"/>
      <w:ind w:firstLine="480"/>
      <w:textAlignment w:val="baseline"/>
    </w:pPr>
    <w:rPr>
      <w:rFonts w:eastAsia="仿宋_GB2312"/>
      <w:sz w:val="24"/>
      <w:szCs w:val="20"/>
    </w:rPr>
  </w:style>
  <w:style w:type="paragraph" w:customStyle="1" w:styleId="88">
    <w:name w:val="Other|1"/>
    <w:basedOn w:val="1"/>
    <w:autoRedefine/>
    <w:qFormat/>
    <w:uiPriority w:val="0"/>
    <w:pPr>
      <w:spacing w:line="473" w:lineRule="auto"/>
      <w:ind w:firstLine="360"/>
    </w:pPr>
    <w:rPr>
      <w:rFonts w:ascii="宋体" w:hAnsi="宋体" w:cs="宋体"/>
      <w:sz w:val="15"/>
      <w:szCs w:val="15"/>
      <w:lang w:val="zh-TW" w:eastAsia="zh-TW" w:bidi="zh-TW"/>
    </w:rPr>
  </w:style>
  <w:style w:type="paragraph" w:customStyle="1" w:styleId="89">
    <w:name w:val="Body text|1"/>
    <w:basedOn w:val="1"/>
    <w:autoRedefine/>
    <w:qFormat/>
    <w:uiPriority w:val="0"/>
    <w:pPr>
      <w:spacing w:line="290" w:lineRule="auto"/>
      <w:ind w:firstLine="400"/>
    </w:pPr>
    <w:rPr>
      <w:rFonts w:ascii="宋体" w:hAnsi="宋体" w:cs="宋体"/>
      <w:lang w:val="zh-TW" w:eastAsia="zh-TW" w:bidi="zh-TW"/>
    </w:rPr>
  </w:style>
  <w:style w:type="paragraph" w:customStyle="1" w:styleId="90">
    <w:name w:val="表格正文"/>
    <w:basedOn w:val="1"/>
    <w:next w:val="1"/>
    <w:autoRedefine/>
    <w:qFormat/>
    <w:uiPriority w:val="0"/>
    <w:pPr>
      <w:snapToGrid w:val="0"/>
      <w:jc w:val="center"/>
    </w:pPr>
    <w:rPr>
      <w:color w:val="000000"/>
      <w:szCs w:val="21"/>
    </w:rPr>
  </w:style>
  <w:style w:type="paragraph" w:customStyle="1" w:styleId="91">
    <w:name w:val="表标题"/>
    <w:link w:val="116"/>
    <w:autoRedefine/>
    <w:qFormat/>
    <w:uiPriority w:val="0"/>
    <w:pPr>
      <w:tabs>
        <w:tab w:val="left" w:pos="0"/>
      </w:tabs>
      <w:jc w:val="center"/>
    </w:pPr>
    <w:rPr>
      <w:rFonts w:ascii="Times New Roman" w:hAnsi="Times New Roman" w:eastAsia="宋体" w:cs="Times New Roman"/>
      <w:b/>
      <w:sz w:val="24"/>
      <w:lang w:val="en-US" w:eastAsia="zh-CN" w:bidi="ar-SA"/>
    </w:rPr>
  </w:style>
  <w:style w:type="paragraph" w:customStyle="1" w:styleId="92">
    <w:name w:val="正本"/>
    <w:basedOn w:val="1"/>
    <w:autoRedefine/>
    <w:qFormat/>
    <w:uiPriority w:val="0"/>
    <w:pPr>
      <w:adjustRightInd w:val="0"/>
      <w:snapToGrid w:val="0"/>
      <w:spacing w:line="360" w:lineRule="auto"/>
      <w:ind w:firstLine="200" w:firstLineChars="200"/>
    </w:pPr>
    <w:rPr>
      <w:rFonts w:ascii="宋体"/>
      <w:sz w:val="24"/>
    </w:rPr>
  </w:style>
  <w:style w:type="paragraph" w:customStyle="1" w:styleId="93">
    <w:name w:val="spook报告正文"/>
    <w:basedOn w:val="1"/>
    <w:autoRedefine/>
    <w:qFormat/>
    <w:uiPriority w:val="0"/>
    <w:pPr>
      <w:adjustRightInd w:val="0"/>
      <w:snapToGrid w:val="0"/>
      <w:spacing w:line="360" w:lineRule="auto"/>
      <w:ind w:firstLine="510"/>
    </w:pPr>
    <w:rPr>
      <w:sz w:val="24"/>
      <w:szCs w:val="20"/>
    </w:rPr>
  </w:style>
  <w:style w:type="paragraph" w:customStyle="1" w:styleId="94">
    <w:name w:val="Table Paragraph"/>
    <w:basedOn w:val="1"/>
    <w:autoRedefine/>
    <w:qFormat/>
    <w:uiPriority w:val="1"/>
    <w:pPr>
      <w:jc w:val="center"/>
    </w:pPr>
    <w:rPr>
      <w:rFonts w:ascii="宋体" w:hAnsi="宋体" w:cs="宋体"/>
      <w:lang w:val="zh-CN" w:bidi="zh-CN"/>
    </w:rPr>
  </w:style>
  <w:style w:type="paragraph" w:customStyle="1" w:styleId="95">
    <w:name w:val="正文_10"/>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6">
    <w:name w:val="列出段落3"/>
    <w:basedOn w:val="1"/>
    <w:autoRedefine/>
    <w:unhideWhenUsed/>
    <w:qFormat/>
    <w:uiPriority w:val="99"/>
    <w:pPr>
      <w:ind w:firstLine="420" w:firstLineChars="200"/>
    </w:pPr>
  </w:style>
  <w:style w:type="paragraph" w:styleId="97">
    <w:name w:val="List Paragraph"/>
    <w:basedOn w:val="1"/>
    <w:autoRedefine/>
    <w:qFormat/>
    <w:uiPriority w:val="0"/>
    <w:pPr>
      <w:ind w:firstLine="420" w:firstLineChars="200"/>
    </w:pPr>
  </w:style>
  <w:style w:type="paragraph" w:customStyle="1" w:styleId="98">
    <w:name w:val="正文文字"/>
    <w:basedOn w:val="8"/>
    <w:autoRedefine/>
    <w:qFormat/>
    <w:uiPriority w:val="0"/>
    <w:pPr>
      <w:adjustRightInd w:val="0"/>
      <w:snapToGrid w:val="0"/>
      <w:spacing w:line="480" w:lineRule="exact"/>
      <w:ind w:firstLine="200"/>
    </w:pPr>
    <w:rPr>
      <w:kern w:val="0"/>
      <w:sz w:val="24"/>
      <w:szCs w:val="20"/>
    </w:rPr>
  </w:style>
  <w:style w:type="paragraph" w:customStyle="1" w:styleId="99">
    <w:name w:val="样式 左侧:  0.85 厘米"/>
    <w:basedOn w:val="1"/>
    <w:autoRedefine/>
    <w:semiHidden/>
    <w:qFormat/>
    <w:uiPriority w:val="0"/>
    <w:pPr>
      <w:adjustRightInd w:val="0"/>
      <w:spacing w:line="360" w:lineRule="auto"/>
      <w:ind w:firstLine="480" w:firstLineChars="200"/>
    </w:pPr>
    <w:rPr>
      <w:rFonts w:cs="宋体"/>
      <w:kern w:val="0"/>
      <w:sz w:val="24"/>
    </w:rPr>
  </w:style>
  <w:style w:type="paragraph" w:customStyle="1" w:styleId="100">
    <w:name w:val="Char Char Char Char"/>
    <w:basedOn w:val="1"/>
    <w:autoRedefine/>
    <w:qFormat/>
    <w:uiPriority w:val="0"/>
    <w:pPr>
      <w:spacing w:line="360" w:lineRule="auto"/>
      <w:ind w:firstLine="200" w:firstLineChars="200"/>
    </w:pPr>
    <w:rPr>
      <w:rFonts w:ascii="宋体" w:hAnsi="宋体" w:cs="宋体"/>
      <w:sz w:val="24"/>
    </w:rPr>
  </w:style>
  <w:style w:type="paragraph" w:customStyle="1" w:styleId="101">
    <w:name w:val="reader-word-layer"/>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02">
    <w:name w:val="表格第一行"/>
    <w:next w:val="1"/>
    <w:autoRedefine/>
    <w:qFormat/>
    <w:uiPriority w:val="0"/>
    <w:pPr>
      <w:adjustRightInd w:val="0"/>
      <w:snapToGrid w:val="0"/>
      <w:spacing w:line="320" w:lineRule="exact"/>
      <w:jc w:val="center"/>
      <w:textAlignment w:val="baseline"/>
    </w:pPr>
    <w:rPr>
      <w:rFonts w:ascii="Times New Roman" w:hAnsi="Times New Roman" w:eastAsia="宋体" w:cs="Times New Roman"/>
      <w:b/>
      <w:sz w:val="21"/>
      <w:szCs w:val="21"/>
      <w:lang w:val="en-US" w:eastAsia="zh-CN" w:bidi="ar-SA"/>
    </w:rPr>
  </w:style>
  <w:style w:type="character" w:customStyle="1" w:styleId="103">
    <w:name w:val="Default Char"/>
    <w:link w:val="51"/>
    <w:autoRedefine/>
    <w:qFormat/>
    <w:uiPriority w:val="0"/>
    <w:rPr>
      <w:rFonts w:ascii="宋体"/>
      <w:color w:val="000000"/>
      <w:sz w:val="24"/>
      <w:szCs w:val="24"/>
    </w:rPr>
  </w:style>
  <w:style w:type="character" w:customStyle="1" w:styleId="104">
    <w:name w:val="表格文字 Char"/>
    <w:link w:val="79"/>
    <w:autoRedefine/>
    <w:qFormat/>
    <w:locked/>
    <w:uiPriority w:val="0"/>
    <w:rPr>
      <w:kern w:val="2"/>
      <w:sz w:val="21"/>
      <w:szCs w:val="24"/>
    </w:rPr>
  </w:style>
  <w:style w:type="character" w:customStyle="1" w:styleId="105">
    <w:name w:val="图表标题 Char"/>
    <w:link w:val="106"/>
    <w:autoRedefine/>
    <w:qFormat/>
    <w:locked/>
    <w:uiPriority w:val="0"/>
    <w:rPr>
      <w:rFonts w:ascii="黑体" w:hAnsi="黑体" w:eastAsia="黑体"/>
      <w:kern w:val="2"/>
      <w:sz w:val="24"/>
      <w:szCs w:val="22"/>
    </w:rPr>
  </w:style>
  <w:style w:type="paragraph" w:customStyle="1" w:styleId="106">
    <w:name w:val="图表标题"/>
    <w:next w:val="1"/>
    <w:link w:val="105"/>
    <w:autoRedefine/>
    <w:qFormat/>
    <w:uiPriority w:val="0"/>
    <w:pPr>
      <w:spacing w:line="360" w:lineRule="auto"/>
      <w:jc w:val="center"/>
    </w:pPr>
    <w:rPr>
      <w:rFonts w:ascii="黑体" w:hAnsi="黑体" w:eastAsia="黑体" w:cs="Times New Roman"/>
      <w:kern w:val="2"/>
      <w:sz w:val="24"/>
      <w:szCs w:val="22"/>
      <w:lang w:val="en-US" w:eastAsia="zh-CN" w:bidi="ar-SA"/>
    </w:rPr>
  </w:style>
  <w:style w:type="character" w:customStyle="1" w:styleId="107">
    <w:name w:val="标题 Char"/>
    <w:link w:val="40"/>
    <w:autoRedefine/>
    <w:qFormat/>
    <w:uiPriority w:val="0"/>
    <w:rPr>
      <w:rFonts w:eastAsia="黑体"/>
      <w:bCs/>
      <w:sz w:val="36"/>
      <w:szCs w:val="32"/>
    </w:rPr>
  </w:style>
  <w:style w:type="character" w:customStyle="1" w:styleId="108">
    <w:name w:val="副标题 Char"/>
    <w:link w:val="33"/>
    <w:autoRedefine/>
    <w:qFormat/>
    <w:uiPriority w:val="0"/>
    <w:rPr>
      <w:b/>
      <w:bCs/>
      <w:kern w:val="28"/>
      <w:sz w:val="24"/>
      <w:szCs w:val="24"/>
    </w:rPr>
  </w:style>
  <w:style w:type="paragraph" w:customStyle="1" w:styleId="109">
    <w:name w:val="表格内容"/>
    <w:basedOn w:val="110"/>
    <w:autoRedefine/>
    <w:qFormat/>
    <w:uiPriority w:val="99"/>
    <w:pPr>
      <w:overflowPunct w:val="0"/>
      <w:spacing w:line="240" w:lineRule="auto"/>
      <w:textAlignment w:val="baseline"/>
    </w:pPr>
    <w:rPr>
      <w:rFonts w:ascii="Times New Roman" w:hAnsi="Times New Roman"/>
      <w:b w:val="0"/>
    </w:rPr>
  </w:style>
  <w:style w:type="paragraph" w:customStyle="1" w:styleId="110">
    <w:name w:val="表格标题"/>
    <w:basedOn w:val="41"/>
    <w:autoRedefine/>
    <w:qFormat/>
    <w:uiPriority w:val="0"/>
    <w:pPr>
      <w:widowControl/>
      <w:spacing w:line="360" w:lineRule="auto"/>
      <w:textAlignment w:val="auto"/>
    </w:pPr>
    <w:rPr>
      <w:rFonts w:ascii="宋体" w:hAnsi="宋体" w:cs="宋体"/>
      <w:b/>
      <w:color w:val="000000"/>
      <w:kern w:val="0"/>
      <w:szCs w:val="21"/>
    </w:rPr>
  </w:style>
  <w:style w:type="paragraph" w:customStyle="1" w:styleId="111">
    <w:name w:val="正文古"/>
    <w:basedOn w:val="1"/>
    <w:link w:val="113"/>
    <w:autoRedefine/>
    <w:qFormat/>
    <w:uiPriority w:val="0"/>
    <w:pPr>
      <w:snapToGrid w:val="0"/>
      <w:spacing w:line="480" w:lineRule="exact"/>
      <w:ind w:firstLine="200" w:firstLineChars="200"/>
    </w:pPr>
    <w:rPr>
      <w:kern w:val="0"/>
      <w:sz w:val="24"/>
    </w:rPr>
  </w:style>
  <w:style w:type="paragraph" w:customStyle="1" w:styleId="112">
    <w:name w:val="表图标题"/>
    <w:basedOn w:val="1"/>
    <w:autoRedefine/>
    <w:qFormat/>
    <w:uiPriority w:val="0"/>
    <w:pPr>
      <w:widowControl/>
      <w:tabs>
        <w:tab w:val="left" w:pos="3240"/>
      </w:tabs>
      <w:autoSpaceDE w:val="0"/>
      <w:autoSpaceDN w:val="0"/>
      <w:adjustRightInd w:val="0"/>
      <w:snapToGrid w:val="0"/>
      <w:spacing w:line="360" w:lineRule="auto"/>
      <w:ind w:firstLine="1440" w:firstLineChars="200"/>
      <w:jc w:val="center"/>
    </w:pPr>
    <w:rPr>
      <w:b/>
      <w:bCs/>
      <w:kern w:val="0"/>
      <w:sz w:val="24"/>
      <w:szCs w:val="20"/>
    </w:rPr>
  </w:style>
  <w:style w:type="character" w:customStyle="1" w:styleId="113">
    <w:name w:val="正文古 Char"/>
    <w:link w:val="111"/>
    <w:autoRedefine/>
    <w:qFormat/>
    <w:locked/>
    <w:uiPriority w:val="0"/>
    <w:rPr>
      <w:sz w:val="24"/>
      <w:szCs w:val="24"/>
    </w:rPr>
  </w:style>
  <w:style w:type="paragraph" w:customStyle="1" w:styleId="114">
    <w:name w:val="S报告正文"/>
    <w:basedOn w:val="1"/>
    <w:autoRedefine/>
    <w:qFormat/>
    <w:uiPriority w:val="0"/>
    <w:pPr>
      <w:adjustRightInd w:val="0"/>
      <w:snapToGrid w:val="0"/>
      <w:spacing w:line="480" w:lineRule="exact"/>
      <w:ind w:firstLine="510"/>
      <w:jc w:val="left"/>
    </w:pPr>
    <w:rPr>
      <w:sz w:val="24"/>
    </w:rPr>
  </w:style>
  <w:style w:type="paragraph" w:customStyle="1" w:styleId="115">
    <w:name w:val="A正文1"/>
    <w:basedOn w:val="1"/>
    <w:autoRedefine/>
    <w:qFormat/>
    <w:uiPriority w:val="0"/>
    <w:pPr>
      <w:spacing w:line="360" w:lineRule="auto"/>
      <w:ind w:firstLine="480" w:firstLineChars="200"/>
    </w:pPr>
    <w:rPr>
      <w:sz w:val="24"/>
      <w:szCs w:val="28"/>
    </w:rPr>
  </w:style>
  <w:style w:type="character" w:customStyle="1" w:styleId="116">
    <w:name w:val="表标题 Char"/>
    <w:link w:val="91"/>
    <w:autoRedefine/>
    <w:qFormat/>
    <w:uiPriority w:val="0"/>
    <w:rPr>
      <w:b/>
      <w:sz w:val="24"/>
    </w:rPr>
  </w:style>
  <w:style w:type="character" w:customStyle="1" w:styleId="117">
    <w:name w:val="注释标题 Char"/>
    <w:link w:val="7"/>
    <w:autoRedefine/>
    <w:qFormat/>
    <w:uiPriority w:val="99"/>
    <w:rPr>
      <w:kern w:val="2"/>
      <w:sz w:val="21"/>
      <w:szCs w:val="24"/>
    </w:rPr>
  </w:style>
  <w:style w:type="character" w:customStyle="1" w:styleId="118">
    <w:name w:val="正文首行缩进 2 Char"/>
    <w:link w:val="22"/>
    <w:autoRedefine/>
    <w:qFormat/>
    <w:uiPriority w:val="0"/>
    <w:rPr>
      <w:sz w:val="24"/>
    </w:rPr>
  </w:style>
  <w:style w:type="paragraph" w:customStyle="1" w:styleId="119">
    <w:name w:val="正文（用）"/>
    <w:basedOn w:val="1"/>
    <w:autoRedefine/>
    <w:qFormat/>
    <w:uiPriority w:val="0"/>
    <w:pPr>
      <w:ind w:firstLine="480" w:firstLineChars="200"/>
      <w:jc w:val="left"/>
    </w:pPr>
    <w:rPr>
      <w:rFonts w:ascii="宋体" w:hAnsi="宋体" w:cs="宋体"/>
    </w:rPr>
  </w:style>
  <w:style w:type="character" w:customStyle="1" w:styleId="120">
    <w:name w:val="NormalCharacter"/>
    <w:autoRedefine/>
    <w:semiHidden/>
    <w:qFormat/>
    <w:uiPriority w:val="0"/>
  </w:style>
  <w:style w:type="character" w:customStyle="1" w:styleId="121">
    <w:name w:val="报告正文 Char Char"/>
    <w:link w:val="85"/>
    <w:autoRedefine/>
    <w:qFormat/>
    <w:uiPriority w:val="0"/>
    <w:rPr>
      <w:rFonts w:ascii="宋体"/>
      <w:kern w:val="2"/>
      <w:sz w:val="24"/>
    </w:rPr>
  </w:style>
  <w:style w:type="character" w:customStyle="1" w:styleId="122">
    <w:name w:val="标题 3 Char"/>
    <w:link w:val="4"/>
    <w:autoRedefine/>
    <w:qFormat/>
    <w:uiPriority w:val="0"/>
    <w:rPr>
      <w:b/>
      <w:bCs/>
      <w:kern w:val="2"/>
      <w:sz w:val="32"/>
      <w:szCs w:val="32"/>
    </w:rPr>
  </w:style>
  <w:style w:type="paragraph" w:customStyle="1" w:styleId="123">
    <w:name w:val="Char"/>
    <w:basedOn w:val="1"/>
    <w:autoRedefine/>
    <w:qFormat/>
    <w:uiPriority w:val="0"/>
    <w:pPr>
      <w:spacing w:line="360" w:lineRule="auto"/>
      <w:ind w:firstLine="200" w:firstLineChars="200"/>
    </w:pPr>
    <w:rPr>
      <w:rFonts w:ascii="宋体" w:hAnsi="宋体" w:cs="宋体"/>
      <w:sz w:val="24"/>
    </w:rPr>
  </w:style>
  <w:style w:type="character" w:customStyle="1" w:styleId="124">
    <w:name w:val="中气表头 Char"/>
    <w:link w:val="125"/>
    <w:autoRedefine/>
    <w:qFormat/>
    <w:uiPriority w:val="0"/>
    <w:rPr>
      <w:rFonts w:eastAsia="黑体"/>
      <w:b/>
      <w:kern w:val="2"/>
      <w:sz w:val="21"/>
      <w:szCs w:val="21"/>
    </w:rPr>
  </w:style>
  <w:style w:type="paragraph" w:customStyle="1" w:styleId="125">
    <w:name w:val="中气表头"/>
    <w:basedOn w:val="1"/>
    <w:link w:val="124"/>
    <w:autoRedefine/>
    <w:qFormat/>
    <w:uiPriority w:val="0"/>
    <w:pPr>
      <w:jc w:val="center"/>
    </w:pPr>
    <w:rPr>
      <w:rFonts w:eastAsia="黑体"/>
      <w:b/>
      <w:szCs w:val="21"/>
    </w:rPr>
  </w:style>
  <w:style w:type="character" w:customStyle="1" w:styleId="126">
    <w:name w:val="批注文字 Char"/>
    <w:autoRedefine/>
    <w:qFormat/>
    <w:locked/>
    <w:uiPriority w:val="0"/>
    <w:rPr>
      <w:rFonts w:ascii="Times New Roman" w:hAnsi="Times New Roman" w:eastAsia="宋体"/>
      <w:sz w:val="24"/>
    </w:rPr>
  </w:style>
  <w:style w:type="character" w:customStyle="1" w:styleId="127">
    <w:name w:val="纯文本 Char"/>
    <w:link w:val="25"/>
    <w:autoRedefine/>
    <w:qFormat/>
    <w:uiPriority w:val="0"/>
    <w:rPr>
      <w:rFonts w:ascii="宋体" w:hAnsi="Courier New"/>
      <w:kern w:val="2"/>
      <w:sz w:val="21"/>
      <w:szCs w:val="24"/>
    </w:rPr>
  </w:style>
  <w:style w:type="character" w:customStyle="1" w:styleId="128">
    <w:name w:val="未处理的提及1"/>
    <w:autoRedefine/>
    <w:semiHidden/>
    <w:unhideWhenUsed/>
    <w:qFormat/>
    <w:uiPriority w:val="99"/>
    <w:rPr>
      <w:color w:val="605E5C"/>
      <w:shd w:val="clear" w:color="auto" w:fill="E1DFDD"/>
    </w:rPr>
  </w:style>
  <w:style w:type="paragraph" w:customStyle="1" w:styleId="129">
    <w:name w:val="加粗"/>
    <w:basedOn w:val="1"/>
    <w:next w:val="1"/>
    <w:autoRedefine/>
    <w:qFormat/>
    <w:uiPriority w:val="0"/>
    <w:pPr>
      <w:widowControl/>
      <w:adjustRightInd w:val="0"/>
      <w:snapToGrid w:val="0"/>
      <w:spacing w:line="360" w:lineRule="auto"/>
      <w:ind w:firstLine="480" w:firstLineChars="200"/>
      <w:jc w:val="left"/>
    </w:pPr>
    <w:rPr>
      <w:rFonts w:ascii="Calibri" w:hAnsi="Calibri"/>
      <w:b/>
      <w:kern w:val="0"/>
      <w:sz w:val="24"/>
      <w:szCs w:val="20"/>
    </w:rPr>
  </w:style>
  <w:style w:type="paragraph" w:customStyle="1" w:styleId="130">
    <w:name w:val="正文首行"/>
    <w:basedOn w:val="8"/>
    <w:autoRedefine/>
    <w:qFormat/>
    <w:uiPriority w:val="0"/>
    <w:pPr>
      <w:spacing w:line="440" w:lineRule="exact"/>
      <w:ind w:firstLine="1440" w:firstLineChars="200"/>
      <w:jc w:val="both"/>
    </w:pPr>
    <w:rPr>
      <w:rFonts w:eastAsia="宋体"/>
      <w:sz w:val="24"/>
      <w:szCs w:val="20"/>
    </w:rPr>
  </w:style>
  <w:style w:type="character" w:customStyle="1" w:styleId="131">
    <w:name w:val="正文缩进 Char"/>
    <w:link w:val="8"/>
    <w:autoRedefine/>
    <w:qFormat/>
    <w:locked/>
    <w:uiPriority w:val="0"/>
    <w:rPr>
      <w:rFonts w:eastAsia="黑体"/>
      <w:kern w:val="2"/>
      <w:sz w:val="21"/>
      <w:szCs w:val="21"/>
    </w:rPr>
  </w:style>
  <w:style w:type="paragraph" w:customStyle="1" w:styleId="132">
    <w:name w:val="正文_1"/>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33">
    <w:name w:val="正文_14"/>
    <w:autoRedefine/>
    <w:qFormat/>
    <w:uiPriority w:val="0"/>
    <w:pPr>
      <w:widowControl w:val="0"/>
      <w:jc w:val="both"/>
    </w:pPr>
    <w:rPr>
      <w:rFonts w:ascii="Calibri" w:hAnsi="Calibri" w:eastAsia="宋体" w:cs="Times New Roman"/>
      <w:kern w:val="2"/>
      <w:sz w:val="21"/>
      <w:lang w:val="en-US" w:eastAsia="zh-CN" w:bidi="ar-SA"/>
    </w:rPr>
  </w:style>
  <w:style w:type="paragraph" w:customStyle="1" w:styleId="134">
    <w:name w:val="正文_19"/>
    <w:autoRedefine/>
    <w:qFormat/>
    <w:uiPriority w:val="0"/>
    <w:pPr>
      <w:widowControl w:val="0"/>
      <w:jc w:val="both"/>
    </w:pPr>
    <w:rPr>
      <w:rFonts w:ascii="Calibri" w:hAnsi="Calibri" w:eastAsia="宋体" w:cs="Times New Roman"/>
      <w:kern w:val="2"/>
      <w:sz w:val="21"/>
      <w:lang w:val="en-US" w:eastAsia="zh-CN" w:bidi="ar-SA"/>
    </w:rPr>
  </w:style>
  <w:style w:type="character" w:customStyle="1" w:styleId="135">
    <w:name w:val="showhidemsg"/>
    <w:basedOn w:val="44"/>
    <w:autoRedefine/>
    <w:qFormat/>
    <w:uiPriority w:val="0"/>
  </w:style>
  <w:style w:type="paragraph" w:customStyle="1" w:styleId="136">
    <w:name w:val="表头5"/>
    <w:basedOn w:val="1"/>
    <w:autoRedefine/>
    <w:qFormat/>
    <w:uiPriority w:val="0"/>
    <w:pPr>
      <w:numPr>
        <w:ilvl w:val="0"/>
        <w:numId w:val="1"/>
      </w:numPr>
      <w:spacing w:before="50" w:beforeLines="50"/>
      <w:ind w:left="0" w:firstLine="0"/>
      <w:jc w:val="center"/>
    </w:pPr>
    <w:rPr>
      <w:rFonts w:ascii="Times New Roman" w:hAnsi="Times New Roman" w:eastAsia="宋体"/>
      <w:b/>
      <w:szCs w:val="21"/>
    </w:rPr>
  </w:style>
  <w:style w:type="paragraph" w:customStyle="1" w:styleId="137">
    <w:name w:val="标题1"/>
    <w:basedOn w:val="2"/>
    <w:autoRedefine/>
    <w:qFormat/>
    <w:uiPriority w:val="0"/>
    <w:pPr>
      <w:spacing w:before="0" w:after="0" w:line="360" w:lineRule="auto"/>
      <w:ind w:left="0" w:firstLine="0" w:firstLineChars="0"/>
      <w:outlineLvl w:val="9"/>
    </w:pPr>
    <w:rPr>
      <w:rFonts w:eastAsia="宋体"/>
      <w:sz w:val="21"/>
    </w:rPr>
  </w:style>
  <w:style w:type="paragraph" w:customStyle="1" w:styleId="138">
    <w:name w:val="4正文"/>
    <w:basedOn w:val="1"/>
    <w:autoRedefine/>
    <w:qFormat/>
    <w:uiPriority w:val="0"/>
    <w:pPr>
      <w:spacing w:line="360" w:lineRule="auto"/>
      <w:ind w:firstLine="200" w:firstLineChars="200"/>
      <w:textAlignment w:val="baseline"/>
    </w:pPr>
    <w:rPr>
      <w:sz w:val="24"/>
      <w:szCs w:val="20"/>
      <w:lang w:val="zh-CN"/>
    </w:rPr>
  </w:style>
  <w:style w:type="character" w:customStyle="1" w:styleId="139">
    <w:name w:val="fontstyle01"/>
    <w:autoRedefine/>
    <w:qFormat/>
    <w:uiPriority w:val="0"/>
    <w:rPr>
      <w:rFonts w:hint="eastAsia" w:ascii="宋体" w:hAnsi="宋体" w:eastAsia="宋体"/>
      <w:color w:val="000000"/>
      <w:sz w:val="24"/>
      <w:szCs w:val="24"/>
    </w:rPr>
  </w:style>
  <w:style w:type="paragraph" w:customStyle="1" w:styleId="140">
    <w:name w:val="正文-易恒"/>
    <w:basedOn w:val="1"/>
    <w:autoRedefine/>
    <w:qFormat/>
    <w:uiPriority w:val="0"/>
    <w:pPr>
      <w:spacing w:line="360" w:lineRule="auto"/>
      <w:ind w:firstLine="200" w:firstLineChars="200"/>
    </w:pPr>
    <w:rPr>
      <w:rFonts w:ascii="Times New Roman" w:hAnsi="Times New Roman" w:eastAsia="宋体" w:cs="Times New Roman"/>
      <w:sz w:val="24"/>
      <w:szCs w:val="24"/>
    </w:rPr>
  </w:style>
  <w:style w:type="paragraph" w:customStyle="1" w:styleId="141">
    <w:name w:val="表格文字   5号"/>
    <w:autoRedefine/>
    <w:qFormat/>
    <w:uiPriority w:val="0"/>
    <w:pPr>
      <w:jc w:val="center"/>
    </w:pPr>
    <w:rPr>
      <w:rFonts w:ascii="Calibri" w:hAnsi="Calibri" w:eastAsia="宋体" w:cs="Times New Roman"/>
      <w:color w:val="000000"/>
      <w:kern w:val="2"/>
      <w:sz w:val="21"/>
      <w:szCs w:val="24"/>
      <w:lang w:val="en-US" w:eastAsia="zh-CN" w:bidi="ar-SA"/>
    </w:rPr>
  </w:style>
  <w:style w:type="paragraph" w:customStyle="1" w:styleId="142">
    <w:name w:val="p0"/>
    <w:basedOn w:val="1"/>
    <w:autoRedefine/>
    <w:qFormat/>
    <w:uiPriority w:val="0"/>
    <w:pPr>
      <w:widowControl/>
    </w:pPr>
    <w:rPr>
      <w:kern w:val="0"/>
      <w:szCs w:val="21"/>
    </w:rPr>
  </w:style>
  <w:style w:type="paragraph" w:customStyle="1" w:styleId="143">
    <w:name w:val="缩进"/>
    <w:basedOn w:val="1"/>
    <w:autoRedefine/>
    <w:qFormat/>
    <w:uiPriority w:val="0"/>
    <w:pPr>
      <w:autoSpaceDE w:val="0"/>
      <w:autoSpaceDN w:val="0"/>
      <w:adjustRightInd w:val="0"/>
      <w:spacing w:line="400" w:lineRule="atLeast"/>
      <w:ind w:firstLine="425"/>
      <w:textAlignment w:val="baseline"/>
    </w:pPr>
    <w:rPr>
      <w:sz w:val="24"/>
      <w:szCs w:val="20"/>
    </w:rPr>
  </w:style>
  <w:style w:type="paragraph" w:customStyle="1" w:styleId="144">
    <w:name w:val="表文字"/>
    <w:basedOn w:val="1"/>
    <w:autoRedefine/>
    <w:qFormat/>
    <w:uiPriority w:val="0"/>
    <w:pPr>
      <w:overflowPunct w:val="0"/>
      <w:autoSpaceDE w:val="0"/>
      <w:autoSpaceDN w:val="0"/>
      <w:adjustRightInd w:val="0"/>
      <w:spacing w:line="240" w:lineRule="atLeast"/>
      <w:textAlignment w:val="baseline"/>
    </w:pPr>
    <w:rPr>
      <w:kern w:val="0"/>
      <w:sz w:val="24"/>
      <w:szCs w:val="20"/>
    </w:rPr>
  </w:style>
  <w:style w:type="paragraph" w:customStyle="1" w:styleId="145">
    <w:name w:val="section1"/>
    <w:basedOn w:val="1"/>
    <w:autoRedefine/>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146">
    <w:name w:val="A 正文"/>
    <w:basedOn w:val="1"/>
    <w:autoRedefine/>
    <w:qFormat/>
    <w:uiPriority w:val="0"/>
    <w:pPr>
      <w:spacing w:line="360" w:lineRule="auto"/>
      <w:ind w:firstLine="200" w:firstLineChars="200"/>
    </w:pPr>
    <w:rPr>
      <w:sz w:val="24"/>
    </w:rPr>
  </w:style>
  <w:style w:type="paragraph" w:customStyle="1" w:styleId="147">
    <w:name w:val="表头1"/>
    <w:basedOn w:val="1"/>
    <w:autoRedefine/>
    <w:qFormat/>
    <w:uiPriority w:val="0"/>
    <w:pPr>
      <w:spacing w:beforeLines="50"/>
      <w:jc w:val="center"/>
    </w:pPr>
    <w:rPr>
      <w:rFonts w:ascii="Times New Roman" w:hAnsi="Times New Roman" w:eastAsia="宋体"/>
      <w:b/>
      <w:szCs w:val="21"/>
    </w:rPr>
  </w:style>
  <w:style w:type="paragraph" w:customStyle="1" w:styleId="148">
    <w:name w:val="图表头"/>
    <w:basedOn w:val="1"/>
    <w:autoRedefine/>
    <w:qFormat/>
    <w:uiPriority w:val="0"/>
    <w:pPr>
      <w:tabs>
        <w:tab w:val="left" w:pos="770"/>
      </w:tabs>
      <w:spacing w:beforeLines="50"/>
      <w:jc w:val="center"/>
    </w:pPr>
    <w:rPr>
      <w:rFonts w:ascii="Times New Roman" w:hAnsi="Times New Roman" w:eastAsia="宋体"/>
      <w:b/>
      <w:szCs w:val="20"/>
    </w:rPr>
  </w:style>
  <w:style w:type="paragraph" w:customStyle="1" w:styleId="149">
    <w:name w:val="表"/>
    <w:basedOn w:val="1"/>
    <w:autoRedefine/>
    <w:qFormat/>
    <w:uiPriority w:val="0"/>
    <w:pPr>
      <w:snapToGrid w:val="0"/>
      <w:jc w:val="center"/>
    </w:pPr>
    <w:rPr>
      <w:rFonts w:ascii="Times New Roman" w:hAnsi="Times New Roman"/>
      <w:spacing w:val="2"/>
      <w:szCs w:val="20"/>
    </w:rPr>
  </w:style>
  <w:style w:type="paragraph" w:customStyle="1" w:styleId="150">
    <w:name w:val="正文1"/>
    <w:basedOn w:val="1"/>
    <w:autoRedefine/>
    <w:qFormat/>
    <w:uiPriority w:val="0"/>
    <w:pPr>
      <w:spacing w:line="360" w:lineRule="auto"/>
      <w:ind w:firstLine="480" w:firstLineChars="200"/>
    </w:pPr>
    <w:rPr>
      <w:rFonts w:hAnsi="宋体"/>
      <w:sz w:val="24"/>
    </w:rPr>
  </w:style>
  <w:style w:type="paragraph" w:customStyle="1" w:styleId="151">
    <w:name w:val="报告书"/>
    <w:basedOn w:val="1"/>
    <w:autoRedefine/>
    <w:qFormat/>
    <w:uiPriority w:val="0"/>
    <w:pPr>
      <w:spacing w:line="360" w:lineRule="auto"/>
      <w:ind w:firstLine="482"/>
    </w:pPr>
    <w:rPr>
      <w:sz w:val="24"/>
    </w:rPr>
  </w:style>
  <w:style w:type="paragraph" w:customStyle="1" w:styleId="152">
    <w:name w:val="Default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53">
    <w:name w:val="样式 小四 行距: 固定值 16 磅"/>
    <w:basedOn w:val="1"/>
    <w:autoRedefine/>
    <w:qFormat/>
    <w:uiPriority w:val="0"/>
    <w:pPr>
      <w:snapToGrid w:val="0"/>
      <w:spacing w:line="400" w:lineRule="exact"/>
      <w:ind w:firstLine="480" w:firstLineChars="200"/>
    </w:pPr>
    <w:rPr>
      <w:rFonts w:eastAsia="宋体" w:cs="Dutch801 Rm BT"/>
      <w:sz w:val="24"/>
      <w:szCs w:val="20"/>
    </w:rPr>
  </w:style>
  <w:style w:type="character" w:customStyle="1" w:styleId="154">
    <w:name w:val="font11"/>
    <w:basedOn w:val="44"/>
    <w:autoRedefine/>
    <w:qFormat/>
    <w:uiPriority w:val="0"/>
    <w:rPr>
      <w:rFonts w:hint="default" w:ascii="Times New Roman" w:hAnsi="Times New Roman" w:cs="Times New Roman"/>
      <w:color w:val="000000"/>
      <w:sz w:val="21"/>
      <w:szCs w:val="21"/>
      <w:u w:val="single"/>
    </w:rPr>
  </w:style>
  <w:style w:type="paragraph" w:customStyle="1" w:styleId="155">
    <w:name w:val="Table Text"/>
    <w:basedOn w:val="1"/>
    <w:semiHidden/>
    <w:qFormat/>
    <w:uiPriority w:val="0"/>
    <w:rPr>
      <w:rFonts w:ascii="宋体" w:hAnsi="宋体" w:eastAsia="宋体" w:cs="宋体"/>
      <w:sz w:val="24"/>
      <w:szCs w:val="24"/>
      <w:lang w:val="en-US" w:eastAsia="en-US" w:bidi="ar-SA"/>
    </w:rPr>
  </w:style>
  <w:style w:type="table" w:customStyle="1" w:styleId="156">
    <w:name w:val="Table Normal"/>
    <w:semiHidden/>
    <w:unhideWhenUsed/>
    <w:qFormat/>
    <w:uiPriority w:val="0"/>
    <w:tblPr>
      <w:tblCellMar>
        <w:top w:w="0" w:type="dxa"/>
        <w:left w:w="0" w:type="dxa"/>
        <w:bottom w:w="0" w:type="dxa"/>
        <w:right w:w="0" w:type="dxa"/>
      </w:tblCellMar>
    </w:tblPr>
  </w:style>
  <w:style w:type="paragraph" w:customStyle="1" w:styleId="157">
    <w:name w:val="11正文"/>
    <w:basedOn w:val="1"/>
    <w:qFormat/>
    <w:uiPriority w:val="0"/>
    <w:pPr>
      <w:snapToGrid w:val="0"/>
      <w:spacing w:line="360" w:lineRule="auto"/>
      <w:ind w:firstLine="200" w:firstLineChars="200"/>
      <w:contextualSpacing/>
    </w:pPr>
    <w:rPr>
      <w:rFonts w:ascii="Times New Roman" w:hAnsi="Times New Roman" w:eastAsia="宋体" w:cs="Times New Roman"/>
      <w:sz w:val="24"/>
    </w:rPr>
  </w:style>
  <w:style w:type="paragraph" w:customStyle="1" w:styleId="158">
    <w:name w:val="1表头"/>
    <w:basedOn w:val="1"/>
    <w:qFormat/>
    <w:uiPriority w:val="0"/>
    <w:pPr>
      <w:snapToGrid w:val="0"/>
      <w:spacing w:line="360" w:lineRule="auto"/>
      <w:contextualSpacing/>
      <w:jc w:val="center"/>
      <w:outlineLvl w:val="3"/>
    </w:pPr>
    <w:rPr>
      <w:b/>
      <w:spacing w:val="-3"/>
    </w:rPr>
  </w:style>
  <w:style w:type="paragraph" w:customStyle="1" w:styleId="159">
    <w:name w:val="1表格内字体"/>
    <w:basedOn w:val="1"/>
    <w:qFormat/>
    <w:uiPriority w:val="0"/>
    <w:pPr>
      <w:snapToGrid w:val="0"/>
      <w:jc w:val="center"/>
    </w:pPr>
    <w:rPr>
      <w:szCs w:val="21"/>
    </w:rPr>
  </w:style>
  <w:style w:type="paragraph" w:customStyle="1" w:styleId="160">
    <w:name w:val="表内格式"/>
    <w:basedOn w:val="1"/>
    <w:autoRedefine/>
    <w:qFormat/>
    <w:uiPriority w:val="0"/>
    <w:pPr>
      <w:spacing w:line="360" w:lineRule="auto"/>
      <w:jc w:val="center"/>
    </w:pPr>
    <w:rPr>
      <w:sz w:val="18"/>
      <w:szCs w:val="20"/>
      <w:lang w:val="zh-CN"/>
    </w:rPr>
  </w:style>
  <w:style w:type="paragraph" w:customStyle="1" w:styleId="161">
    <w:name w:val="宋的表格"/>
    <w:basedOn w:val="1"/>
    <w:qFormat/>
    <w:uiPriority w:val="0"/>
    <w:pPr>
      <w:overflowPunct w:val="0"/>
      <w:autoSpaceDE w:val="0"/>
      <w:autoSpaceDN w:val="0"/>
      <w:adjustRightInd w:val="0"/>
      <w:snapToGrid w:val="0"/>
      <w:jc w:val="center"/>
      <w:textAlignment w:val="baseline"/>
    </w:pPr>
    <w:rPr>
      <w:szCs w:val="21"/>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9" Type="http://schemas.microsoft.com/office/2011/relationships/people" Target="people.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image" Target="media/image17.jpeg"/><Relationship Id="rId35" Type="http://schemas.openxmlformats.org/officeDocument/2006/relationships/image" Target="media/image16.jpeg"/><Relationship Id="rId34" Type="http://schemas.openxmlformats.org/officeDocument/2006/relationships/image" Target="media/image15.jpeg"/><Relationship Id="rId33" Type="http://schemas.openxmlformats.org/officeDocument/2006/relationships/image" Target="media/image14.emf"/><Relationship Id="rId32" Type="http://schemas.openxmlformats.org/officeDocument/2006/relationships/image" Target="media/image13.emf"/><Relationship Id="rId31" Type="http://schemas.openxmlformats.org/officeDocument/2006/relationships/image" Target="media/image12.wmf"/><Relationship Id="rId30" Type="http://schemas.openxmlformats.org/officeDocument/2006/relationships/oleObject" Target="embeddings/oleObject12.bin"/><Relationship Id="rId3" Type="http://schemas.openxmlformats.org/officeDocument/2006/relationships/footer" Target="footer1.xml"/><Relationship Id="rId29" Type="http://schemas.openxmlformats.org/officeDocument/2006/relationships/oleObject" Target="embeddings/oleObject11.bin"/><Relationship Id="rId28" Type="http://schemas.openxmlformats.org/officeDocument/2006/relationships/image" Target="media/image11.wmf"/><Relationship Id="rId27" Type="http://schemas.openxmlformats.org/officeDocument/2006/relationships/oleObject" Target="embeddings/oleObject10.bin"/><Relationship Id="rId26" Type="http://schemas.openxmlformats.org/officeDocument/2006/relationships/oleObject" Target="embeddings/oleObject9.bin"/><Relationship Id="rId25" Type="http://schemas.openxmlformats.org/officeDocument/2006/relationships/oleObject" Target="embeddings/oleObject8.bin"/><Relationship Id="rId24" Type="http://schemas.openxmlformats.org/officeDocument/2006/relationships/image" Target="media/image10.wmf"/><Relationship Id="rId23" Type="http://schemas.openxmlformats.org/officeDocument/2006/relationships/oleObject" Target="embeddings/oleObject7.bin"/><Relationship Id="rId22" Type="http://schemas.openxmlformats.org/officeDocument/2006/relationships/image" Target="media/image9.wmf"/><Relationship Id="rId21" Type="http://schemas.openxmlformats.org/officeDocument/2006/relationships/oleObject" Target="embeddings/oleObject6.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5.bin"/><Relationship Id="rId18" Type="http://schemas.openxmlformats.org/officeDocument/2006/relationships/image" Target="media/image7.wmf"/><Relationship Id="rId17" Type="http://schemas.openxmlformats.org/officeDocument/2006/relationships/oleObject" Target="embeddings/oleObject4.bin"/><Relationship Id="rId16" Type="http://schemas.openxmlformats.org/officeDocument/2006/relationships/image" Target="media/image6.wmf"/><Relationship Id="rId15" Type="http://schemas.openxmlformats.org/officeDocument/2006/relationships/oleObject" Target="embeddings/oleObject3.bin"/><Relationship Id="rId14" Type="http://schemas.openxmlformats.org/officeDocument/2006/relationships/image" Target="media/image5.wmf"/><Relationship Id="rId13" Type="http://schemas.openxmlformats.org/officeDocument/2006/relationships/oleObject" Target="embeddings/oleObject2.bin"/><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60</Pages>
  <Words>32058</Words>
  <Characters>37092</Characters>
  <Lines>342</Lines>
  <Paragraphs>96</Paragraphs>
  <TotalTime>1</TotalTime>
  <ScaleCrop>false</ScaleCrop>
  <LinksUpToDate>false</LinksUpToDate>
  <CharactersWithSpaces>37658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2022-01-10T18:59:00Z</dcterms:created>
  <dc:creator>lhj</dc:creator>
  <cp:lastModifiedBy>yi.w</cp:lastModifiedBy>
  <cp:lastPrinted>2024-03-06T07:22:00Z</cp:lastPrinted>
  <dcterms:modified xsi:type="dcterms:W3CDTF">2026-08-19T01:56:46Z</dcterms:modified>
  <dc:title>附件2</dc:title>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6C12C89A7A374568A0C2F8AAEE5CAD37_13</vt:lpwstr>
  </property>
  <property fmtid="{D5CDD505-2E9C-101B-9397-08002B2CF9AE}" pid="4" name="KSOTemplateDocerSaveRecord">
    <vt:lpwstr>eyJoZGlkIjoiY2Q2NmI5ZDcyOTIwZmM1N2RmZTczMzMzODQ2NDI5ZDEiLCJ1c2VySWQiOiI1MjAzMTExMDUifQ==</vt:lpwstr>
  </property>
</Properties>
</file>