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7"/>
        </w:tabs>
        <w:spacing w:line="360" w:lineRule="auto"/>
        <w:ind w:firstLine="482"/>
        <w:jc w:val="left"/>
        <w:rPr>
          <w:b/>
          <w:bCs/>
          <w:color w:val="auto"/>
          <w:highlight w:val="none"/>
        </w:rPr>
      </w:pPr>
      <w:r>
        <w:rPr>
          <w:rFonts w:hint="eastAsia"/>
          <w:b/>
          <w:bCs/>
          <w:color w:val="auto"/>
          <w:highlight w:val="none"/>
        </w:rPr>
        <w:tab/>
      </w:r>
    </w:p>
    <w:p>
      <w:pPr>
        <w:tabs>
          <w:tab w:val="left" w:pos="5227"/>
        </w:tabs>
        <w:spacing w:line="360" w:lineRule="auto"/>
        <w:ind w:firstLine="0" w:firstLineChars="0"/>
        <w:jc w:val="left"/>
        <w:rPr>
          <w:b/>
          <w:bCs/>
          <w:color w:val="auto"/>
          <w:highlight w:val="none"/>
        </w:rPr>
      </w:pPr>
      <w:r>
        <w:rPr>
          <w:rFonts w:hint="eastAsia"/>
          <w:b/>
          <w:bCs/>
          <w:color w:val="auto"/>
          <w:highlight w:val="none"/>
        </w:rPr>
        <w:t>国环评证乙字第2706号</w:t>
      </w:r>
    </w:p>
    <w:p>
      <w:pPr>
        <w:ind w:firstLine="883"/>
        <w:jc w:val="center"/>
        <w:rPr>
          <w:b/>
          <w:bCs/>
          <w:color w:val="auto"/>
          <w:sz w:val="44"/>
          <w:szCs w:val="44"/>
          <w:highlight w:val="none"/>
        </w:rPr>
      </w:pPr>
    </w:p>
    <w:p>
      <w:pPr>
        <w:ind w:firstLine="883"/>
        <w:jc w:val="center"/>
        <w:rPr>
          <w:b/>
          <w:bCs/>
          <w:color w:val="auto"/>
          <w:sz w:val="44"/>
          <w:szCs w:val="44"/>
          <w:highlight w:val="none"/>
        </w:rPr>
      </w:pPr>
    </w:p>
    <w:p>
      <w:pPr>
        <w:spacing w:line="360" w:lineRule="auto"/>
        <w:ind w:firstLine="0" w:firstLineChars="0"/>
        <w:jc w:val="center"/>
        <w:rPr>
          <w:b/>
          <w:bCs/>
          <w:color w:val="auto"/>
          <w:sz w:val="72"/>
          <w:szCs w:val="72"/>
          <w:highlight w:val="none"/>
        </w:rPr>
      </w:pPr>
      <w:r>
        <w:rPr>
          <w:b/>
          <w:bCs/>
          <w:color w:val="auto"/>
          <w:sz w:val="72"/>
          <w:szCs w:val="72"/>
          <w:highlight w:val="none"/>
        </w:rPr>
        <w:t>建设项目环境影响报告表</w:t>
      </w:r>
    </w:p>
    <w:p>
      <w:pPr>
        <w:spacing w:line="240" w:lineRule="auto"/>
        <w:ind w:left="240" w:leftChars="100" w:firstLine="0" w:firstLineChars="0"/>
        <w:jc w:val="center"/>
        <w:rPr>
          <w:b/>
          <w:bCs/>
          <w:color w:val="auto"/>
          <w:sz w:val="44"/>
          <w:szCs w:val="21"/>
          <w:highlight w:val="none"/>
        </w:rPr>
      </w:pPr>
      <w:r>
        <w:rPr>
          <w:b/>
          <w:bCs/>
          <w:color w:val="auto"/>
          <w:sz w:val="44"/>
          <w:szCs w:val="21"/>
          <w:highlight w:val="none"/>
        </w:rPr>
        <w:t>（</w:t>
      </w:r>
      <w:r>
        <w:rPr>
          <w:rFonts w:hint="eastAsia"/>
          <w:b/>
          <w:bCs/>
          <w:color w:val="auto"/>
          <w:sz w:val="44"/>
          <w:szCs w:val="21"/>
          <w:highlight w:val="none"/>
          <w:lang w:eastAsia="zh-CN"/>
        </w:rPr>
        <w:t>报批</w:t>
      </w:r>
      <w:r>
        <w:rPr>
          <w:b/>
          <w:bCs/>
          <w:color w:val="auto"/>
          <w:sz w:val="44"/>
          <w:szCs w:val="21"/>
          <w:highlight w:val="none"/>
        </w:rPr>
        <w:t>稿）</w:t>
      </w:r>
    </w:p>
    <w:p>
      <w:pPr>
        <w:ind w:firstLine="880"/>
        <w:rPr>
          <w:color w:val="auto"/>
          <w:sz w:val="44"/>
          <w:highlight w:val="none"/>
        </w:rPr>
      </w:pPr>
    </w:p>
    <w:p>
      <w:pPr>
        <w:ind w:firstLine="880"/>
        <w:rPr>
          <w:color w:val="auto"/>
          <w:sz w:val="44"/>
          <w:highlight w:val="none"/>
        </w:rPr>
      </w:pPr>
    </w:p>
    <w:p>
      <w:pPr>
        <w:ind w:firstLine="883"/>
        <w:rPr>
          <w:b/>
          <w:color w:val="auto"/>
          <w:sz w:val="44"/>
          <w:highlight w:val="none"/>
        </w:rPr>
      </w:pPr>
    </w:p>
    <w:p>
      <w:pPr>
        <w:ind w:firstLine="883"/>
        <w:rPr>
          <w:b/>
          <w:color w:val="auto"/>
          <w:sz w:val="44"/>
          <w:highlight w:val="none"/>
        </w:rPr>
      </w:pPr>
    </w:p>
    <w:p>
      <w:pPr>
        <w:ind w:firstLine="880"/>
        <w:rPr>
          <w:color w:val="auto"/>
          <w:sz w:val="44"/>
          <w:highlight w:val="none"/>
        </w:rPr>
      </w:pPr>
    </w:p>
    <w:p>
      <w:pPr>
        <w:ind w:firstLine="880"/>
        <w:rPr>
          <w:color w:val="auto"/>
          <w:sz w:val="44"/>
          <w:highlight w:val="none"/>
        </w:rPr>
      </w:pPr>
    </w:p>
    <w:p>
      <w:pPr>
        <w:spacing w:line="600" w:lineRule="auto"/>
        <w:ind w:firstLine="301" w:firstLineChars="100"/>
        <w:jc w:val="left"/>
        <w:rPr>
          <w:b/>
          <w:bCs/>
          <w:color w:val="auto"/>
          <w:spacing w:val="-20"/>
          <w:sz w:val="30"/>
          <w:szCs w:val="30"/>
          <w:highlight w:val="none"/>
        </w:rPr>
      </w:pPr>
      <w:r>
        <w:rPr>
          <w:b/>
          <w:bCs/>
          <w:color w:val="auto"/>
          <w:sz w:val="30"/>
          <w:szCs w:val="30"/>
          <w:highlight w:val="none"/>
        </w:rPr>
        <w:t>项目名称：</w:t>
      </w:r>
      <w:r>
        <w:rPr>
          <w:rFonts w:hint="eastAsia"/>
          <w:b/>
          <w:bCs/>
          <w:color w:val="auto"/>
          <w:sz w:val="30"/>
          <w:szCs w:val="30"/>
          <w:highlight w:val="none"/>
          <w:u w:val="single"/>
        </w:rPr>
        <w:t>祁阳县城乡供水一体化（二期）工程</w:t>
      </w:r>
      <w:r>
        <w:rPr>
          <w:b/>
          <w:bCs/>
          <w:color w:val="auto"/>
          <w:sz w:val="30"/>
          <w:szCs w:val="30"/>
          <w:highlight w:val="none"/>
          <w:u w:val="single"/>
        </w:rPr>
        <w:t xml:space="preserve"> </w:t>
      </w:r>
    </w:p>
    <w:p>
      <w:pPr>
        <w:spacing w:line="600" w:lineRule="auto"/>
        <w:ind w:firstLine="510"/>
        <w:rPr>
          <w:b/>
          <w:bCs/>
          <w:color w:val="auto"/>
          <w:sz w:val="30"/>
          <w:szCs w:val="30"/>
          <w:highlight w:val="none"/>
          <w:u w:val="thick"/>
        </w:rPr>
      </w:pPr>
      <w:r>
        <w:rPr>
          <w:b/>
          <w:bCs/>
          <w:color w:val="auto"/>
          <w:spacing w:val="-23"/>
          <w:sz w:val="30"/>
          <w:szCs w:val="30"/>
          <w:highlight w:val="none"/>
        </w:rPr>
        <w:t>建设单位</w:t>
      </w:r>
      <w:r>
        <w:rPr>
          <w:b/>
          <w:color w:val="auto"/>
          <w:spacing w:val="-23"/>
          <w:sz w:val="30"/>
          <w:szCs w:val="30"/>
          <w:highlight w:val="none"/>
        </w:rPr>
        <w:t>（盖章）</w:t>
      </w:r>
      <w:r>
        <w:rPr>
          <w:b/>
          <w:bCs/>
          <w:color w:val="auto"/>
          <w:spacing w:val="-23"/>
          <w:sz w:val="30"/>
          <w:szCs w:val="30"/>
          <w:highlight w:val="none"/>
        </w:rPr>
        <w:t>：</w:t>
      </w:r>
      <w:r>
        <w:rPr>
          <w:b/>
          <w:bCs/>
          <w:color w:val="auto"/>
          <w:sz w:val="30"/>
          <w:szCs w:val="30"/>
          <w:highlight w:val="none"/>
        </w:rPr>
        <w:t xml:space="preserve"> </w:t>
      </w:r>
      <w:r>
        <w:rPr>
          <w:rFonts w:hint="eastAsia"/>
          <w:b/>
          <w:bCs/>
          <w:color w:val="auto"/>
          <w:sz w:val="30"/>
          <w:szCs w:val="30"/>
          <w:highlight w:val="none"/>
          <w:u w:val="thick"/>
        </w:rPr>
        <w:t>祁阳县水利局</w:t>
      </w:r>
    </w:p>
    <w:p>
      <w:pPr>
        <w:ind w:firstLine="640"/>
        <w:rPr>
          <w:color w:val="auto"/>
          <w:sz w:val="32"/>
          <w:highlight w:val="none"/>
        </w:rPr>
      </w:pPr>
    </w:p>
    <w:p>
      <w:pPr>
        <w:spacing w:line="360" w:lineRule="auto"/>
        <w:ind w:firstLine="602"/>
        <w:jc w:val="center"/>
        <w:rPr>
          <w:b/>
          <w:bCs/>
          <w:color w:val="auto"/>
          <w:sz w:val="30"/>
          <w:szCs w:val="30"/>
          <w:highlight w:val="none"/>
        </w:rPr>
      </w:pPr>
    </w:p>
    <w:p>
      <w:pPr>
        <w:spacing w:line="360" w:lineRule="auto"/>
        <w:ind w:firstLine="602"/>
        <w:jc w:val="center"/>
        <w:rPr>
          <w:b/>
          <w:bCs/>
          <w:color w:val="auto"/>
          <w:sz w:val="30"/>
          <w:szCs w:val="30"/>
          <w:highlight w:val="none"/>
        </w:rPr>
      </w:pPr>
    </w:p>
    <w:p>
      <w:pPr>
        <w:spacing w:line="360" w:lineRule="auto"/>
        <w:ind w:firstLine="602"/>
        <w:jc w:val="center"/>
        <w:rPr>
          <w:b/>
          <w:bCs/>
          <w:color w:val="auto"/>
          <w:sz w:val="30"/>
          <w:szCs w:val="30"/>
          <w:highlight w:val="none"/>
        </w:rPr>
      </w:pPr>
    </w:p>
    <w:p>
      <w:pPr>
        <w:spacing w:line="360" w:lineRule="auto"/>
        <w:ind w:firstLine="602"/>
        <w:jc w:val="center"/>
        <w:rPr>
          <w:b/>
          <w:bCs/>
          <w:color w:val="auto"/>
          <w:sz w:val="30"/>
          <w:szCs w:val="30"/>
          <w:highlight w:val="none"/>
        </w:rPr>
      </w:pPr>
      <w:r>
        <w:rPr>
          <w:b/>
          <w:bCs/>
          <w:color w:val="auto"/>
          <w:sz w:val="30"/>
          <w:szCs w:val="30"/>
          <w:highlight w:val="none"/>
        </w:rPr>
        <w:t>湖南绿鸿环境科技有限责任公司</w:t>
      </w:r>
    </w:p>
    <w:p>
      <w:pPr>
        <w:spacing w:line="360" w:lineRule="auto"/>
        <w:ind w:firstLine="602"/>
        <w:jc w:val="center"/>
        <w:rPr>
          <w:b/>
          <w:bCs/>
          <w:color w:val="auto"/>
          <w:sz w:val="30"/>
          <w:szCs w:val="30"/>
          <w:highlight w:val="none"/>
        </w:rPr>
      </w:pPr>
      <w:r>
        <w:rPr>
          <w:b/>
          <w:bCs/>
          <w:color w:val="auto"/>
          <w:sz w:val="30"/>
          <w:szCs w:val="30"/>
          <w:highlight w:val="none"/>
        </w:rPr>
        <w:t>编制日期：20</w:t>
      </w:r>
      <w:r>
        <w:rPr>
          <w:rFonts w:hint="eastAsia"/>
          <w:b/>
          <w:bCs/>
          <w:color w:val="auto"/>
          <w:sz w:val="30"/>
          <w:szCs w:val="30"/>
          <w:highlight w:val="none"/>
        </w:rPr>
        <w:t>20</w:t>
      </w:r>
      <w:r>
        <w:rPr>
          <w:b/>
          <w:bCs/>
          <w:color w:val="auto"/>
          <w:sz w:val="30"/>
          <w:szCs w:val="30"/>
          <w:highlight w:val="none"/>
        </w:rPr>
        <w:t>年</w:t>
      </w:r>
      <w:r>
        <w:rPr>
          <w:rFonts w:hint="eastAsia"/>
          <w:b/>
          <w:bCs/>
          <w:color w:val="auto"/>
          <w:sz w:val="30"/>
          <w:szCs w:val="30"/>
          <w:highlight w:val="none"/>
          <w:lang w:val="en-US" w:eastAsia="zh-CN"/>
        </w:rPr>
        <w:t>5</w:t>
      </w:r>
      <w:r>
        <w:rPr>
          <w:b/>
          <w:bCs/>
          <w:color w:val="auto"/>
          <w:sz w:val="30"/>
          <w:szCs w:val="30"/>
          <w:highlight w:val="none"/>
        </w:rPr>
        <w:t>月</w:t>
      </w:r>
    </w:p>
    <w:p>
      <w:pPr>
        <w:spacing w:line="360" w:lineRule="auto"/>
        <w:ind w:firstLine="560"/>
        <w:jc w:val="center"/>
        <w:rPr>
          <w:color w:val="auto"/>
          <w:sz w:val="28"/>
          <w:szCs w:val="28"/>
          <w:highlight w:val="none"/>
        </w:rPr>
      </w:pPr>
    </w:p>
    <w:p>
      <w:pPr>
        <w:pStyle w:val="2"/>
        <w:rPr>
          <w:color w:val="auto"/>
          <w:highlight w:val="none"/>
        </w:rPr>
      </w:pPr>
    </w:p>
    <w:p>
      <w:pPr>
        <w:spacing w:line="360" w:lineRule="auto"/>
        <w:ind w:firstLine="560"/>
        <w:jc w:val="center"/>
        <w:rPr>
          <w:rFonts w:hAnsi="宋体"/>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64" w:gutter="0"/>
          <w:cols w:space="720" w:num="1"/>
          <w:titlePg/>
          <w:docGrid w:type="lines" w:linePitch="312" w:charSpace="0"/>
        </w:sectPr>
      </w:pPr>
    </w:p>
    <w:p>
      <w:pPr>
        <w:spacing w:line="360" w:lineRule="auto"/>
        <w:ind w:firstLine="560"/>
        <w:jc w:val="center"/>
        <w:rPr>
          <w:color w:val="auto"/>
          <w:sz w:val="28"/>
          <w:szCs w:val="28"/>
          <w:highlight w:val="none"/>
        </w:rPr>
      </w:pPr>
      <w:r>
        <w:rPr>
          <w:rFonts w:hAnsi="宋体"/>
          <w:color w:val="auto"/>
          <w:sz w:val="28"/>
          <w:szCs w:val="28"/>
          <w:highlight w:val="none"/>
        </w:rPr>
        <w:t>《建设项目环境影响报告表》编制说明</w:t>
      </w:r>
    </w:p>
    <w:p>
      <w:pPr>
        <w:spacing w:line="360" w:lineRule="auto"/>
        <w:ind w:firstLine="560"/>
        <w:rPr>
          <w:color w:val="auto"/>
          <w:sz w:val="28"/>
          <w:szCs w:val="28"/>
          <w:highlight w:val="none"/>
        </w:rPr>
      </w:pPr>
    </w:p>
    <w:p>
      <w:pPr>
        <w:spacing w:line="360" w:lineRule="auto"/>
        <w:ind w:firstLine="560"/>
        <w:rPr>
          <w:color w:val="auto"/>
          <w:sz w:val="28"/>
          <w:szCs w:val="28"/>
          <w:highlight w:val="none"/>
        </w:rPr>
      </w:pPr>
      <w:r>
        <w:rPr>
          <w:rFonts w:hAnsi="宋体"/>
          <w:color w:val="auto"/>
          <w:sz w:val="28"/>
          <w:szCs w:val="28"/>
          <w:highlight w:val="none"/>
        </w:rPr>
        <w:t>《建设项目环境影响报告表》由具有从事环境影响评价工作资质的单位编制。</w:t>
      </w:r>
    </w:p>
    <w:p>
      <w:pPr>
        <w:spacing w:line="360" w:lineRule="auto"/>
        <w:ind w:firstLine="560"/>
        <w:rPr>
          <w:color w:val="auto"/>
          <w:sz w:val="28"/>
          <w:szCs w:val="28"/>
          <w:highlight w:val="none"/>
        </w:rPr>
      </w:pPr>
      <w:r>
        <w:rPr>
          <w:color w:val="auto"/>
          <w:sz w:val="28"/>
          <w:szCs w:val="28"/>
          <w:highlight w:val="none"/>
        </w:rPr>
        <w:t>1</w:t>
      </w:r>
      <w:r>
        <w:rPr>
          <w:rFonts w:hAnsi="宋体"/>
          <w:color w:val="auto"/>
          <w:sz w:val="28"/>
          <w:szCs w:val="28"/>
          <w:highlight w:val="none"/>
        </w:rPr>
        <w:t>、项目名称</w:t>
      </w:r>
      <w:r>
        <w:rPr>
          <w:color w:val="auto"/>
          <w:sz w:val="28"/>
          <w:szCs w:val="28"/>
          <w:highlight w:val="none"/>
        </w:rPr>
        <w:t>——</w:t>
      </w:r>
      <w:r>
        <w:rPr>
          <w:rFonts w:hAnsi="宋体"/>
          <w:color w:val="auto"/>
          <w:sz w:val="28"/>
          <w:szCs w:val="28"/>
          <w:highlight w:val="none"/>
        </w:rPr>
        <w:t>指项目立项批复时的名称，应不超过</w:t>
      </w:r>
      <w:r>
        <w:rPr>
          <w:color w:val="auto"/>
          <w:sz w:val="28"/>
          <w:szCs w:val="28"/>
          <w:highlight w:val="none"/>
        </w:rPr>
        <w:t>30</w:t>
      </w:r>
      <w:r>
        <w:rPr>
          <w:rFonts w:hAnsi="宋体"/>
          <w:color w:val="auto"/>
          <w:sz w:val="28"/>
          <w:szCs w:val="28"/>
          <w:highlight w:val="none"/>
        </w:rPr>
        <w:t>个字（两个英文字段作一个汉字）。</w:t>
      </w:r>
    </w:p>
    <w:p>
      <w:pPr>
        <w:spacing w:line="360" w:lineRule="auto"/>
        <w:ind w:firstLine="560"/>
        <w:rPr>
          <w:color w:val="auto"/>
          <w:sz w:val="28"/>
          <w:szCs w:val="28"/>
          <w:highlight w:val="none"/>
        </w:rPr>
      </w:pPr>
      <w:r>
        <w:rPr>
          <w:color w:val="auto"/>
          <w:sz w:val="28"/>
          <w:szCs w:val="28"/>
          <w:highlight w:val="none"/>
        </w:rPr>
        <w:t>2</w:t>
      </w:r>
      <w:r>
        <w:rPr>
          <w:rFonts w:hAnsi="宋体"/>
          <w:color w:val="auto"/>
          <w:sz w:val="28"/>
          <w:szCs w:val="28"/>
          <w:highlight w:val="none"/>
        </w:rPr>
        <w:t>、建设地点</w:t>
      </w:r>
      <w:r>
        <w:rPr>
          <w:color w:val="auto"/>
          <w:sz w:val="28"/>
          <w:szCs w:val="28"/>
          <w:highlight w:val="none"/>
        </w:rPr>
        <w:t>——</w:t>
      </w:r>
      <w:r>
        <w:rPr>
          <w:rFonts w:hAnsi="宋体"/>
          <w:color w:val="auto"/>
          <w:sz w:val="28"/>
          <w:szCs w:val="28"/>
          <w:highlight w:val="none"/>
        </w:rPr>
        <w:t>指项目所在地详细地址，公路、铁路应填写起止地点。</w:t>
      </w:r>
    </w:p>
    <w:p>
      <w:pPr>
        <w:spacing w:line="360" w:lineRule="auto"/>
        <w:ind w:firstLine="560"/>
        <w:rPr>
          <w:color w:val="auto"/>
          <w:sz w:val="28"/>
          <w:szCs w:val="28"/>
          <w:highlight w:val="none"/>
        </w:rPr>
      </w:pPr>
      <w:r>
        <w:rPr>
          <w:color w:val="auto"/>
          <w:sz w:val="28"/>
          <w:szCs w:val="28"/>
          <w:highlight w:val="none"/>
        </w:rPr>
        <w:t>3</w:t>
      </w:r>
      <w:r>
        <w:rPr>
          <w:rFonts w:hAnsi="宋体"/>
          <w:color w:val="auto"/>
          <w:sz w:val="28"/>
          <w:szCs w:val="28"/>
          <w:highlight w:val="none"/>
        </w:rPr>
        <w:t>、行业类别</w:t>
      </w:r>
      <w:r>
        <w:rPr>
          <w:color w:val="auto"/>
          <w:sz w:val="28"/>
          <w:szCs w:val="28"/>
          <w:highlight w:val="none"/>
        </w:rPr>
        <w:t>——</w:t>
      </w:r>
      <w:r>
        <w:rPr>
          <w:rFonts w:hAnsi="宋体"/>
          <w:color w:val="auto"/>
          <w:sz w:val="28"/>
          <w:szCs w:val="28"/>
          <w:highlight w:val="none"/>
        </w:rPr>
        <w:t>按国标填写。</w:t>
      </w:r>
    </w:p>
    <w:p>
      <w:pPr>
        <w:spacing w:line="360" w:lineRule="auto"/>
        <w:ind w:firstLine="560"/>
        <w:rPr>
          <w:color w:val="auto"/>
          <w:sz w:val="28"/>
          <w:szCs w:val="28"/>
          <w:highlight w:val="none"/>
        </w:rPr>
      </w:pPr>
      <w:r>
        <w:rPr>
          <w:color w:val="auto"/>
          <w:sz w:val="28"/>
          <w:szCs w:val="28"/>
          <w:highlight w:val="none"/>
        </w:rPr>
        <w:t>4</w:t>
      </w:r>
      <w:r>
        <w:rPr>
          <w:rFonts w:hAnsi="宋体"/>
          <w:color w:val="auto"/>
          <w:sz w:val="28"/>
          <w:szCs w:val="28"/>
          <w:highlight w:val="none"/>
        </w:rPr>
        <w:t>、总投资</w:t>
      </w:r>
      <w:r>
        <w:rPr>
          <w:color w:val="auto"/>
          <w:sz w:val="28"/>
          <w:szCs w:val="28"/>
          <w:highlight w:val="none"/>
        </w:rPr>
        <w:t>——</w:t>
      </w:r>
      <w:r>
        <w:rPr>
          <w:rFonts w:hAnsi="宋体"/>
          <w:color w:val="auto"/>
          <w:sz w:val="28"/>
          <w:szCs w:val="28"/>
          <w:highlight w:val="none"/>
        </w:rPr>
        <w:t>指项目投资总额。</w:t>
      </w:r>
    </w:p>
    <w:p>
      <w:pPr>
        <w:spacing w:line="360" w:lineRule="auto"/>
        <w:ind w:firstLine="560"/>
        <w:rPr>
          <w:color w:val="auto"/>
          <w:sz w:val="28"/>
          <w:szCs w:val="28"/>
          <w:highlight w:val="none"/>
        </w:rPr>
      </w:pPr>
      <w:r>
        <w:rPr>
          <w:color w:val="auto"/>
          <w:sz w:val="28"/>
          <w:szCs w:val="28"/>
          <w:highlight w:val="none"/>
        </w:rPr>
        <w:t>5</w:t>
      </w:r>
      <w:r>
        <w:rPr>
          <w:rFonts w:hAnsi="宋体"/>
          <w:color w:val="auto"/>
          <w:sz w:val="28"/>
          <w:szCs w:val="28"/>
          <w:highlight w:val="none"/>
        </w:rPr>
        <w:t>、主要环境保护目标</w:t>
      </w:r>
      <w:r>
        <w:rPr>
          <w:color w:val="auto"/>
          <w:sz w:val="28"/>
          <w:szCs w:val="28"/>
          <w:highlight w:val="none"/>
        </w:rPr>
        <w:t>——</w:t>
      </w:r>
      <w:r>
        <w:rPr>
          <w:rFonts w:hAnsi="宋体"/>
          <w:color w:val="auto"/>
          <w:sz w:val="28"/>
          <w:szCs w:val="28"/>
          <w:highlight w:val="none"/>
        </w:rPr>
        <w:t>指项目区周围一定范围内集中居民住宅区、学校、医院、保护文物、风景名胜区、水源地和生态敏感点等，应尽可能给出保护目标、性质、规模和距厂界距离等。</w:t>
      </w:r>
    </w:p>
    <w:p>
      <w:pPr>
        <w:spacing w:line="360" w:lineRule="auto"/>
        <w:ind w:firstLine="560"/>
        <w:rPr>
          <w:color w:val="auto"/>
          <w:sz w:val="28"/>
          <w:szCs w:val="28"/>
          <w:highlight w:val="none"/>
        </w:rPr>
      </w:pPr>
      <w:r>
        <w:rPr>
          <w:color w:val="auto"/>
          <w:sz w:val="28"/>
          <w:szCs w:val="28"/>
          <w:highlight w:val="none"/>
        </w:rPr>
        <w:t>6</w:t>
      </w:r>
      <w:r>
        <w:rPr>
          <w:rFonts w:hAnsi="宋体"/>
          <w:color w:val="auto"/>
          <w:sz w:val="28"/>
          <w:szCs w:val="28"/>
          <w:highlight w:val="none"/>
        </w:rPr>
        <w:t>、结论与建议</w:t>
      </w:r>
      <w:r>
        <w:rPr>
          <w:color w:val="auto"/>
          <w:sz w:val="28"/>
          <w:szCs w:val="28"/>
          <w:highlight w:val="none"/>
        </w:rPr>
        <w:t>——</w:t>
      </w:r>
      <w:r>
        <w:rPr>
          <w:rFonts w:hAnsi="宋体"/>
          <w:color w:val="auto"/>
          <w:sz w:val="28"/>
          <w:szCs w:val="28"/>
          <w:highlight w:val="none"/>
        </w:rPr>
        <w:t>给出本项目清洁生产、达标排放和总量控制的分析结论，确定污染防治措施的有效性，说明本项目对环境造成的影响，给出建设项目环境可行性的明确结论。同时提出减少环境影响的其它建议。</w:t>
      </w:r>
    </w:p>
    <w:p>
      <w:pPr>
        <w:spacing w:line="360" w:lineRule="auto"/>
        <w:ind w:firstLine="560"/>
        <w:rPr>
          <w:color w:val="auto"/>
          <w:sz w:val="28"/>
          <w:szCs w:val="28"/>
          <w:highlight w:val="none"/>
        </w:rPr>
      </w:pPr>
      <w:r>
        <w:rPr>
          <w:color w:val="auto"/>
          <w:sz w:val="28"/>
          <w:szCs w:val="28"/>
          <w:highlight w:val="none"/>
        </w:rPr>
        <w:t>7</w:t>
      </w:r>
      <w:r>
        <w:rPr>
          <w:rFonts w:hAnsi="宋体"/>
          <w:color w:val="auto"/>
          <w:sz w:val="28"/>
          <w:szCs w:val="28"/>
          <w:highlight w:val="none"/>
        </w:rPr>
        <w:t>、预审意见</w:t>
      </w:r>
      <w:r>
        <w:rPr>
          <w:color w:val="auto"/>
          <w:sz w:val="28"/>
          <w:szCs w:val="28"/>
          <w:highlight w:val="none"/>
        </w:rPr>
        <w:t>——</w:t>
      </w:r>
      <w:r>
        <w:rPr>
          <w:rFonts w:hAnsi="宋体"/>
          <w:color w:val="auto"/>
          <w:sz w:val="28"/>
          <w:szCs w:val="28"/>
          <w:highlight w:val="none"/>
        </w:rPr>
        <w:t>由行业主管部门填写答复意见，无主管部门项目，可不填。</w:t>
      </w:r>
    </w:p>
    <w:p>
      <w:pPr>
        <w:spacing w:line="360" w:lineRule="auto"/>
        <w:ind w:firstLine="560"/>
        <w:rPr>
          <w:color w:val="auto"/>
          <w:sz w:val="28"/>
          <w:szCs w:val="28"/>
          <w:highlight w:val="none"/>
        </w:rPr>
      </w:pPr>
      <w:r>
        <w:rPr>
          <w:color w:val="auto"/>
          <w:sz w:val="28"/>
          <w:szCs w:val="28"/>
          <w:highlight w:val="none"/>
        </w:rPr>
        <w:t>8</w:t>
      </w:r>
      <w:r>
        <w:rPr>
          <w:rFonts w:hAnsi="宋体"/>
          <w:color w:val="auto"/>
          <w:sz w:val="28"/>
          <w:szCs w:val="28"/>
          <w:highlight w:val="none"/>
        </w:rPr>
        <w:t>、审批意见</w:t>
      </w:r>
      <w:r>
        <w:rPr>
          <w:color w:val="auto"/>
          <w:sz w:val="28"/>
          <w:szCs w:val="28"/>
          <w:highlight w:val="none"/>
        </w:rPr>
        <w:t>——</w:t>
      </w:r>
      <w:r>
        <w:rPr>
          <w:rFonts w:hAnsi="宋体"/>
          <w:color w:val="auto"/>
          <w:sz w:val="28"/>
          <w:szCs w:val="28"/>
          <w:highlight w:val="none"/>
        </w:rPr>
        <w:t>由负责审批该项目的环境保护行政主管部门批复。</w:t>
      </w:r>
    </w:p>
    <w:p>
      <w:pPr>
        <w:pageBreakBefore/>
        <w:spacing w:before="312" w:beforeLines="100" w:after="312" w:afterLines="100" w:line="360" w:lineRule="auto"/>
        <w:ind w:firstLine="883"/>
        <w:jc w:val="center"/>
        <w:rPr>
          <w:b/>
          <w:bCs/>
          <w:color w:val="auto"/>
          <w:sz w:val="44"/>
          <w:szCs w:val="44"/>
          <w:highlight w:val="none"/>
        </w:rPr>
        <w:sectPr>
          <w:pgSz w:w="11906" w:h="16838"/>
          <w:pgMar w:top="1440" w:right="1800" w:bottom="1440" w:left="1800" w:header="851" w:footer="964" w:gutter="0"/>
          <w:cols w:space="720" w:num="1"/>
          <w:titlePg/>
          <w:docGrid w:type="lines" w:linePitch="312" w:charSpace="0"/>
        </w:sectPr>
      </w:pPr>
    </w:p>
    <w:sdt>
      <w:sdtPr>
        <w:rPr>
          <w:rFonts w:ascii="宋体" w:hAnsi="宋体"/>
          <w:b/>
          <w:bCs/>
          <w:color w:val="auto"/>
          <w:sz w:val="48"/>
          <w:szCs w:val="48"/>
          <w:highlight w:val="none"/>
        </w:rPr>
        <w:id w:val="147458723"/>
        <w:docPartObj>
          <w:docPartGallery w:val="Table of Contents"/>
          <w:docPartUnique/>
        </w:docPartObj>
      </w:sdtPr>
      <w:sdtEndPr>
        <w:rPr>
          <w:rFonts w:ascii="Times New Roman" w:hAnsi="Times New Roman"/>
          <w:b/>
          <w:bCs/>
          <w:color w:val="auto"/>
          <w:sz w:val="24"/>
          <w:szCs w:val="24"/>
          <w:highlight w:val="none"/>
        </w:rPr>
      </w:sdtEndPr>
      <w:sdtContent>
        <w:p>
          <w:pPr>
            <w:spacing w:line="240" w:lineRule="auto"/>
            <w:ind w:firstLine="0" w:firstLineChars="0"/>
            <w:jc w:val="center"/>
            <w:rPr>
              <w:b/>
              <w:bCs/>
              <w:color w:val="auto"/>
              <w:sz w:val="48"/>
              <w:szCs w:val="48"/>
              <w:highlight w:val="none"/>
            </w:rPr>
          </w:pPr>
          <w:r>
            <w:rPr>
              <w:rFonts w:ascii="宋体" w:hAnsi="宋体"/>
              <w:b/>
              <w:bCs/>
              <w:color w:val="auto"/>
              <w:sz w:val="48"/>
              <w:szCs w:val="48"/>
              <w:highlight w:val="none"/>
            </w:rPr>
            <w:t>目录</w:t>
          </w:r>
        </w:p>
        <w:p>
          <w:pPr>
            <w:pStyle w:val="18"/>
            <w:tabs>
              <w:tab w:val="right" w:leader="dot" w:pos="8306"/>
            </w:tabs>
            <w:rPr>
              <w:b/>
              <w:bCs w:val="0"/>
              <w:color w:val="auto"/>
              <w:sz w:val="28"/>
              <w:szCs w:val="28"/>
              <w:highlight w:val="none"/>
            </w:rPr>
          </w:pPr>
          <w:r>
            <w:rPr>
              <w:b/>
              <w:color w:val="auto"/>
              <w:highlight w:val="none"/>
            </w:rPr>
            <w:fldChar w:fldCharType="begin"/>
          </w:r>
          <w:r>
            <w:rPr>
              <w:b/>
              <w:color w:val="auto"/>
              <w:highlight w:val="none"/>
            </w:rPr>
            <w:instrText xml:space="preserve">TOC \o "1-3" \h \u </w:instrText>
          </w:r>
          <w:r>
            <w:rPr>
              <w:b/>
              <w:color w:val="auto"/>
              <w:highlight w:val="none"/>
            </w:rPr>
            <w:fldChar w:fldCharType="separate"/>
          </w:r>
          <w:r>
            <w:rPr>
              <w:color w:val="auto"/>
              <w:highlight w:val="none"/>
            </w:rPr>
            <w:fldChar w:fldCharType="begin"/>
          </w:r>
          <w:r>
            <w:rPr>
              <w:color w:val="auto"/>
              <w:highlight w:val="none"/>
            </w:rPr>
            <w:instrText xml:space="preserve"> HYPERLINK \l "_Toc7262" </w:instrText>
          </w:r>
          <w:r>
            <w:rPr>
              <w:color w:val="auto"/>
              <w:highlight w:val="none"/>
            </w:rPr>
            <w:fldChar w:fldCharType="separate"/>
          </w:r>
          <w:r>
            <w:rPr>
              <w:rFonts w:hint="eastAsia"/>
              <w:b/>
              <w:bCs w:val="0"/>
              <w:color w:val="auto"/>
              <w:sz w:val="28"/>
              <w:szCs w:val="28"/>
              <w:highlight w:val="none"/>
            </w:rPr>
            <w:t>建设项目基本情况</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_Toc7262 </w:instrText>
          </w:r>
          <w:r>
            <w:rPr>
              <w:b/>
              <w:bCs w:val="0"/>
              <w:color w:val="auto"/>
              <w:sz w:val="28"/>
              <w:szCs w:val="28"/>
              <w:highlight w:val="none"/>
            </w:rPr>
            <w:fldChar w:fldCharType="separate"/>
          </w:r>
          <w:r>
            <w:rPr>
              <w:b/>
              <w:bCs w:val="0"/>
              <w:color w:val="auto"/>
              <w:sz w:val="28"/>
              <w:szCs w:val="28"/>
              <w:highlight w:val="none"/>
            </w:rPr>
            <w:t>3</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b/>
              <w:bCs w:val="0"/>
              <w:color w:val="auto"/>
              <w:sz w:val="28"/>
              <w:szCs w:val="28"/>
              <w:highlight w:val="none"/>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bCs w:val="0"/>
              <w:color w:val="auto"/>
              <w:sz w:val="28"/>
              <w:szCs w:val="28"/>
              <w:highlight w:val="none"/>
            </w:rPr>
            <w:t>建设项目所在地自然环境社会环境简况</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_Toc11917 </w:instrText>
          </w:r>
          <w:r>
            <w:rPr>
              <w:b/>
              <w:bCs w:val="0"/>
              <w:color w:val="auto"/>
              <w:sz w:val="28"/>
              <w:szCs w:val="28"/>
              <w:highlight w:val="none"/>
            </w:rPr>
            <w:fldChar w:fldCharType="separate"/>
          </w:r>
          <w:r>
            <w:rPr>
              <w:b/>
              <w:bCs w:val="0"/>
              <w:color w:val="auto"/>
              <w:sz w:val="28"/>
              <w:szCs w:val="28"/>
              <w:highlight w:val="none"/>
            </w:rPr>
            <w:t>24</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b/>
              <w:bCs w:val="0"/>
              <w:color w:val="auto"/>
              <w:sz w:val="28"/>
              <w:szCs w:val="28"/>
              <w:highlight w:val="none"/>
            </w:rPr>
          </w:pPr>
          <w:r>
            <w:rPr>
              <w:color w:val="auto"/>
              <w:highlight w:val="none"/>
            </w:rPr>
            <w:fldChar w:fldCharType="begin"/>
          </w:r>
          <w:r>
            <w:rPr>
              <w:color w:val="auto"/>
              <w:highlight w:val="none"/>
            </w:rPr>
            <w:instrText xml:space="preserve"> HYPERLINK \l "_Toc23609" </w:instrText>
          </w:r>
          <w:r>
            <w:rPr>
              <w:color w:val="auto"/>
              <w:highlight w:val="none"/>
            </w:rPr>
            <w:fldChar w:fldCharType="separate"/>
          </w:r>
          <w:r>
            <w:rPr>
              <w:rFonts w:hint="eastAsia"/>
              <w:b/>
              <w:bCs w:val="0"/>
              <w:color w:val="auto"/>
              <w:sz w:val="28"/>
              <w:szCs w:val="28"/>
              <w:highlight w:val="none"/>
            </w:rPr>
            <w:t>环境质量状况</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_Toc23609 </w:instrText>
          </w:r>
          <w:r>
            <w:rPr>
              <w:b/>
              <w:bCs w:val="0"/>
              <w:color w:val="auto"/>
              <w:sz w:val="28"/>
              <w:szCs w:val="28"/>
              <w:highlight w:val="none"/>
            </w:rPr>
            <w:fldChar w:fldCharType="separate"/>
          </w:r>
          <w:r>
            <w:rPr>
              <w:b/>
              <w:bCs w:val="0"/>
              <w:color w:val="auto"/>
              <w:sz w:val="28"/>
              <w:szCs w:val="28"/>
              <w:highlight w:val="none"/>
            </w:rPr>
            <w:t>28</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b/>
              <w:bCs w:val="0"/>
              <w:color w:val="auto"/>
              <w:sz w:val="28"/>
              <w:szCs w:val="28"/>
              <w:highlight w:val="none"/>
            </w:rPr>
          </w:pPr>
          <w:r>
            <w:rPr>
              <w:color w:val="auto"/>
              <w:highlight w:val="none"/>
            </w:rPr>
            <w:fldChar w:fldCharType="begin"/>
          </w:r>
          <w:r>
            <w:rPr>
              <w:color w:val="auto"/>
              <w:highlight w:val="none"/>
            </w:rPr>
            <w:instrText xml:space="preserve"> HYPERLINK \l "_Toc376" </w:instrText>
          </w:r>
          <w:r>
            <w:rPr>
              <w:color w:val="auto"/>
              <w:highlight w:val="none"/>
            </w:rPr>
            <w:fldChar w:fldCharType="separate"/>
          </w:r>
          <w:r>
            <w:rPr>
              <w:b/>
              <w:bCs w:val="0"/>
              <w:color w:val="auto"/>
              <w:sz w:val="28"/>
              <w:szCs w:val="28"/>
              <w:highlight w:val="none"/>
            </w:rPr>
            <w:t>评价适用标准</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_Toc376 </w:instrText>
          </w:r>
          <w:r>
            <w:rPr>
              <w:b/>
              <w:bCs w:val="0"/>
              <w:color w:val="auto"/>
              <w:sz w:val="28"/>
              <w:szCs w:val="28"/>
              <w:highlight w:val="none"/>
            </w:rPr>
            <w:fldChar w:fldCharType="separate"/>
          </w:r>
          <w:r>
            <w:rPr>
              <w:b/>
              <w:bCs w:val="0"/>
              <w:color w:val="auto"/>
              <w:sz w:val="28"/>
              <w:szCs w:val="28"/>
              <w:highlight w:val="none"/>
            </w:rPr>
            <w:t>34</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b/>
              <w:bCs w:val="0"/>
              <w:color w:val="auto"/>
              <w:sz w:val="28"/>
              <w:szCs w:val="28"/>
              <w:highlight w:val="none"/>
            </w:rPr>
          </w:pPr>
          <w:r>
            <w:rPr>
              <w:color w:val="auto"/>
              <w:highlight w:val="none"/>
            </w:rPr>
            <w:fldChar w:fldCharType="begin"/>
          </w:r>
          <w:r>
            <w:rPr>
              <w:color w:val="auto"/>
              <w:highlight w:val="none"/>
            </w:rPr>
            <w:instrText xml:space="preserve"> HYPERLINK \l "_Toc13861" </w:instrText>
          </w:r>
          <w:r>
            <w:rPr>
              <w:color w:val="auto"/>
              <w:highlight w:val="none"/>
            </w:rPr>
            <w:fldChar w:fldCharType="separate"/>
          </w:r>
          <w:r>
            <w:rPr>
              <w:b/>
              <w:bCs w:val="0"/>
              <w:color w:val="auto"/>
              <w:sz w:val="28"/>
              <w:szCs w:val="28"/>
              <w:highlight w:val="none"/>
            </w:rPr>
            <w:t>建设项目工程分析</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_Toc13861 </w:instrText>
          </w:r>
          <w:r>
            <w:rPr>
              <w:b/>
              <w:bCs w:val="0"/>
              <w:color w:val="auto"/>
              <w:sz w:val="28"/>
              <w:szCs w:val="28"/>
              <w:highlight w:val="none"/>
            </w:rPr>
            <w:fldChar w:fldCharType="separate"/>
          </w:r>
          <w:r>
            <w:rPr>
              <w:b/>
              <w:bCs w:val="0"/>
              <w:color w:val="auto"/>
              <w:sz w:val="28"/>
              <w:szCs w:val="28"/>
              <w:highlight w:val="none"/>
            </w:rPr>
            <w:t>37</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b/>
              <w:bCs w:val="0"/>
              <w:color w:val="auto"/>
              <w:sz w:val="28"/>
              <w:szCs w:val="28"/>
              <w:highlight w:val="none"/>
            </w:rPr>
          </w:pPr>
          <w:r>
            <w:rPr>
              <w:color w:val="auto"/>
              <w:highlight w:val="none"/>
            </w:rPr>
            <w:fldChar w:fldCharType="begin"/>
          </w:r>
          <w:r>
            <w:rPr>
              <w:color w:val="auto"/>
              <w:highlight w:val="none"/>
            </w:rPr>
            <w:instrText xml:space="preserve"> HYPERLINK \l "_Toc23889" </w:instrText>
          </w:r>
          <w:r>
            <w:rPr>
              <w:color w:val="auto"/>
              <w:highlight w:val="none"/>
            </w:rPr>
            <w:fldChar w:fldCharType="separate"/>
          </w:r>
          <w:r>
            <w:rPr>
              <w:b/>
              <w:bCs w:val="0"/>
              <w:color w:val="auto"/>
              <w:sz w:val="28"/>
              <w:szCs w:val="28"/>
              <w:highlight w:val="none"/>
            </w:rPr>
            <w:t>项目主要污染物产生及预计排放情况</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_Toc23889 </w:instrText>
          </w:r>
          <w:r>
            <w:rPr>
              <w:b/>
              <w:bCs w:val="0"/>
              <w:color w:val="auto"/>
              <w:sz w:val="28"/>
              <w:szCs w:val="28"/>
              <w:highlight w:val="none"/>
            </w:rPr>
            <w:fldChar w:fldCharType="separate"/>
          </w:r>
          <w:r>
            <w:rPr>
              <w:b/>
              <w:bCs w:val="0"/>
              <w:color w:val="auto"/>
              <w:sz w:val="28"/>
              <w:szCs w:val="28"/>
              <w:highlight w:val="none"/>
            </w:rPr>
            <w:t>48</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b/>
              <w:bCs w:val="0"/>
              <w:color w:val="auto"/>
              <w:sz w:val="28"/>
              <w:szCs w:val="28"/>
              <w:highlight w:val="none"/>
            </w:rPr>
          </w:pPr>
          <w:r>
            <w:rPr>
              <w:color w:val="auto"/>
              <w:highlight w:val="none"/>
            </w:rPr>
            <w:fldChar w:fldCharType="begin"/>
          </w:r>
          <w:r>
            <w:rPr>
              <w:color w:val="auto"/>
              <w:highlight w:val="none"/>
            </w:rPr>
            <w:instrText xml:space="preserve"> HYPERLINK \l "_Toc16615" </w:instrText>
          </w:r>
          <w:r>
            <w:rPr>
              <w:color w:val="auto"/>
              <w:highlight w:val="none"/>
            </w:rPr>
            <w:fldChar w:fldCharType="separate"/>
          </w:r>
          <w:r>
            <w:rPr>
              <w:b/>
              <w:bCs w:val="0"/>
              <w:color w:val="auto"/>
              <w:sz w:val="28"/>
              <w:szCs w:val="28"/>
              <w:highlight w:val="none"/>
            </w:rPr>
            <w:t>环境影响分析</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_Toc16615 </w:instrText>
          </w:r>
          <w:r>
            <w:rPr>
              <w:b/>
              <w:bCs w:val="0"/>
              <w:color w:val="auto"/>
              <w:sz w:val="28"/>
              <w:szCs w:val="28"/>
              <w:highlight w:val="none"/>
            </w:rPr>
            <w:fldChar w:fldCharType="separate"/>
          </w:r>
          <w:r>
            <w:rPr>
              <w:b/>
              <w:bCs w:val="0"/>
              <w:color w:val="auto"/>
              <w:sz w:val="28"/>
              <w:szCs w:val="28"/>
              <w:highlight w:val="none"/>
            </w:rPr>
            <w:t>49</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b/>
              <w:bCs w:val="0"/>
              <w:color w:val="auto"/>
              <w:sz w:val="28"/>
              <w:szCs w:val="28"/>
              <w:highlight w:val="none"/>
            </w:rPr>
          </w:pPr>
          <w:r>
            <w:rPr>
              <w:color w:val="auto"/>
              <w:highlight w:val="none"/>
            </w:rPr>
            <w:fldChar w:fldCharType="begin"/>
          </w:r>
          <w:r>
            <w:rPr>
              <w:color w:val="auto"/>
              <w:highlight w:val="none"/>
            </w:rPr>
            <w:instrText xml:space="preserve"> HYPERLINK \l "_Toc28922" </w:instrText>
          </w:r>
          <w:r>
            <w:rPr>
              <w:color w:val="auto"/>
              <w:highlight w:val="none"/>
            </w:rPr>
            <w:fldChar w:fldCharType="separate"/>
          </w:r>
          <w:r>
            <w:rPr>
              <w:b/>
              <w:bCs w:val="0"/>
              <w:color w:val="auto"/>
              <w:sz w:val="28"/>
              <w:szCs w:val="28"/>
              <w:highlight w:val="none"/>
            </w:rPr>
            <w:t>建设项目拟采取的防治措施及预期治理效果</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_Toc28922 </w:instrText>
          </w:r>
          <w:r>
            <w:rPr>
              <w:b/>
              <w:bCs w:val="0"/>
              <w:color w:val="auto"/>
              <w:sz w:val="28"/>
              <w:szCs w:val="28"/>
              <w:highlight w:val="none"/>
            </w:rPr>
            <w:fldChar w:fldCharType="separate"/>
          </w:r>
          <w:r>
            <w:rPr>
              <w:b/>
              <w:bCs w:val="0"/>
              <w:color w:val="auto"/>
              <w:sz w:val="28"/>
              <w:szCs w:val="28"/>
              <w:highlight w:val="none"/>
            </w:rPr>
            <w:t>81</w:t>
          </w:r>
          <w:r>
            <w:rPr>
              <w:b/>
              <w:bCs w:val="0"/>
              <w:color w:val="auto"/>
              <w:sz w:val="28"/>
              <w:szCs w:val="28"/>
              <w:highlight w:val="none"/>
            </w:rPr>
            <w:fldChar w:fldCharType="end"/>
          </w:r>
          <w:r>
            <w:rPr>
              <w:b/>
              <w:bCs w:val="0"/>
              <w:color w:val="auto"/>
              <w:sz w:val="28"/>
              <w:szCs w:val="28"/>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"_Toc31564" </w:instrText>
          </w:r>
          <w:r>
            <w:rPr>
              <w:color w:val="auto"/>
              <w:highlight w:val="none"/>
            </w:rPr>
            <w:fldChar w:fldCharType="separate"/>
          </w:r>
          <w:r>
            <w:rPr>
              <w:b/>
              <w:bCs w:val="0"/>
              <w:color w:val="auto"/>
              <w:sz w:val="28"/>
              <w:szCs w:val="28"/>
              <w:highlight w:val="none"/>
            </w:rPr>
            <w:t>结论与建议</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_Toc31564 </w:instrText>
          </w:r>
          <w:r>
            <w:rPr>
              <w:b/>
              <w:bCs w:val="0"/>
              <w:color w:val="auto"/>
              <w:sz w:val="28"/>
              <w:szCs w:val="28"/>
              <w:highlight w:val="none"/>
            </w:rPr>
            <w:fldChar w:fldCharType="separate"/>
          </w:r>
          <w:r>
            <w:rPr>
              <w:b/>
              <w:bCs w:val="0"/>
              <w:color w:val="auto"/>
              <w:sz w:val="28"/>
              <w:szCs w:val="28"/>
              <w:highlight w:val="none"/>
            </w:rPr>
            <w:t>82</w:t>
          </w:r>
          <w:r>
            <w:rPr>
              <w:b/>
              <w:bCs w:val="0"/>
              <w:color w:val="auto"/>
              <w:sz w:val="28"/>
              <w:szCs w:val="28"/>
              <w:highlight w:val="none"/>
            </w:rPr>
            <w:fldChar w:fldCharType="end"/>
          </w:r>
          <w:r>
            <w:rPr>
              <w:b/>
              <w:bCs w:val="0"/>
              <w:color w:val="auto"/>
              <w:sz w:val="28"/>
              <w:szCs w:val="28"/>
              <w:highlight w:val="none"/>
            </w:rPr>
            <w:fldChar w:fldCharType="end"/>
          </w:r>
        </w:p>
        <w:p>
          <w:pPr>
            <w:spacing w:line="360" w:lineRule="auto"/>
            <w:ind w:firstLine="0" w:firstLineChars="0"/>
            <w:jc w:val="left"/>
            <w:rPr>
              <w:b/>
              <w:bCs/>
              <w:color w:val="auto"/>
              <w:highlight w:val="none"/>
            </w:rPr>
          </w:pPr>
          <w:r>
            <w:rPr>
              <w:bCs/>
              <w:color w:val="auto"/>
              <w:highlight w:val="none"/>
            </w:rPr>
            <w:fldChar w:fldCharType="end"/>
          </w:r>
        </w:p>
      </w:sdtContent>
    </w:sdt>
    <w:p>
      <w:pPr>
        <w:spacing w:line="360" w:lineRule="auto"/>
        <w:ind w:firstLine="0" w:firstLineChars="0"/>
        <w:jc w:val="left"/>
        <w:rPr>
          <w:b/>
          <w:bCs/>
          <w:color w:val="auto"/>
          <w:highlight w:val="none"/>
        </w:rPr>
        <w:sectPr>
          <w:footerReference r:id="rId9" w:type="default"/>
          <w:pgSz w:w="11906" w:h="16838"/>
          <w:pgMar w:top="1440" w:right="1800" w:bottom="1440" w:left="1800" w:header="851" w:footer="964" w:gutter="0"/>
          <w:pgNumType w:start="1"/>
          <w:cols w:space="720" w:num="1"/>
          <w:docGrid w:type="lines" w:linePitch="312" w:charSpace="0"/>
        </w:sectPr>
      </w:pPr>
    </w:p>
    <w:p>
      <w:pPr>
        <w:spacing w:line="360" w:lineRule="auto"/>
        <w:ind w:firstLine="0" w:firstLineChars="0"/>
        <w:jc w:val="left"/>
        <w:rPr>
          <w:b/>
          <w:bCs/>
          <w:color w:val="auto"/>
          <w:highlight w:val="none"/>
        </w:rPr>
        <w:sectPr>
          <w:type w:val="continuous"/>
          <w:pgSz w:w="11906" w:h="16838"/>
          <w:pgMar w:top="1440" w:right="1800" w:bottom="1440" w:left="1800" w:header="851" w:footer="964" w:gutter="0"/>
          <w:pgNumType w:start="1"/>
          <w:cols w:space="720" w:num="1"/>
          <w:docGrid w:type="lines" w:linePitch="312" w:charSpace="0"/>
        </w:sectPr>
      </w:pPr>
    </w:p>
    <w:p>
      <w:pPr>
        <w:spacing w:line="360" w:lineRule="auto"/>
        <w:ind w:firstLine="0" w:firstLineChars="0"/>
        <w:jc w:val="left"/>
        <w:rPr>
          <w:b/>
          <w:bCs/>
          <w:color w:val="auto"/>
          <w:highlight w:val="none"/>
        </w:rPr>
      </w:pPr>
      <w:r>
        <w:rPr>
          <w:b/>
          <w:bCs/>
          <w:color w:val="auto"/>
          <w:highlight w:val="none"/>
        </w:rPr>
        <w:t>附件：</w:t>
      </w:r>
    </w:p>
    <w:p>
      <w:pPr>
        <w:spacing w:line="360" w:lineRule="auto"/>
        <w:rPr>
          <w:color w:val="auto"/>
          <w:highlight w:val="none"/>
        </w:rPr>
      </w:pPr>
      <w:r>
        <w:rPr>
          <w:color w:val="auto"/>
          <w:highlight w:val="none"/>
        </w:rPr>
        <w:t>附件1</w:t>
      </w:r>
      <w:r>
        <w:rPr>
          <w:rFonts w:hint="eastAsia"/>
          <w:color w:val="auto"/>
          <w:highlight w:val="none"/>
        </w:rPr>
        <w:t xml:space="preserve">  环评委托书</w:t>
      </w:r>
      <w:r>
        <w:rPr>
          <w:color w:val="auto"/>
          <w:highlight w:val="none"/>
        </w:rPr>
        <w:t xml:space="preserve"> </w:t>
      </w:r>
    </w:p>
    <w:p>
      <w:pPr>
        <w:spacing w:line="360" w:lineRule="auto"/>
        <w:rPr>
          <w:color w:val="auto"/>
          <w:highlight w:val="none"/>
        </w:rPr>
      </w:pPr>
      <w:r>
        <w:rPr>
          <w:rFonts w:hint="eastAsia"/>
          <w:color w:val="auto"/>
          <w:highlight w:val="none"/>
        </w:rPr>
        <w:t>附件2  祁阳县水利局营业执照</w:t>
      </w:r>
    </w:p>
    <w:p>
      <w:pPr>
        <w:spacing w:line="360" w:lineRule="auto"/>
        <w:rPr>
          <w:color w:val="auto"/>
          <w:highlight w:val="none"/>
        </w:rPr>
      </w:pPr>
      <w:r>
        <w:rPr>
          <w:rFonts w:hint="eastAsia"/>
          <w:color w:val="auto"/>
          <w:highlight w:val="none"/>
        </w:rPr>
        <w:t>附件3  祁阳县城乡供水一体化（二期）工程可行性研究报告的批复</w:t>
      </w:r>
    </w:p>
    <w:p>
      <w:pPr>
        <w:spacing w:line="360" w:lineRule="auto"/>
        <w:rPr>
          <w:color w:val="auto"/>
          <w:highlight w:val="none"/>
        </w:rPr>
      </w:pPr>
      <w:r>
        <w:rPr>
          <w:rFonts w:hint="eastAsia"/>
          <w:color w:val="auto"/>
          <w:highlight w:val="none"/>
        </w:rPr>
        <w:t>附件4  祁阳县城乡供水一体化二期工程用地审查意见</w:t>
      </w:r>
    </w:p>
    <w:p>
      <w:pPr>
        <w:spacing w:line="360" w:lineRule="auto"/>
        <w:rPr>
          <w:color w:val="auto"/>
          <w:highlight w:val="none"/>
        </w:rPr>
      </w:pPr>
      <w:r>
        <w:rPr>
          <w:rFonts w:hint="eastAsia"/>
          <w:color w:val="auto"/>
          <w:highlight w:val="none"/>
        </w:rPr>
        <w:t>附件5  祁阳县城乡供水一体化（二期）工程生态红线的复函</w:t>
      </w:r>
    </w:p>
    <w:p>
      <w:pPr>
        <w:spacing w:line="360" w:lineRule="auto"/>
        <w:rPr>
          <w:color w:val="auto"/>
          <w:highlight w:val="none"/>
        </w:rPr>
      </w:pPr>
      <w:r>
        <w:rPr>
          <w:rFonts w:hint="eastAsia"/>
          <w:color w:val="auto"/>
          <w:highlight w:val="none"/>
        </w:rPr>
        <w:t>附件6  取水口水质监测报告</w:t>
      </w:r>
    </w:p>
    <w:p>
      <w:pPr>
        <w:spacing w:line="360" w:lineRule="auto"/>
        <w:rPr>
          <w:rFonts w:hint="eastAsia"/>
          <w:color w:val="auto"/>
          <w:highlight w:val="none"/>
        </w:rPr>
      </w:pPr>
      <w:r>
        <w:rPr>
          <w:rFonts w:hint="eastAsia"/>
          <w:color w:val="auto"/>
          <w:highlight w:val="none"/>
        </w:rPr>
        <w:t>附件7  项目检测报告及质量保证单</w:t>
      </w:r>
    </w:p>
    <w:p>
      <w:pPr>
        <w:spacing w:line="360" w:lineRule="auto"/>
        <w:rPr>
          <w:rFonts w:hint="eastAsia"/>
          <w:color w:val="FF0000"/>
          <w:highlight w:val="none"/>
          <w:u w:val="single"/>
          <w:lang w:val="en-US" w:eastAsia="zh-CN"/>
        </w:rPr>
      </w:pPr>
      <w:r>
        <w:rPr>
          <w:rFonts w:hint="eastAsia"/>
          <w:color w:val="FF0000"/>
          <w:highlight w:val="none"/>
          <w:u w:val="single"/>
          <w:lang w:eastAsia="zh-CN"/>
        </w:rPr>
        <w:t>附</w:t>
      </w:r>
      <w:r>
        <w:rPr>
          <w:rFonts w:hint="eastAsia"/>
          <w:color w:val="FF0000"/>
          <w:highlight w:val="none"/>
          <w:u w:val="single"/>
          <w:lang w:val="en-US" w:eastAsia="zh-CN"/>
        </w:rPr>
        <w:t>件8  《祁阳县城乡供水一体化(二期)工程项目涉及潘市镇土地利用总体规划（2006-2020 年）（2016年修订版）修改方案》听证会会议纪要</w:t>
      </w:r>
    </w:p>
    <w:p>
      <w:pPr>
        <w:spacing w:line="360" w:lineRule="auto"/>
        <w:rPr>
          <w:rFonts w:hint="eastAsia"/>
          <w:color w:val="FF0000"/>
          <w:highlight w:val="none"/>
          <w:u w:val="single"/>
          <w:lang w:val="en-US" w:eastAsia="zh-CN"/>
        </w:rPr>
      </w:pPr>
      <w:r>
        <w:rPr>
          <w:rFonts w:hint="eastAsia"/>
          <w:color w:val="FF0000"/>
          <w:highlight w:val="none"/>
          <w:u w:val="single"/>
          <w:lang w:val="en-US" w:eastAsia="zh-CN"/>
        </w:rPr>
        <w:t>附件9  祁阳县自然资源局、 祁阳县发展和改革局、永州市生态环境局祁阳分局、祁阳县林业局、祁阳县农业农村局、祁阳县住房和城乡建设局、祁阳县水利局关于《祁阳县城乡供水一体化(二期)工程项目涉及潘市镇土地利用总体规划（2006-2020 年）（2016年修订版）修改方案》的审查意见</w:t>
      </w:r>
    </w:p>
    <w:p>
      <w:pPr>
        <w:spacing w:line="360" w:lineRule="auto"/>
        <w:rPr>
          <w:rFonts w:hint="eastAsia"/>
          <w:color w:val="FF0000"/>
          <w:highlight w:val="none"/>
          <w:u w:val="single"/>
          <w:lang w:eastAsia="zh-CN"/>
        </w:rPr>
      </w:pPr>
      <w:r>
        <w:rPr>
          <w:rFonts w:hint="eastAsia"/>
          <w:color w:val="FF0000"/>
          <w:highlight w:val="none"/>
          <w:u w:val="single"/>
          <w:lang w:eastAsia="zh-CN"/>
        </w:rPr>
        <w:t>附件</w:t>
      </w:r>
      <w:r>
        <w:rPr>
          <w:rFonts w:hint="eastAsia"/>
          <w:color w:val="FF0000"/>
          <w:highlight w:val="none"/>
          <w:u w:val="single"/>
          <w:lang w:val="en-US" w:eastAsia="zh-CN"/>
        </w:rPr>
        <w:t xml:space="preserve">10  </w:t>
      </w:r>
      <w:r>
        <w:rPr>
          <w:rFonts w:hint="eastAsia"/>
          <w:color w:val="FF0000"/>
          <w:highlight w:val="none"/>
          <w:u w:val="single"/>
          <w:lang w:eastAsia="zh-CN"/>
        </w:rPr>
        <w:t>祁阳县水利局祁阳县城乡供水一体化（二期）工程环评报告评审意见</w:t>
      </w:r>
    </w:p>
    <w:p>
      <w:pPr>
        <w:spacing w:line="360" w:lineRule="auto"/>
        <w:rPr>
          <w:rFonts w:hint="eastAsia" w:eastAsia="宋体"/>
          <w:color w:val="FF0000"/>
          <w:highlight w:val="none"/>
          <w:u w:val="single"/>
          <w:lang w:val="en-US" w:eastAsia="zh-CN"/>
        </w:rPr>
      </w:pPr>
      <w:r>
        <w:rPr>
          <w:rFonts w:hint="eastAsia"/>
          <w:color w:val="FF0000"/>
          <w:highlight w:val="none"/>
          <w:u w:val="single"/>
          <w:lang w:val="en-US" w:eastAsia="zh-CN"/>
        </w:rPr>
        <w:t>附件11  专家签名表</w:t>
      </w:r>
    </w:p>
    <w:p>
      <w:pPr>
        <w:spacing w:line="360" w:lineRule="auto"/>
        <w:ind w:firstLine="0" w:firstLineChars="0"/>
        <w:jc w:val="left"/>
        <w:rPr>
          <w:b/>
          <w:bCs/>
          <w:color w:val="auto"/>
          <w:highlight w:val="none"/>
        </w:rPr>
      </w:pPr>
      <w:r>
        <w:rPr>
          <w:rFonts w:hint="eastAsia"/>
          <w:b/>
          <w:bCs/>
          <w:color w:val="auto"/>
          <w:highlight w:val="none"/>
        </w:rPr>
        <w:t>附图：</w:t>
      </w:r>
    </w:p>
    <w:p>
      <w:pPr>
        <w:spacing w:line="360" w:lineRule="auto"/>
        <w:rPr>
          <w:color w:val="auto"/>
          <w:highlight w:val="none"/>
        </w:rPr>
      </w:pPr>
      <w:r>
        <w:rPr>
          <w:rFonts w:hint="eastAsia"/>
          <w:color w:val="auto"/>
          <w:highlight w:val="none"/>
        </w:rPr>
        <w:t>附图1  项目地理位置图</w:t>
      </w:r>
    </w:p>
    <w:p>
      <w:pPr>
        <w:spacing w:line="360" w:lineRule="auto"/>
        <w:rPr>
          <w:color w:val="auto"/>
          <w:highlight w:val="none"/>
        </w:rPr>
      </w:pPr>
      <w:r>
        <w:rPr>
          <w:rFonts w:hint="eastAsia"/>
          <w:color w:val="auto"/>
          <w:highlight w:val="none"/>
        </w:rPr>
        <w:t>附图2  项目总平面布置图</w:t>
      </w:r>
    </w:p>
    <w:p>
      <w:pPr>
        <w:spacing w:line="360" w:lineRule="auto"/>
        <w:rPr>
          <w:color w:val="auto"/>
          <w:highlight w:val="none"/>
        </w:rPr>
      </w:pPr>
      <w:r>
        <w:rPr>
          <w:rFonts w:hint="eastAsia"/>
          <w:color w:val="auto"/>
          <w:highlight w:val="none"/>
        </w:rPr>
        <w:t>附图3  项目管网走线图</w:t>
      </w:r>
    </w:p>
    <w:p>
      <w:pPr>
        <w:spacing w:line="360" w:lineRule="auto"/>
        <w:rPr>
          <w:color w:val="auto"/>
          <w:highlight w:val="none"/>
        </w:rPr>
      </w:pPr>
      <w:r>
        <w:rPr>
          <w:rFonts w:hint="eastAsia"/>
          <w:color w:val="auto"/>
          <w:highlight w:val="none"/>
        </w:rPr>
        <w:t>附图4  项目大气、噪声、地下水监测布点及地表水监测断面图</w:t>
      </w:r>
    </w:p>
    <w:p>
      <w:pPr>
        <w:spacing w:line="360" w:lineRule="auto"/>
        <w:rPr>
          <w:color w:val="auto"/>
          <w:highlight w:val="none"/>
        </w:rPr>
      </w:pPr>
      <w:r>
        <w:rPr>
          <w:rFonts w:hint="eastAsia"/>
          <w:color w:val="auto"/>
          <w:highlight w:val="none"/>
        </w:rPr>
        <w:t>附图5  项目主要环境保护目标图</w:t>
      </w:r>
    </w:p>
    <w:p>
      <w:pPr>
        <w:spacing w:line="360" w:lineRule="auto"/>
        <w:rPr>
          <w:color w:val="auto"/>
          <w:highlight w:val="none"/>
        </w:rPr>
      </w:pPr>
      <w:r>
        <w:rPr>
          <w:rFonts w:hint="eastAsia"/>
          <w:color w:val="auto"/>
          <w:highlight w:val="none"/>
        </w:rPr>
        <w:t>附图6  项目主要周边及场区现状图片</w:t>
      </w:r>
    </w:p>
    <w:p>
      <w:pPr>
        <w:spacing w:line="360" w:lineRule="auto"/>
        <w:rPr>
          <w:color w:val="auto"/>
          <w:highlight w:val="none"/>
        </w:rPr>
      </w:pPr>
      <w:r>
        <w:rPr>
          <w:rFonts w:hint="eastAsia"/>
          <w:color w:val="auto"/>
          <w:highlight w:val="none"/>
        </w:rPr>
        <w:t>附图7  区域地表水系图</w:t>
      </w:r>
    </w:p>
    <w:p>
      <w:pPr>
        <w:spacing w:line="360" w:lineRule="auto"/>
        <w:ind w:firstLine="0" w:firstLineChars="0"/>
        <w:jc w:val="left"/>
        <w:rPr>
          <w:b/>
          <w:bCs/>
          <w:color w:val="auto"/>
          <w:highlight w:val="none"/>
        </w:rPr>
      </w:pPr>
      <w:r>
        <w:rPr>
          <w:rFonts w:hint="eastAsia"/>
          <w:b/>
          <w:bCs/>
          <w:color w:val="auto"/>
          <w:highlight w:val="none"/>
        </w:rPr>
        <w:t>附表</w:t>
      </w:r>
    </w:p>
    <w:p>
      <w:pPr>
        <w:spacing w:line="360" w:lineRule="auto"/>
        <w:rPr>
          <w:color w:val="auto"/>
          <w:highlight w:val="none"/>
        </w:rPr>
        <w:sectPr>
          <w:pgSz w:w="11906" w:h="16838"/>
          <w:pgMar w:top="1440" w:right="1800" w:bottom="1440" w:left="1800" w:header="851" w:footer="964" w:gutter="0"/>
          <w:pgNumType w:start="1"/>
          <w:cols w:space="720" w:num="1"/>
          <w:docGrid w:type="lines" w:linePitch="312" w:charSpace="0"/>
        </w:sectPr>
      </w:pPr>
      <w:r>
        <w:rPr>
          <w:color w:val="auto"/>
          <w:highlight w:val="none"/>
        </w:rPr>
        <w:t xml:space="preserve">附表1  建设项目环评审批基础信息表 </w:t>
      </w:r>
    </w:p>
    <w:p>
      <w:pPr>
        <w:pStyle w:val="3"/>
        <w:spacing w:before="0" w:after="0" w:line="360" w:lineRule="auto"/>
        <w:ind w:firstLine="0" w:firstLineChars="0"/>
        <w:rPr>
          <w:color w:val="auto"/>
          <w:sz w:val="32"/>
          <w:highlight w:val="none"/>
        </w:rPr>
      </w:pPr>
      <w:bookmarkStart w:id="0" w:name="_Toc7262"/>
      <w:r>
        <w:rPr>
          <w:rFonts w:hint="eastAsia"/>
          <w:color w:val="auto"/>
          <w:sz w:val="32"/>
          <w:highlight w:val="none"/>
        </w:rPr>
        <w:t>建设项目基本情况</w:t>
      </w:r>
      <w:bookmarkEnd w:id="0"/>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6"/>
        <w:gridCol w:w="1653"/>
        <w:gridCol w:w="1310"/>
        <w:gridCol w:w="1667"/>
        <w:gridCol w:w="115"/>
        <w:gridCol w:w="1191"/>
        <w:gridCol w:w="341"/>
        <w:gridCol w:w="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项目名称</w:t>
            </w:r>
          </w:p>
        </w:tc>
        <w:tc>
          <w:tcPr>
            <w:tcW w:w="7235" w:type="dxa"/>
            <w:gridSpan w:val="7"/>
            <w:vAlign w:val="bottom"/>
          </w:tcPr>
          <w:p>
            <w:pPr>
              <w:spacing w:line="360" w:lineRule="auto"/>
              <w:ind w:firstLine="0" w:firstLineChars="0"/>
              <w:jc w:val="center"/>
              <w:rPr>
                <w:color w:val="auto"/>
                <w:kern w:val="0"/>
                <w:szCs w:val="21"/>
                <w:highlight w:val="none"/>
              </w:rPr>
            </w:pPr>
            <w:r>
              <w:rPr>
                <w:rFonts w:hint="eastAsia"/>
                <w:color w:val="auto"/>
                <w:kern w:val="0"/>
                <w:szCs w:val="21"/>
                <w:highlight w:val="none"/>
              </w:rPr>
              <w:t>祁阳县城乡供水一体化（二期）工程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建设单位</w:t>
            </w:r>
          </w:p>
        </w:tc>
        <w:tc>
          <w:tcPr>
            <w:tcW w:w="7235" w:type="dxa"/>
            <w:gridSpan w:val="7"/>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祁阳县水利局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7"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法人代表</w:t>
            </w:r>
          </w:p>
        </w:tc>
        <w:tc>
          <w:tcPr>
            <w:tcW w:w="2963" w:type="dxa"/>
            <w:gridSpan w:val="2"/>
            <w:vAlign w:val="center"/>
          </w:tcPr>
          <w:p>
            <w:pPr>
              <w:spacing w:line="360" w:lineRule="auto"/>
              <w:ind w:firstLine="0" w:firstLineChars="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邓卫芳</w:t>
            </w:r>
          </w:p>
        </w:tc>
        <w:tc>
          <w:tcPr>
            <w:tcW w:w="1782"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联系人</w:t>
            </w:r>
          </w:p>
        </w:tc>
        <w:tc>
          <w:tcPr>
            <w:tcW w:w="2490" w:type="dxa"/>
            <w:gridSpan w:val="3"/>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李双卫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通讯地址</w:t>
            </w:r>
          </w:p>
        </w:tc>
        <w:tc>
          <w:tcPr>
            <w:tcW w:w="7235" w:type="dxa"/>
            <w:gridSpan w:val="7"/>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湖南省永州市祁阳县水利局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联系电话</w:t>
            </w:r>
          </w:p>
        </w:tc>
        <w:tc>
          <w:tcPr>
            <w:tcW w:w="1653"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13874658157</w:t>
            </w:r>
          </w:p>
        </w:tc>
        <w:tc>
          <w:tcPr>
            <w:tcW w:w="1310"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传真</w:t>
            </w:r>
          </w:p>
        </w:tc>
        <w:tc>
          <w:tcPr>
            <w:tcW w:w="1667"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w:t>
            </w:r>
          </w:p>
        </w:tc>
        <w:tc>
          <w:tcPr>
            <w:tcW w:w="1306"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邮政编码</w:t>
            </w:r>
          </w:p>
        </w:tc>
        <w:tc>
          <w:tcPr>
            <w:tcW w:w="1299"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426100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建设地点</w:t>
            </w:r>
          </w:p>
        </w:tc>
        <w:tc>
          <w:tcPr>
            <w:tcW w:w="7235" w:type="dxa"/>
            <w:gridSpan w:val="7"/>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湖南省永州市祁阳县潘市镇</w:t>
            </w:r>
            <w:r>
              <w:rPr>
                <w:rFonts w:hint="eastAsia"/>
                <w:color w:val="FF0000"/>
                <w:kern w:val="0"/>
                <w:szCs w:val="21"/>
                <w:highlight w:val="none"/>
                <w:u w:val="single"/>
                <w:lang w:eastAsia="zh-CN"/>
              </w:rPr>
              <w:t>董家埠村</w:t>
            </w:r>
            <w:r>
              <w:rPr>
                <w:rFonts w:hint="eastAsia"/>
                <w:color w:val="auto"/>
                <w:kern w:val="0"/>
                <w:szCs w:val="21"/>
                <w:highlight w:val="none"/>
              </w:rPr>
              <w:t>泗山塘与庙门前之间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7"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立项审批部门</w:t>
            </w:r>
          </w:p>
        </w:tc>
        <w:tc>
          <w:tcPr>
            <w:tcW w:w="2963"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w:t>
            </w:r>
          </w:p>
        </w:tc>
        <w:tc>
          <w:tcPr>
            <w:tcW w:w="1782"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批准文号</w:t>
            </w:r>
          </w:p>
        </w:tc>
        <w:tc>
          <w:tcPr>
            <w:tcW w:w="2490" w:type="dxa"/>
            <w:gridSpan w:val="3"/>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建设性质</w:t>
            </w:r>
          </w:p>
        </w:tc>
        <w:tc>
          <w:tcPr>
            <w:tcW w:w="2963"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新建</w:t>
            </w:r>
          </w:p>
        </w:tc>
        <w:tc>
          <w:tcPr>
            <w:tcW w:w="1782"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行业类别</w:t>
            </w:r>
          </w:p>
          <w:p>
            <w:pPr>
              <w:spacing w:line="360" w:lineRule="auto"/>
              <w:ind w:firstLine="0" w:firstLineChars="0"/>
              <w:jc w:val="center"/>
              <w:rPr>
                <w:color w:val="auto"/>
                <w:kern w:val="0"/>
                <w:szCs w:val="21"/>
                <w:highlight w:val="none"/>
              </w:rPr>
            </w:pPr>
            <w:r>
              <w:rPr>
                <w:rFonts w:hint="eastAsia"/>
                <w:color w:val="auto"/>
                <w:kern w:val="0"/>
                <w:szCs w:val="21"/>
                <w:highlight w:val="none"/>
              </w:rPr>
              <w:t>及代码</w:t>
            </w:r>
          </w:p>
        </w:tc>
        <w:tc>
          <w:tcPr>
            <w:tcW w:w="2490" w:type="dxa"/>
            <w:gridSpan w:val="3"/>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D4610</w:t>
            </w:r>
          </w:p>
          <w:p>
            <w:pPr>
              <w:spacing w:line="360" w:lineRule="auto"/>
              <w:ind w:firstLine="0" w:firstLineChars="0"/>
              <w:jc w:val="center"/>
              <w:rPr>
                <w:color w:val="auto"/>
                <w:kern w:val="0"/>
                <w:szCs w:val="21"/>
                <w:highlight w:val="none"/>
              </w:rPr>
            </w:pPr>
            <w:r>
              <w:rPr>
                <w:rFonts w:hint="eastAsia"/>
                <w:color w:val="auto"/>
                <w:kern w:val="0"/>
                <w:szCs w:val="21"/>
                <w:highlight w:val="none"/>
              </w:rPr>
              <w:t>自来水生产和供应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占地面积</w:t>
            </w:r>
          </w:p>
          <w:p>
            <w:pPr>
              <w:spacing w:line="360" w:lineRule="auto"/>
              <w:ind w:firstLine="0" w:firstLineChars="0"/>
              <w:jc w:val="center"/>
              <w:rPr>
                <w:color w:val="auto"/>
                <w:kern w:val="0"/>
                <w:szCs w:val="21"/>
                <w:highlight w:val="none"/>
              </w:rPr>
            </w:pPr>
            <w:r>
              <w:rPr>
                <w:rFonts w:hint="eastAsia"/>
                <w:color w:val="auto"/>
                <w:kern w:val="0"/>
                <w:szCs w:val="21"/>
                <w:highlight w:val="none"/>
              </w:rPr>
              <w:t>(平方米)</w:t>
            </w:r>
          </w:p>
        </w:tc>
        <w:tc>
          <w:tcPr>
            <w:tcW w:w="2963" w:type="dxa"/>
            <w:gridSpan w:val="2"/>
            <w:vAlign w:val="center"/>
          </w:tcPr>
          <w:p>
            <w:pPr>
              <w:spacing w:line="360" w:lineRule="auto"/>
              <w:ind w:firstLine="0" w:firstLineChars="0"/>
              <w:jc w:val="center"/>
              <w:rPr>
                <w:rFonts w:hint="eastAsia" w:eastAsia="宋体"/>
                <w:color w:val="auto"/>
                <w:kern w:val="0"/>
                <w:szCs w:val="21"/>
                <w:highlight w:val="none"/>
                <w:lang w:eastAsia="zh-CN"/>
              </w:rPr>
            </w:pPr>
            <w:r>
              <w:rPr>
                <w:rFonts w:hint="eastAsia"/>
                <w:color w:val="FF0000"/>
                <w:kern w:val="0"/>
                <w:szCs w:val="21"/>
                <w:highlight w:val="none"/>
                <w:u w:val="single"/>
                <w:lang w:eastAsia="zh-CN"/>
              </w:rPr>
              <w:t>33512</w:t>
            </w:r>
          </w:p>
        </w:tc>
        <w:tc>
          <w:tcPr>
            <w:tcW w:w="1782"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绿化面积</w:t>
            </w:r>
          </w:p>
          <w:p>
            <w:pPr>
              <w:spacing w:line="360" w:lineRule="auto"/>
              <w:ind w:firstLine="0" w:firstLineChars="0"/>
              <w:jc w:val="center"/>
              <w:rPr>
                <w:color w:val="auto"/>
                <w:kern w:val="0"/>
                <w:szCs w:val="21"/>
                <w:highlight w:val="none"/>
              </w:rPr>
            </w:pPr>
            <w:r>
              <w:rPr>
                <w:rFonts w:hint="eastAsia"/>
                <w:color w:val="auto"/>
                <w:kern w:val="0"/>
                <w:szCs w:val="21"/>
                <w:highlight w:val="none"/>
              </w:rPr>
              <w:t>(平方米)</w:t>
            </w:r>
          </w:p>
        </w:tc>
        <w:tc>
          <w:tcPr>
            <w:tcW w:w="2490" w:type="dxa"/>
            <w:gridSpan w:val="3"/>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7200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6"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总投资</w:t>
            </w:r>
          </w:p>
          <w:p>
            <w:pPr>
              <w:spacing w:line="360" w:lineRule="auto"/>
              <w:ind w:firstLine="0" w:firstLineChars="0"/>
              <w:jc w:val="center"/>
              <w:rPr>
                <w:color w:val="auto"/>
                <w:kern w:val="0"/>
                <w:szCs w:val="21"/>
                <w:highlight w:val="none"/>
              </w:rPr>
            </w:pPr>
            <w:r>
              <w:rPr>
                <w:rFonts w:hint="eastAsia"/>
                <w:color w:val="auto"/>
                <w:kern w:val="0"/>
                <w:szCs w:val="21"/>
                <w:highlight w:val="none"/>
              </w:rPr>
              <w:t>(万元)</w:t>
            </w:r>
          </w:p>
        </w:tc>
        <w:tc>
          <w:tcPr>
            <w:tcW w:w="1653"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66222.50</w:t>
            </w:r>
          </w:p>
        </w:tc>
        <w:tc>
          <w:tcPr>
            <w:tcW w:w="1310"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其中：环保投资</w:t>
            </w:r>
          </w:p>
          <w:p>
            <w:pPr>
              <w:spacing w:line="360" w:lineRule="auto"/>
              <w:ind w:firstLine="0" w:firstLineChars="0"/>
              <w:jc w:val="center"/>
              <w:rPr>
                <w:color w:val="auto"/>
                <w:kern w:val="0"/>
                <w:szCs w:val="21"/>
                <w:highlight w:val="none"/>
              </w:rPr>
            </w:pPr>
            <w:r>
              <w:rPr>
                <w:rFonts w:hint="eastAsia"/>
                <w:color w:val="auto"/>
                <w:kern w:val="0"/>
                <w:szCs w:val="21"/>
                <w:highlight w:val="none"/>
              </w:rPr>
              <w:t>(万元)</w:t>
            </w:r>
          </w:p>
        </w:tc>
        <w:tc>
          <w:tcPr>
            <w:tcW w:w="1782"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82</w:t>
            </w:r>
          </w:p>
        </w:tc>
        <w:tc>
          <w:tcPr>
            <w:tcW w:w="1532"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环保投资占总投资比例</w:t>
            </w:r>
          </w:p>
        </w:tc>
        <w:tc>
          <w:tcPr>
            <w:tcW w:w="958"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1836" w:type="dxa"/>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评价经费(万元)</w:t>
            </w:r>
          </w:p>
        </w:tc>
        <w:tc>
          <w:tcPr>
            <w:tcW w:w="2963"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w:t>
            </w:r>
          </w:p>
        </w:tc>
        <w:tc>
          <w:tcPr>
            <w:tcW w:w="1782" w:type="dxa"/>
            <w:gridSpan w:val="2"/>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预期投产日期</w:t>
            </w:r>
          </w:p>
        </w:tc>
        <w:tc>
          <w:tcPr>
            <w:tcW w:w="2490" w:type="dxa"/>
            <w:gridSpan w:val="3"/>
            <w:vAlign w:val="center"/>
          </w:tcPr>
          <w:p>
            <w:pPr>
              <w:spacing w:line="360" w:lineRule="auto"/>
              <w:ind w:firstLine="0" w:firstLineChars="0"/>
              <w:jc w:val="center"/>
              <w:rPr>
                <w:color w:val="auto"/>
                <w:kern w:val="0"/>
                <w:szCs w:val="21"/>
                <w:highlight w:val="none"/>
              </w:rPr>
            </w:pPr>
            <w:r>
              <w:rPr>
                <w:rFonts w:hint="eastAsia"/>
                <w:color w:val="auto"/>
                <w:kern w:val="0"/>
                <w:szCs w:val="21"/>
                <w:highlight w:val="none"/>
              </w:rPr>
              <w:t>2021年6月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071" w:type="dxa"/>
            <w:gridSpan w:val="8"/>
            <w:vAlign w:val="center"/>
          </w:tcPr>
          <w:p>
            <w:pPr>
              <w:spacing w:line="360" w:lineRule="auto"/>
              <w:ind w:firstLine="0" w:firstLineChars="0"/>
              <w:jc w:val="left"/>
              <w:rPr>
                <w:b/>
                <w:bCs/>
                <w:color w:val="auto"/>
                <w:sz w:val="28"/>
                <w:szCs w:val="28"/>
                <w:highlight w:val="none"/>
              </w:rPr>
            </w:pPr>
            <w:r>
              <w:rPr>
                <w:b/>
                <w:bCs/>
                <w:color w:val="auto"/>
                <w:sz w:val="28"/>
                <w:szCs w:val="28"/>
                <w:highlight w:val="none"/>
              </w:rPr>
              <w:t>工程内容及规模</w:t>
            </w:r>
          </w:p>
          <w:p>
            <w:pPr>
              <w:spacing w:line="360" w:lineRule="auto"/>
              <w:ind w:firstLine="562"/>
              <w:jc w:val="left"/>
              <w:rPr>
                <w:b/>
                <w:bCs/>
                <w:color w:val="auto"/>
                <w:sz w:val="28"/>
                <w:szCs w:val="28"/>
                <w:highlight w:val="none"/>
              </w:rPr>
            </w:pPr>
            <w:r>
              <w:rPr>
                <w:b/>
                <w:bCs/>
                <w:color w:val="auto"/>
                <w:sz w:val="28"/>
                <w:szCs w:val="28"/>
                <w:highlight w:val="none"/>
              </w:rPr>
              <w:t>1、项目由来</w:t>
            </w:r>
          </w:p>
          <w:p>
            <w:pPr>
              <w:spacing w:line="360" w:lineRule="auto"/>
              <w:jc w:val="left"/>
              <w:rPr>
                <w:color w:val="auto"/>
                <w:highlight w:val="none"/>
              </w:rPr>
            </w:pPr>
            <w:r>
              <w:rPr>
                <w:color w:val="auto"/>
                <w:highlight w:val="none"/>
              </w:rPr>
              <w:t>为加快解决农村饮水安全问题，改善农民生存环境和生活条件，保障农村饮水安全项目建设顺利进行，根据国务院办公厅《关于加强饮用水安全保障工作的通知》，国家发改委、水利部、卫生部《关于进一步做好农村饮水安全工程建设工作的通知》《农村饮水安全项目建设管理办法》等文件精神，湖南省水利厅结合我省实际情况制定了《湖南省农村饮水安全项目建设管理办法》，积极推动农村饮水安全工程的实施。</w:t>
            </w:r>
          </w:p>
          <w:p>
            <w:pPr>
              <w:spacing w:line="360" w:lineRule="auto"/>
              <w:jc w:val="left"/>
              <w:rPr>
                <w:color w:val="auto"/>
                <w:highlight w:val="none"/>
              </w:rPr>
            </w:pPr>
            <w:r>
              <w:rPr>
                <w:color w:val="auto"/>
                <w:highlight w:val="none"/>
              </w:rPr>
              <w:t>2018年，祁阳县出台了《祁阳县城乡供水一体化实施方案》，坚持“城乡统筹、资源整合、规模发展、专业运营”的总体思路，综合采取新建、改扩建、配套、联网升级等措施，通过以大并小、小小联合等方式，整体推进农村自来水工程建设。2018年5月，通过政府购买服务，与北京碧水源股份有限公司合作运营祁阳县城乡供水一体化（一期）PPP项目（即祁阳县大村甸水厂），目前一期工程已建成，为解决肖家镇、八宝镇、白水镇、黄泥塘镇、进宝塘镇、潘市镇、梅溪镇、羊角塘镇居民饮水安全问题，祁阳县水利局拟投资66222.50万元在湖南省永州市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color w:val="auto"/>
                <w:highlight w:val="none"/>
              </w:rPr>
              <w:t>建设祁阳县城乡供水一体化（二期）工程，</w:t>
            </w:r>
            <w:r>
              <w:rPr>
                <w:rFonts w:hint="eastAsia"/>
                <w:color w:val="auto"/>
                <w:highlight w:val="none"/>
              </w:rPr>
              <w:t>本工程</w:t>
            </w:r>
            <w:r>
              <w:rPr>
                <w:color w:val="auto"/>
                <w:highlight w:val="none"/>
              </w:rPr>
              <w:t>工程实施后，可对水厂实现规模化、专业化的运行管理，有效降低制水成本，同时水厂的运行管理更加规范，配套管网覆盖面更广，可实现大片区的统一供水，还可以整合城市供水与农村供水的人力资源，实现城乡供水同源、同厂、同网、同质、同服务的目标，该规划对优化祁阳县的供水布局和资源配置有着战略性意义</w:t>
            </w:r>
            <w:r>
              <w:rPr>
                <w:rFonts w:hint="eastAsia"/>
                <w:color w:val="auto"/>
                <w:highlight w:val="none"/>
              </w:rPr>
              <w:t>。</w:t>
            </w:r>
          </w:p>
          <w:p>
            <w:pPr>
              <w:spacing w:line="360" w:lineRule="auto"/>
              <w:jc w:val="left"/>
              <w:rPr>
                <w:color w:val="auto"/>
                <w:highlight w:val="none"/>
              </w:rPr>
            </w:pPr>
            <w:r>
              <w:rPr>
                <w:rFonts w:hint="eastAsia"/>
                <w:color w:val="auto"/>
                <w:highlight w:val="none"/>
              </w:rPr>
              <w:t>根据《中华人民共和国环境保护法》、《中华人民共和国环境影响评价法》和国务院令682号《建设项目环境保护管理条例》有关规定，本项目属于《建设项目环境影响评价分类管理名录》(环境保护部令 第44号)“三十三、水的生产和供应业中 95、自来水生产和供应工程”，应编制环境影响报告表。</w:t>
            </w:r>
            <w:r>
              <w:rPr>
                <w:color w:val="auto"/>
                <w:highlight w:val="none"/>
              </w:rPr>
              <w:t>为此，</w:t>
            </w:r>
            <w:r>
              <w:rPr>
                <w:rFonts w:hint="eastAsia"/>
                <w:color w:val="auto"/>
                <w:kern w:val="0"/>
                <w:highlight w:val="none"/>
              </w:rPr>
              <w:t>祁阳县水利局</w:t>
            </w:r>
            <w:r>
              <w:rPr>
                <w:color w:val="auto"/>
                <w:highlight w:val="none"/>
              </w:rPr>
              <w:t>特委托湖南绿鸿环境科技有限责任公司承担“祁阳县城乡供水一体化（二期）工程”的环境影响评价工作。接受委托后，评价单位组织有关人员对项目场址（项目地理位置详见附图1）及其周围环境状况进行了详细踏勘，并收集有关本项目的工程资料，完成了本项目环境影响评价报告表的编制工作。</w:t>
            </w:r>
          </w:p>
          <w:p>
            <w:pPr>
              <w:adjustRightInd w:val="0"/>
              <w:snapToGrid w:val="0"/>
              <w:spacing w:line="500" w:lineRule="exact"/>
              <w:ind w:firstLine="0" w:firstLineChars="0"/>
              <w:jc w:val="left"/>
              <w:rPr>
                <w:b/>
                <w:color w:val="auto"/>
                <w:sz w:val="28"/>
                <w:szCs w:val="28"/>
                <w:highlight w:val="none"/>
              </w:rPr>
            </w:pPr>
            <w:r>
              <w:rPr>
                <w:b/>
                <w:color w:val="auto"/>
                <w:sz w:val="28"/>
                <w:szCs w:val="28"/>
                <w:highlight w:val="none"/>
              </w:rPr>
              <w:t>2、建项目概况</w:t>
            </w:r>
          </w:p>
          <w:p>
            <w:pPr>
              <w:spacing w:line="360" w:lineRule="auto"/>
              <w:ind w:firstLine="482"/>
              <w:rPr>
                <w:b/>
                <w:color w:val="auto"/>
                <w:highlight w:val="none"/>
              </w:rPr>
            </w:pPr>
            <w:r>
              <w:rPr>
                <w:b/>
                <w:color w:val="auto"/>
                <w:highlight w:val="none"/>
              </w:rPr>
              <w:t>2.1 建设项目基本情况</w:t>
            </w:r>
          </w:p>
          <w:p>
            <w:pPr>
              <w:spacing w:line="360" w:lineRule="auto"/>
              <w:jc w:val="left"/>
              <w:rPr>
                <w:color w:val="auto"/>
                <w:highlight w:val="none"/>
              </w:rPr>
            </w:pPr>
            <w:r>
              <w:rPr>
                <w:rFonts w:hint="eastAsia"/>
                <w:color w:val="auto"/>
                <w:highlight w:val="none"/>
              </w:rPr>
              <w:t>（1）项目名称：祁阳县城乡供水一体化（二期）工程；</w:t>
            </w:r>
          </w:p>
          <w:p>
            <w:pPr>
              <w:pStyle w:val="7"/>
              <w:ind w:firstLine="420"/>
              <w:rPr>
                <w:rFonts w:hint="eastAsia" w:eastAsia="宋体"/>
                <w:color w:val="auto"/>
                <w:highlight w:val="none"/>
                <w:lang w:val="en-US" w:eastAsia="zh-CN"/>
              </w:rPr>
            </w:pPr>
            <w:r>
              <w:rPr>
                <w:rFonts w:hint="eastAsia"/>
                <w:color w:val="auto"/>
                <w:highlight w:val="none"/>
              </w:rPr>
              <w:t>（2）建设单位：祁阳县水利局；</w:t>
            </w:r>
          </w:p>
          <w:p>
            <w:pPr>
              <w:spacing w:line="360" w:lineRule="auto"/>
              <w:jc w:val="left"/>
              <w:rPr>
                <w:rFonts w:hint="default"/>
                <w:color w:val="auto"/>
                <w:highlight w:val="none"/>
                <w:u w:val="none"/>
                <w:lang w:val="en-US" w:eastAsia="zh-CN"/>
              </w:rPr>
            </w:pPr>
            <w:r>
              <w:rPr>
                <w:rFonts w:hint="eastAsia"/>
                <w:color w:val="auto"/>
                <w:highlight w:val="none"/>
                <w:u w:val="none"/>
                <w:lang w:eastAsia="zh-CN"/>
              </w:rPr>
              <w:t>（</w:t>
            </w:r>
            <w:r>
              <w:rPr>
                <w:rFonts w:hint="eastAsia"/>
                <w:color w:val="auto"/>
                <w:highlight w:val="none"/>
                <w:u w:val="none"/>
                <w:lang w:val="en-US" w:eastAsia="zh-CN"/>
              </w:rPr>
              <w:t>3</w:t>
            </w:r>
            <w:r>
              <w:rPr>
                <w:rFonts w:hint="eastAsia"/>
                <w:color w:val="auto"/>
                <w:highlight w:val="none"/>
                <w:u w:val="none"/>
                <w:lang w:eastAsia="zh-CN"/>
              </w:rPr>
              <w:t>）</w:t>
            </w:r>
            <w:r>
              <w:rPr>
                <w:rFonts w:hint="eastAsia"/>
                <w:color w:val="auto"/>
                <w:highlight w:val="none"/>
                <w:u w:val="none"/>
                <w:lang w:val="en-US" w:eastAsia="zh-CN"/>
              </w:rPr>
              <w:t>项目建设性质：新建</w:t>
            </w:r>
          </w:p>
          <w:p>
            <w:pPr>
              <w:spacing w:line="360" w:lineRule="auto"/>
              <w:jc w:val="left"/>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）建设地点：湖南省永州市祁阳县潘市镇</w:t>
            </w:r>
            <w:r>
              <w:rPr>
                <w:rFonts w:hint="eastAsia"/>
                <w:color w:val="FF0000"/>
                <w:kern w:val="0"/>
                <w:szCs w:val="21"/>
                <w:highlight w:val="none"/>
                <w:u w:val="single"/>
                <w:lang w:eastAsia="zh-CN"/>
              </w:rPr>
              <w:t>董家埠村</w:t>
            </w:r>
            <w:r>
              <w:rPr>
                <w:rFonts w:hint="eastAsia"/>
                <w:color w:val="auto"/>
                <w:highlight w:val="none"/>
              </w:rPr>
              <w:t>泗山塘与庙门前之间（地理坐标为：东经112.040656，北纬26.467903）；项目取水点为位于祁阳县潘市镇</w:t>
            </w:r>
            <w:r>
              <w:rPr>
                <w:rFonts w:hint="eastAsia"/>
                <w:color w:val="FF0000"/>
                <w:kern w:val="0"/>
                <w:szCs w:val="21"/>
                <w:highlight w:val="none"/>
                <w:u w:val="single"/>
                <w:lang w:eastAsia="zh-CN"/>
              </w:rPr>
              <w:t>董家埠村</w:t>
            </w:r>
            <w:r>
              <w:rPr>
                <w:rFonts w:hint="eastAsia"/>
                <w:color w:val="auto"/>
                <w:highlight w:val="none"/>
              </w:rPr>
              <w:t>泗山塘与庙门前之间湘江“鸭婆洲上端至衡阳交界处（归阳镇）”河段（地理坐标为：东经112.040911，北纬26.467059）。</w:t>
            </w:r>
          </w:p>
          <w:p>
            <w:pPr>
              <w:spacing w:line="360" w:lineRule="auto"/>
              <w:ind w:firstLine="482"/>
              <w:rPr>
                <w:b/>
                <w:color w:val="auto"/>
                <w:highlight w:val="none"/>
              </w:rPr>
            </w:pPr>
            <w:r>
              <w:rPr>
                <w:b/>
                <w:color w:val="auto"/>
                <w:highlight w:val="none"/>
              </w:rPr>
              <w:t>2.2 建设项目建设规模及内容</w:t>
            </w:r>
          </w:p>
          <w:p>
            <w:pPr>
              <w:spacing w:line="360" w:lineRule="auto"/>
              <w:ind w:firstLine="482"/>
              <w:jc w:val="left"/>
              <w:rPr>
                <w:color w:val="auto"/>
                <w:highlight w:val="none"/>
              </w:rPr>
            </w:pPr>
            <w:r>
              <w:rPr>
                <w:rFonts w:hint="eastAsia"/>
                <w:b/>
                <w:bCs/>
                <w:color w:val="auto"/>
                <w:highlight w:val="none"/>
              </w:rPr>
              <w:t>（1）</w:t>
            </w:r>
            <w:r>
              <w:rPr>
                <w:b/>
                <w:bCs/>
                <w:color w:val="auto"/>
                <w:highlight w:val="none"/>
              </w:rPr>
              <w:t>项目占地面积：</w:t>
            </w:r>
            <w:r>
              <w:rPr>
                <w:rFonts w:hint="eastAsia"/>
                <w:color w:val="auto"/>
                <w:highlight w:val="none"/>
              </w:rPr>
              <w:t>总占地面积</w:t>
            </w:r>
            <w:r>
              <w:rPr>
                <w:rFonts w:hint="eastAsia"/>
                <w:color w:val="auto"/>
                <w:highlight w:val="none"/>
                <w:lang w:eastAsia="zh-CN"/>
              </w:rPr>
              <w:t>33512</w:t>
            </w:r>
            <w:r>
              <w:rPr>
                <w:rFonts w:hint="eastAsia"/>
                <w:color w:val="auto"/>
                <w:highlight w:val="none"/>
              </w:rPr>
              <w:t>m</w:t>
            </w:r>
            <w:r>
              <w:rPr>
                <w:rFonts w:hint="eastAsia"/>
                <w:color w:val="auto"/>
                <w:highlight w:val="none"/>
                <w:vertAlign w:val="superscript"/>
              </w:rPr>
              <w:t>2</w:t>
            </w:r>
            <w:r>
              <w:rPr>
                <w:rFonts w:hint="eastAsia"/>
                <w:color w:val="auto"/>
                <w:highlight w:val="none"/>
              </w:rPr>
              <w:t>（折合约</w:t>
            </w:r>
            <w:r>
              <w:rPr>
                <w:rFonts w:hint="eastAsia"/>
                <w:color w:val="auto"/>
                <w:highlight w:val="none"/>
                <w:lang w:eastAsia="zh-CN"/>
              </w:rPr>
              <w:t>50.26亩</w:t>
            </w:r>
            <w:r>
              <w:rPr>
                <w:rFonts w:hint="eastAsia"/>
                <w:color w:val="auto"/>
                <w:highlight w:val="none"/>
              </w:rPr>
              <w:t>）</w:t>
            </w:r>
          </w:p>
          <w:p>
            <w:pPr>
              <w:spacing w:line="360" w:lineRule="auto"/>
              <w:ind w:firstLine="482"/>
              <w:jc w:val="left"/>
              <w:rPr>
                <w:color w:val="auto"/>
                <w:highlight w:val="none"/>
              </w:rPr>
            </w:pPr>
            <w:r>
              <w:rPr>
                <w:rFonts w:hint="eastAsia"/>
                <w:b/>
                <w:bCs/>
                <w:color w:val="auto"/>
                <w:highlight w:val="none"/>
              </w:rPr>
              <w:t>（2）自来水厂服务范围：</w:t>
            </w:r>
            <w:r>
              <w:rPr>
                <w:rFonts w:hint="eastAsia"/>
                <w:color w:val="auto"/>
                <w:highlight w:val="none"/>
              </w:rPr>
              <w:t>供水覆盖潘市镇、梅溪镇、羊角塘镇、进宝塘镇、黄泥塘镇、白水镇、八宝镇、肖家镇。</w:t>
            </w:r>
          </w:p>
          <w:p>
            <w:pPr>
              <w:spacing w:line="360" w:lineRule="auto"/>
              <w:ind w:firstLine="482"/>
              <w:jc w:val="left"/>
              <w:rPr>
                <w:color w:val="auto"/>
                <w:highlight w:val="none"/>
              </w:rPr>
            </w:pPr>
            <w:r>
              <w:rPr>
                <w:rFonts w:hint="eastAsia"/>
                <w:b/>
                <w:bCs/>
                <w:color w:val="auto"/>
                <w:highlight w:val="none"/>
              </w:rPr>
              <w:t>（3）服务人口：</w:t>
            </w:r>
            <w:r>
              <w:rPr>
                <w:rFonts w:hint="eastAsia"/>
                <w:color w:val="auto"/>
                <w:highlight w:val="none"/>
              </w:rPr>
              <w:t>自来水厂服务范围内现常驻人口约27.33 万人，近期 2025 年常驻人口约 28.44 万人。</w:t>
            </w:r>
          </w:p>
          <w:p>
            <w:pPr>
              <w:spacing w:line="360" w:lineRule="auto"/>
              <w:ind w:firstLine="482"/>
              <w:jc w:val="left"/>
              <w:rPr>
                <w:b/>
                <w:bCs/>
                <w:color w:val="auto"/>
                <w:highlight w:val="none"/>
              </w:rPr>
            </w:pPr>
            <w:r>
              <w:rPr>
                <w:rFonts w:hint="eastAsia"/>
                <w:b/>
                <w:bCs/>
                <w:color w:val="auto"/>
                <w:highlight w:val="none"/>
              </w:rPr>
              <w:t>（4）设计年限及工程规模</w:t>
            </w:r>
          </w:p>
          <w:p>
            <w:pPr>
              <w:spacing w:line="360" w:lineRule="auto"/>
              <w:jc w:val="left"/>
              <w:rPr>
                <w:color w:val="auto"/>
                <w:highlight w:val="none"/>
              </w:rPr>
            </w:pPr>
            <w:r>
              <w:rPr>
                <w:rFonts w:hint="eastAsia"/>
                <w:color w:val="auto"/>
                <w:highlight w:val="none"/>
              </w:rPr>
              <w:t>近期</w:t>
            </w:r>
            <w:r>
              <w:rPr>
                <w:color w:val="auto"/>
                <w:highlight w:val="none"/>
              </w:rPr>
              <w:t xml:space="preserve">2019-2025 </w:t>
            </w:r>
            <w:r>
              <w:rPr>
                <w:rFonts w:hint="eastAsia"/>
                <w:color w:val="auto"/>
                <w:highlight w:val="none"/>
              </w:rPr>
              <w:t>年，覆盖肖家镇、八宝镇、白水镇、黄泥塘镇、进宝塘镇、潘市镇、梅溪镇、 羊角塘镇。潘市水厂远期覆盖白水镇、黄泥塘镇、进宝塘镇、潘市镇、梅溪镇、羊角塘镇；远期新建东方红水厂，覆盖肖家镇、八宝镇以 及大忠桥镇、三口塘镇，并作为县城备用水源且为今后规模发展留有余地</w:t>
            </w:r>
            <w:r>
              <w:rPr>
                <w:color w:val="auto"/>
                <w:highlight w:val="none"/>
                <w:shd w:val="clear" w:color="auto" w:fill="FFFFFF"/>
              </w:rPr>
              <w:t>（本次环评仅对近期</w:t>
            </w:r>
            <w:r>
              <w:rPr>
                <w:rFonts w:hint="eastAsia"/>
                <w:color w:val="auto"/>
                <w:highlight w:val="none"/>
                <w:shd w:val="clear" w:color="auto" w:fill="FFFFFF"/>
              </w:rPr>
              <w:t>自来水厂</w:t>
            </w:r>
            <w:r>
              <w:rPr>
                <w:color w:val="auto"/>
                <w:highlight w:val="none"/>
                <w:shd w:val="clear" w:color="auto" w:fill="FFFFFF"/>
              </w:rPr>
              <w:t>和管网工程进行环境影响评价）</w:t>
            </w:r>
            <w:r>
              <w:rPr>
                <w:rFonts w:hint="eastAsia"/>
                <w:color w:val="auto"/>
                <w:highlight w:val="none"/>
                <w:shd w:val="clear" w:color="auto" w:fill="FFFFFF"/>
              </w:rPr>
              <w:t>。</w:t>
            </w:r>
            <w:r>
              <w:rPr>
                <w:rFonts w:hint="eastAsia"/>
                <w:color w:val="auto"/>
                <w:highlight w:val="none"/>
              </w:rPr>
              <w:t xml:space="preserve"> </w:t>
            </w:r>
          </w:p>
          <w:p>
            <w:pPr>
              <w:spacing w:line="360" w:lineRule="auto"/>
              <w:ind w:firstLine="482"/>
              <w:jc w:val="left"/>
              <w:rPr>
                <w:b/>
                <w:bCs/>
                <w:color w:val="auto"/>
                <w:highlight w:val="none"/>
              </w:rPr>
            </w:pPr>
            <w:r>
              <w:rPr>
                <w:rFonts w:hint="eastAsia"/>
                <w:b/>
                <w:bCs/>
                <w:color w:val="auto"/>
                <w:highlight w:val="none"/>
              </w:rPr>
              <w:t>（5）用水量预测</w:t>
            </w:r>
          </w:p>
          <w:p>
            <w:pPr>
              <w:spacing w:line="360" w:lineRule="auto"/>
              <w:jc w:val="left"/>
              <w:rPr>
                <w:color w:val="auto"/>
                <w:highlight w:val="none"/>
              </w:rPr>
            </w:pPr>
            <w:r>
              <w:rPr>
                <w:rFonts w:hint="eastAsia"/>
                <w:color w:val="auto"/>
                <w:highlight w:val="none"/>
              </w:rPr>
              <w:t>根据祁阳县城乡供水一体化（二期）工程可行性研究报告，祁阳县潘市近远期用量预测如下表：</w:t>
            </w:r>
          </w:p>
          <w:p>
            <w:pPr>
              <w:spacing w:line="240" w:lineRule="auto"/>
              <w:ind w:firstLine="422"/>
              <w:jc w:val="center"/>
              <w:rPr>
                <w:color w:val="auto"/>
                <w:highlight w:val="none"/>
              </w:rPr>
            </w:pPr>
            <w:r>
              <w:rPr>
                <w:rFonts w:hint="eastAsia"/>
                <w:b/>
                <w:color w:val="auto"/>
                <w:sz w:val="21"/>
                <w:szCs w:val="21"/>
                <w:highlight w:val="none"/>
              </w:rPr>
              <w:t>表1-1  祁阳县潘市近远期用量预测结果汇总表    10</w:t>
            </w:r>
            <w:r>
              <w:rPr>
                <w:rFonts w:hint="eastAsia"/>
                <w:b/>
                <w:color w:val="auto"/>
                <w:sz w:val="21"/>
                <w:szCs w:val="21"/>
                <w:highlight w:val="none"/>
                <w:vertAlign w:val="superscript"/>
              </w:rPr>
              <w:t>4</w:t>
            </w:r>
            <w:r>
              <w:rPr>
                <w:rFonts w:hint="eastAsia"/>
                <w:b/>
                <w:color w:val="auto"/>
                <w:sz w:val="21"/>
                <w:szCs w:val="21"/>
                <w:highlight w:val="none"/>
              </w:rPr>
              <w:t>m</w:t>
            </w:r>
            <w:r>
              <w:rPr>
                <w:rFonts w:hint="eastAsia"/>
                <w:b/>
                <w:color w:val="auto"/>
                <w:sz w:val="21"/>
                <w:szCs w:val="21"/>
                <w:highlight w:val="none"/>
                <w:vertAlign w:val="superscript"/>
              </w:rPr>
              <w:t>3</w:t>
            </w:r>
            <w:r>
              <w:rPr>
                <w:rFonts w:hint="eastAsia"/>
                <w:b/>
                <w:color w:val="auto"/>
                <w:sz w:val="21"/>
                <w:szCs w:val="21"/>
                <w:highlight w:val="none"/>
              </w:rPr>
              <w:t>/d</w:t>
            </w:r>
          </w:p>
          <w:tbl>
            <w:tblPr>
              <w:tblStyle w:val="27"/>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36"/>
              <w:gridCol w:w="2197"/>
              <w:gridCol w:w="2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5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预测期限</w:t>
                  </w:r>
                </w:p>
              </w:tc>
              <w:tc>
                <w:tcPr>
                  <w:tcW w:w="243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人均综合用水量指标法</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分项指标法</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平均值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5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2025年</w:t>
                  </w:r>
                </w:p>
              </w:tc>
              <w:tc>
                <w:tcPr>
                  <w:tcW w:w="243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5.93</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6.08</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57" w:type="dxa"/>
                  <w:tcBorders>
                    <w:tl2br w:val="nil"/>
                    <w:tr2bl w:val="nil"/>
                  </w:tcBorders>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rPr>
                    <w:t>2035</w:t>
                  </w:r>
                  <w:r>
                    <w:rPr>
                      <w:rStyle w:val="25"/>
                      <w:rFonts w:hint="eastAsia"/>
                      <w:color w:val="auto"/>
                      <w:highlight w:val="none"/>
                      <w:lang w:val="en-US" w:eastAsia="zh-CN"/>
                    </w:rPr>
                    <w:t>年</w:t>
                  </w:r>
                </w:p>
              </w:tc>
              <w:tc>
                <w:tcPr>
                  <w:tcW w:w="243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4.79</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6.05</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5.42</w:t>
                  </w:r>
                </w:p>
              </w:tc>
            </w:tr>
          </w:tbl>
          <w:p>
            <w:pPr>
              <w:spacing w:line="360" w:lineRule="auto"/>
              <w:jc w:val="left"/>
              <w:rPr>
                <w:color w:val="auto"/>
                <w:highlight w:val="none"/>
              </w:rPr>
            </w:pPr>
            <w:r>
              <w:rPr>
                <w:rFonts w:hint="eastAsia"/>
                <w:color w:val="auto"/>
                <w:highlight w:val="none"/>
              </w:rPr>
              <w:t>根据上述祁阳县潘市水厂供水片区用水量需求，确定新建潘市水厂，近、远期规模为</w:t>
            </w:r>
            <w:r>
              <w:rPr>
                <w:color w:val="auto"/>
                <w:highlight w:val="none"/>
              </w:rPr>
              <w:t>6.0</w:t>
            </w:r>
            <w:r>
              <w:rPr>
                <w:rFonts w:hint="eastAsia"/>
                <w:color w:val="auto"/>
                <w:highlight w:val="none"/>
              </w:rPr>
              <w:t>×</w:t>
            </w:r>
            <w:r>
              <w:rPr>
                <w:rFonts w:hint="eastAsia"/>
                <w:color w:val="auto"/>
                <w:highlight w:val="none"/>
                <w:lang w:eastAsia="zh-CN"/>
              </w:rPr>
              <w:t>10</w:t>
            </w:r>
            <w:r>
              <w:rPr>
                <w:rFonts w:hint="eastAsia"/>
                <w:color w:val="auto"/>
                <w:highlight w:val="none"/>
                <w:vertAlign w:val="superscript"/>
                <w:lang w:eastAsia="zh-CN"/>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 xml:space="preserve">。 </w:t>
            </w:r>
          </w:p>
          <w:p>
            <w:pPr>
              <w:spacing w:line="360" w:lineRule="auto"/>
              <w:ind w:firstLine="482"/>
              <w:jc w:val="left"/>
              <w:rPr>
                <w:b/>
                <w:bCs/>
                <w:color w:val="auto"/>
                <w:highlight w:val="none"/>
              </w:rPr>
            </w:pPr>
            <w:r>
              <w:rPr>
                <w:rFonts w:hint="eastAsia"/>
                <w:b/>
                <w:bCs/>
                <w:color w:val="auto"/>
                <w:highlight w:val="none"/>
              </w:rPr>
              <w:t>（6）自来水厂水处理工艺</w:t>
            </w:r>
          </w:p>
          <w:p>
            <w:pPr>
              <w:spacing w:line="360" w:lineRule="auto"/>
              <w:jc w:val="left"/>
              <w:rPr>
                <w:color w:val="auto"/>
                <w:highlight w:val="none"/>
              </w:rPr>
            </w:pPr>
            <w:r>
              <w:rPr>
                <w:rFonts w:hint="eastAsia"/>
                <w:color w:val="auto"/>
                <w:highlight w:val="none"/>
              </w:rPr>
              <w:t>自来水厂净水采用絮凝平流沉淀池+气水反冲洗砂滤池的处理工艺，污泥处理系统采用回用水+排泥池。</w:t>
            </w:r>
          </w:p>
          <w:p>
            <w:pPr>
              <w:spacing w:line="360" w:lineRule="auto"/>
              <w:ind w:firstLine="482"/>
              <w:rPr>
                <w:b/>
                <w:color w:val="auto"/>
                <w:highlight w:val="none"/>
              </w:rPr>
            </w:pPr>
            <w:r>
              <w:rPr>
                <w:b/>
                <w:color w:val="auto"/>
                <w:highlight w:val="none"/>
              </w:rPr>
              <w:t>2.3工程建设方案</w:t>
            </w:r>
          </w:p>
          <w:p>
            <w:pPr>
              <w:spacing w:line="360" w:lineRule="auto"/>
              <w:jc w:val="left"/>
              <w:rPr>
                <w:color w:val="auto"/>
                <w:highlight w:val="none"/>
              </w:rPr>
            </w:pPr>
            <w:r>
              <w:rPr>
                <w:rFonts w:hint="eastAsia"/>
                <w:color w:val="auto"/>
                <w:highlight w:val="none"/>
              </w:rPr>
              <w:t>本项目拟建位于湖南省永州市祁阳县潘市镇</w:t>
            </w:r>
            <w:r>
              <w:rPr>
                <w:rFonts w:hint="eastAsia"/>
                <w:color w:val="FF0000"/>
                <w:kern w:val="0"/>
                <w:szCs w:val="21"/>
                <w:highlight w:val="none"/>
                <w:u w:val="single"/>
                <w:lang w:eastAsia="zh-CN"/>
              </w:rPr>
              <w:t>董家埠村</w:t>
            </w:r>
            <w:r>
              <w:rPr>
                <w:rFonts w:hint="eastAsia"/>
                <w:color w:val="auto"/>
                <w:highlight w:val="none"/>
              </w:rPr>
              <w:t>泗山塘与庙门前之间，自来水厂总占地面积</w:t>
            </w:r>
            <w:r>
              <w:rPr>
                <w:rFonts w:hint="eastAsia"/>
                <w:color w:val="FF0000"/>
                <w:highlight w:val="none"/>
                <w:u w:val="single"/>
                <w:lang w:eastAsia="zh-CN"/>
              </w:rPr>
              <w:t>33512</w:t>
            </w:r>
            <w:r>
              <w:rPr>
                <w:rFonts w:hint="eastAsia"/>
                <w:color w:val="FF0000"/>
                <w:highlight w:val="none"/>
                <w:u w:val="single"/>
              </w:rPr>
              <w:t>m</w:t>
            </w:r>
            <w:r>
              <w:rPr>
                <w:rFonts w:hint="eastAsia"/>
                <w:color w:val="FF0000"/>
                <w:highlight w:val="none"/>
                <w:u w:val="single"/>
                <w:vertAlign w:val="superscript"/>
              </w:rPr>
              <w:t>2</w:t>
            </w:r>
            <w:r>
              <w:rPr>
                <w:rFonts w:hint="eastAsia"/>
                <w:color w:val="FF0000"/>
                <w:highlight w:val="none"/>
                <w:u w:val="single"/>
              </w:rPr>
              <w:t>（折合约</w:t>
            </w:r>
            <w:r>
              <w:rPr>
                <w:rFonts w:hint="eastAsia"/>
                <w:color w:val="FF0000"/>
                <w:highlight w:val="none"/>
                <w:u w:val="single"/>
                <w:lang w:eastAsia="zh-CN"/>
              </w:rPr>
              <w:t>50.26亩</w:t>
            </w:r>
            <w:r>
              <w:rPr>
                <w:rFonts w:hint="eastAsia"/>
                <w:color w:val="FF0000"/>
                <w:highlight w:val="none"/>
                <w:u w:val="single"/>
              </w:rPr>
              <w:t>）</w:t>
            </w:r>
            <w:r>
              <w:rPr>
                <w:rFonts w:hint="eastAsia"/>
                <w:color w:val="auto"/>
                <w:highlight w:val="none"/>
              </w:rPr>
              <w:t>，近期总设计规模6.0×10</w:t>
            </w:r>
            <w:r>
              <w:rPr>
                <w:rFonts w:hint="eastAsia"/>
                <w:color w:val="auto"/>
                <w:highlight w:val="none"/>
                <w:vertAlign w:val="superscript"/>
              </w:rPr>
              <w:t>4</w:t>
            </w:r>
            <w:r>
              <w:rPr>
                <w:rFonts w:hint="eastAsia"/>
                <w:color w:val="auto"/>
                <w:highlight w:val="none"/>
              </w:rPr>
              <w:t>m</w:t>
            </w:r>
            <w:r>
              <w:rPr>
                <w:rFonts w:hint="eastAsia"/>
                <w:color w:val="auto"/>
                <w:highlight w:val="none"/>
                <w:vertAlign w:val="superscript"/>
              </w:rPr>
              <w:t>3</w:t>
            </w:r>
            <w:r>
              <w:rPr>
                <w:rFonts w:hint="eastAsia"/>
                <w:color w:val="auto"/>
                <w:highlight w:val="none"/>
              </w:rPr>
              <w:t>/d，主要建设配水井、絮凝沉淀清水池、气水反冲洗砂滤池、送水泵房、变配电间、综合加药间及机修、回用水池、排泥池、清水池、综合楼等，新建配水主干管DN800-DN250总长约256.04km，主干管DN150-DN100至供水片区村口总管道长约464km，新建远距离加压补氯配水泵房6座，</w:t>
            </w:r>
            <w:r>
              <w:rPr>
                <w:rFonts w:hint="eastAsia"/>
                <w:color w:val="auto"/>
                <w:highlight w:val="none"/>
                <w:u w:val="none"/>
              </w:rPr>
              <w:t>供水覆盖潘市镇、梅溪镇、羊角塘镇、进宝塘镇、黄泥塘镇、白水镇、八宝镇、肖家镇。</w:t>
            </w:r>
            <w:r>
              <w:rPr>
                <w:rFonts w:hint="eastAsia"/>
                <w:color w:val="auto"/>
                <w:highlight w:val="none"/>
              </w:rPr>
              <w:t>工程内容可分为取水工程、净水工程、供水管网三部分。</w:t>
            </w:r>
          </w:p>
          <w:p>
            <w:pPr>
              <w:pStyle w:val="30"/>
              <w:ind w:firstLine="422"/>
              <w:jc w:val="center"/>
              <w:rPr>
                <w:rFonts w:ascii="Times New Roman" w:cs="Times New Roman"/>
                <w:b/>
                <w:color w:val="auto"/>
                <w:sz w:val="21"/>
                <w:szCs w:val="21"/>
                <w:highlight w:val="none"/>
              </w:rPr>
            </w:pPr>
          </w:p>
          <w:p>
            <w:pPr>
              <w:pStyle w:val="30"/>
              <w:ind w:firstLine="422"/>
              <w:jc w:val="center"/>
              <w:rPr>
                <w:rFonts w:ascii="Times New Roman" w:cs="Times New Roman"/>
                <w:b/>
                <w:color w:val="auto"/>
                <w:sz w:val="21"/>
                <w:szCs w:val="21"/>
                <w:highlight w:val="none"/>
              </w:rPr>
            </w:pPr>
          </w:p>
          <w:p>
            <w:pPr>
              <w:spacing w:line="240" w:lineRule="auto"/>
              <w:ind w:firstLine="422"/>
              <w:jc w:val="center"/>
              <w:rPr>
                <w:b/>
                <w:bCs/>
                <w:color w:val="auto"/>
                <w:sz w:val="21"/>
                <w:szCs w:val="21"/>
                <w:highlight w:val="none"/>
              </w:rPr>
            </w:pPr>
            <w:r>
              <w:rPr>
                <w:rFonts w:hint="eastAsia"/>
                <w:b/>
                <w:bCs/>
                <w:color w:val="auto"/>
                <w:sz w:val="21"/>
                <w:szCs w:val="21"/>
                <w:highlight w:val="none"/>
              </w:rPr>
              <w:t>表1-2  项目组成一览表</w:t>
            </w:r>
          </w:p>
          <w:tbl>
            <w:tblPr>
              <w:tblStyle w:val="27"/>
              <w:tblW w:w="89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215"/>
              <w:gridCol w:w="5382"/>
              <w:gridCol w:w="1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工程类别</w:t>
                  </w:r>
                </w:p>
              </w:tc>
              <w:tc>
                <w:tcPr>
                  <w:tcW w:w="121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工程名称</w:t>
                  </w:r>
                </w:p>
              </w:tc>
              <w:tc>
                <w:tcPr>
                  <w:tcW w:w="538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工程内容</w:t>
                  </w:r>
                </w:p>
              </w:tc>
              <w:tc>
                <w:tcPr>
                  <w:tcW w:w="1748" w:type="dxa"/>
                  <w:tcBorders>
                    <w:tl2br w:val="nil"/>
                    <w:tr2bl w:val="nil"/>
                  </w:tcBorders>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主体工程</w:t>
                  </w:r>
                </w:p>
              </w:tc>
              <w:tc>
                <w:tcPr>
                  <w:tcW w:w="121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取水工程</w:t>
                  </w:r>
                </w:p>
              </w:tc>
              <w:tc>
                <w:tcPr>
                  <w:tcW w:w="5382"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取水泵房建设于湘江北岸潘市镇</w:t>
                  </w:r>
                  <w:r>
                    <w:rPr>
                      <w:rFonts w:hint="eastAsia"/>
                      <w:color w:val="auto"/>
                      <w:sz w:val="21"/>
                      <w:szCs w:val="21"/>
                      <w:highlight w:val="none"/>
                      <w:u w:val="single"/>
                      <w:lang w:eastAsia="zh-CN"/>
                    </w:rPr>
                    <w:t>董家埠村</w:t>
                  </w:r>
                  <w:r>
                    <w:rPr>
                      <w:color w:val="auto"/>
                      <w:sz w:val="21"/>
                      <w:szCs w:val="21"/>
                      <w:highlight w:val="none"/>
                    </w:rPr>
                    <w:t>泗山塘与庙门前之间湘江“鸭婆洲上端至衡阳交界处（归阳镇）”河段，取水量按60000m</w:t>
                  </w:r>
                  <w:r>
                    <w:rPr>
                      <w:color w:val="auto"/>
                      <w:sz w:val="21"/>
                      <w:szCs w:val="21"/>
                      <w:highlight w:val="none"/>
                      <w:vertAlign w:val="superscript"/>
                    </w:rPr>
                    <w:t>3</w:t>
                  </w:r>
                  <w:r>
                    <w:rPr>
                      <w:color w:val="auto"/>
                      <w:sz w:val="21"/>
                      <w:szCs w:val="21"/>
                      <w:highlight w:val="none"/>
                    </w:rPr>
                    <w:t>/d的规模设计</w:t>
                  </w:r>
                  <w:r>
                    <w:rPr>
                      <w:rFonts w:hint="eastAsia"/>
                      <w:color w:val="auto"/>
                      <w:sz w:val="21"/>
                      <w:szCs w:val="21"/>
                      <w:highlight w:val="none"/>
                    </w:rPr>
                    <w:t>。原水输水管采用2根 DN720钢管至净水厂配水井，管道长度约540m。管中设计流速为 0.97m/s，事故时流速 1.39m/s。</w:t>
                  </w:r>
                </w:p>
              </w:tc>
              <w:tc>
                <w:tcPr>
                  <w:tcW w:w="1748" w:type="dxa"/>
                  <w:tcBorders>
                    <w:tl2br w:val="nil"/>
                    <w:tr2bl w:val="nil"/>
                  </w:tcBorders>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距离</w:t>
                  </w:r>
                  <w:r>
                    <w:rPr>
                      <w:rFonts w:hint="eastAsia"/>
                      <w:color w:val="auto"/>
                      <w:sz w:val="21"/>
                      <w:szCs w:val="21"/>
                      <w:highlight w:val="none"/>
                    </w:rPr>
                    <w:t>净水</w:t>
                  </w:r>
                  <w:r>
                    <w:rPr>
                      <w:rFonts w:hint="eastAsia"/>
                      <w:color w:val="auto"/>
                      <w:sz w:val="21"/>
                      <w:szCs w:val="21"/>
                      <w:highlight w:val="none"/>
                      <w:lang w:val="en-US" w:eastAsia="zh-CN"/>
                    </w:rPr>
                    <w:t>工程约100m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21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净水工程</w:t>
                  </w:r>
                </w:p>
              </w:tc>
              <w:tc>
                <w:tcPr>
                  <w:tcW w:w="538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净水工艺采用絮凝平流沉淀池+气水反冲洗砂滤池的处理工艺，构筑物包括配水井、絮凝沉淀清水池、气水反冲洗砂滤池、送水泵房、变配电间、综合加药间及机修、回用水池、排泥池、清水池等，建设规模为6.0×10</w:t>
                  </w:r>
                  <w:r>
                    <w:rPr>
                      <w:rFonts w:hint="eastAsia"/>
                      <w:color w:val="auto"/>
                      <w:sz w:val="21"/>
                      <w:szCs w:val="21"/>
                      <w:highlight w:val="none"/>
                      <w:vertAlign w:val="superscript"/>
                    </w:rPr>
                    <w:t>4</w:t>
                  </w:r>
                  <w:r>
                    <w:rPr>
                      <w:rFonts w:hint="eastAsia"/>
                      <w:color w:val="auto"/>
                      <w:sz w:val="21"/>
                      <w:szCs w:val="21"/>
                      <w:highlight w:val="none"/>
                    </w:rPr>
                    <w:t>m</w:t>
                  </w:r>
                  <w:r>
                    <w:rPr>
                      <w:rFonts w:hint="eastAsia"/>
                      <w:color w:val="auto"/>
                      <w:sz w:val="21"/>
                      <w:szCs w:val="21"/>
                      <w:highlight w:val="none"/>
                      <w:vertAlign w:val="superscript"/>
                    </w:rPr>
                    <w:t>3</w:t>
                  </w:r>
                  <w:r>
                    <w:rPr>
                      <w:rFonts w:hint="eastAsia"/>
                      <w:color w:val="auto"/>
                      <w:sz w:val="21"/>
                      <w:szCs w:val="21"/>
                      <w:highlight w:val="none"/>
                    </w:rPr>
                    <w:t>/d。</w:t>
                  </w:r>
                </w:p>
              </w:tc>
              <w:tc>
                <w:tcPr>
                  <w:tcW w:w="1748" w:type="dxa"/>
                  <w:tcBorders>
                    <w:tl2br w:val="nil"/>
                    <w:tr2bl w:val="nil"/>
                  </w:tcBorders>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综合加药间贮存浓度</w:t>
                  </w:r>
                  <w:r>
                    <w:rPr>
                      <w:bCs/>
                      <w:color w:val="auto"/>
                      <w:sz w:val="21"/>
                      <w:szCs w:val="21"/>
                      <w:highlight w:val="none"/>
                    </w:rPr>
                    <w:t>31%盐酸</w:t>
                  </w:r>
                  <w:r>
                    <w:rPr>
                      <w:rFonts w:hint="eastAsia"/>
                      <w:bCs/>
                      <w:color w:val="auto"/>
                      <w:sz w:val="21"/>
                      <w:szCs w:val="21"/>
                      <w:highlight w:val="none"/>
                      <w:lang w:eastAsia="zh-CN"/>
                    </w:rPr>
                    <w:t>，</w:t>
                  </w:r>
                  <w:r>
                    <w:rPr>
                      <w:rFonts w:hint="eastAsia"/>
                      <w:bCs/>
                      <w:color w:val="auto"/>
                      <w:sz w:val="21"/>
                      <w:szCs w:val="21"/>
                      <w:highlight w:val="none"/>
                      <w:lang w:val="en-US" w:eastAsia="zh-CN"/>
                    </w:rPr>
                    <w:t>桶装，最大贮存量2t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供水管网</w:t>
                  </w:r>
                </w:p>
              </w:tc>
              <w:tc>
                <w:tcPr>
                  <w:tcW w:w="5382"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rPr>
                    <w:t>供水管材及其规格，应根据设计内径、设计内水压力、敷设方式、外部荷载、地形、地质、施工和材料供应等条件，通过结构计算和技术经济比较确定，本工程设计新建配水主干管DN800-DN250总长约256.04km，主干管DN150-DN100至供水片区村口总管道长约464km，新建远距离加压补氯配水泵房6座</w:t>
                  </w:r>
                  <w:r>
                    <w:rPr>
                      <w:rFonts w:hint="eastAsia"/>
                      <w:color w:val="auto"/>
                      <w:sz w:val="21"/>
                      <w:szCs w:val="21"/>
                      <w:highlight w:val="none"/>
                      <w:lang w:eastAsia="zh-CN"/>
                    </w:rPr>
                    <w:t>，</w:t>
                  </w:r>
                  <w:r>
                    <w:rPr>
                      <w:rFonts w:hint="eastAsia"/>
                      <w:color w:val="FF0000"/>
                      <w:sz w:val="21"/>
                      <w:szCs w:val="21"/>
                      <w:highlight w:val="none"/>
                      <w:u w:val="single"/>
                      <w:lang w:eastAsia="zh-CN"/>
                    </w:rPr>
                    <w:t>加压泵站1，设置在潘市镇，加压泵站2，设置在梅溪镇，加压泵站3，设置在羊角塘镇，加压泵站4，设置在黄泥塘镇，加压泵站5，设置在八宝镇，加压泵站6，设置在肖家镇</w:t>
                  </w:r>
                </w:p>
              </w:tc>
              <w:tc>
                <w:tcPr>
                  <w:tcW w:w="1748" w:type="dxa"/>
                  <w:vAlign w:val="center"/>
                </w:tcPr>
                <w:p>
                  <w:pPr>
                    <w:spacing w:line="240" w:lineRule="auto"/>
                    <w:ind w:firstLine="0" w:firstLineChars="0"/>
                    <w:jc w:val="center"/>
                    <w:rPr>
                      <w:rFonts w:hint="eastAsia" w:eastAsia="宋体"/>
                      <w:color w:val="FF0000"/>
                      <w:sz w:val="21"/>
                      <w:szCs w:val="21"/>
                      <w:highlight w:val="none"/>
                      <w:u w:val="single"/>
                      <w:lang w:eastAsia="zh-CN"/>
                    </w:rPr>
                  </w:pPr>
                  <w:r>
                    <w:rPr>
                      <w:rFonts w:hint="eastAsia" w:eastAsia="宋体"/>
                      <w:color w:val="FF0000"/>
                      <w:sz w:val="21"/>
                      <w:szCs w:val="21"/>
                      <w:highlight w:val="none"/>
                      <w:u w:val="single"/>
                      <w:lang w:eastAsia="zh-CN"/>
                    </w:rPr>
                    <w:t>配水主干管分别沿潘市镇、梅溪镇、羊角塘镇、黄泥塘镇、八宝镇、肖家村镇道路铺设</w:t>
                  </w:r>
                </w:p>
                <w:p>
                  <w:pPr>
                    <w:spacing w:line="360" w:lineRule="auto"/>
                    <w:ind w:firstLine="482"/>
                    <w:rPr>
                      <w:rFonts w:hint="eastAsia" w:eastAsia="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辅助工程</w:t>
                  </w:r>
                </w:p>
              </w:tc>
              <w:tc>
                <w:tcPr>
                  <w:tcW w:w="12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综合楼</w:t>
                  </w:r>
                </w:p>
              </w:tc>
              <w:tc>
                <w:tcPr>
                  <w:tcW w:w="538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总建筑面积为</w:t>
                  </w:r>
                  <w:r>
                    <w:rPr>
                      <w:rFonts w:hint="eastAsia"/>
                      <w:color w:val="FF0000"/>
                      <w:sz w:val="21"/>
                      <w:szCs w:val="21"/>
                      <w:highlight w:val="none"/>
                      <w:u w:val="single"/>
                      <w:lang w:eastAsia="zh-CN"/>
                    </w:rPr>
                    <w:t>1486.09</w:t>
                  </w:r>
                  <w:r>
                    <w:rPr>
                      <w:rFonts w:hint="eastAsia"/>
                      <w:color w:val="FF0000"/>
                      <w:sz w:val="21"/>
                      <w:szCs w:val="21"/>
                      <w:highlight w:val="none"/>
                      <w:u w:val="single"/>
                    </w:rPr>
                    <w:t>m</w:t>
                  </w:r>
                  <w:r>
                    <w:rPr>
                      <w:rFonts w:hint="eastAsia"/>
                      <w:color w:val="FF0000"/>
                      <w:sz w:val="21"/>
                      <w:szCs w:val="21"/>
                      <w:highlight w:val="none"/>
                      <w:u w:val="single"/>
                      <w:vertAlign w:val="superscript"/>
                    </w:rPr>
                    <w:t>2</w:t>
                  </w:r>
                </w:p>
              </w:tc>
              <w:tc>
                <w:tcPr>
                  <w:tcW w:w="1748" w:type="dxa"/>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用于取水泵站和净水厂工作人员办公、宿舍、食堂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公用工程</w:t>
                  </w:r>
                </w:p>
              </w:tc>
              <w:tc>
                <w:tcPr>
                  <w:tcW w:w="1215" w:type="dxa"/>
                  <w:vAlign w:val="center"/>
                </w:tcPr>
                <w:p>
                  <w:pPr>
                    <w:pStyle w:val="2"/>
                    <w:spacing w:line="240" w:lineRule="auto"/>
                    <w:jc w:val="center"/>
                    <w:rPr>
                      <w:color w:val="auto"/>
                      <w:sz w:val="21"/>
                      <w:szCs w:val="21"/>
                      <w:highlight w:val="none"/>
                    </w:rPr>
                  </w:pPr>
                  <w:r>
                    <w:rPr>
                      <w:rFonts w:hint="eastAsia"/>
                      <w:color w:val="auto"/>
                      <w:sz w:val="21"/>
                      <w:szCs w:val="21"/>
                      <w:highlight w:val="none"/>
                    </w:rPr>
                    <w:t>供水</w:t>
                  </w:r>
                </w:p>
              </w:tc>
              <w:tc>
                <w:tcPr>
                  <w:tcW w:w="7130" w:type="dxa"/>
                  <w:gridSpan w:val="2"/>
                  <w:vAlign w:val="center"/>
                </w:tcPr>
                <w:p>
                  <w:pPr>
                    <w:spacing w:line="240" w:lineRule="auto"/>
                    <w:ind w:firstLine="0" w:firstLineChars="0"/>
                    <w:jc w:val="center"/>
                    <w:rPr>
                      <w:color w:val="auto"/>
                      <w:kern w:val="24"/>
                      <w:sz w:val="21"/>
                      <w:szCs w:val="21"/>
                      <w:highlight w:val="none"/>
                    </w:rPr>
                  </w:pPr>
                  <w:r>
                    <w:rPr>
                      <w:color w:val="auto"/>
                      <w:kern w:val="24"/>
                      <w:sz w:val="21"/>
                      <w:szCs w:val="21"/>
                      <w:highlight w:val="none"/>
                    </w:rPr>
                    <w:t>水厂的生产生活用水来源于净水厂的清水池，由净水厂内部供给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Align w:val="center"/>
                </w:tcPr>
                <w:p>
                  <w:pPr>
                    <w:pStyle w:val="2"/>
                    <w:spacing w:line="240" w:lineRule="auto"/>
                    <w:jc w:val="center"/>
                    <w:rPr>
                      <w:color w:val="auto"/>
                      <w:sz w:val="21"/>
                      <w:szCs w:val="21"/>
                      <w:highlight w:val="none"/>
                    </w:rPr>
                  </w:pPr>
                  <w:r>
                    <w:rPr>
                      <w:rFonts w:hint="eastAsia"/>
                      <w:color w:val="auto"/>
                      <w:sz w:val="21"/>
                      <w:szCs w:val="21"/>
                      <w:highlight w:val="none"/>
                    </w:rPr>
                    <w:t>排水</w:t>
                  </w:r>
                </w:p>
              </w:tc>
              <w:tc>
                <w:tcPr>
                  <w:tcW w:w="7130" w:type="dxa"/>
                  <w:gridSpan w:val="2"/>
                  <w:vAlign w:val="center"/>
                </w:tcPr>
                <w:p>
                  <w:pPr>
                    <w:spacing w:line="240" w:lineRule="auto"/>
                    <w:ind w:left="0" w:leftChars="0" w:firstLine="0" w:firstLineChars="0"/>
                    <w:jc w:val="center"/>
                    <w:rPr>
                      <w:rFonts w:hint="eastAsia"/>
                      <w:color w:val="auto"/>
                      <w:sz w:val="21"/>
                      <w:szCs w:val="21"/>
                      <w:highlight w:val="none"/>
                    </w:rPr>
                  </w:pPr>
                  <w:r>
                    <w:rPr>
                      <w:rFonts w:hint="eastAsia"/>
                      <w:color w:val="auto"/>
                      <w:sz w:val="21"/>
                      <w:szCs w:val="21"/>
                      <w:highlight w:val="none"/>
                    </w:rPr>
                    <w:t>生活污水排入地埋式一体化污水处理设施,，处理后用于周边林地、农田、菜地施肥及厂区绿化。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Align w:val="center"/>
                </w:tcPr>
                <w:p>
                  <w:pPr>
                    <w:pStyle w:val="2"/>
                    <w:spacing w:line="240" w:lineRule="auto"/>
                    <w:jc w:val="center"/>
                    <w:rPr>
                      <w:color w:val="auto"/>
                      <w:sz w:val="21"/>
                      <w:szCs w:val="21"/>
                      <w:highlight w:val="none"/>
                    </w:rPr>
                  </w:pPr>
                  <w:r>
                    <w:rPr>
                      <w:rFonts w:hint="eastAsia"/>
                      <w:color w:val="auto"/>
                      <w:sz w:val="21"/>
                      <w:szCs w:val="21"/>
                      <w:highlight w:val="none"/>
                    </w:rPr>
                    <w:t>供电</w:t>
                  </w:r>
                </w:p>
              </w:tc>
              <w:tc>
                <w:tcPr>
                  <w:tcW w:w="7130" w:type="dxa"/>
                  <w:gridSpan w:val="2"/>
                  <w:vAlign w:val="center"/>
                </w:tcPr>
                <w:p>
                  <w:pPr>
                    <w:spacing w:line="240" w:lineRule="auto"/>
                    <w:ind w:firstLine="420"/>
                    <w:jc w:val="center"/>
                    <w:rPr>
                      <w:rFonts w:hint="eastAsia"/>
                      <w:color w:val="auto"/>
                      <w:sz w:val="21"/>
                      <w:szCs w:val="21"/>
                      <w:highlight w:val="none"/>
                    </w:rPr>
                  </w:pPr>
                  <w:r>
                    <w:rPr>
                      <w:rFonts w:hint="eastAsia"/>
                      <w:color w:val="FF0000"/>
                      <w:sz w:val="21"/>
                      <w:szCs w:val="21"/>
                      <w:highlight w:val="none"/>
                      <w:u w:val="single"/>
                      <w:lang w:eastAsia="zh-CN"/>
                    </w:rPr>
                    <w:t>厂区设配电间总建筑面积</w:t>
                  </w:r>
                  <w:r>
                    <w:rPr>
                      <w:rFonts w:hint="eastAsia"/>
                      <w:color w:val="FF0000"/>
                      <w:sz w:val="21"/>
                      <w:szCs w:val="21"/>
                      <w:highlight w:val="none"/>
                      <w:u w:val="single"/>
                      <w:lang w:val="en-US" w:eastAsia="zh-CN"/>
                    </w:rPr>
                    <w:t>347.26m</w:t>
                  </w:r>
                  <w:r>
                    <w:rPr>
                      <w:rFonts w:hint="eastAsia"/>
                      <w:color w:val="FF0000"/>
                      <w:sz w:val="21"/>
                      <w:szCs w:val="21"/>
                      <w:highlight w:val="none"/>
                      <w:u w:val="single"/>
                      <w:vertAlign w:val="superscript"/>
                      <w:lang w:val="en-US" w:eastAsia="zh-CN"/>
                    </w:rPr>
                    <w:t>2</w:t>
                  </w:r>
                  <w:r>
                    <w:rPr>
                      <w:rFonts w:hint="eastAsia"/>
                      <w:color w:val="FF0000"/>
                      <w:sz w:val="21"/>
                      <w:szCs w:val="21"/>
                      <w:highlight w:val="none"/>
                      <w:u w:val="single"/>
                      <w:vertAlign w:val="baseline"/>
                      <w:lang w:val="en-US" w:eastAsia="zh-CN"/>
                    </w:rPr>
                    <w:t>，</w:t>
                  </w:r>
                  <w:r>
                    <w:rPr>
                      <w:rFonts w:hint="eastAsia"/>
                      <w:color w:val="auto"/>
                      <w:sz w:val="21"/>
                      <w:szCs w:val="21"/>
                      <w:highlight w:val="none"/>
                    </w:rPr>
                    <w:t>双回路供电，引至靠水厂的10KV公网，电压等级10KV。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Align w:val="center"/>
                </w:tcPr>
                <w:p>
                  <w:pPr>
                    <w:pStyle w:val="2"/>
                    <w:spacing w:line="240" w:lineRule="auto"/>
                    <w:jc w:val="center"/>
                    <w:rPr>
                      <w:color w:val="auto"/>
                      <w:sz w:val="21"/>
                      <w:szCs w:val="21"/>
                      <w:highlight w:val="none"/>
                    </w:rPr>
                  </w:pPr>
                  <w:r>
                    <w:rPr>
                      <w:rFonts w:hint="eastAsia"/>
                      <w:color w:val="auto"/>
                      <w:sz w:val="21"/>
                      <w:szCs w:val="21"/>
                      <w:highlight w:val="none"/>
                    </w:rPr>
                    <w:t>供暖</w:t>
                  </w:r>
                </w:p>
              </w:tc>
              <w:tc>
                <w:tcPr>
                  <w:tcW w:w="7130" w:type="dxa"/>
                  <w:gridSpan w:val="2"/>
                  <w:vAlign w:val="center"/>
                </w:tcPr>
                <w:p>
                  <w:pPr>
                    <w:spacing w:line="240" w:lineRule="auto"/>
                    <w:ind w:firstLine="420"/>
                    <w:jc w:val="center"/>
                    <w:rPr>
                      <w:rFonts w:hAnsi="宋体"/>
                      <w:color w:val="auto"/>
                      <w:sz w:val="21"/>
                      <w:szCs w:val="21"/>
                      <w:highlight w:val="none"/>
                    </w:rPr>
                  </w:pPr>
                  <w:r>
                    <w:rPr>
                      <w:rFonts w:hAnsi="宋体"/>
                      <w:color w:val="auto"/>
                      <w:sz w:val="21"/>
                      <w:szCs w:val="21"/>
                      <w:highlight w:val="none"/>
                    </w:rPr>
                    <w:t>采用空调供暖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环保工程</w:t>
                  </w:r>
                </w:p>
              </w:tc>
              <w:tc>
                <w:tcPr>
                  <w:tcW w:w="1215" w:type="dxa"/>
                  <w:vMerge w:val="restart"/>
                  <w:vAlign w:val="center"/>
                </w:tcPr>
                <w:p>
                  <w:pPr>
                    <w:pStyle w:val="2"/>
                    <w:spacing w:line="240" w:lineRule="auto"/>
                    <w:jc w:val="center"/>
                    <w:rPr>
                      <w:rFonts w:hint="eastAsia"/>
                      <w:color w:val="auto"/>
                      <w:sz w:val="21"/>
                      <w:szCs w:val="21"/>
                      <w:highlight w:val="none"/>
                    </w:rPr>
                  </w:pPr>
                  <w:r>
                    <w:rPr>
                      <w:rFonts w:hint="eastAsia"/>
                      <w:color w:val="auto"/>
                      <w:sz w:val="21"/>
                      <w:szCs w:val="21"/>
                      <w:highlight w:val="none"/>
                    </w:rPr>
                    <w:t>废水</w:t>
                  </w:r>
                </w:p>
                <w:p>
                  <w:pPr>
                    <w:pStyle w:val="2"/>
                    <w:spacing w:line="240" w:lineRule="auto"/>
                    <w:jc w:val="center"/>
                    <w:rPr>
                      <w:color w:val="auto"/>
                      <w:sz w:val="21"/>
                      <w:szCs w:val="21"/>
                      <w:highlight w:val="none"/>
                    </w:rPr>
                  </w:pPr>
                  <w:r>
                    <w:rPr>
                      <w:rFonts w:hint="eastAsia"/>
                      <w:color w:val="auto"/>
                      <w:sz w:val="21"/>
                      <w:szCs w:val="21"/>
                      <w:highlight w:val="none"/>
                    </w:rPr>
                    <w:t>处理</w:t>
                  </w:r>
                </w:p>
              </w:tc>
              <w:tc>
                <w:tcPr>
                  <w:tcW w:w="7130" w:type="dxa"/>
                  <w:gridSpan w:val="2"/>
                  <w:vAlign w:val="center"/>
                </w:tcPr>
                <w:p>
                  <w:pPr>
                    <w:spacing w:line="240" w:lineRule="auto"/>
                    <w:ind w:left="0" w:leftChars="0" w:firstLine="0" w:firstLineChars="0"/>
                    <w:jc w:val="center"/>
                    <w:rPr>
                      <w:rFonts w:hint="eastAsia"/>
                      <w:color w:val="auto"/>
                      <w:sz w:val="21"/>
                      <w:szCs w:val="21"/>
                      <w:highlight w:val="none"/>
                    </w:rPr>
                  </w:pPr>
                  <w:r>
                    <w:rPr>
                      <w:rFonts w:hint="eastAsia"/>
                      <w:color w:val="auto"/>
                      <w:sz w:val="21"/>
                      <w:szCs w:val="21"/>
                      <w:highlight w:val="none"/>
                      <w:lang w:val="en-US" w:eastAsia="zh-CN"/>
                    </w:rPr>
                    <w:t>化验室废水经中和、</w:t>
                  </w:r>
                  <w:r>
                    <w:rPr>
                      <w:rFonts w:hint="eastAsia"/>
                      <w:color w:val="auto"/>
                      <w:sz w:val="21"/>
                      <w:szCs w:val="21"/>
                      <w:highlight w:val="none"/>
                    </w:rPr>
                    <w:t>食堂废水经隔油池隔油后同其它生活污水排入地埋式一体化污水处理设施，处理后用于周边林地、农田、菜地施肥及厂区绿化。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Merge w:val="continue"/>
                  <w:vAlign w:val="center"/>
                </w:tcPr>
                <w:p>
                  <w:pPr>
                    <w:pStyle w:val="2"/>
                    <w:spacing w:line="240" w:lineRule="auto"/>
                    <w:jc w:val="center"/>
                    <w:rPr>
                      <w:color w:val="auto"/>
                      <w:sz w:val="21"/>
                      <w:szCs w:val="21"/>
                      <w:highlight w:val="none"/>
                    </w:rPr>
                  </w:pPr>
                </w:p>
              </w:tc>
              <w:tc>
                <w:tcPr>
                  <w:tcW w:w="7130" w:type="dxa"/>
                  <w:gridSpan w:val="2"/>
                  <w:vAlign w:val="center"/>
                </w:tcPr>
                <w:p>
                  <w:pPr>
                    <w:spacing w:line="240" w:lineRule="auto"/>
                    <w:ind w:left="0" w:leftChars="0" w:firstLine="0" w:firstLineChars="0"/>
                    <w:jc w:val="center"/>
                    <w:rPr>
                      <w:rFonts w:hint="eastAsia"/>
                      <w:color w:val="auto"/>
                      <w:sz w:val="21"/>
                      <w:szCs w:val="21"/>
                      <w:highlight w:val="none"/>
                    </w:rPr>
                  </w:pPr>
                  <w:r>
                    <w:rPr>
                      <w:rFonts w:hint="eastAsia"/>
                      <w:color w:val="auto"/>
                      <w:sz w:val="21"/>
                      <w:szCs w:val="21"/>
                      <w:highlight w:val="none"/>
                    </w:rPr>
                    <w:t>反应池、沉淀池含泥废水和滤池反冲洗废水排入澄清池，澄清池上清液回流至原水。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Align w:val="center"/>
                </w:tcPr>
                <w:p>
                  <w:pPr>
                    <w:spacing w:line="240" w:lineRule="auto"/>
                    <w:ind w:firstLine="0" w:firstLineChars="0"/>
                    <w:jc w:val="center"/>
                    <w:rPr>
                      <w:color w:val="auto"/>
                      <w:sz w:val="21"/>
                      <w:szCs w:val="21"/>
                      <w:highlight w:val="none"/>
                    </w:rPr>
                  </w:pPr>
                  <w:r>
                    <w:rPr>
                      <w:rFonts w:hAnsi="宋体"/>
                      <w:color w:val="auto"/>
                      <w:sz w:val="21"/>
                      <w:szCs w:val="21"/>
                      <w:highlight w:val="none"/>
                    </w:rPr>
                    <w:t>废气</w:t>
                  </w:r>
                  <w:r>
                    <w:rPr>
                      <w:rFonts w:hint="eastAsia" w:hAnsi="宋体"/>
                      <w:color w:val="auto"/>
                      <w:sz w:val="21"/>
                      <w:szCs w:val="21"/>
                      <w:highlight w:val="none"/>
                    </w:rPr>
                    <w:t>处理</w:t>
                  </w:r>
                </w:p>
              </w:tc>
              <w:tc>
                <w:tcPr>
                  <w:tcW w:w="7130" w:type="dxa"/>
                  <w:gridSpan w:val="2"/>
                  <w:vAlign w:val="center"/>
                </w:tcPr>
                <w:p>
                  <w:pPr>
                    <w:spacing w:line="240" w:lineRule="auto"/>
                    <w:ind w:firstLine="420"/>
                    <w:jc w:val="center"/>
                    <w:rPr>
                      <w:rFonts w:hint="eastAsia"/>
                      <w:color w:val="auto"/>
                      <w:sz w:val="21"/>
                      <w:szCs w:val="21"/>
                      <w:highlight w:val="none"/>
                    </w:rPr>
                  </w:pPr>
                  <w:r>
                    <w:rPr>
                      <w:rFonts w:hint="eastAsia"/>
                      <w:color w:val="auto"/>
                      <w:sz w:val="21"/>
                      <w:szCs w:val="21"/>
                      <w:highlight w:val="none"/>
                    </w:rPr>
                    <w:t>加药间设置排风扇；食堂设施油烟净化器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Align w:val="center"/>
                </w:tcPr>
                <w:p>
                  <w:pPr>
                    <w:spacing w:line="240" w:lineRule="auto"/>
                    <w:ind w:firstLine="0" w:firstLineChars="0"/>
                    <w:jc w:val="center"/>
                    <w:rPr>
                      <w:color w:val="auto"/>
                      <w:sz w:val="21"/>
                      <w:szCs w:val="21"/>
                      <w:highlight w:val="none"/>
                    </w:rPr>
                  </w:pPr>
                  <w:r>
                    <w:rPr>
                      <w:rFonts w:hAnsi="宋体"/>
                      <w:color w:val="auto"/>
                      <w:spacing w:val="4"/>
                      <w:sz w:val="21"/>
                      <w:szCs w:val="21"/>
                      <w:highlight w:val="none"/>
                    </w:rPr>
                    <w:t>噪声</w:t>
                  </w:r>
                  <w:r>
                    <w:rPr>
                      <w:rFonts w:hint="eastAsia" w:hAnsi="宋体"/>
                      <w:color w:val="auto"/>
                      <w:sz w:val="21"/>
                      <w:szCs w:val="21"/>
                      <w:highlight w:val="none"/>
                    </w:rPr>
                    <w:t>处理</w:t>
                  </w:r>
                </w:p>
              </w:tc>
              <w:tc>
                <w:tcPr>
                  <w:tcW w:w="7130" w:type="dxa"/>
                  <w:gridSpan w:val="2"/>
                  <w:vAlign w:val="center"/>
                </w:tcPr>
                <w:p>
                  <w:pPr>
                    <w:spacing w:line="240" w:lineRule="auto"/>
                    <w:ind w:left="0" w:leftChars="0" w:firstLine="0" w:firstLineChars="0"/>
                    <w:jc w:val="center"/>
                    <w:rPr>
                      <w:rFonts w:hint="eastAsia"/>
                      <w:color w:val="auto"/>
                      <w:sz w:val="21"/>
                      <w:szCs w:val="21"/>
                      <w:highlight w:val="none"/>
                    </w:rPr>
                  </w:pPr>
                  <w:r>
                    <w:rPr>
                      <w:rFonts w:hint="eastAsia"/>
                      <w:color w:val="auto"/>
                      <w:sz w:val="21"/>
                      <w:szCs w:val="21"/>
                      <w:highlight w:val="none"/>
                    </w:rPr>
                    <w:t>选用低噪声设备，</w:t>
                  </w:r>
                  <w:r>
                    <w:rPr>
                      <w:color w:val="auto"/>
                      <w:sz w:val="21"/>
                      <w:szCs w:val="21"/>
                      <w:highlight w:val="none"/>
                    </w:rPr>
                    <w:t>设备</w:t>
                  </w:r>
                  <w:r>
                    <w:rPr>
                      <w:rFonts w:hint="eastAsia"/>
                      <w:color w:val="auto"/>
                      <w:sz w:val="21"/>
                      <w:szCs w:val="21"/>
                      <w:highlight w:val="none"/>
                    </w:rPr>
                    <w:t>隔音</w:t>
                  </w:r>
                  <w:r>
                    <w:rPr>
                      <w:color w:val="auto"/>
                      <w:sz w:val="21"/>
                      <w:szCs w:val="21"/>
                      <w:highlight w:val="none"/>
                    </w:rPr>
                    <w:t>减振、减噪</w:t>
                  </w:r>
                  <w:r>
                    <w:rPr>
                      <w:rFonts w:hint="eastAsia"/>
                      <w:color w:val="auto"/>
                      <w:sz w:val="21"/>
                      <w:szCs w:val="21"/>
                      <w:highlight w:val="none"/>
                    </w:rPr>
                    <w:t>，合理平面布局，墙体隔音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12" w:type="dxa"/>
                  <w:vMerge w:val="continue"/>
                  <w:vAlign w:val="center"/>
                </w:tcPr>
                <w:p>
                  <w:pPr>
                    <w:spacing w:line="240" w:lineRule="auto"/>
                    <w:ind w:firstLine="0" w:firstLineChars="0"/>
                    <w:jc w:val="center"/>
                    <w:rPr>
                      <w:color w:val="auto"/>
                      <w:sz w:val="21"/>
                      <w:szCs w:val="21"/>
                      <w:highlight w:val="none"/>
                    </w:rPr>
                  </w:pPr>
                </w:p>
              </w:tc>
              <w:tc>
                <w:tcPr>
                  <w:tcW w:w="1215" w:type="dxa"/>
                  <w:vAlign w:val="center"/>
                </w:tcPr>
                <w:p>
                  <w:pPr>
                    <w:spacing w:line="240" w:lineRule="auto"/>
                    <w:ind w:firstLine="0" w:firstLineChars="0"/>
                    <w:jc w:val="center"/>
                    <w:rPr>
                      <w:color w:val="auto"/>
                      <w:sz w:val="21"/>
                      <w:szCs w:val="21"/>
                      <w:highlight w:val="none"/>
                    </w:rPr>
                  </w:pPr>
                  <w:r>
                    <w:rPr>
                      <w:rFonts w:hAnsi="宋体"/>
                      <w:color w:val="auto"/>
                      <w:spacing w:val="4"/>
                      <w:sz w:val="21"/>
                      <w:szCs w:val="21"/>
                      <w:highlight w:val="none"/>
                    </w:rPr>
                    <w:t>固废</w:t>
                  </w:r>
                  <w:r>
                    <w:rPr>
                      <w:rFonts w:hint="eastAsia" w:hAnsi="宋体"/>
                      <w:color w:val="auto"/>
                      <w:sz w:val="21"/>
                      <w:szCs w:val="21"/>
                      <w:highlight w:val="none"/>
                    </w:rPr>
                    <w:t>处理</w:t>
                  </w:r>
                </w:p>
              </w:tc>
              <w:tc>
                <w:tcPr>
                  <w:tcW w:w="7130" w:type="dxa"/>
                  <w:gridSpan w:val="2"/>
                  <w:vAlign w:val="center"/>
                </w:tcPr>
                <w:p>
                  <w:pPr>
                    <w:spacing w:line="240" w:lineRule="auto"/>
                    <w:ind w:firstLine="420"/>
                    <w:jc w:val="center"/>
                    <w:rPr>
                      <w:rFonts w:hint="eastAsia"/>
                      <w:color w:val="auto"/>
                      <w:sz w:val="21"/>
                      <w:szCs w:val="21"/>
                      <w:highlight w:val="none"/>
                    </w:rPr>
                  </w:pPr>
                  <w:r>
                    <w:rPr>
                      <w:rFonts w:hint="eastAsia"/>
                      <w:color w:val="auto"/>
                      <w:sz w:val="21"/>
                      <w:szCs w:val="21"/>
                      <w:highlight w:val="none"/>
                    </w:rPr>
                    <w:t>垃圾桶、污泥浓缩池、板框压滤机、一般固废间、危险固废间</w:t>
                  </w:r>
                </w:p>
              </w:tc>
            </w:tr>
          </w:tbl>
          <w:p>
            <w:pPr>
              <w:spacing w:line="240" w:lineRule="auto"/>
              <w:ind w:firstLine="422"/>
              <w:jc w:val="center"/>
              <w:rPr>
                <w:b/>
                <w:bCs/>
                <w:color w:val="auto"/>
                <w:sz w:val="21"/>
                <w:szCs w:val="21"/>
                <w:highlight w:val="none"/>
              </w:rPr>
            </w:pPr>
          </w:p>
          <w:p>
            <w:pPr>
              <w:spacing w:line="240" w:lineRule="auto"/>
              <w:ind w:firstLine="422"/>
              <w:jc w:val="center"/>
              <w:rPr>
                <w:b/>
                <w:bCs/>
                <w:color w:val="auto"/>
                <w:sz w:val="21"/>
                <w:szCs w:val="21"/>
                <w:highlight w:val="none"/>
              </w:rPr>
            </w:pPr>
            <w:r>
              <w:rPr>
                <w:b/>
                <w:bCs/>
                <w:color w:val="auto"/>
                <w:sz w:val="21"/>
                <w:szCs w:val="21"/>
                <w:highlight w:val="none"/>
              </w:rPr>
              <w:t>表1-3  主要经济技术指标一览表</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323"/>
              <w:gridCol w:w="2197"/>
              <w:gridCol w:w="2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序号</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项目</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指标</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围墙内工程总占地面积（包括取水泵房）</w:t>
                  </w:r>
                </w:p>
              </w:tc>
              <w:tc>
                <w:tcPr>
                  <w:tcW w:w="2197" w:type="dxa"/>
                  <w:vAlign w:val="center"/>
                </w:tcPr>
                <w:p>
                  <w:pPr>
                    <w:spacing w:line="240" w:lineRule="auto"/>
                    <w:ind w:firstLine="0" w:firstLineChars="0"/>
                    <w:jc w:val="center"/>
                    <w:rPr>
                      <w:color w:val="auto"/>
                      <w:sz w:val="21"/>
                      <w:szCs w:val="21"/>
                      <w:highlight w:val="none"/>
                    </w:rPr>
                  </w:pPr>
                  <w:r>
                    <w:rPr>
                      <w:rFonts w:hint="eastAsia"/>
                      <w:color w:val="FF0000"/>
                      <w:sz w:val="21"/>
                      <w:szCs w:val="21"/>
                      <w:highlight w:val="none"/>
                      <w:u w:val="single"/>
                      <w:lang w:eastAsia="zh-CN"/>
                    </w:rPr>
                    <w:t>33512</w:t>
                  </w:r>
                  <w:r>
                    <w:rPr>
                      <w:rFonts w:hint="eastAsia"/>
                      <w:color w:val="FF0000"/>
                      <w:sz w:val="21"/>
                      <w:szCs w:val="21"/>
                      <w:highlight w:val="none"/>
                      <w:u w:val="single"/>
                    </w:rPr>
                    <w:t>m</w:t>
                  </w:r>
                  <w:r>
                    <w:rPr>
                      <w:rFonts w:hint="eastAsia"/>
                      <w:color w:val="FF0000"/>
                      <w:sz w:val="21"/>
                      <w:szCs w:val="21"/>
                      <w:highlight w:val="none"/>
                      <w:u w:val="single"/>
                      <w:vertAlign w:val="superscript"/>
                    </w:rPr>
                    <w:t>2</w:t>
                  </w:r>
                </w:p>
              </w:tc>
              <w:tc>
                <w:tcPr>
                  <w:tcW w:w="2197"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50.26亩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构（建）筑物占地面积</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9080.79m</w:t>
                  </w:r>
                  <w:r>
                    <w:rPr>
                      <w:rFonts w:hint="eastAsia"/>
                      <w:color w:val="auto"/>
                      <w:sz w:val="21"/>
                      <w:szCs w:val="21"/>
                      <w:highlight w:val="none"/>
                      <w:vertAlign w:val="superscript"/>
                    </w:rPr>
                    <w:t>2</w:t>
                  </w:r>
                </w:p>
              </w:tc>
              <w:tc>
                <w:tcPr>
                  <w:tcW w:w="2197" w:type="dxa"/>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道路、广场占地面积</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5290m</w:t>
                  </w:r>
                  <w:r>
                    <w:rPr>
                      <w:rFonts w:hint="eastAsia"/>
                      <w:color w:val="auto"/>
                      <w:sz w:val="21"/>
                      <w:szCs w:val="21"/>
                      <w:highlight w:val="none"/>
                      <w:vertAlign w:val="superscript"/>
                    </w:rPr>
                    <w:t>2</w:t>
                  </w:r>
                </w:p>
              </w:tc>
              <w:tc>
                <w:tcPr>
                  <w:tcW w:w="2197" w:type="dxa"/>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总绿化面积</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7200m</w:t>
                  </w:r>
                  <w:r>
                    <w:rPr>
                      <w:rFonts w:hint="eastAsia"/>
                      <w:color w:val="auto"/>
                      <w:sz w:val="21"/>
                      <w:szCs w:val="21"/>
                      <w:highlight w:val="none"/>
                      <w:vertAlign w:val="superscript"/>
                    </w:rPr>
                    <w:t>2</w:t>
                  </w:r>
                </w:p>
              </w:tc>
              <w:tc>
                <w:tcPr>
                  <w:tcW w:w="2197" w:type="dxa"/>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其他面积</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11967.52m</w:t>
                  </w:r>
                  <w:r>
                    <w:rPr>
                      <w:rFonts w:hint="eastAsia"/>
                      <w:color w:val="auto"/>
                      <w:sz w:val="21"/>
                      <w:szCs w:val="21"/>
                      <w:highlight w:val="none"/>
                      <w:vertAlign w:val="superscript"/>
                    </w:rPr>
                    <w:t>2</w:t>
                  </w:r>
                </w:p>
              </w:tc>
              <w:tc>
                <w:tcPr>
                  <w:tcW w:w="2197" w:type="dxa"/>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建筑面积</w:t>
                  </w:r>
                </w:p>
              </w:tc>
              <w:tc>
                <w:tcPr>
                  <w:tcW w:w="2197" w:type="dxa"/>
                  <w:vAlign w:val="center"/>
                </w:tcPr>
                <w:p>
                  <w:pPr>
                    <w:spacing w:line="240" w:lineRule="auto"/>
                    <w:ind w:firstLine="0" w:firstLineChars="0"/>
                    <w:jc w:val="center"/>
                    <w:rPr>
                      <w:color w:val="auto"/>
                      <w:sz w:val="21"/>
                      <w:szCs w:val="21"/>
                      <w:highlight w:val="none"/>
                    </w:rPr>
                  </w:pPr>
                  <w:r>
                    <w:rPr>
                      <w:rFonts w:hint="eastAsia"/>
                      <w:color w:val="FF0000"/>
                      <w:sz w:val="21"/>
                      <w:szCs w:val="21"/>
                      <w:highlight w:val="none"/>
                      <w:u w:val="single"/>
                      <w:lang w:eastAsia="zh-CN"/>
                    </w:rPr>
                    <w:t>1879.7</w:t>
                  </w:r>
                  <w:r>
                    <w:rPr>
                      <w:rFonts w:hint="eastAsia"/>
                      <w:color w:val="FF0000"/>
                      <w:sz w:val="21"/>
                      <w:szCs w:val="21"/>
                      <w:highlight w:val="none"/>
                      <w:u w:val="single"/>
                    </w:rPr>
                    <w:t>m</w:t>
                  </w:r>
                  <w:r>
                    <w:rPr>
                      <w:rFonts w:hint="eastAsia"/>
                      <w:color w:val="FF0000"/>
                      <w:sz w:val="21"/>
                      <w:szCs w:val="21"/>
                      <w:highlight w:val="none"/>
                      <w:u w:val="single"/>
                      <w:vertAlign w:val="superscript"/>
                    </w:rPr>
                    <w:t>2</w:t>
                  </w:r>
                </w:p>
              </w:tc>
              <w:tc>
                <w:tcPr>
                  <w:tcW w:w="2197" w:type="dxa"/>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围墙长度</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1231m</w:t>
                  </w:r>
                </w:p>
              </w:tc>
              <w:tc>
                <w:tcPr>
                  <w:tcW w:w="2197" w:type="dxa"/>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构（建）筑物系数</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0.27</w:t>
                  </w:r>
                </w:p>
              </w:tc>
              <w:tc>
                <w:tcPr>
                  <w:tcW w:w="2197" w:type="dxa"/>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w:t>
                  </w:r>
                </w:p>
              </w:tc>
              <w:tc>
                <w:tcPr>
                  <w:tcW w:w="332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工程绿地率</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21.47%</w:t>
                  </w:r>
                </w:p>
              </w:tc>
              <w:tc>
                <w:tcPr>
                  <w:tcW w:w="2197" w:type="dxa"/>
                  <w:vAlign w:val="center"/>
                </w:tcPr>
                <w:p>
                  <w:pPr>
                    <w:spacing w:line="240" w:lineRule="auto"/>
                    <w:ind w:firstLine="0" w:firstLineChars="0"/>
                    <w:jc w:val="center"/>
                    <w:rPr>
                      <w:color w:val="auto"/>
                      <w:sz w:val="21"/>
                      <w:szCs w:val="21"/>
                      <w:highlight w:val="none"/>
                    </w:rPr>
                  </w:pPr>
                </w:p>
              </w:tc>
            </w:tr>
          </w:tbl>
          <w:p>
            <w:pPr>
              <w:spacing w:line="360" w:lineRule="auto"/>
              <w:ind w:firstLine="482"/>
              <w:jc w:val="left"/>
              <w:rPr>
                <w:b/>
                <w:bCs/>
                <w:color w:val="auto"/>
                <w:highlight w:val="none"/>
              </w:rPr>
            </w:pPr>
            <w:r>
              <w:rPr>
                <w:rFonts w:hint="eastAsia"/>
                <w:b/>
                <w:bCs/>
                <w:color w:val="auto"/>
                <w:highlight w:val="none"/>
              </w:rPr>
              <w:t>（1）取水工程</w:t>
            </w:r>
          </w:p>
          <w:p>
            <w:pPr>
              <w:spacing w:line="360" w:lineRule="auto"/>
              <w:jc w:val="left"/>
              <w:rPr>
                <w:color w:val="auto"/>
                <w:highlight w:val="none"/>
              </w:rPr>
            </w:pPr>
            <w:r>
              <w:rPr>
                <w:rFonts w:hint="eastAsia"/>
                <w:color w:val="auto"/>
                <w:highlight w:val="none"/>
              </w:rPr>
              <w:t>祁阳县城乡供水一体化（二期）工程取水水源为祁阳县潘市镇</w:t>
            </w:r>
            <w:r>
              <w:rPr>
                <w:rFonts w:hint="eastAsia"/>
                <w:color w:val="FF0000"/>
                <w:kern w:val="0"/>
                <w:szCs w:val="21"/>
                <w:highlight w:val="none"/>
                <w:u w:val="single"/>
                <w:lang w:eastAsia="zh-CN"/>
              </w:rPr>
              <w:t>董家埠村</w:t>
            </w:r>
            <w:r>
              <w:rPr>
                <w:rFonts w:hint="eastAsia"/>
                <w:color w:val="auto"/>
                <w:highlight w:val="none"/>
              </w:rPr>
              <w:t>泗山塘与庙门前之间湘江“鸭婆洲上端至衡阳交界处（归阳镇）”河段（地理坐标为：东经112.040911，北纬26.467059），渔业用水。</w:t>
            </w:r>
          </w:p>
          <w:p>
            <w:pPr>
              <w:spacing w:line="360" w:lineRule="auto"/>
              <w:jc w:val="left"/>
              <w:rPr>
                <w:color w:val="auto"/>
                <w:highlight w:val="none"/>
              </w:rPr>
            </w:pPr>
            <w:r>
              <w:rPr>
                <w:rFonts w:hint="eastAsia"/>
                <w:color w:val="auto"/>
                <w:highlight w:val="none"/>
              </w:rPr>
              <w:t>①取水量：按60000m</w:t>
            </w:r>
            <w:r>
              <w:rPr>
                <w:rFonts w:hint="eastAsia"/>
                <w:color w:val="auto"/>
                <w:highlight w:val="none"/>
                <w:vertAlign w:val="superscript"/>
              </w:rPr>
              <w:t>3</w:t>
            </w:r>
            <w:r>
              <w:rPr>
                <w:rFonts w:hint="eastAsia"/>
                <w:color w:val="auto"/>
                <w:highlight w:val="none"/>
              </w:rPr>
              <w:t>/d的规模设计。</w:t>
            </w:r>
          </w:p>
          <w:p>
            <w:pPr>
              <w:spacing w:line="360" w:lineRule="auto"/>
              <w:jc w:val="left"/>
              <w:rPr>
                <w:color w:val="auto"/>
                <w:highlight w:val="none"/>
              </w:rPr>
            </w:pPr>
            <w:r>
              <w:rPr>
                <w:rFonts w:hint="eastAsia"/>
                <w:color w:val="auto"/>
                <w:highlight w:val="none"/>
              </w:rPr>
              <w:t>②取水头部设计规模为 6.0×</w:t>
            </w:r>
            <w:r>
              <w:rPr>
                <w:rFonts w:hint="eastAsia"/>
                <w:color w:val="auto"/>
                <w:highlight w:val="none"/>
                <w:lang w:eastAsia="zh-CN"/>
              </w:rPr>
              <w:t>10</w:t>
            </w:r>
            <w:r>
              <w:rPr>
                <w:rFonts w:hint="eastAsia"/>
                <w:color w:val="auto"/>
                <w:highlight w:val="none"/>
                <w:vertAlign w:val="superscript"/>
                <w:lang w:eastAsia="zh-CN"/>
              </w:rPr>
              <w:t>4</w:t>
            </w:r>
            <w:r>
              <w:rPr>
                <w:rFonts w:hint="eastAsia"/>
                <w:color w:val="auto"/>
                <w:highlight w:val="none"/>
              </w:rPr>
              <w:t>m</w:t>
            </w:r>
            <w:r>
              <w:rPr>
                <w:rFonts w:hint="eastAsia"/>
                <w:color w:val="auto"/>
                <w:highlight w:val="none"/>
                <w:vertAlign w:val="superscript"/>
              </w:rPr>
              <w:t>3</w:t>
            </w:r>
            <w:r>
              <w:rPr>
                <w:rFonts w:hint="eastAsia"/>
                <w:color w:val="auto"/>
                <w:highlight w:val="none"/>
              </w:rPr>
              <w:t>/d，共设 1 座，采用棱形，钢筋混凝土结 构，L×B×H=7.2m×2.4m×3.0m，置于湘江深槽，采用侧面进水方式，进水窗 口设拦污栅条，缝宽 50mm，栅缝与湘江水流方向成 45°夹角，进水窗口上 缘位于 99%保证率枯水位下 1.50m，进水格栅开口下缘距河床面 1.0m。河 床标高约 60.00m。</w:t>
            </w:r>
          </w:p>
          <w:p>
            <w:pPr>
              <w:spacing w:line="360" w:lineRule="auto"/>
              <w:jc w:val="left"/>
              <w:rPr>
                <w:color w:val="auto"/>
                <w:highlight w:val="none"/>
              </w:rPr>
            </w:pPr>
            <w:r>
              <w:rPr>
                <w:rFonts w:hint="eastAsia"/>
                <w:bCs/>
                <w:color w:val="auto"/>
                <w:highlight w:val="none"/>
              </w:rPr>
              <w:t>③</w:t>
            </w:r>
            <w:r>
              <w:rPr>
                <w:rFonts w:hint="eastAsia"/>
                <w:color w:val="auto"/>
                <w:highlight w:val="none"/>
              </w:rPr>
              <w:t>取水泵房：临江边建设，建设规模 6.0×</w:t>
            </w:r>
            <w:r>
              <w:rPr>
                <w:rFonts w:hint="eastAsia"/>
                <w:color w:val="auto"/>
                <w:highlight w:val="none"/>
                <w:lang w:eastAsia="zh-CN"/>
              </w:rPr>
              <w:t>10</w:t>
            </w:r>
            <w:r>
              <w:rPr>
                <w:rFonts w:hint="eastAsia"/>
                <w:color w:val="auto"/>
                <w:highlight w:val="none"/>
                <w:vertAlign w:val="superscript"/>
                <w:lang w:eastAsia="zh-CN"/>
              </w:rPr>
              <w:t>4</w:t>
            </w:r>
            <w:r>
              <w:rPr>
                <w:rFonts w:hint="eastAsia"/>
                <w:color w:val="auto"/>
                <w:highlight w:val="none"/>
              </w:rPr>
              <w:t>m</w:t>
            </w:r>
            <w:r>
              <w:rPr>
                <w:rFonts w:hint="eastAsia"/>
                <w:color w:val="auto"/>
                <w:highlight w:val="none"/>
                <w:vertAlign w:val="superscript"/>
              </w:rPr>
              <w:t>3</w:t>
            </w:r>
            <w:r>
              <w:rPr>
                <w:rFonts w:hint="eastAsia"/>
                <w:color w:val="auto"/>
                <w:highlight w:val="none"/>
              </w:rPr>
              <w:t>/d。泵房筒体为圆形，钢筋砼结构，内径 D=16m。水泵启动方式为自灌式引水启动。</w:t>
            </w:r>
          </w:p>
          <w:p>
            <w:pPr>
              <w:spacing w:line="360" w:lineRule="auto"/>
              <w:jc w:val="left"/>
              <w:rPr>
                <w:color w:val="auto"/>
                <w:highlight w:val="none"/>
              </w:rPr>
            </w:pPr>
            <w:r>
              <w:rPr>
                <w:rFonts w:hint="eastAsia"/>
                <w:color w:val="auto"/>
                <w:highlight w:val="none"/>
              </w:rPr>
              <w:t xml:space="preserve">泵房内共设 </w:t>
            </w:r>
            <w:r>
              <w:rPr>
                <w:color w:val="auto"/>
                <w:highlight w:val="none"/>
              </w:rPr>
              <w:t xml:space="preserve">4 </w:t>
            </w:r>
            <w:r>
              <w:rPr>
                <w:rFonts w:hint="eastAsia"/>
                <w:color w:val="auto"/>
                <w:highlight w:val="none"/>
              </w:rPr>
              <w:t>台泵位，</w:t>
            </w:r>
            <w:r>
              <w:rPr>
                <w:color w:val="auto"/>
                <w:highlight w:val="none"/>
              </w:rPr>
              <w:t xml:space="preserve">3 </w:t>
            </w:r>
            <w:r>
              <w:rPr>
                <w:rFonts w:hint="eastAsia"/>
                <w:color w:val="auto"/>
                <w:highlight w:val="none"/>
              </w:rPr>
              <w:t xml:space="preserve">用 </w:t>
            </w:r>
            <w:r>
              <w:rPr>
                <w:color w:val="auto"/>
                <w:highlight w:val="none"/>
              </w:rPr>
              <w:t xml:space="preserve">1 </w:t>
            </w:r>
            <w:r>
              <w:rPr>
                <w:rFonts w:hint="eastAsia"/>
                <w:color w:val="auto"/>
                <w:highlight w:val="none"/>
              </w:rPr>
              <w:t>备。水泵参数分别为：</w:t>
            </w:r>
          </w:p>
          <w:p>
            <w:pPr>
              <w:spacing w:line="360" w:lineRule="auto"/>
              <w:jc w:val="left"/>
              <w:rPr>
                <w:color w:val="auto"/>
                <w:highlight w:val="none"/>
              </w:rPr>
            </w:pPr>
            <w:r>
              <w:rPr>
                <w:rFonts w:hint="eastAsia"/>
                <w:color w:val="auto"/>
                <w:highlight w:val="none"/>
              </w:rPr>
              <w:t>Q=920m</w:t>
            </w:r>
            <w:r>
              <w:rPr>
                <w:rFonts w:hint="eastAsia"/>
                <w:color w:val="auto"/>
                <w:highlight w:val="none"/>
                <w:vertAlign w:val="superscript"/>
              </w:rPr>
              <w:t>3</w:t>
            </w:r>
            <w:r>
              <w:rPr>
                <w:rFonts w:hint="eastAsia"/>
                <w:color w:val="auto"/>
                <w:highlight w:val="none"/>
              </w:rPr>
              <w:t>/h，H＝20m，90kW，共 4 台，变频。</w:t>
            </w:r>
          </w:p>
          <w:p>
            <w:pPr>
              <w:spacing w:line="360" w:lineRule="auto"/>
              <w:jc w:val="left"/>
              <w:rPr>
                <w:color w:val="auto"/>
                <w:highlight w:val="none"/>
              </w:rPr>
            </w:pPr>
            <w:r>
              <w:rPr>
                <w:rFonts w:hint="eastAsia"/>
                <w:color w:val="auto"/>
                <w:highlight w:val="none"/>
              </w:rPr>
              <w:t>④原水输水管</w:t>
            </w:r>
          </w:p>
          <w:p>
            <w:pPr>
              <w:spacing w:line="360" w:lineRule="auto"/>
              <w:jc w:val="left"/>
              <w:rPr>
                <w:color w:val="auto"/>
                <w:highlight w:val="none"/>
              </w:rPr>
            </w:pPr>
            <w:r>
              <w:rPr>
                <w:rFonts w:hint="eastAsia"/>
                <w:color w:val="auto"/>
                <w:highlight w:val="none"/>
              </w:rPr>
              <w:t xml:space="preserve">原水输水管采用 </w:t>
            </w:r>
            <w:r>
              <w:rPr>
                <w:color w:val="auto"/>
                <w:highlight w:val="none"/>
              </w:rPr>
              <w:t xml:space="preserve">2 </w:t>
            </w:r>
            <w:r>
              <w:rPr>
                <w:rFonts w:hint="eastAsia"/>
                <w:color w:val="auto"/>
                <w:highlight w:val="none"/>
              </w:rPr>
              <w:t xml:space="preserve">根 </w:t>
            </w:r>
            <w:r>
              <w:rPr>
                <w:color w:val="auto"/>
                <w:highlight w:val="none"/>
              </w:rPr>
              <w:t>DN720</w:t>
            </w:r>
            <w:r>
              <w:rPr>
                <w:rFonts w:hint="eastAsia"/>
                <w:color w:val="auto"/>
                <w:highlight w:val="none"/>
              </w:rPr>
              <w:t>×</w:t>
            </w:r>
            <w:r>
              <w:rPr>
                <w:color w:val="auto"/>
                <w:highlight w:val="none"/>
              </w:rPr>
              <w:t xml:space="preserve">10 </w:t>
            </w:r>
            <w:r>
              <w:rPr>
                <w:rFonts w:hint="eastAsia"/>
                <w:color w:val="auto"/>
                <w:highlight w:val="none"/>
              </w:rPr>
              <w:t xml:space="preserve">钢管至净水厂配水井，单根原水管道长度约 </w:t>
            </w:r>
            <w:r>
              <w:rPr>
                <w:color w:val="auto"/>
                <w:highlight w:val="none"/>
              </w:rPr>
              <w:t>160m</w:t>
            </w:r>
            <w:r>
              <w:rPr>
                <w:rFonts w:hint="eastAsia"/>
                <w:color w:val="auto"/>
                <w:highlight w:val="none"/>
              </w:rPr>
              <w:t>。管中设计流速为</w:t>
            </w:r>
            <w:r>
              <w:rPr>
                <w:color w:val="auto"/>
                <w:highlight w:val="none"/>
              </w:rPr>
              <w:t>0.97m/s</w:t>
            </w:r>
            <w:r>
              <w:rPr>
                <w:rFonts w:hint="eastAsia"/>
                <w:color w:val="auto"/>
                <w:highlight w:val="none"/>
              </w:rPr>
              <w:t xml:space="preserve">，事故时流速 </w:t>
            </w:r>
            <w:r>
              <w:rPr>
                <w:color w:val="auto"/>
                <w:highlight w:val="none"/>
              </w:rPr>
              <w:t>1.39m/s</w:t>
            </w:r>
            <w:r>
              <w:rPr>
                <w:rFonts w:hint="eastAsia"/>
                <w:color w:val="auto"/>
                <w:highlight w:val="none"/>
              </w:rPr>
              <w:t xml:space="preserve">。 </w:t>
            </w:r>
          </w:p>
          <w:p>
            <w:pPr>
              <w:spacing w:line="240" w:lineRule="auto"/>
              <w:ind w:firstLine="422"/>
              <w:jc w:val="center"/>
              <w:rPr>
                <w:b/>
                <w:bCs/>
                <w:color w:val="auto"/>
                <w:sz w:val="21"/>
                <w:szCs w:val="21"/>
                <w:highlight w:val="none"/>
              </w:rPr>
            </w:pPr>
            <w:r>
              <w:rPr>
                <w:rFonts w:hint="eastAsia"/>
                <w:b/>
                <w:bCs/>
                <w:color w:val="auto"/>
                <w:sz w:val="21"/>
                <w:szCs w:val="21"/>
                <w:highlight w:val="none"/>
              </w:rPr>
              <w:t>表1-4  新建原水输配水管道</w:t>
            </w:r>
          </w:p>
          <w:tbl>
            <w:tblPr>
              <w:tblStyle w:val="27"/>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465"/>
              <w:gridCol w:w="1465"/>
              <w:gridCol w:w="4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64" w:type="dxa"/>
                  <w:tcBorders>
                    <w:tl2br w:val="nil"/>
                    <w:tr2bl w:val="nil"/>
                  </w:tcBorders>
                  <w:vAlign w:val="center"/>
                </w:tcPr>
                <w:p>
                  <w:pPr>
                    <w:pStyle w:val="2"/>
                    <w:spacing w:line="240" w:lineRule="auto"/>
                    <w:jc w:val="center"/>
                    <w:rPr>
                      <w:b/>
                      <w:bCs/>
                      <w:color w:val="auto"/>
                      <w:sz w:val="21"/>
                      <w:szCs w:val="21"/>
                      <w:highlight w:val="none"/>
                    </w:rPr>
                  </w:pPr>
                  <w:r>
                    <w:rPr>
                      <w:rFonts w:hint="eastAsia"/>
                      <w:b/>
                      <w:bCs/>
                      <w:color w:val="auto"/>
                      <w:sz w:val="21"/>
                      <w:szCs w:val="21"/>
                      <w:highlight w:val="none"/>
                    </w:rPr>
                    <w:t>序号</w:t>
                  </w:r>
                </w:p>
              </w:tc>
              <w:tc>
                <w:tcPr>
                  <w:tcW w:w="1465" w:type="dxa"/>
                  <w:tcBorders>
                    <w:tl2br w:val="nil"/>
                    <w:tr2bl w:val="nil"/>
                  </w:tcBorders>
                  <w:vAlign w:val="center"/>
                </w:tcPr>
                <w:p>
                  <w:pPr>
                    <w:pStyle w:val="2"/>
                    <w:spacing w:line="240" w:lineRule="auto"/>
                    <w:jc w:val="center"/>
                    <w:rPr>
                      <w:b/>
                      <w:bCs/>
                      <w:color w:val="auto"/>
                      <w:sz w:val="21"/>
                      <w:szCs w:val="21"/>
                      <w:highlight w:val="none"/>
                    </w:rPr>
                  </w:pPr>
                  <w:r>
                    <w:rPr>
                      <w:rFonts w:hint="eastAsia"/>
                      <w:b/>
                      <w:bCs/>
                      <w:color w:val="auto"/>
                      <w:sz w:val="21"/>
                      <w:szCs w:val="21"/>
                      <w:highlight w:val="none"/>
                    </w:rPr>
                    <w:t>管径</w:t>
                  </w:r>
                </w:p>
              </w:tc>
              <w:tc>
                <w:tcPr>
                  <w:tcW w:w="1465" w:type="dxa"/>
                  <w:tcBorders>
                    <w:tl2br w:val="nil"/>
                    <w:tr2bl w:val="nil"/>
                  </w:tcBorders>
                  <w:vAlign w:val="center"/>
                </w:tcPr>
                <w:p>
                  <w:pPr>
                    <w:pStyle w:val="2"/>
                    <w:spacing w:line="240" w:lineRule="auto"/>
                    <w:jc w:val="center"/>
                    <w:rPr>
                      <w:b/>
                      <w:bCs/>
                      <w:color w:val="auto"/>
                      <w:sz w:val="21"/>
                      <w:szCs w:val="21"/>
                      <w:highlight w:val="none"/>
                    </w:rPr>
                  </w:pPr>
                  <w:r>
                    <w:rPr>
                      <w:rFonts w:hint="eastAsia"/>
                      <w:b/>
                      <w:bCs/>
                      <w:color w:val="auto"/>
                      <w:sz w:val="21"/>
                      <w:szCs w:val="21"/>
                      <w:highlight w:val="none"/>
                    </w:rPr>
                    <w:t>管长</w:t>
                  </w:r>
                </w:p>
              </w:tc>
              <w:tc>
                <w:tcPr>
                  <w:tcW w:w="4393" w:type="dxa"/>
                  <w:tcBorders>
                    <w:tl2br w:val="nil"/>
                    <w:tr2bl w:val="nil"/>
                  </w:tcBorders>
                  <w:vAlign w:val="center"/>
                </w:tcPr>
                <w:p>
                  <w:pPr>
                    <w:pStyle w:val="2"/>
                    <w:spacing w:line="240" w:lineRule="auto"/>
                    <w:jc w:val="center"/>
                    <w:rPr>
                      <w:b/>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64"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1</w:t>
                  </w:r>
                </w:p>
              </w:tc>
              <w:tc>
                <w:tcPr>
                  <w:tcW w:w="1465"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DN700</w:t>
                  </w:r>
                </w:p>
              </w:tc>
              <w:tc>
                <w:tcPr>
                  <w:tcW w:w="1465" w:type="dxa"/>
                  <w:tcBorders>
                    <w:tl2br w:val="nil"/>
                    <w:tr2bl w:val="nil"/>
                  </w:tcBorders>
                  <w:vAlign w:val="center"/>
                </w:tcPr>
                <w:p>
                  <w:pPr>
                    <w:pStyle w:val="2"/>
                    <w:spacing w:line="240" w:lineRule="auto"/>
                    <w:jc w:val="center"/>
                    <w:rPr>
                      <w:color w:val="auto"/>
                      <w:sz w:val="21"/>
                      <w:szCs w:val="21"/>
                      <w:highlight w:val="none"/>
                    </w:rPr>
                  </w:pPr>
                  <w:r>
                    <w:rPr>
                      <w:color w:val="auto"/>
                      <w:sz w:val="21"/>
                      <w:szCs w:val="21"/>
                      <w:highlight w:val="none"/>
                    </w:rPr>
                    <w:t>110mx2 根</w:t>
                  </w:r>
                </w:p>
              </w:tc>
              <w:tc>
                <w:tcPr>
                  <w:tcW w:w="4393"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原水自流管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64"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2</w:t>
                  </w:r>
                </w:p>
              </w:tc>
              <w:tc>
                <w:tcPr>
                  <w:tcW w:w="1465"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DN700</w:t>
                  </w:r>
                </w:p>
              </w:tc>
              <w:tc>
                <w:tcPr>
                  <w:tcW w:w="1465" w:type="dxa"/>
                  <w:tcBorders>
                    <w:tl2br w:val="nil"/>
                    <w:tr2bl w:val="nil"/>
                  </w:tcBorders>
                  <w:vAlign w:val="center"/>
                </w:tcPr>
                <w:p>
                  <w:pPr>
                    <w:pStyle w:val="2"/>
                    <w:spacing w:line="240" w:lineRule="auto"/>
                    <w:jc w:val="center"/>
                    <w:rPr>
                      <w:color w:val="auto"/>
                      <w:sz w:val="21"/>
                      <w:szCs w:val="21"/>
                      <w:highlight w:val="none"/>
                    </w:rPr>
                  </w:pPr>
                  <w:r>
                    <w:rPr>
                      <w:color w:val="auto"/>
                      <w:sz w:val="21"/>
                      <w:szCs w:val="21"/>
                      <w:highlight w:val="none"/>
                    </w:rPr>
                    <w:t>160mx</w:t>
                  </w:r>
                  <w:r>
                    <w:rPr>
                      <w:rFonts w:hint="eastAsia"/>
                      <w:color w:val="auto"/>
                      <w:sz w:val="21"/>
                      <w:szCs w:val="21"/>
                      <w:highlight w:val="none"/>
                    </w:rPr>
                    <w:t>2根</w:t>
                  </w:r>
                </w:p>
              </w:tc>
              <w:tc>
                <w:tcPr>
                  <w:tcW w:w="4393"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原水自流管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64"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合计</w:t>
                  </w:r>
                </w:p>
              </w:tc>
              <w:tc>
                <w:tcPr>
                  <w:tcW w:w="1465" w:type="dxa"/>
                  <w:tcBorders>
                    <w:tl2br w:val="nil"/>
                    <w:tr2bl w:val="nil"/>
                  </w:tcBorders>
                  <w:vAlign w:val="center"/>
                </w:tcPr>
                <w:p>
                  <w:pPr>
                    <w:pStyle w:val="2"/>
                    <w:spacing w:line="240" w:lineRule="auto"/>
                    <w:jc w:val="center"/>
                    <w:rPr>
                      <w:color w:val="auto"/>
                      <w:sz w:val="21"/>
                      <w:szCs w:val="21"/>
                      <w:highlight w:val="none"/>
                    </w:rPr>
                  </w:pPr>
                </w:p>
              </w:tc>
              <w:tc>
                <w:tcPr>
                  <w:tcW w:w="1465" w:type="dxa"/>
                  <w:tcBorders>
                    <w:tl2br w:val="nil"/>
                    <w:tr2bl w:val="nil"/>
                  </w:tcBorders>
                  <w:vAlign w:val="center"/>
                </w:tcPr>
                <w:p>
                  <w:pPr>
                    <w:pStyle w:val="2"/>
                    <w:spacing w:line="240" w:lineRule="auto"/>
                    <w:jc w:val="center"/>
                    <w:rPr>
                      <w:color w:val="auto"/>
                      <w:sz w:val="21"/>
                      <w:szCs w:val="21"/>
                      <w:highlight w:val="none"/>
                    </w:rPr>
                  </w:pPr>
                  <w:r>
                    <w:rPr>
                      <w:rFonts w:hint="eastAsia"/>
                      <w:color w:val="auto"/>
                      <w:sz w:val="21"/>
                      <w:szCs w:val="21"/>
                      <w:highlight w:val="none"/>
                    </w:rPr>
                    <w:t>240</w:t>
                  </w:r>
                </w:p>
              </w:tc>
              <w:tc>
                <w:tcPr>
                  <w:tcW w:w="4393" w:type="dxa"/>
                  <w:tcBorders>
                    <w:tl2br w:val="nil"/>
                    <w:tr2bl w:val="nil"/>
                  </w:tcBorders>
                  <w:vAlign w:val="center"/>
                </w:tcPr>
                <w:p>
                  <w:pPr>
                    <w:pStyle w:val="2"/>
                    <w:spacing w:line="240" w:lineRule="auto"/>
                    <w:jc w:val="center"/>
                    <w:rPr>
                      <w:color w:val="auto"/>
                      <w:sz w:val="21"/>
                      <w:szCs w:val="21"/>
                      <w:highlight w:val="none"/>
                    </w:rPr>
                  </w:pPr>
                </w:p>
              </w:tc>
            </w:tr>
          </w:tbl>
          <w:p>
            <w:pPr>
              <w:spacing w:line="360" w:lineRule="auto"/>
              <w:jc w:val="left"/>
              <w:rPr>
                <w:rFonts w:hint="eastAsia"/>
                <w:color w:val="auto"/>
                <w:highlight w:val="none"/>
                <w:lang w:eastAsia="zh-CN"/>
              </w:rPr>
            </w:pPr>
            <w:r>
              <w:rPr>
                <w:rFonts w:hint="eastAsia"/>
                <w:color w:val="auto"/>
                <w:highlight w:val="none"/>
              </w:rPr>
              <w:t>取水水源可行性：</w:t>
            </w:r>
            <w:r>
              <w:rPr>
                <w:rFonts w:hint="eastAsia"/>
                <w:color w:val="FF0000"/>
                <w:highlight w:val="none"/>
                <w:u w:val="single"/>
                <w:lang w:eastAsia="zh-CN"/>
              </w:rPr>
              <w:t>根据《村镇供水技术设计规范》（</w:t>
            </w:r>
            <w:r>
              <w:rPr>
                <w:rFonts w:hint="eastAsia"/>
                <w:color w:val="FF0000"/>
                <w:highlight w:val="none"/>
                <w:u w:val="single"/>
                <w:lang w:val="en-US" w:eastAsia="zh-CN"/>
              </w:rPr>
              <w:t>SL310-2019</w:t>
            </w:r>
            <w:r>
              <w:rPr>
                <w:rFonts w:hint="eastAsia"/>
                <w:color w:val="FF0000"/>
                <w:highlight w:val="none"/>
                <w:u w:val="single"/>
                <w:lang w:eastAsia="zh-CN"/>
              </w:rPr>
              <w:t>）中</w:t>
            </w:r>
            <w:r>
              <w:rPr>
                <w:rFonts w:hint="eastAsia"/>
                <w:color w:val="FF0000"/>
                <w:highlight w:val="none"/>
                <w:u w:val="single"/>
                <w:lang w:val="en-US" w:eastAsia="zh-CN"/>
              </w:rPr>
              <w:t>3.3.1供水水源应符合以下基本要求：1、水质良好。便于卫生防护，地表水水源水质符合《地表水环境质量标准》或符合《生活饮用水源水质标准》</w:t>
            </w:r>
            <w:r>
              <w:rPr>
                <w:rFonts w:hint="eastAsia"/>
                <w:color w:val="FF0000"/>
                <w:highlight w:val="none"/>
                <w:u w:val="single"/>
              </w:rPr>
              <w:t>（CJ3020-93）</w:t>
            </w:r>
            <w:r>
              <w:rPr>
                <w:rFonts w:hint="eastAsia"/>
                <w:color w:val="FF0000"/>
                <w:highlight w:val="none"/>
                <w:u w:val="single"/>
                <w:lang w:eastAsia="zh-CN"/>
              </w:rPr>
              <w:t>的要求，</w:t>
            </w:r>
            <w:r>
              <w:rPr>
                <w:rFonts w:hint="eastAsia"/>
                <w:color w:val="FF0000"/>
                <w:highlight w:val="none"/>
                <w:u w:val="single"/>
                <w:lang w:val="en-US" w:eastAsia="zh-CN"/>
              </w:rPr>
              <w:t>2、水量充沛，干旱年苦水及设计取水量的保证率，严重缺水地区不低于90%，其他地区不低于95%，</w:t>
            </w:r>
            <w:r>
              <w:rPr>
                <w:rFonts w:hint="eastAsia"/>
                <w:color w:val="auto"/>
                <w:highlight w:val="none"/>
              </w:rPr>
              <w:t>本项目取水点断面以上控制流域面积23297 km</w:t>
            </w:r>
            <w:r>
              <w:rPr>
                <w:rFonts w:hint="eastAsia"/>
                <w:color w:val="auto"/>
                <w:highlight w:val="none"/>
                <w:vertAlign w:val="superscript"/>
              </w:rPr>
              <w:t>2</w:t>
            </w:r>
            <w:r>
              <w:rPr>
                <w:rFonts w:hint="eastAsia"/>
                <w:color w:val="auto"/>
                <w:highlight w:val="none"/>
              </w:rPr>
              <w:t>，多年平均流量693.7 m</w:t>
            </w:r>
            <w:r>
              <w:rPr>
                <w:rFonts w:hint="eastAsia"/>
                <w:color w:val="auto"/>
                <w:highlight w:val="none"/>
                <w:vertAlign w:val="superscript"/>
              </w:rPr>
              <w:t>3</w:t>
            </w:r>
            <w:r>
              <w:rPr>
                <w:rFonts w:hint="eastAsia"/>
                <w:color w:val="auto"/>
                <w:highlight w:val="none"/>
              </w:rPr>
              <w:t>/s，多年平均径流量218.8亿m</w:t>
            </w:r>
            <w:r>
              <w:rPr>
                <w:rFonts w:hint="eastAsia"/>
                <w:color w:val="auto"/>
                <w:highlight w:val="none"/>
                <w:vertAlign w:val="superscript"/>
              </w:rPr>
              <w:t>3</w:t>
            </w:r>
            <w:r>
              <w:rPr>
                <w:rFonts w:hint="eastAsia"/>
                <w:color w:val="auto"/>
                <w:highlight w:val="none"/>
              </w:rPr>
              <w:t>。设计供水保证率为95%，取水泵房处95%保证率下年可供流量为356.6m</w:t>
            </w:r>
            <w:r>
              <w:rPr>
                <w:rFonts w:hint="eastAsia"/>
                <w:color w:val="auto"/>
                <w:highlight w:val="none"/>
                <w:vertAlign w:val="superscript"/>
              </w:rPr>
              <w:t>3</w:t>
            </w:r>
            <w:r>
              <w:rPr>
                <w:rFonts w:hint="eastAsia"/>
                <w:color w:val="auto"/>
                <w:highlight w:val="none"/>
              </w:rPr>
              <w:t>/s，年可供水量为112.5亿m</w:t>
            </w:r>
            <w:r>
              <w:rPr>
                <w:rFonts w:hint="eastAsia"/>
                <w:color w:val="auto"/>
                <w:highlight w:val="none"/>
                <w:vertAlign w:val="superscript"/>
              </w:rPr>
              <w:t>3</w:t>
            </w:r>
            <w:r>
              <w:rPr>
                <w:rFonts w:hint="eastAsia"/>
                <w:color w:val="auto"/>
                <w:highlight w:val="none"/>
                <w:lang w:eastAsia="zh-CN"/>
              </w:rPr>
              <w:t>。</w:t>
            </w:r>
            <w:r>
              <w:rPr>
                <w:rFonts w:hint="eastAsia"/>
                <w:color w:val="auto"/>
                <w:highlight w:val="none"/>
                <w:u w:val="none"/>
                <w:lang w:eastAsia="zh-CN"/>
              </w:rPr>
              <w:t>根据</w:t>
            </w:r>
            <w:r>
              <w:rPr>
                <w:rFonts w:hint="eastAsia"/>
                <w:color w:val="auto"/>
                <w:highlight w:val="none"/>
                <w:u w:val="none"/>
              </w:rPr>
              <w:t>祁阳县水利局</w:t>
            </w:r>
            <w:r>
              <w:rPr>
                <w:rFonts w:hint="eastAsia"/>
                <w:color w:val="auto"/>
                <w:highlight w:val="none"/>
                <w:u w:val="none"/>
                <w:lang w:eastAsia="zh-CN"/>
              </w:rPr>
              <w:t>于</w:t>
            </w:r>
            <w:r>
              <w:rPr>
                <w:rFonts w:hint="eastAsia"/>
                <w:color w:val="auto"/>
                <w:highlight w:val="none"/>
              </w:rPr>
              <w:t>2019年2月22日委托湖南省水环境监测中心永州分中心监测的潘市镇合州村附近湘江取水点水质检测报告，本项目水源在所检测的水质指标基本项目均符合国家《生活饮用水水源水质标准》（CJ3020-93）的二级水源标准</w:t>
            </w:r>
            <w:r>
              <w:rPr>
                <w:rFonts w:hint="eastAsia"/>
                <w:color w:val="auto"/>
                <w:highlight w:val="none"/>
                <w:lang w:eastAsia="zh-CN"/>
              </w:rPr>
              <w:t>，</w:t>
            </w:r>
            <w:r>
              <w:rPr>
                <w:rFonts w:hint="eastAsia"/>
                <w:color w:val="auto"/>
                <w:highlight w:val="none"/>
              </w:rPr>
              <w:t>水质综合合格率达100%</w:t>
            </w:r>
            <w:r>
              <w:rPr>
                <w:rFonts w:hint="eastAsia"/>
                <w:color w:val="auto"/>
                <w:highlight w:val="none"/>
                <w:lang w:eastAsia="zh-CN"/>
              </w:rPr>
              <w:t>。</w:t>
            </w:r>
          </w:p>
          <w:p>
            <w:pPr>
              <w:spacing w:line="360" w:lineRule="auto"/>
              <w:jc w:val="left"/>
              <w:rPr>
                <w:rFonts w:hint="eastAsia" w:eastAsia="宋体"/>
                <w:color w:val="FF0000"/>
                <w:highlight w:val="none"/>
                <w:u w:val="none"/>
                <w:lang w:eastAsia="zh-CN"/>
              </w:rPr>
            </w:pPr>
            <w:r>
              <w:rPr>
                <w:rFonts w:hint="eastAsia"/>
                <w:color w:val="auto"/>
                <w:highlight w:val="none"/>
                <w:lang w:eastAsia="zh-CN"/>
              </w:rPr>
              <w:t>本项目取水口</w:t>
            </w:r>
            <w:r>
              <w:rPr>
                <w:rFonts w:hint="eastAsia"/>
                <w:color w:val="auto"/>
                <w:highlight w:val="none"/>
              </w:rPr>
              <w:t>水资源量相当丰富，完全可以满足本工程需要</w:t>
            </w:r>
            <w:r>
              <w:rPr>
                <w:rFonts w:hint="eastAsia"/>
                <w:color w:val="auto"/>
                <w:highlight w:val="none"/>
                <w:lang w:eastAsia="zh-CN"/>
              </w:rPr>
              <w:t>，水质满足</w:t>
            </w:r>
            <w:r>
              <w:rPr>
                <w:rFonts w:hint="eastAsia"/>
                <w:color w:val="FF0000"/>
                <w:highlight w:val="none"/>
                <w:u w:val="single"/>
                <w:lang w:val="en-US" w:eastAsia="zh-CN"/>
              </w:rPr>
              <w:t>《生活饮用水源水质标准》</w:t>
            </w:r>
            <w:r>
              <w:rPr>
                <w:rFonts w:hint="eastAsia"/>
                <w:color w:val="FF0000"/>
                <w:highlight w:val="none"/>
                <w:u w:val="single"/>
              </w:rPr>
              <w:t>（CJ3020-93）</w:t>
            </w:r>
            <w:r>
              <w:rPr>
                <w:rFonts w:hint="eastAsia"/>
                <w:color w:val="FF0000"/>
                <w:highlight w:val="none"/>
                <w:u w:val="single"/>
                <w:lang w:eastAsia="zh-CN"/>
              </w:rPr>
              <w:t>的要求和《地表水环境质量标准》（GB3838-2002）Ⅲ 类水标准，符合《村镇供水技术设计规范》（</w:t>
            </w:r>
            <w:r>
              <w:rPr>
                <w:rFonts w:hint="eastAsia"/>
                <w:color w:val="FF0000"/>
                <w:highlight w:val="none"/>
                <w:u w:val="single"/>
                <w:lang w:val="en-US" w:eastAsia="zh-CN"/>
              </w:rPr>
              <w:t>SL310-2019</w:t>
            </w:r>
            <w:r>
              <w:rPr>
                <w:rFonts w:hint="eastAsia"/>
                <w:color w:val="FF0000"/>
                <w:highlight w:val="none"/>
                <w:u w:val="single"/>
                <w:lang w:eastAsia="zh-CN"/>
              </w:rPr>
              <w:t>）中</w:t>
            </w:r>
            <w:r>
              <w:rPr>
                <w:rFonts w:hint="eastAsia"/>
                <w:color w:val="FF0000"/>
                <w:highlight w:val="none"/>
                <w:u w:val="single"/>
                <w:lang w:val="en-US" w:eastAsia="zh-CN"/>
              </w:rPr>
              <w:t>供水水源应基本要求，因此</w:t>
            </w:r>
            <w:r>
              <w:rPr>
                <w:rFonts w:hint="eastAsia"/>
                <w:color w:val="FF0000"/>
                <w:highlight w:val="none"/>
                <w:u w:val="single"/>
              </w:rPr>
              <w:t>祁阳县潘市镇</w:t>
            </w:r>
            <w:r>
              <w:rPr>
                <w:rFonts w:hint="eastAsia"/>
                <w:color w:val="FF0000"/>
                <w:kern w:val="0"/>
                <w:szCs w:val="21"/>
                <w:highlight w:val="none"/>
                <w:u w:val="single"/>
                <w:lang w:eastAsia="zh-CN"/>
              </w:rPr>
              <w:t>董家埠村</w:t>
            </w:r>
            <w:r>
              <w:rPr>
                <w:rFonts w:hint="eastAsia"/>
                <w:color w:val="FF0000"/>
                <w:highlight w:val="none"/>
                <w:u w:val="single"/>
              </w:rPr>
              <w:t>泗山塘与庙门前之间湘江“鸭婆洲上端至衡阳交界处（归阳镇）”河段（地理坐标为：东经112.040911，北纬26.467059）</w:t>
            </w:r>
            <w:r>
              <w:rPr>
                <w:rFonts w:hint="eastAsia"/>
                <w:color w:val="FF0000"/>
                <w:highlight w:val="none"/>
                <w:u w:val="single"/>
                <w:lang w:eastAsia="zh-CN"/>
              </w:rPr>
              <w:t>作为取水水源可行</w:t>
            </w:r>
            <w:r>
              <w:rPr>
                <w:rFonts w:hint="eastAsia"/>
                <w:color w:val="FF0000"/>
                <w:highlight w:val="none"/>
                <w:u w:val="none"/>
                <w:lang w:eastAsia="zh-CN"/>
              </w:rPr>
              <w:t>。</w:t>
            </w:r>
          </w:p>
          <w:p>
            <w:pPr>
              <w:spacing w:line="240" w:lineRule="auto"/>
              <w:ind w:firstLine="422"/>
              <w:jc w:val="center"/>
              <w:rPr>
                <w:b/>
                <w:bCs/>
                <w:color w:val="auto"/>
                <w:sz w:val="21"/>
                <w:szCs w:val="21"/>
                <w:highlight w:val="none"/>
              </w:rPr>
            </w:pPr>
            <w:r>
              <w:rPr>
                <w:rFonts w:hint="eastAsia"/>
                <w:b/>
                <w:bCs/>
                <w:color w:val="auto"/>
                <w:sz w:val="21"/>
                <w:szCs w:val="21"/>
                <w:highlight w:val="none"/>
              </w:rPr>
              <w:t>表1-5  湘江取水点水源水水质监测报告 单位：mg/L</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1356"/>
              <w:gridCol w:w="1543"/>
              <w:gridCol w:w="1045"/>
              <w:gridCol w:w="1649"/>
              <w:gridCol w:w="1444"/>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序号</w:t>
                  </w:r>
                </w:p>
              </w:tc>
              <w:tc>
                <w:tcPr>
                  <w:tcW w:w="1356"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采样地点</w:t>
                  </w:r>
                </w:p>
              </w:tc>
              <w:tc>
                <w:tcPr>
                  <w:tcW w:w="1543"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检验项目</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检测</w:t>
                  </w:r>
                </w:p>
              </w:tc>
              <w:tc>
                <w:tcPr>
                  <w:tcW w:w="3093"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标准值</w:t>
                  </w:r>
                </w:p>
              </w:tc>
              <w:tc>
                <w:tcPr>
                  <w:tcW w:w="835"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单项</w:t>
                  </w:r>
                </w:p>
                <w:p>
                  <w:pPr>
                    <w:spacing w:line="240" w:lineRule="auto"/>
                    <w:ind w:firstLine="0" w:firstLineChars="0"/>
                    <w:jc w:val="center"/>
                    <w:rPr>
                      <w:color w:val="auto"/>
                      <w:sz w:val="21"/>
                      <w:szCs w:val="21"/>
                      <w:highlight w:val="none"/>
                    </w:rPr>
                  </w:pPr>
                  <w:r>
                    <w:rPr>
                      <w:color w:val="auto"/>
                      <w:sz w:val="21"/>
                      <w:szCs w:val="21"/>
                      <w:highlight w:val="none"/>
                    </w:rPr>
                    <w:t>结论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Merge w:val="continue"/>
                  <w:vAlign w:val="center"/>
                </w:tcPr>
                <w:p>
                  <w:pPr>
                    <w:spacing w:line="240" w:lineRule="auto"/>
                    <w:ind w:firstLine="0" w:firstLineChars="0"/>
                    <w:jc w:val="center"/>
                    <w:rPr>
                      <w:color w:val="auto"/>
                      <w:sz w:val="21"/>
                      <w:szCs w:val="21"/>
                      <w:highlight w:val="none"/>
                    </w:rPr>
                  </w:pP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Merge w:val="continue"/>
                  <w:vAlign w:val="center"/>
                </w:tcPr>
                <w:p>
                  <w:pPr>
                    <w:spacing w:line="240" w:lineRule="auto"/>
                    <w:ind w:firstLine="0" w:firstLineChars="0"/>
                    <w:jc w:val="center"/>
                    <w:rPr>
                      <w:color w:val="auto"/>
                      <w:sz w:val="21"/>
                      <w:szCs w:val="21"/>
                      <w:highlight w:val="none"/>
                    </w:rPr>
                  </w:pP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结果</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二级</w:t>
                  </w:r>
                </w:p>
              </w:tc>
              <w:tc>
                <w:tcPr>
                  <w:tcW w:w="835" w:type="dxa"/>
                  <w:vMerge w:val="continue"/>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356" w:type="dxa"/>
                  <w:vMerge w:val="restart"/>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FF0000"/>
                      <w:sz w:val="21"/>
                      <w:szCs w:val="21"/>
                      <w:highlight w:val="none"/>
                      <w:u w:val="single"/>
                    </w:rPr>
                    <w:t>祁阳县潘市镇合州村</w:t>
                  </w:r>
                  <w:r>
                    <w:rPr>
                      <w:rFonts w:hint="eastAsia"/>
                      <w:color w:val="FF0000"/>
                      <w:sz w:val="21"/>
                      <w:szCs w:val="21"/>
                      <w:highlight w:val="none"/>
                      <w:u w:val="single"/>
                      <w:lang w:eastAsia="zh-CN"/>
                    </w:rPr>
                    <w:t>（位于本项目取水口下游约</w:t>
                  </w:r>
                  <w:r>
                    <w:rPr>
                      <w:rFonts w:hint="eastAsia"/>
                      <w:color w:val="FF0000"/>
                      <w:sz w:val="21"/>
                      <w:szCs w:val="21"/>
                      <w:highlight w:val="none"/>
                      <w:u w:val="single"/>
                      <w:lang w:val="en-US" w:eastAsia="zh-CN"/>
                    </w:rPr>
                    <w:t>1.3km处</w:t>
                  </w:r>
                  <w:r>
                    <w:rPr>
                      <w:rFonts w:hint="eastAsia"/>
                      <w:color w:val="FF0000"/>
                      <w:sz w:val="21"/>
                      <w:szCs w:val="21"/>
                      <w:highlight w:val="none"/>
                      <w:u w:val="single"/>
                      <w:lang w:eastAsia="zh-CN"/>
                    </w:rPr>
                    <w:t>）</w:t>
                  </w: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铜</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0.00026</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铁</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w:t>
                  </w:r>
                  <w:r>
                    <w:rPr>
                      <w:rFonts w:hint="eastAsia"/>
                      <w:color w:val="auto"/>
                      <w:sz w:val="21"/>
                      <w:szCs w:val="21"/>
                      <w:highlight w:val="none"/>
                    </w:rPr>
                    <w:t>0.03</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≤0.3</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≤0.5</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锰</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&lt;0.0</w:t>
                  </w:r>
                  <w:r>
                    <w:rPr>
                      <w:rFonts w:hint="eastAsia"/>
                      <w:color w:val="auto"/>
                      <w:sz w:val="21"/>
                      <w:szCs w:val="21"/>
                      <w:highlight w:val="none"/>
                    </w:rPr>
                    <w:t>0006</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≤0.1</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≤0.1</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铝</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0.0039</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≤0.2</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≤0.2</w:t>
                  </w:r>
                </w:p>
              </w:tc>
              <w:tc>
                <w:tcPr>
                  <w:tcW w:w="8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锌</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&lt;0.0008</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镉</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w:t>
                  </w:r>
                  <w:r>
                    <w:rPr>
                      <w:rFonts w:hint="eastAsia"/>
                      <w:color w:val="auto"/>
                      <w:sz w:val="21"/>
                      <w:szCs w:val="21"/>
                      <w:highlight w:val="none"/>
                    </w:rPr>
                    <w:t>0.000006</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0.01</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0.01</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铅</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w:t>
                  </w:r>
                  <w:r>
                    <w:rPr>
                      <w:rFonts w:hint="eastAsia"/>
                      <w:color w:val="auto"/>
                      <w:sz w:val="21"/>
                      <w:szCs w:val="21"/>
                      <w:highlight w:val="none"/>
                    </w:rPr>
                    <w:t>0.00007</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≤0.07</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氨氮</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0.324</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≤0.5</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汞</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0.00002</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0.001</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0.001</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硫酸盐</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12.3</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≤250</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≤250</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11</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硒</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w:t>
                  </w:r>
                  <w:r>
                    <w:rPr>
                      <w:rFonts w:hint="eastAsia"/>
                      <w:color w:val="auto"/>
                      <w:sz w:val="21"/>
                      <w:szCs w:val="21"/>
                      <w:highlight w:val="none"/>
                    </w:rPr>
                    <w:t>0.0002</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≤0.01</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≤0.01</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砷</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0.0005</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13</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color w:val="auto"/>
                      <w:sz w:val="21"/>
                      <w:szCs w:val="21"/>
                      <w:highlight w:val="none"/>
                    </w:rPr>
                    <w:t>六价铬</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0.0</w:t>
                  </w:r>
                  <w:r>
                    <w:rPr>
                      <w:rFonts w:hint="eastAsia"/>
                      <w:color w:val="auto"/>
                      <w:sz w:val="21"/>
                      <w:szCs w:val="21"/>
                      <w:highlight w:val="none"/>
                    </w:rPr>
                    <w:t>02</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15</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color w:val="auto"/>
                      <w:sz w:val="21"/>
                      <w:szCs w:val="21"/>
                      <w:highlight w:val="none"/>
                    </w:rPr>
                    <w:t>pH值</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8.2</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6.5-8.5</w:t>
                  </w:r>
                  <w:r>
                    <w:rPr>
                      <w:rFonts w:hint="eastAsia"/>
                      <w:color w:val="auto"/>
                      <w:sz w:val="21"/>
                      <w:szCs w:val="21"/>
                      <w:highlight w:val="none"/>
                    </w:rPr>
                    <w:t>（无量纲）</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6.5-8.5</w:t>
                  </w:r>
                  <w:r>
                    <w:rPr>
                      <w:rFonts w:hint="eastAsia"/>
                      <w:color w:val="auto"/>
                      <w:sz w:val="21"/>
                      <w:szCs w:val="21"/>
                      <w:highlight w:val="none"/>
                    </w:rPr>
                    <w:t>（无量纲）</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16</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高锰酸盐指数</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≤3</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≤6</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17</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溶解性总固体</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151</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≤1000</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≤1000</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18</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总磷</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0.05</w:t>
                  </w:r>
                </w:p>
              </w:tc>
              <w:tc>
                <w:tcPr>
                  <w:tcW w:w="16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444"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w:t>
                  </w:r>
                </w:p>
              </w:tc>
              <w:tc>
                <w:tcPr>
                  <w:tcW w:w="8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19</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总硬度</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102</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≤350</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≤450</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色(度)</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44.1</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≤15度，</w:t>
                  </w:r>
                  <w:r>
                    <w:rPr>
                      <w:rFonts w:hint="eastAsia"/>
                      <w:color w:val="auto"/>
                      <w:sz w:val="21"/>
                      <w:szCs w:val="21"/>
                      <w:highlight w:val="none"/>
                    </w:rPr>
                    <w:t>无</w:t>
                  </w:r>
                  <w:r>
                    <w:rPr>
                      <w:color w:val="auto"/>
                      <w:sz w:val="21"/>
                      <w:szCs w:val="21"/>
                      <w:highlight w:val="none"/>
                    </w:rPr>
                    <w:t>异色</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无明显异色</w:t>
                  </w:r>
                </w:p>
              </w:tc>
              <w:tc>
                <w:tcPr>
                  <w:tcW w:w="8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w:t>
                  </w:r>
                  <w:r>
                    <w:rPr>
                      <w:color w:val="auto"/>
                      <w:sz w:val="21"/>
                      <w:szCs w:val="21"/>
                      <w:highlight w:val="none"/>
                    </w:rPr>
                    <w:t>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21</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浑浊度（度）</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128</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≤3</w:t>
                  </w:r>
                </w:p>
              </w:tc>
              <w:tc>
                <w:tcPr>
                  <w:tcW w:w="14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8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22</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color w:val="auto"/>
                      <w:sz w:val="21"/>
                      <w:szCs w:val="21"/>
                      <w:highlight w:val="none"/>
                    </w:rPr>
                    <w:t>嗅和味</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无</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无异臭、异味</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无异臭、异味</w:t>
                  </w:r>
                </w:p>
              </w:tc>
              <w:tc>
                <w:tcPr>
                  <w:tcW w:w="8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23</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color w:val="auto"/>
                      <w:sz w:val="21"/>
                      <w:szCs w:val="21"/>
                      <w:highlight w:val="none"/>
                    </w:rPr>
                    <w:t>肉眼可见物</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无</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无</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无</w:t>
                  </w:r>
                </w:p>
              </w:tc>
              <w:tc>
                <w:tcPr>
                  <w:tcW w:w="8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24</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color w:val="auto"/>
                      <w:sz w:val="21"/>
                      <w:szCs w:val="21"/>
                      <w:highlight w:val="none"/>
                    </w:rPr>
                    <w:t>氰化物</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&lt;0.002</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25</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挥发酚</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&lt;0.002</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≤0.002</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≤0.004</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26</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阴离子合成洗涤剂</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&lt;0.0</w:t>
                  </w:r>
                  <w:r>
                    <w:rPr>
                      <w:rFonts w:hint="eastAsia"/>
                      <w:color w:val="auto"/>
                      <w:sz w:val="21"/>
                      <w:szCs w:val="21"/>
                      <w:highlight w:val="none"/>
                    </w:rPr>
                    <w:t>5</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≤0.3</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≤0.3</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27</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color w:val="auto"/>
                      <w:sz w:val="21"/>
                      <w:szCs w:val="21"/>
                      <w:highlight w:val="none"/>
                    </w:rPr>
                    <w:t>氟化物</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0.11</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二级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28</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粪大肠杆菌</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1200</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≤1000个/L</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≤10000个/L</w:t>
                  </w:r>
                </w:p>
              </w:tc>
              <w:tc>
                <w:tcPr>
                  <w:tcW w:w="835" w:type="dxa"/>
                  <w:vAlign w:val="center"/>
                </w:tcPr>
                <w:p>
                  <w:pPr>
                    <w:spacing w:line="240" w:lineRule="auto"/>
                    <w:ind w:firstLine="0" w:firstLineChars="0"/>
                    <w:jc w:val="center"/>
                    <w:rPr>
                      <w:color w:val="auto"/>
                      <w:sz w:val="21"/>
                      <w:szCs w:val="21"/>
                      <w:highlight w:val="none"/>
                    </w:rPr>
                  </w:pPr>
                  <w:r>
                    <w:rPr>
                      <w:color w:val="auto"/>
                      <w:sz w:val="21"/>
                      <w:szCs w:val="21"/>
                      <w:highlight w:val="none"/>
                    </w:rPr>
                    <w:t>二级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29</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硝酸盐</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0.14</w:t>
                  </w:r>
                </w:p>
              </w:tc>
              <w:tc>
                <w:tcPr>
                  <w:tcW w:w="1649"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1444" w:type="dxa"/>
                  <w:vAlign w:val="center"/>
                </w:tcPr>
                <w:p>
                  <w:pPr>
                    <w:spacing w:line="240" w:lineRule="auto"/>
                    <w:ind w:firstLine="0" w:firstLineChars="0"/>
                    <w:jc w:val="center"/>
                    <w:rPr>
                      <w:color w:val="auto"/>
                      <w:sz w:val="21"/>
                      <w:szCs w:val="21"/>
                      <w:highlight w:val="none"/>
                    </w:rPr>
                  </w:pPr>
                  <w:r>
                    <w:rPr>
                      <w:color w:val="auto"/>
                      <w:sz w:val="21"/>
                      <w:szCs w:val="21"/>
                      <w:highlight w:val="none"/>
                    </w:rPr>
                    <w:t>≤20</w:t>
                  </w:r>
                </w:p>
              </w:tc>
              <w:tc>
                <w:tcPr>
                  <w:tcW w:w="8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30</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硫化物</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w:t>
                  </w:r>
                  <w:r>
                    <w:rPr>
                      <w:rFonts w:hint="eastAsia"/>
                      <w:color w:val="auto"/>
                      <w:sz w:val="21"/>
                      <w:szCs w:val="21"/>
                      <w:highlight w:val="none"/>
                    </w:rPr>
                    <w:t>0.02</w:t>
                  </w:r>
                </w:p>
              </w:tc>
              <w:tc>
                <w:tcPr>
                  <w:tcW w:w="16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4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8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31</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石油类</w:t>
                  </w:r>
                </w:p>
              </w:tc>
              <w:tc>
                <w:tcPr>
                  <w:tcW w:w="1045" w:type="dxa"/>
                  <w:vAlign w:val="center"/>
                </w:tcPr>
                <w:p>
                  <w:pPr>
                    <w:spacing w:line="240" w:lineRule="auto"/>
                    <w:ind w:firstLine="0" w:firstLineChars="0"/>
                    <w:jc w:val="center"/>
                    <w:rPr>
                      <w:color w:val="auto"/>
                      <w:sz w:val="21"/>
                      <w:szCs w:val="21"/>
                      <w:highlight w:val="none"/>
                    </w:rPr>
                  </w:pPr>
                  <w:r>
                    <w:rPr>
                      <w:color w:val="auto"/>
                      <w:sz w:val="21"/>
                      <w:szCs w:val="21"/>
                      <w:highlight w:val="none"/>
                    </w:rPr>
                    <w:t>&lt;</w:t>
                  </w:r>
                  <w:r>
                    <w:rPr>
                      <w:rFonts w:hint="eastAsia"/>
                      <w:color w:val="auto"/>
                      <w:sz w:val="21"/>
                      <w:szCs w:val="21"/>
                      <w:highlight w:val="none"/>
                    </w:rPr>
                    <w:t>0.02</w:t>
                  </w:r>
                </w:p>
              </w:tc>
              <w:tc>
                <w:tcPr>
                  <w:tcW w:w="16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4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8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91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32</w:t>
                  </w:r>
                </w:p>
              </w:tc>
              <w:tc>
                <w:tcPr>
                  <w:tcW w:w="1356" w:type="dxa"/>
                  <w:vMerge w:val="continue"/>
                  <w:vAlign w:val="center"/>
                </w:tcPr>
                <w:p>
                  <w:pPr>
                    <w:spacing w:line="240" w:lineRule="auto"/>
                    <w:ind w:firstLine="0" w:firstLineChars="0"/>
                    <w:jc w:val="center"/>
                    <w:rPr>
                      <w:color w:val="auto"/>
                      <w:sz w:val="21"/>
                      <w:szCs w:val="21"/>
                      <w:highlight w:val="none"/>
                    </w:rPr>
                  </w:pPr>
                </w:p>
              </w:tc>
              <w:tc>
                <w:tcPr>
                  <w:tcW w:w="15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五日生化需量</w:t>
                  </w:r>
                </w:p>
              </w:tc>
              <w:tc>
                <w:tcPr>
                  <w:tcW w:w="10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0.6</w:t>
                  </w:r>
                </w:p>
              </w:tc>
              <w:tc>
                <w:tcPr>
                  <w:tcW w:w="16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4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8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r>
          </w:tbl>
          <w:p>
            <w:pPr>
              <w:pStyle w:val="30"/>
              <w:ind w:firstLine="482"/>
              <w:rPr>
                <w:rFonts w:ascii="Times New Roman" w:cs="Times New Roman"/>
                <w:b/>
                <w:color w:val="auto"/>
                <w:highlight w:val="none"/>
              </w:rPr>
            </w:pPr>
            <w:r>
              <w:rPr>
                <w:rFonts w:hint="eastAsia" w:ascii="Times New Roman" w:cs="Times New Roman"/>
                <w:b/>
                <w:color w:val="auto"/>
                <w:highlight w:val="none"/>
              </w:rPr>
              <w:t>（2）净水工程</w:t>
            </w:r>
          </w:p>
          <w:p>
            <w:pPr>
              <w:spacing w:line="360" w:lineRule="auto"/>
              <w:jc w:val="left"/>
              <w:rPr>
                <w:color w:val="auto"/>
                <w:highlight w:val="none"/>
              </w:rPr>
            </w:pPr>
            <w:r>
              <w:rPr>
                <w:rFonts w:hint="eastAsia"/>
                <w:color w:val="auto"/>
                <w:highlight w:val="none"/>
              </w:rPr>
              <w:t>①高程设计：湘江在潘市取水构筑物段百年一遇洪水位根据业主提供的湘祁水电枢纽工程水库回水及淹没线成果大致推算王家洲段约为 81.55m。推荐方案厂址位于湘江北。厂区的现状地面标高为83.71~100.70m，设计地面标高为92.00m。</w:t>
            </w:r>
          </w:p>
          <w:p>
            <w:pPr>
              <w:spacing w:line="360" w:lineRule="auto"/>
              <w:jc w:val="left"/>
              <w:rPr>
                <w:color w:val="auto"/>
                <w:highlight w:val="none"/>
              </w:rPr>
            </w:pPr>
            <w:r>
              <w:rPr>
                <w:rFonts w:hint="eastAsia"/>
                <w:color w:val="auto"/>
                <w:highlight w:val="none"/>
              </w:rPr>
              <w:t>②构筑物单体设计：</w:t>
            </w:r>
          </w:p>
          <w:p>
            <w:pPr>
              <w:spacing w:line="360" w:lineRule="auto"/>
              <w:jc w:val="left"/>
              <w:rPr>
                <w:color w:val="auto"/>
                <w:highlight w:val="none"/>
              </w:rPr>
            </w:pPr>
            <w:r>
              <w:rPr>
                <w:color w:val="auto"/>
                <w:highlight w:val="none"/>
              </w:rPr>
              <w:t>1</w:t>
            </w:r>
            <w:r>
              <w:rPr>
                <w:rFonts w:hint="eastAsia"/>
                <w:color w:val="auto"/>
                <w:highlight w:val="none"/>
              </w:rPr>
              <w:t xml:space="preserve">）配水井 </w:t>
            </w:r>
          </w:p>
          <w:p>
            <w:pPr>
              <w:spacing w:line="360" w:lineRule="auto"/>
              <w:jc w:val="left"/>
              <w:rPr>
                <w:color w:val="auto"/>
                <w:highlight w:val="none"/>
              </w:rPr>
            </w:pPr>
            <w:r>
              <w:rPr>
                <w:rFonts w:hint="eastAsia"/>
                <w:color w:val="auto"/>
                <w:highlight w:val="none"/>
              </w:rPr>
              <w:t xml:space="preserve">本期工程新建配水井 </w:t>
            </w:r>
            <w:r>
              <w:rPr>
                <w:color w:val="auto"/>
                <w:highlight w:val="none"/>
              </w:rPr>
              <w:t xml:space="preserve">1 </w:t>
            </w:r>
            <w:r>
              <w:rPr>
                <w:rFonts w:hint="eastAsia"/>
                <w:color w:val="auto"/>
                <w:highlight w:val="none"/>
              </w:rPr>
              <w:t xml:space="preserve">座，用于平衡处理构筑物进水流量，建设规模 </w:t>
            </w:r>
            <w:r>
              <w:rPr>
                <w:color w:val="auto"/>
                <w:highlight w:val="none"/>
              </w:rPr>
              <w:t>6.0×</w:t>
            </w:r>
            <w:r>
              <w:rPr>
                <w:rFonts w:hint="eastAsia"/>
                <w:color w:val="auto"/>
                <w:highlight w:val="none"/>
                <w:lang w:eastAsia="zh-CN"/>
              </w:rPr>
              <w:t>10</w:t>
            </w:r>
            <w:r>
              <w:rPr>
                <w:rFonts w:hint="eastAsia"/>
                <w:color w:val="auto"/>
                <w:highlight w:val="none"/>
                <w:vertAlign w:val="superscript"/>
                <w:lang w:eastAsia="zh-CN"/>
              </w:rPr>
              <w:t>4</w:t>
            </w:r>
            <w:r>
              <w:rPr>
                <w:color w:val="auto"/>
                <w:highlight w:val="none"/>
              </w:rPr>
              <w:t>m</w:t>
            </w:r>
            <w:r>
              <w:rPr>
                <w:color w:val="auto"/>
                <w:highlight w:val="none"/>
                <w:vertAlign w:val="superscript"/>
              </w:rPr>
              <w:t>3</w:t>
            </w:r>
            <w:r>
              <w:rPr>
                <w:color w:val="auto"/>
                <w:highlight w:val="none"/>
              </w:rPr>
              <w:t xml:space="preserve">/d </w:t>
            </w:r>
            <w:r>
              <w:rPr>
                <w:rFonts w:hint="eastAsia"/>
                <w:color w:val="auto"/>
                <w:highlight w:val="none"/>
              </w:rPr>
              <w:t xml:space="preserve">一次完成，自用水系数 </w:t>
            </w:r>
            <w:r>
              <w:rPr>
                <w:color w:val="auto"/>
                <w:highlight w:val="none"/>
              </w:rPr>
              <w:t>Ka =1. 10</w:t>
            </w:r>
            <w:r>
              <w:rPr>
                <w:rFonts w:hint="eastAsia"/>
                <w:color w:val="auto"/>
                <w:highlight w:val="none"/>
              </w:rPr>
              <w:t xml:space="preserve">。采用溢流堰配水后分 </w:t>
            </w:r>
            <w:r>
              <w:rPr>
                <w:color w:val="auto"/>
                <w:highlight w:val="none"/>
              </w:rPr>
              <w:t xml:space="preserve">2 </w:t>
            </w:r>
            <w:r>
              <w:rPr>
                <w:rFonts w:hint="eastAsia"/>
                <w:color w:val="auto"/>
                <w:highlight w:val="none"/>
              </w:rPr>
              <w:t xml:space="preserve">格。每格 设置搅拌机 </w:t>
            </w:r>
            <w:r>
              <w:rPr>
                <w:color w:val="auto"/>
                <w:highlight w:val="none"/>
              </w:rPr>
              <w:t xml:space="preserve">1 </w:t>
            </w:r>
            <w:r>
              <w:rPr>
                <w:rFonts w:hint="eastAsia"/>
                <w:color w:val="auto"/>
                <w:highlight w:val="none"/>
              </w:rPr>
              <w:t xml:space="preserve">台进行混合，单格尺寸为 </w:t>
            </w:r>
            <w:r>
              <w:rPr>
                <w:color w:val="auto"/>
                <w:highlight w:val="none"/>
              </w:rPr>
              <w:t>1.8</w:t>
            </w:r>
            <w:r>
              <w:rPr>
                <w:rFonts w:hint="eastAsia"/>
                <w:color w:val="auto"/>
                <w:highlight w:val="none"/>
              </w:rPr>
              <w:t>×</w:t>
            </w:r>
            <w:r>
              <w:rPr>
                <w:color w:val="auto"/>
                <w:highlight w:val="none"/>
              </w:rPr>
              <w:t>1.8m</w:t>
            </w:r>
            <w:r>
              <w:rPr>
                <w:rFonts w:hint="eastAsia"/>
                <w:color w:val="auto"/>
                <w:highlight w:val="none"/>
              </w:rPr>
              <w:t xml:space="preserve">，水深 </w:t>
            </w:r>
            <w:r>
              <w:rPr>
                <w:color w:val="auto"/>
                <w:highlight w:val="none"/>
              </w:rPr>
              <w:t>4.2m</w:t>
            </w:r>
            <w:r>
              <w:rPr>
                <w:rFonts w:hint="eastAsia"/>
                <w:color w:val="auto"/>
                <w:highlight w:val="none"/>
              </w:rPr>
              <w:t>，混合时间约</w:t>
            </w:r>
            <w:r>
              <w:rPr>
                <w:color w:val="auto"/>
                <w:highlight w:val="none"/>
              </w:rPr>
              <w:t>30s</w:t>
            </w:r>
            <w:r>
              <w:rPr>
                <w:rFonts w:hint="eastAsia"/>
                <w:color w:val="auto"/>
                <w:highlight w:val="none"/>
              </w:rPr>
              <w:t>。搅拌机速度梯度为 300～1000s-1之间可调，搅拌机功率4.0kW。</w:t>
            </w:r>
          </w:p>
          <w:p>
            <w:pPr>
              <w:spacing w:line="360" w:lineRule="auto"/>
              <w:jc w:val="left"/>
              <w:rPr>
                <w:color w:val="auto"/>
                <w:highlight w:val="none"/>
              </w:rPr>
            </w:pPr>
            <w:r>
              <w:rPr>
                <w:rFonts w:hint="eastAsia"/>
                <w:color w:val="auto"/>
                <w:highlight w:val="none"/>
              </w:rPr>
              <w:t>2）絮凝沉淀清水池 本期工程新建絮凝沉淀池 2 座，单座土建及设备安装规模 3.0×10</w:t>
            </w:r>
            <w:r>
              <w:rPr>
                <w:rFonts w:hint="eastAsia"/>
                <w:color w:val="auto"/>
                <w:highlight w:val="none"/>
                <w:vertAlign w:val="superscript"/>
              </w:rPr>
              <w:t>4</w:t>
            </w:r>
            <w:r>
              <w:rPr>
                <w:rFonts w:hint="eastAsia"/>
                <w:color w:val="auto"/>
                <w:highlight w:val="none"/>
              </w:rPr>
              <w:t>m</w:t>
            </w:r>
            <w:r>
              <w:rPr>
                <w:rFonts w:hint="eastAsia"/>
                <w:color w:val="auto"/>
                <w:highlight w:val="none"/>
                <w:vertAlign w:val="superscript"/>
              </w:rPr>
              <w:t>3</w:t>
            </w:r>
            <w:r>
              <w:rPr>
                <w:rFonts w:hint="eastAsia"/>
                <w:color w:val="auto"/>
                <w:highlight w:val="none"/>
              </w:rPr>
              <w:t>/d，包含折板絮凝池、平流沉淀池。各部分具体设计参数如下所示：</w:t>
            </w:r>
          </w:p>
          <w:p>
            <w:pPr>
              <w:spacing w:line="360" w:lineRule="auto"/>
              <w:jc w:val="left"/>
              <w:rPr>
                <w:color w:val="auto"/>
                <w:highlight w:val="none"/>
              </w:rPr>
            </w:pPr>
            <w:r>
              <w:rPr>
                <w:color w:val="auto"/>
                <w:highlight w:val="none"/>
              </w:rPr>
              <w:t xml:space="preserve">a. </w:t>
            </w:r>
            <w:r>
              <w:rPr>
                <w:rFonts w:hint="eastAsia"/>
                <w:color w:val="auto"/>
                <w:highlight w:val="none"/>
              </w:rPr>
              <w:t xml:space="preserve">絮凝池 </w:t>
            </w:r>
          </w:p>
          <w:p>
            <w:pPr>
              <w:spacing w:line="360" w:lineRule="auto"/>
              <w:jc w:val="left"/>
              <w:rPr>
                <w:color w:val="auto"/>
                <w:highlight w:val="none"/>
              </w:rPr>
            </w:pPr>
            <w:r>
              <w:rPr>
                <w:rFonts w:hint="eastAsia"/>
                <w:color w:val="auto"/>
                <w:highlight w:val="none"/>
              </w:rPr>
              <w:t xml:space="preserve">采用栅条絮凝池，分两组，具体设计参数如下： </w:t>
            </w:r>
          </w:p>
          <w:p>
            <w:pPr>
              <w:spacing w:line="360" w:lineRule="auto"/>
              <w:jc w:val="left"/>
              <w:rPr>
                <w:color w:val="auto"/>
                <w:highlight w:val="none"/>
              </w:rPr>
            </w:pPr>
            <w:r>
              <w:rPr>
                <w:rFonts w:hint="eastAsia"/>
                <w:color w:val="auto"/>
                <w:highlight w:val="none"/>
              </w:rPr>
              <w:t xml:space="preserve">设计规模： </w:t>
            </w:r>
            <w:r>
              <w:rPr>
                <w:color w:val="auto"/>
                <w:highlight w:val="none"/>
              </w:rPr>
              <w:t>3.0×104m</w:t>
            </w:r>
            <w:r>
              <w:rPr>
                <w:color w:val="auto"/>
                <w:highlight w:val="none"/>
                <w:vertAlign w:val="superscript"/>
              </w:rPr>
              <w:t>3</w:t>
            </w:r>
            <w:r>
              <w:rPr>
                <w:color w:val="auto"/>
                <w:highlight w:val="none"/>
              </w:rPr>
              <w:t>/d</w:t>
            </w:r>
            <w:r>
              <w:rPr>
                <w:rFonts w:hint="eastAsia"/>
                <w:color w:val="auto"/>
                <w:highlight w:val="none"/>
              </w:rPr>
              <w:t>，</w:t>
            </w:r>
            <w:r>
              <w:rPr>
                <w:color w:val="auto"/>
                <w:highlight w:val="none"/>
              </w:rPr>
              <w:t>K</w:t>
            </w:r>
            <w:r>
              <w:rPr>
                <w:rFonts w:hint="eastAsia"/>
                <w:color w:val="auto"/>
                <w:highlight w:val="none"/>
              </w:rPr>
              <w:t>＝</w:t>
            </w:r>
            <w:r>
              <w:rPr>
                <w:color w:val="auto"/>
                <w:highlight w:val="none"/>
              </w:rPr>
              <w:t>1.1</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 xml:space="preserve">结构型式： 矩形，钢筋混凝土结构； </w:t>
            </w:r>
          </w:p>
          <w:p>
            <w:pPr>
              <w:spacing w:line="360" w:lineRule="auto"/>
              <w:jc w:val="left"/>
              <w:rPr>
                <w:color w:val="auto"/>
                <w:highlight w:val="none"/>
              </w:rPr>
            </w:pPr>
            <w:r>
              <w:rPr>
                <w:rFonts w:hint="eastAsia"/>
                <w:color w:val="auto"/>
                <w:highlight w:val="none"/>
              </w:rPr>
              <w:t xml:space="preserve">分组数： </w:t>
            </w:r>
            <w:r>
              <w:rPr>
                <w:color w:val="auto"/>
                <w:highlight w:val="none"/>
              </w:rPr>
              <w:t xml:space="preserve">3 </w:t>
            </w:r>
            <w:r>
              <w:rPr>
                <w:rFonts w:hint="eastAsia"/>
                <w:color w:val="auto"/>
                <w:highlight w:val="none"/>
              </w:rPr>
              <w:t xml:space="preserve">组； </w:t>
            </w:r>
          </w:p>
          <w:p>
            <w:pPr>
              <w:spacing w:line="360" w:lineRule="auto"/>
              <w:jc w:val="left"/>
              <w:rPr>
                <w:color w:val="auto"/>
                <w:highlight w:val="none"/>
              </w:rPr>
            </w:pPr>
            <w:r>
              <w:rPr>
                <w:rFonts w:hint="eastAsia"/>
                <w:color w:val="auto"/>
                <w:highlight w:val="none"/>
              </w:rPr>
              <w:t>絮凝池尺寸：</w:t>
            </w:r>
            <w:r>
              <w:rPr>
                <w:color w:val="auto"/>
                <w:highlight w:val="none"/>
              </w:rPr>
              <w:t>L×B×H=17.5m×12m×4.30m</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絮凝总时间：</w:t>
            </w:r>
            <w:r>
              <w:rPr>
                <w:color w:val="auto"/>
                <w:highlight w:val="none"/>
              </w:rPr>
              <w:t>18.28min</w:t>
            </w:r>
            <w:r>
              <w:rPr>
                <w:rFonts w:hint="eastAsia"/>
                <w:color w:val="auto"/>
                <w:highlight w:val="none"/>
              </w:rPr>
              <w:t>；</w:t>
            </w:r>
          </w:p>
          <w:p>
            <w:pPr>
              <w:spacing w:line="360" w:lineRule="auto"/>
              <w:jc w:val="left"/>
              <w:rPr>
                <w:color w:val="auto"/>
                <w:highlight w:val="none"/>
              </w:rPr>
            </w:pPr>
            <w:r>
              <w:rPr>
                <w:rFonts w:hint="eastAsia"/>
                <w:color w:val="auto"/>
                <w:highlight w:val="none"/>
              </w:rPr>
              <w:t>第一阶段絮凝：</w:t>
            </w:r>
            <w:r>
              <w:rPr>
                <w:color w:val="auto"/>
                <w:highlight w:val="none"/>
              </w:rPr>
              <w:t>5.55min</w:t>
            </w:r>
            <w:r>
              <w:rPr>
                <w:rFonts w:hint="eastAsia"/>
                <w:color w:val="auto"/>
                <w:highlight w:val="none"/>
              </w:rPr>
              <w:t>；</w:t>
            </w:r>
          </w:p>
          <w:p>
            <w:pPr>
              <w:spacing w:line="360" w:lineRule="auto"/>
              <w:jc w:val="left"/>
              <w:rPr>
                <w:color w:val="auto"/>
                <w:highlight w:val="none"/>
              </w:rPr>
            </w:pPr>
            <w:r>
              <w:rPr>
                <w:rFonts w:hint="eastAsia"/>
                <w:color w:val="auto"/>
                <w:highlight w:val="none"/>
              </w:rPr>
              <w:t>第二阶段絮凝：</w:t>
            </w:r>
            <w:r>
              <w:rPr>
                <w:color w:val="auto"/>
                <w:highlight w:val="none"/>
              </w:rPr>
              <w:t>6.25min</w:t>
            </w:r>
            <w:r>
              <w:rPr>
                <w:rFonts w:hint="eastAsia"/>
                <w:color w:val="auto"/>
                <w:highlight w:val="none"/>
              </w:rPr>
              <w:t>；</w:t>
            </w:r>
          </w:p>
          <w:p>
            <w:pPr>
              <w:spacing w:line="360" w:lineRule="auto"/>
              <w:jc w:val="left"/>
              <w:rPr>
                <w:color w:val="auto"/>
                <w:highlight w:val="none"/>
              </w:rPr>
            </w:pPr>
            <w:r>
              <w:rPr>
                <w:rFonts w:hint="eastAsia"/>
                <w:color w:val="auto"/>
                <w:highlight w:val="none"/>
              </w:rPr>
              <w:t>第三阶段絮凝：</w:t>
            </w:r>
            <w:r>
              <w:rPr>
                <w:color w:val="auto"/>
                <w:highlight w:val="none"/>
              </w:rPr>
              <w:t>6.48min</w:t>
            </w:r>
            <w:r>
              <w:rPr>
                <w:rFonts w:hint="eastAsia"/>
                <w:color w:val="auto"/>
                <w:highlight w:val="none"/>
              </w:rPr>
              <w:t>。</w:t>
            </w:r>
          </w:p>
          <w:p>
            <w:pPr>
              <w:spacing w:line="360" w:lineRule="auto"/>
              <w:jc w:val="left"/>
              <w:rPr>
                <w:color w:val="auto"/>
                <w:highlight w:val="none"/>
              </w:rPr>
            </w:pPr>
            <w:r>
              <w:rPr>
                <w:color w:val="auto"/>
                <w:highlight w:val="none"/>
              </w:rPr>
              <w:t xml:space="preserve">b. </w:t>
            </w:r>
            <w:r>
              <w:rPr>
                <w:rFonts w:hint="eastAsia"/>
                <w:color w:val="auto"/>
                <w:highlight w:val="none"/>
              </w:rPr>
              <w:t xml:space="preserve">平流沉淀池 </w:t>
            </w:r>
          </w:p>
          <w:p>
            <w:pPr>
              <w:spacing w:line="360" w:lineRule="auto"/>
              <w:jc w:val="left"/>
              <w:rPr>
                <w:color w:val="auto"/>
                <w:highlight w:val="none"/>
              </w:rPr>
            </w:pPr>
            <w:r>
              <w:rPr>
                <w:rFonts w:hint="eastAsia"/>
                <w:color w:val="auto"/>
                <w:highlight w:val="none"/>
              </w:rPr>
              <w:t>平流沉淀池考虑设置</w:t>
            </w:r>
            <w:r>
              <w:rPr>
                <w:color w:val="auto"/>
                <w:highlight w:val="none"/>
              </w:rPr>
              <w:t>3</w:t>
            </w:r>
            <w:r>
              <w:rPr>
                <w:rFonts w:hint="eastAsia"/>
                <w:color w:val="auto"/>
                <w:highlight w:val="none"/>
              </w:rPr>
              <w:t xml:space="preserve">格，絮凝池与沉淀池之间采用配水花格墙，由预制混凝土孔眼墙块组成，进水端流速 </w:t>
            </w:r>
            <w:r>
              <w:rPr>
                <w:color w:val="auto"/>
                <w:highlight w:val="none"/>
              </w:rPr>
              <w:t>V1=0.095m/s</w:t>
            </w:r>
            <w:r>
              <w:rPr>
                <w:rFonts w:hint="eastAsia"/>
                <w:color w:val="auto"/>
                <w:highlight w:val="none"/>
              </w:rPr>
              <w:t xml:space="preserve">，出水端流速 </w:t>
            </w:r>
            <w:r>
              <w:rPr>
                <w:color w:val="auto"/>
                <w:highlight w:val="none"/>
              </w:rPr>
              <w:t>V2=0.077m/s</w:t>
            </w:r>
            <w:r>
              <w:rPr>
                <w:rFonts w:hint="eastAsia"/>
                <w:color w:val="auto"/>
                <w:highlight w:val="none"/>
              </w:rPr>
              <w:t>。沉淀池采用沉淀效果好、耐冲击负荷能力强、出水水质稳定、便于管理维护的平流式沉淀池，主要设计参数如下：</w:t>
            </w:r>
          </w:p>
          <w:p>
            <w:pPr>
              <w:spacing w:line="360" w:lineRule="auto"/>
              <w:jc w:val="left"/>
              <w:rPr>
                <w:color w:val="auto"/>
                <w:highlight w:val="none"/>
              </w:rPr>
            </w:pPr>
            <w:r>
              <w:rPr>
                <w:rFonts w:hint="eastAsia"/>
                <w:color w:val="auto"/>
                <w:highlight w:val="none"/>
              </w:rPr>
              <w:t>设计规模：</w:t>
            </w:r>
            <w:r>
              <w:rPr>
                <w:color w:val="auto"/>
                <w:highlight w:val="none"/>
              </w:rPr>
              <w:t>3.0×10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w:t>
            </w:r>
            <w:r>
              <w:rPr>
                <w:color w:val="auto"/>
                <w:highlight w:val="none"/>
              </w:rPr>
              <w:t>K</w:t>
            </w:r>
            <w:r>
              <w:rPr>
                <w:rFonts w:hint="eastAsia"/>
                <w:color w:val="auto"/>
                <w:highlight w:val="none"/>
              </w:rPr>
              <w:t>＝</w:t>
            </w:r>
            <w:r>
              <w:rPr>
                <w:color w:val="auto"/>
                <w:highlight w:val="none"/>
              </w:rPr>
              <w:t>1.1</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分格数：</w:t>
            </w:r>
            <w:r>
              <w:rPr>
                <w:color w:val="auto"/>
                <w:highlight w:val="none"/>
              </w:rPr>
              <w:t xml:space="preserve">3 </w:t>
            </w:r>
            <w:r>
              <w:rPr>
                <w:rFonts w:hint="eastAsia"/>
                <w:color w:val="auto"/>
                <w:highlight w:val="none"/>
              </w:rPr>
              <w:t xml:space="preserve">格 </w:t>
            </w:r>
          </w:p>
          <w:p>
            <w:pPr>
              <w:spacing w:line="360" w:lineRule="auto"/>
              <w:jc w:val="left"/>
              <w:rPr>
                <w:color w:val="auto"/>
                <w:highlight w:val="none"/>
              </w:rPr>
            </w:pPr>
            <w:r>
              <w:rPr>
                <w:rFonts w:hint="eastAsia"/>
                <w:color w:val="auto"/>
                <w:highlight w:val="none"/>
              </w:rPr>
              <w:t>池体尺寸：</w:t>
            </w:r>
            <w:r>
              <w:rPr>
                <w:color w:val="auto"/>
                <w:highlight w:val="none"/>
              </w:rPr>
              <w:t>L×B×H</w:t>
            </w:r>
            <w:r>
              <w:rPr>
                <w:rFonts w:hint="eastAsia"/>
                <w:color w:val="auto"/>
                <w:highlight w:val="none"/>
              </w:rPr>
              <w:t>＝</w:t>
            </w:r>
            <w:r>
              <w:rPr>
                <w:color w:val="auto"/>
                <w:highlight w:val="none"/>
              </w:rPr>
              <w:t>71.5m×12m×3.60m</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有效水深：</w:t>
            </w:r>
            <w:r>
              <w:rPr>
                <w:color w:val="auto"/>
                <w:highlight w:val="none"/>
              </w:rPr>
              <w:t>3.30m</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停留时间：</w:t>
            </w:r>
            <w:r>
              <w:rPr>
                <w:color w:val="auto"/>
                <w:highlight w:val="none"/>
              </w:rPr>
              <w:t>2.4h</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水平流速：</w:t>
            </w:r>
            <w:r>
              <w:rPr>
                <w:color w:val="auto"/>
                <w:highlight w:val="none"/>
              </w:rPr>
              <w:t>11.2mm/s</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 xml:space="preserve">弗罗德数 </w:t>
            </w:r>
            <w:r>
              <w:rPr>
                <w:color w:val="auto"/>
                <w:highlight w:val="none"/>
              </w:rPr>
              <w:t>Fr</w:t>
            </w:r>
            <w:r>
              <w:rPr>
                <w:rFonts w:hint="eastAsia"/>
                <w:color w:val="auto"/>
                <w:highlight w:val="none"/>
              </w:rPr>
              <w:t>：</w:t>
            </w:r>
            <w:r>
              <w:rPr>
                <w:color w:val="auto"/>
                <w:highlight w:val="none"/>
              </w:rPr>
              <w:t>1.15×10</w:t>
            </w:r>
            <w:r>
              <w:rPr>
                <w:rFonts w:hint="eastAsia"/>
                <w:color w:val="auto"/>
                <w:highlight w:val="none"/>
                <w:vertAlign w:val="superscript"/>
              </w:rPr>
              <w:t>-</w:t>
            </w:r>
            <w:r>
              <w:rPr>
                <w:color w:val="auto"/>
                <w:highlight w:val="none"/>
                <w:vertAlign w:val="superscript"/>
              </w:rPr>
              <w:t>5</w:t>
            </w:r>
            <w:r>
              <w:rPr>
                <w:rFonts w:hint="eastAsia"/>
                <w:color w:val="auto"/>
                <w:highlight w:val="none"/>
              </w:rPr>
              <w:t>；</w:t>
            </w:r>
          </w:p>
          <w:p>
            <w:pPr>
              <w:spacing w:line="360" w:lineRule="auto"/>
              <w:jc w:val="left"/>
              <w:rPr>
                <w:color w:val="auto"/>
                <w:highlight w:val="none"/>
              </w:rPr>
            </w:pPr>
            <w:r>
              <w:rPr>
                <w:rFonts w:hint="eastAsia"/>
                <w:color w:val="auto"/>
                <w:highlight w:val="none"/>
              </w:rPr>
              <w:t>配水方式：花格墙；</w:t>
            </w:r>
          </w:p>
          <w:p>
            <w:pPr>
              <w:spacing w:line="360" w:lineRule="auto"/>
              <w:jc w:val="left"/>
              <w:rPr>
                <w:color w:val="auto"/>
                <w:highlight w:val="none"/>
              </w:rPr>
            </w:pPr>
            <w:r>
              <w:rPr>
                <w:rFonts w:hint="eastAsia"/>
                <w:color w:val="auto"/>
                <w:highlight w:val="none"/>
              </w:rPr>
              <w:t>配水墙进口流速：</w:t>
            </w:r>
            <w:r>
              <w:rPr>
                <w:color w:val="auto"/>
                <w:highlight w:val="none"/>
              </w:rPr>
              <w:t>0.095m/s</w:t>
            </w:r>
            <w:r>
              <w:rPr>
                <w:rFonts w:hint="eastAsia"/>
                <w:color w:val="auto"/>
                <w:highlight w:val="none"/>
              </w:rPr>
              <w:t>；</w:t>
            </w:r>
          </w:p>
          <w:p>
            <w:pPr>
              <w:spacing w:line="360" w:lineRule="auto"/>
              <w:jc w:val="left"/>
              <w:rPr>
                <w:color w:val="auto"/>
                <w:highlight w:val="none"/>
              </w:rPr>
            </w:pPr>
            <w:r>
              <w:rPr>
                <w:rFonts w:hint="eastAsia"/>
                <w:color w:val="auto"/>
                <w:highlight w:val="none"/>
              </w:rPr>
              <w:t>配水墙出口流速：</w:t>
            </w:r>
            <w:r>
              <w:rPr>
                <w:color w:val="auto"/>
                <w:highlight w:val="none"/>
              </w:rPr>
              <w:t>0.077m/s</w:t>
            </w:r>
            <w:r>
              <w:rPr>
                <w:rFonts w:hint="eastAsia"/>
                <w:color w:val="auto"/>
                <w:highlight w:val="none"/>
              </w:rPr>
              <w:t>；</w:t>
            </w:r>
          </w:p>
          <w:p>
            <w:pPr>
              <w:spacing w:line="360" w:lineRule="auto"/>
              <w:jc w:val="left"/>
              <w:rPr>
                <w:color w:val="auto"/>
                <w:highlight w:val="none"/>
              </w:rPr>
            </w:pPr>
            <w:r>
              <w:rPr>
                <w:rFonts w:hint="eastAsia"/>
                <w:color w:val="auto"/>
                <w:highlight w:val="none"/>
              </w:rPr>
              <w:t xml:space="preserve">出口方式： 孔眼式集水槽； </w:t>
            </w:r>
          </w:p>
          <w:p>
            <w:pPr>
              <w:spacing w:line="360" w:lineRule="auto"/>
              <w:jc w:val="left"/>
              <w:rPr>
                <w:color w:val="auto"/>
                <w:highlight w:val="none"/>
              </w:rPr>
            </w:pPr>
            <w:r>
              <w:rPr>
                <w:rFonts w:hint="eastAsia"/>
                <w:color w:val="auto"/>
                <w:highlight w:val="none"/>
              </w:rPr>
              <w:t xml:space="preserve">溢流负荷： </w:t>
            </w:r>
            <w:r>
              <w:rPr>
                <w:color w:val="auto"/>
                <w:highlight w:val="none"/>
              </w:rPr>
              <w:t>171.90m</w:t>
            </w:r>
            <w:r>
              <w:rPr>
                <w:color w:val="auto"/>
                <w:highlight w:val="none"/>
                <w:vertAlign w:val="superscript"/>
              </w:rPr>
              <w:t>3</w:t>
            </w:r>
            <w:r>
              <w:rPr>
                <w:color w:val="auto"/>
                <w:highlight w:val="none"/>
              </w:rPr>
              <w:t xml:space="preserve">/m·d </w:t>
            </w:r>
          </w:p>
          <w:p>
            <w:pPr>
              <w:spacing w:line="360" w:lineRule="auto"/>
              <w:jc w:val="left"/>
              <w:rPr>
                <w:color w:val="auto"/>
                <w:highlight w:val="none"/>
              </w:rPr>
            </w:pPr>
            <w:r>
              <w:rPr>
                <w:rFonts w:hint="eastAsia"/>
                <w:color w:val="auto"/>
                <w:highlight w:val="none"/>
              </w:rPr>
              <w:t>集水槽中心距：</w:t>
            </w:r>
            <w:r>
              <w:rPr>
                <w:color w:val="auto"/>
                <w:highlight w:val="none"/>
              </w:rPr>
              <w:t>1.0m</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集水槽材质：</w:t>
            </w:r>
            <w:r>
              <w:rPr>
                <w:color w:val="auto"/>
                <w:highlight w:val="none"/>
              </w:rPr>
              <w:t xml:space="preserve">316L </w:t>
            </w:r>
            <w:r>
              <w:rPr>
                <w:rFonts w:hint="eastAsia"/>
                <w:color w:val="auto"/>
                <w:highlight w:val="none"/>
              </w:rPr>
              <w:t xml:space="preserve">不锈钢； </w:t>
            </w:r>
          </w:p>
          <w:p>
            <w:pPr>
              <w:spacing w:line="360" w:lineRule="auto"/>
              <w:jc w:val="left"/>
              <w:rPr>
                <w:color w:val="auto"/>
                <w:highlight w:val="none"/>
              </w:rPr>
            </w:pPr>
            <w:r>
              <w:rPr>
                <w:rFonts w:hint="eastAsia"/>
                <w:color w:val="auto"/>
                <w:highlight w:val="none"/>
              </w:rPr>
              <w:t xml:space="preserve">出水浊度： </w:t>
            </w:r>
            <w:r>
              <w:rPr>
                <w:color w:val="auto"/>
                <w:highlight w:val="none"/>
              </w:rPr>
              <w:t>≤3.0NTU</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排泥方式： 虹吸式排泥车，</w:t>
            </w:r>
            <w:r>
              <w:rPr>
                <w:color w:val="auto"/>
                <w:highlight w:val="none"/>
              </w:rPr>
              <w:t>N=3.0kW</w:t>
            </w:r>
            <w:r>
              <w:rPr>
                <w:rFonts w:hint="eastAsia"/>
                <w:color w:val="auto"/>
                <w:highlight w:val="none"/>
              </w:rPr>
              <w:t xml:space="preserve">。 </w:t>
            </w:r>
          </w:p>
          <w:p>
            <w:pPr>
              <w:spacing w:line="360" w:lineRule="auto"/>
              <w:jc w:val="left"/>
              <w:rPr>
                <w:color w:val="auto"/>
                <w:highlight w:val="none"/>
              </w:rPr>
            </w:pPr>
            <w:r>
              <w:rPr>
                <w:color w:val="auto"/>
                <w:highlight w:val="none"/>
              </w:rPr>
              <w:t>3</w:t>
            </w:r>
            <w:r>
              <w:rPr>
                <w:rFonts w:hint="eastAsia"/>
                <w:color w:val="auto"/>
                <w:highlight w:val="none"/>
              </w:rPr>
              <w:t xml:space="preserve">）气水反冲洗砂滤池 </w:t>
            </w:r>
          </w:p>
          <w:p>
            <w:pPr>
              <w:spacing w:line="360" w:lineRule="auto"/>
              <w:jc w:val="left"/>
              <w:rPr>
                <w:color w:val="auto"/>
                <w:highlight w:val="none"/>
              </w:rPr>
            </w:pPr>
            <w:r>
              <w:rPr>
                <w:rFonts w:hint="eastAsia"/>
                <w:color w:val="auto"/>
                <w:highlight w:val="none"/>
              </w:rPr>
              <w:t xml:space="preserve">气水反冲洗砂滤池共设 </w:t>
            </w:r>
            <w:r>
              <w:rPr>
                <w:color w:val="auto"/>
                <w:highlight w:val="none"/>
              </w:rPr>
              <w:t xml:space="preserve">1 </w:t>
            </w:r>
            <w:r>
              <w:rPr>
                <w:rFonts w:hint="eastAsia"/>
                <w:color w:val="auto"/>
                <w:highlight w:val="none"/>
              </w:rPr>
              <w:t xml:space="preserve">座，设计规模为 </w:t>
            </w:r>
            <w:r>
              <w:rPr>
                <w:color w:val="auto"/>
                <w:highlight w:val="none"/>
              </w:rPr>
              <w:t>6</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w:t>
            </w:r>
            <w:r>
              <w:rPr>
                <w:color w:val="auto"/>
                <w:highlight w:val="none"/>
              </w:rPr>
              <w:t>K=1.1</w:t>
            </w:r>
            <w:r>
              <w:rPr>
                <w:rFonts w:hint="eastAsia"/>
                <w:color w:val="auto"/>
                <w:highlight w:val="none"/>
              </w:rPr>
              <w:t>。气水反冲洗滤池共分</w:t>
            </w:r>
            <w:r>
              <w:rPr>
                <w:color w:val="auto"/>
                <w:highlight w:val="none"/>
              </w:rPr>
              <w:t>6</w:t>
            </w:r>
            <w:r>
              <w:rPr>
                <w:rFonts w:hint="eastAsia"/>
                <w:color w:val="auto"/>
                <w:highlight w:val="none"/>
              </w:rPr>
              <w:t xml:space="preserve">格，采用双排布置，单格过滤面积 </w:t>
            </w:r>
            <w:r>
              <w:rPr>
                <w:color w:val="auto"/>
                <w:highlight w:val="none"/>
              </w:rPr>
              <w:t>54.0m</w:t>
            </w:r>
            <w:r>
              <w:rPr>
                <w:color w:val="auto"/>
                <w:highlight w:val="none"/>
                <w:vertAlign w:val="superscript"/>
              </w:rPr>
              <w:t>2</w:t>
            </w:r>
            <w:r>
              <w:rPr>
                <w:rFonts w:hint="eastAsia"/>
                <w:color w:val="auto"/>
                <w:highlight w:val="none"/>
              </w:rPr>
              <w:t>，总过滤面积</w:t>
            </w:r>
            <w:r>
              <w:rPr>
                <w:color w:val="auto"/>
                <w:highlight w:val="none"/>
              </w:rPr>
              <w:t>324m</w:t>
            </w:r>
            <w:r>
              <w:rPr>
                <w:color w:val="auto"/>
                <w:highlight w:val="none"/>
                <w:vertAlign w:val="superscript"/>
              </w:rPr>
              <w:t>2</w:t>
            </w:r>
            <w:r>
              <w:rPr>
                <w:rFonts w:hint="eastAsia"/>
                <w:color w:val="auto"/>
                <w:highlight w:val="none"/>
              </w:rPr>
              <w:t xml:space="preserve">。各项设计参数如下： </w:t>
            </w:r>
          </w:p>
          <w:p>
            <w:pPr>
              <w:spacing w:line="360" w:lineRule="auto"/>
              <w:jc w:val="left"/>
              <w:rPr>
                <w:color w:val="auto"/>
                <w:highlight w:val="none"/>
              </w:rPr>
            </w:pPr>
            <w:r>
              <w:rPr>
                <w:rFonts w:hint="eastAsia"/>
                <w:color w:val="auto"/>
                <w:highlight w:val="none"/>
              </w:rPr>
              <w:t>单格滤池平面尺寸：</w:t>
            </w:r>
            <w:r>
              <w:rPr>
                <w:color w:val="auto"/>
                <w:highlight w:val="none"/>
              </w:rPr>
              <w:t>L</w:t>
            </w:r>
            <w:r>
              <w:rPr>
                <w:rFonts w:hint="eastAsia"/>
                <w:color w:val="auto"/>
                <w:highlight w:val="none"/>
              </w:rPr>
              <w:t>×</w:t>
            </w:r>
            <w:r>
              <w:rPr>
                <w:color w:val="auto"/>
                <w:highlight w:val="none"/>
              </w:rPr>
              <w:t>B=9.0</w:t>
            </w:r>
            <w:r>
              <w:rPr>
                <w:rFonts w:hint="eastAsia"/>
                <w:color w:val="auto"/>
                <w:highlight w:val="none"/>
              </w:rPr>
              <w:t>×</w:t>
            </w:r>
            <w:r>
              <w:rPr>
                <w:color w:val="auto"/>
                <w:highlight w:val="none"/>
              </w:rPr>
              <w:t xml:space="preserve">3.0m </w:t>
            </w:r>
          </w:p>
          <w:p>
            <w:pPr>
              <w:spacing w:line="360" w:lineRule="auto"/>
              <w:jc w:val="left"/>
              <w:rPr>
                <w:color w:val="auto"/>
                <w:highlight w:val="none"/>
              </w:rPr>
            </w:pPr>
            <w:r>
              <w:rPr>
                <w:rFonts w:hint="eastAsia"/>
                <w:color w:val="auto"/>
                <w:highlight w:val="none"/>
              </w:rPr>
              <w:t>正常滤速：</w:t>
            </w:r>
            <w:r>
              <w:rPr>
                <w:color w:val="auto"/>
                <w:highlight w:val="none"/>
              </w:rPr>
              <w:t xml:space="preserve">V1=8.49m/h </w:t>
            </w:r>
          </w:p>
          <w:p>
            <w:pPr>
              <w:spacing w:line="360" w:lineRule="auto"/>
              <w:jc w:val="left"/>
              <w:rPr>
                <w:color w:val="auto"/>
                <w:highlight w:val="none"/>
              </w:rPr>
            </w:pPr>
            <w:r>
              <w:rPr>
                <w:rFonts w:hint="eastAsia"/>
                <w:color w:val="auto"/>
                <w:highlight w:val="none"/>
              </w:rPr>
              <w:t>反冲洗时强制滤速</w:t>
            </w:r>
            <w:r>
              <w:rPr>
                <w:color w:val="auto"/>
                <w:highlight w:val="none"/>
              </w:rPr>
              <w:t xml:space="preserve">V2=10.19m/h </w:t>
            </w:r>
          </w:p>
          <w:p>
            <w:pPr>
              <w:spacing w:line="360" w:lineRule="auto"/>
              <w:jc w:val="left"/>
              <w:rPr>
                <w:color w:val="auto"/>
                <w:highlight w:val="none"/>
              </w:rPr>
            </w:pPr>
            <w:r>
              <w:rPr>
                <w:rFonts w:hint="eastAsia"/>
                <w:color w:val="auto"/>
                <w:highlight w:val="none"/>
              </w:rPr>
              <w:t xml:space="preserve">滤料粒径： </w:t>
            </w:r>
            <w:r>
              <w:rPr>
                <w:color w:val="auto"/>
                <w:highlight w:val="none"/>
              </w:rPr>
              <w:t>D10=0.9mm</w:t>
            </w:r>
            <w:r>
              <w:rPr>
                <w:rFonts w:hint="eastAsia"/>
                <w:color w:val="auto"/>
                <w:highlight w:val="none"/>
              </w:rPr>
              <w:t>，</w:t>
            </w:r>
            <w:r>
              <w:rPr>
                <w:color w:val="auto"/>
                <w:highlight w:val="none"/>
              </w:rPr>
              <w:t>K60</w:t>
            </w:r>
            <w:r>
              <w:rPr>
                <w:rFonts w:hint="eastAsia"/>
                <w:color w:val="auto"/>
                <w:highlight w:val="none"/>
              </w:rPr>
              <w:t>≤</w:t>
            </w:r>
            <w:r>
              <w:rPr>
                <w:color w:val="auto"/>
                <w:highlight w:val="none"/>
              </w:rPr>
              <w:t xml:space="preserve">1.6 </w:t>
            </w:r>
          </w:p>
          <w:p>
            <w:pPr>
              <w:spacing w:line="360" w:lineRule="auto"/>
              <w:jc w:val="left"/>
              <w:rPr>
                <w:color w:val="auto"/>
                <w:highlight w:val="none"/>
              </w:rPr>
            </w:pPr>
            <w:r>
              <w:rPr>
                <w:rFonts w:hint="eastAsia"/>
                <w:color w:val="auto"/>
                <w:highlight w:val="none"/>
              </w:rPr>
              <w:t xml:space="preserve">滤料厚度： </w:t>
            </w:r>
            <w:r>
              <w:rPr>
                <w:color w:val="auto"/>
                <w:highlight w:val="none"/>
              </w:rPr>
              <w:t xml:space="preserve">H=1200mm </w:t>
            </w:r>
          </w:p>
          <w:p>
            <w:pPr>
              <w:spacing w:line="360" w:lineRule="auto"/>
              <w:jc w:val="left"/>
              <w:rPr>
                <w:color w:val="auto"/>
                <w:highlight w:val="none"/>
              </w:rPr>
            </w:pPr>
            <w:r>
              <w:rPr>
                <w:rFonts w:hint="eastAsia"/>
                <w:color w:val="auto"/>
                <w:highlight w:val="none"/>
              </w:rPr>
              <w:t>承托层厚度：</w:t>
            </w:r>
            <w:r>
              <w:rPr>
                <w:color w:val="auto"/>
                <w:highlight w:val="none"/>
              </w:rPr>
              <w:t xml:space="preserve">h=100mm </w:t>
            </w:r>
          </w:p>
          <w:p>
            <w:pPr>
              <w:spacing w:line="360" w:lineRule="auto"/>
              <w:jc w:val="left"/>
              <w:rPr>
                <w:color w:val="auto"/>
                <w:highlight w:val="none"/>
              </w:rPr>
            </w:pPr>
            <w:r>
              <w:rPr>
                <w:rFonts w:hint="eastAsia"/>
                <w:color w:val="auto"/>
                <w:highlight w:val="none"/>
              </w:rPr>
              <w:t xml:space="preserve">反冲洗方式：气、水反冲洗加表面扫洗 </w:t>
            </w:r>
          </w:p>
          <w:p>
            <w:pPr>
              <w:spacing w:line="360" w:lineRule="auto"/>
              <w:jc w:val="left"/>
              <w:rPr>
                <w:color w:val="auto"/>
                <w:highlight w:val="none"/>
              </w:rPr>
            </w:pPr>
            <w:r>
              <w:rPr>
                <w:rFonts w:hint="eastAsia"/>
                <w:color w:val="auto"/>
                <w:highlight w:val="none"/>
              </w:rPr>
              <w:t>反冲洗周期：</w:t>
            </w:r>
            <w:r>
              <w:rPr>
                <w:color w:val="auto"/>
                <w:highlight w:val="none"/>
              </w:rPr>
              <w:t xml:space="preserve">24h </w:t>
            </w:r>
          </w:p>
          <w:p>
            <w:pPr>
              <w:spacing w:line="360" w:lineRule="auto"/>
              <w:jc w:val="left"/>
              <w:rPr>
                <w:color w:val="auto"/>
                <w:highlight w:val="none"/>
              </w:rPr>
            </w:pPr>
            <w:r>
              <w:rPr>
                <w:rFonts w:hint="eastAsia"/>
                <w:color w:val="auto"/>
                <w:highlight w:val="none"/>
              </w:rPr>
              <w:t xml:space="preserve">单格气冲强度： </w:t>
            </w:r>
            <w:r>
              <w:rPr>
                <w:color w:val="auto"/>
                <w:highlight w:val="none"/>
              </w:rPr>
              <w:t>q1=15L/s</w:t>
            </w:r>
            <w:r>
              <w:rPr>
                <w:rFonts w:hint="eastAsia"/>
                <w:color w:val="auto"/>
                <w:highlight w:val="none"/>
              </w:rPr>
              <w:t>·</w:t>
            </w:r>
            <w:r>
              <w:rPr>
                <w:color w:val="auto"/>
                <w:highlight w:val="none"/>
              </w:rPr>
              <w:t>m</w:t>
            </w:r>
            <w:r>
              <w:rPr>
                <w:color w:val="auto"/>
                <w:highlight w:val="none"/>
                <w:vertAlign w:val="superscript"/>
              </w:rPr>
              <w:t>2</w:t>
            </w:r>
          </w:p>
          <w:p>
            <w:pPr>
              <w:spacing w:line="360" w:lineRule="auto"/>
              <w:jc w:val="left"/>
              <w:rPr>
                <w:color w:val="auto"/>
                <w:highlight w:val="none"/>
                <w:vertAlign w:val="superscript"/>
              </w:rPr>
            </w:pPr>
            <w:r>
              <w:rPr>
                <w:rFonts w:hint="eastAsia"/>
                <w:color w:val="auto"/>
                <w:highlight w:val="none"/>
              </w:rPr>
              <w:t>单格水冲强度：</w:t>
            </w:r>
            <w:r>
              <w:rPr>
                <w:color w:val="auto"/>
                <w:highlight w:val="none"/>
              </w:rPr>
              <w:t>q1=5.0L/s</w:t>
            </w:r>
            <w:r>
              <w:rPr>
                <w:rFonts w:hint="eastAsia"/>
                <w:color w:val="auto"/>
                <w:highlight w:val="none"/>
              </w:rPr>
              <w:t>·</w:t>
            </w:r>
            <w:r>
              <w:rPr>
                <w:color w:val="auto"/>
                <w:highlight w:val="none"/>
              </w:rPr>
              <w:t>m</w:t>
            </w:r>
            <w:r>
              <w:rPr>
                <w:color w:val="auto"/>
                <w:highlight w:val="none"/>
                <w:vertAlign w:val="superscript"/>
              </w:rPr>
              <w:t>2</w:t>
            </w:r>
          </w:p>
          <w:p>
            <w:pPr>
              <w:spacing w:line="360" w:lineRule="auto"/>
              <w:jc w:val="left"/>
              <w:rPr>
                <w:color w:val="auto"/>
                <w:highlight w:val="none"/>
              </w:rPr>
            </w:pPr>
            <w:r>
              <w:rPr>
                <w:rFonts w:hint="eastAsia"/>
                <w:color w:val="auto"/>
                <w:highlight w:val="none"/>
              </w:rPr>
              <w:t>单格气水反冲洗强度：</w:t>
            </w:r>
            <w:r>
              <w:rPr>
                <w:color w:val="auto"/>
                <w:highlight w:val="none"/>
              </w:rPr>
              <w:t>q2=2.5L/s</w:t>
            </w:r>
            <w:r>
              <w:rPr>
                <w:rFonts w:hint="eastAsia"/>
                <w:color w:val="auto"/>
                <w:highlight w:val="none"/>
              </w:rPr>
              <w:t>·</w:t>
            </w:r>
            <w:r>
              <w:rPr>
                <w:color w:val="auto"/>
                <w:highlight w:val="none"/>
              </w:rPr>
              <w:t>m</w:t>
            </w:r>
            <w:r>
              <w:rPr>
                <w:color w:val="auto"/>
                <w:highlight w:val="none"/>
                <w:vertAlign w:val="superscript"/>
              </w:rPr>
              <w:t>2</w:t>
            </w:r>
          </w:p>
          <w:p>
            <w:pPr>
              <w:spacing w:line="360" w:lineRule="auto"/>
              <w:jc w:val="left"/>
              <w:rPr>
                <w:color w:val="auto"/>
                <w:highlight w:val="none"/>
              </w:rPr>
            </w:pPr>
            <w:r>
              <w:rPr>
                <w:rFonts w:hint="eastAsia"/>
                <w:color w:val="auto"/>
                <w:highlight w:val="none"/>
              </w:rPr>
              <w:t xml:space="preserve">单格表面水扫洗强度： </w:t>
            </w:r>
            <w:r>
              <w:rPr>
                <w:color w:val="auto"/>
                <w:highlight w:val="none"/>
              </w:rPr>
              <w:t>q3=2.02L/s</w:t>
            </w:r>
            <w:r>
              <w:rPr>
                <w:rFonts w:hint="eastAsia"/>
                <w:color w:val="auto"/>
                <w:highlight w:val="none"/>
              </w:rPr>
              <w:t>·</w:t>
            </w:r>
            <w:r>
              <w:rPr>
                <w:color w:val="auto"/>
                <w:highlight w:val="none"/>
              </w:rPr>
              <w:t>m</w:t>
            </w:r>
            <w:r>
              <w:rPr>
                <w:color w:val="auto"/>
                <w:highlight w:val="none"/>
                <w:vertAlign w:val="superscript"/>
              </w:rPr>
              <w:t xml:space="preserve">2 </w:t>
            </w:r>
          </w:p>
          <w:p>
            <w:pPr>
              <w:spacing w:line="360" w:lineRule="auto"/>
              <w:jc w:val="left"/>
              <w:rPr>
                <w:color w:val="auto"/>
                <w:highlight w:val="none"/>
              </w:rPr>
            </w:pPr>
            <w:r>
              <w:rPr>
                <w:rFonts w:hint="eastAsia"/>
                <w:color w:val="auto"/>
                <w:highlight w:val="none"/>
              </w:rPr>
              <w:t xml:space="preserve">反冲洗时间： </w:t>
            </w:r>
            <w:r>
              <w:rPr>
                <w:color w:val="auto"/>
                <w:highlight w:val="none"/>
              </w:rPr>
              <w:t xml:space="preserve">T=12min </w:t>
            </w:r>
          </w:p>
          <w:p>
            <w:pPr>
              <w:spacing w:line="360" w:lineRule="auto"/>
              <w:jc w:val="left"/>
              <w:rPr>
                <w:color w:val="auto"/>
                <w:highlight w:val="none"/>
              </w:rPr>
            </w:pPr>
            <w:r>
              <w:rPr>
                <w:rFonts w:hint="eastAsia"/>
                <w:color w:val="auto"/>
                <w:highlight w:val="none"/>
              </w:rPr>
              <w:t xml:space="preserve">过滤方式：恒水位等速过滤 </w:t>
            </w:r>
          </w:p>
          <w:p>
            <w:pPr>
              <w:spacing w:line="360" w:lineRule="auto"/>
              <w:jc w:val="left"/>
              <w:rPr>
                <w:color w:val="auto"/>
                <w:highlight w:val="none"/>
              </w:rPr>
            </w:pPr>
            <w:r>
              <w:rPr>
                <w:rFonts w:hint="eastAsia"/>
                <w:color w:val="auto"/>
                <w:highlight w:val="none"/>
              </w:rPr>
              <w:t>滤池采用钢模整体浇筑滤板，长柄滤头配水配气系统。</w:t>
            </w:r>
          </w:p>
          <w:p>
            <w:pPr>
              <w:spacing w:line="360" w:lineRule="auto"/>
              <w:jc w:val="left"/>
              <w:rPr>
                <w:color w:val="auto"/>
                <w:highlight w:val="none"/>
              </w:rPr>
            </w:pPr>
            <w:r>
              <w:rPr>
                <w:rFonts w:hint="eastAsia"/>
                <w:color w:val="auto"/>
                <w:highlight w:val="none"/>
              </w:rPr>
              <w:t>砂滤池出水浊度控制为＜</w:t>
            </w:r>
            <w:r>
              <w:rPr>
                <w:color w:val="auto"/>
                <w:highlight w:val="none"/>
              </w:rPr>
              <w:t>0.5NTU</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气水反冲洗用房，鼓风机房内设鼓风机三台，二用一备，单台风量</w:t>
            </w:r>
            <w:r>
              <w:rPr>
                <w:color w:val="auto"/>
                <w:highlight w:val="none"/>
              </w:rPr>
              <w:t>Q=24m</w:t>
            </w:r>
            <w:r>
              <w:rPr>
                <w:color w:val="auto"/>
                <w:highlight w:val="none"/>
                <w:vertAlign w:val="superscript"/>
              </w:rPr>
              <w:t>3</w:t>
            </w:r>
            <w:r>
              <w:rPr>
                <w:color w:val="auto"/>
                <w:highlight w:val="none"/>
              </w:rPr>
              <w:t>/min</w:t>
            </w:r>
            <w:r>
              <w:rPr>
                <w:rFonts w:hint="eastAsia"/>
                <w:color w:val="auto"/>
                <w:highlight w:val="none"/>
              </w:rPr>
              <w:t>，</w:t>
            </w:r>
            <w:r>
              <w:rPr>
                <w:color w:val="auto"/>
                <w:highlight w:val="none"/>
              </w:rPr>
              <w:t>P=23.0KW</w:t>
            </w:r>
            <w:r>
              <w:rPr>
                <w:rFonts w:hint="eastAsia"/>
                <w:color w:val="auto"/>
                <w:highlight w:val="none"/>
              </w:rPr>
              <w:t xml:space="preserve">，升压 </w:t>
            </w:r>
            <w:r>
              <w:rPr>
                <w:color w:val="auto"/>
                <w:highlight w:val="none"/>
              </w:rPr>
              <w:t>H=34.3Kpa</w:t>
            </w:r>
            <w:r>
              <w:rPr>
                <w:rFonts w:hint="eastAsia"/>
                <w:color w:val="auto"/>
                <w:highlight w:val="none"/>
              </w:rPr>
              <w:t xml:space="preserve">。反冲洗泵房内设卧式离心泵三台泵位，二用一备；单泵流量 </w:t>
            </w:r>
            <w:r>
              <w:rPr>
                <w:color w:val="auto"/>
                <w:highlight w:val="none"/>
              </w:rPr>
              <w:t>Q=490m</w:t>
            </w:r>
            <w:r>
              <w:rPr>
                <w:color w:val="auto"/>
                <w:highlight w:val="none"/>
                <w:vertAlign w:val="superscript"/>
              </w:rPr>
              <w:t>3</w:t>
            </w:r>
            <w:r>
              <w:rPr>
                <w:color w:val="auto"/>
                <w:highlight w:val="none"/>
              </w:rPr>
              <w:t>/h</w:t>
            </w:r>
            <w:r>
              <w:rPr>
                <w:rFonts w:hint="eastAsia"/>
                <w:color w:val="auto"/>
                <w:highlight w:val="none"/>
              </w:rPr>
              <w:t xml:space="preserve">，扬程 </w:t>
            </w:r>
            <w:r>
              <w:rPr>
                <w:color w:val="auto"/>
                <w:highlight w:val="none"/>
              </w:rPr>
              <w:t>H=8.8m</w:t>
            </w:r>
            <w:r>
              <w:rPr>
                <w:rFonts w:hint="eastAsia"/>
                <w:color w:val="auto"/>
                <w:highlight w:val="none"/>
              </w:rPr>
              <w:t xml:space="preserve">，配套电机功率 </w:t>
            </w:r>
            <w:r>
              <w:rPr>
                <w:color w:val="auto"/>
                <w:highlight w:val="none"/>
              </w:rPr>
              <w:t>P=30kW</w:t>
            </w:r>
            <w:r>
              <w:rPr>
                <w:rFonts w:hint="eastAsia"/>
                <w:color w:val="auto"/>
                <w:highlight w:val="none"/>
              </w:rPr>
              <w:t xml:space="preserve">。 </w:t>
            </w:r>
          </w:p>
          <w:p>
            <w:pPr>
              <w:spacing w:line="360" w:lineRule="auto"/>
              <w:jc w:val="left"/>
              <w:rPr>
                <w:color w:val="auto"/>
                <w:highlight w:val="none"/>
              </w:rPr>
            </w:pPr>
            <w:r>
              <w:rPr>
                <w:color w:val="auto"/>
                <w:highlight w:val="none"/>
              </w:rPr>
              <w:t>4</w:t>
            </w:r>
            <w:r>
              <w:rPr>
                <w:rFonts w:hint="eastAsia"/>
                <w:color w:val="auto"/>
                <w:highlight w:val="none"/>
              </w:rPr>
              <w:t>）送水泵房、变配电间</w:t>
            </w:r>
          </w:p>
          <w:p>
            <w:pPr>
              <w:spacing w:line="360" w:lineRule="auto"/>
              <w:jc w:val="left"/>
              <w:rPr>
                <w:color w:val="auto"/>
                <w:highlight w:val="none"/>
              </w:rPr>
            </w:pPr>
            <w:r>
              <w:rPr>
                <w:rFonts w:hint="eastAsia"/>
                <w:color w:val="auto"/>
                <w:highlight w:val="none"/>
              </w:rPr>
              <w:t xml:space="preserve">送水泵房与配电间合建，总设计规模 </w:t>
            </w:r>
            <w:r>
              <w:rPr>
                <w:color w:val="auto"/>
                <w:highlight w:val="none"/>
              </w:rPr>
              <w:t>6.0</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 xml:space="preserve">。 </w:t>
            </w:r>
          </w:p>
          <w:p>
            <w:pPr>
              <w:spacing w:line="360" w:lineRule="auto"/>
              <w:jc w:val="left"/>
              <w:rPr>
                <w:color w:val="auto"/>
                <w:highlight w:val="none"/>
              </w:rPr>
            </w:pPr>
            <w:r>
              <w:rPr>
                <w:rFonts w:hint="eastAsia"/>
                <w:color w:val="auto"/>
                <w:highlight w:val="none"/>
              </w:rPr>
              <w:t>共设</w:t>
            </w:r>
            <w:r>
              <w:rPr>
                <w:color w:val="auto"/>
                <w:highlight w:val="none"/>
              </w:rPr>
              <w:t>10</w:t>
            </w:r>
            <w:r>
              <w:rPr>
                <w:rFonts w:hint="eastAsia"/>
                <w:color w:val="auto"/>
                <w:highlight w:val="none"/>
              </w:rPr>
              <w:t>台泵位，分别向中东北及中东南部片区供水，</w:t>
            </w:r>
            <w:r>
              <w:rPr>
                <w:color w:val="auto"/>
                <w:highlight w:val="none"/>
              </w:rPr>
              <w:t>A</w:t>
            </w:r>
            <w:r>
              <w:rPr>
                <w:rFonts w:hint="eastAsia"/>
                <w:color w:val="auto"/>
                <w:highlight w:val="none"/>
              </w:rPr>
              <w:t>、</w:t>
            </w:r>
            <w:r>
              <w:rPr>
                <w:color w:val="auto"/>
                <w:highlight w:val="none"/>
              </w:rPr>
              <w:t xml:space="preserve">B </w:t>
            </w:r>
            <w:r>
              <w:rPr>
                <w:rFonts w:hint="eastAsia"/>
                <w:color w:val="auto"/>
                <w:highlight w:val="none"/>
              </w:rPr>
              <w:t>水泵负责往北供水，</w:t>
            </w:r>
            <w:r>
              <w:rPr>
                <w:color w:val="auto"/>
                <w:highlight w:val="none"/>
              </w:rPr>
              <w:t>C</w:t>
            </w:r>
            <w:r>
              <w:rPr>
                <w:rFonts w:hint="eastAsia"/>
                <w:color w:val="auto"/>
                <w:highlight w:val="none"/>
              </w:rPr>
              <w:t>、</w:t>
            </w:r>
            <w:r>
              <w:rPr>
                <w:color w:val="auto"/>
                <w:highlight w:val="none"/>
              </w:rPr>
              <w:t xml:space="preserve">D </w:t>
            </w:r>
            <w:r>
              <w:rPr>
                <w:rFonts w:hint="eastAsia"/>
                <w:color w:val="auto"/>
                <w:highlight w:val="none"/>
              </w:rPr>
              <w:t xml:space="preserve">泵负责往南过河供水。参数如下： </w:t>
            </w:r>
          </w:p>
          <w:p>
            <w:pPr>
              <w:spacing w:line="360" w:lineRule="auto"/>
              <w:jc w:val="left"/>
              <w:rPr>
                <w:color w:val="auto"/>
                <w:highlight w:val="none"/>
              </w:rPr>
            </w:pPr>
            <w:r>
              <w:rPr>
                <w:color w:val="auto"/>
                <w:highlight w:val="none"/>
              </w:rPr>
              <w:t xml:space="preserve">A </w:t>
            </w:r>
            <w:r>
              <w:rPr>
                <w:rFonts w:hint="eastAsia"/>
                <w:color w:val="auto"/>
                <w:highlight w:val="none"/>
              </w:rPr>
              <w:t xml:space="preserve">泵，共三台：单台 </w:t>
            </w:r>
            <w:r>
              <w:rPr>
                <w:color w:val="auto"/>
                <w:highlight w:val="none"/>
              </w:rPr>
              <w:t>Q=560 m</w:t>
            </w:r>
            <w:r>
              <w:rPr>
                <w:color w:val="auto"/>
                <w:highlight w:val="none"/>
                <w:vertAlign w:val="superscript"/>
              </w:rPr>
              <w:t>3</w:t>
            </w:r>
            <w:r>
              <w:rPr>
                <w:color w:val="auto"/>
                <w:highlight w:val="none"/>
              </w:rPr>
              <w:t>/h</w:t>
            </w:r>
            <w:r>
              <w:rPr>
                <w:rFonts w:hint="eastAsia"/>
                <w:color w:val="auto"/>
                <w:highlight w:val="none"/>
              </w:rPr>
              <w:t>，</w:t>
            </w:r>
            <w:r>
              <w:rPr>
                <w:color w:val="auto"/>
                <w:highlight w:val="none"/>
              </w:rPr>
              <w:t>H=90m</w:t>
            </w:r>
            <w:r>
              <w:rPr>
                <w:rFonts w:hint="eastAsia"/>
                <w:color w:val="auto"/>
                <w:highlight w:val="none"/>
              </w:rPr>
              <w:t>，</w:t>
            </w:r>
            <w:r>
              <w:rPr>
                <w:color w:val="auto"/>
                <w:highlight w:val="none"/>
              </w:rPr>
              <w:t>N=250kW</w:t>
            </w:r>
            <w:r>
              <w:rPr>
                <w:rFonts w:hint="eastAsia"/>
                <w:color w:val="auto"/>
                <w:highlight w:val="none"/>
              </w:rPr>
              <w:t xml:space="preserve">，变频。 </w:t>
            </w:r>
          </w:p>
          <w:p>
            <w:pPr>
              <w:spacing w:line="360" w:lineRule="auto"/>
              <w:jc w:val="left"/>
              <w:rPr>
                <w:color w:val="auto"/>
                <w:highlight w:val="none"/>
              </w:rPr>
            </w:pPr>
            <w:r>
              <w:rPr>
                <w:color w:val="auto"/>
                <w:highlight w:val="none"/>
              </w:rPr>
              <w:t xml:space="preserve">B </w:t>
            </w:r>
            <w:r>
              <w:rPr>
                <w:rFonts w:hint="eastAsia"/>
                <w:color w:val="auto"/>
                <w:highlight w:val="none"/>
              </w:rPr>
              <w:t xml:space="preserve">泵，共两台：单台 </w:t>
            </w:r>
            <w:r>
              <w:rPr>
                <w:color w:val="auto"/>
                <w:highlight w:val="none"/>
              </w:rPr>
              <w:t>Q=280m</w:t>
            </w:r>
            <w:r>
              <w:rPr>
                <w:color w:val="auto"/>
                <w:highlight w:val="none"/>
                <w:vertAlign w:val="superscript"/>
              </w:rPr>
              <w:t>3</w:t>
            </w:r>
            <w:r>
              <w:rPr>
                <w:color w:val="auto"/>
                <w:highlight w:val="none"/>
              </w:rPr>
              <w:t>/h</w:t>
            </w:r>
            <w:r>
              <w:rPr>
                <w:rFonts w:hint="eastAsia"/>
                <w:color w:val="auto"/>
                <w:highlight w:val="none"/>
              </w:rPr>
              <w:t>，</w:t>
            </w:r>
            <w:r>
              <w:rPr>
                <w:color w:val="auto"/>
                <w:highlight w:val="none"/>
              </w:rPr>
              <w:t>H=90m</w:t>
            </w:r>
            <w:r>
              <w:rPr>
                <w:rFonts w:hint="eastAsia"/>
                <w:color w:val="auto"/>
                <w:highlight w:val="none"/>
              </w:rPr>
              <w:t>，</w:t>
            </w:r>
            <w:r>
              <w:rPr>
                <w:color w:val="auto"/>
                <w:highlight w:val="none"/>
              </w:rPr>
              <w:t>N=110kW</w:t>
            </w:r>
            <w:r>
              <w:rPr>
                <w:rFonts w:hint="eastAsia"/>
                <w:color w:val="auto"/>
                <w:highlight w:val="none"/>
              </w:rPr>
              <w:t xml:space="preserve">，变频。 </w:t>
            </w:r>
          </w:p>
          <w:p>
            <w:pPr>
              <w:spacing w:line="360" w:lineRule="auto"/>
              <w:jc w:val="left"/>
              <w:rPr>
                <w:color w:val="auto"/>
                <w:highlight w:val="none"/>
              </w:rPr>
            </w:pPr>
            <w:r>
              <w:rPr>
                <w:color w:val="auto"/>
                <w:highlight w:val="none"/>
              </w:rPr>
              <w:t xml:space="preserve">2 </w:t>
            </w:r>
            <w:r>
              <w:rPr>
                <w:rFonts w:hint="eastAsia"/>
                <w:color w:val="auto"/>
                <w:highlight w:val="none"/>
              </w:rPr>
              <w:t>大泵用，</w:t>
            </w:r>
            <w:r>
              <w:rPr>
                <w:color w:val="auto"/>
                <w:highlight w:val="none"/>
              </w:rPr>
              <w:t xml:space="preserve">1 </w:t>
            </w:r>
            <w:r>
              <w:rPr>
                <w:rFonts w:hint="eastAsia"/>
                <w:color w:val="auto"/>
                <w:highlight w:val="none"/>
              </w:rPr>
              <w:t xml:space="preserve">大泵与 </w:t>
            </w:r>
            <w:r>
              <w:rPr>
                <w:color w:val="auto"/>
                <w:highlight w:val="none"/>
              </w:rPr>
              <w:t xml:space="preserve">2 </w:t>
            </w:r>
            <w:r>
              <w:rPr>
                <w:rFonts w:hint="eastAsia"/>
                <w:color w:val="auto"/>
                <w:highlight w:val="none"/>
              </w:rPr>
              <w:t xml:space="preserve">小泵互为备用。 </w:t>
            </w:r>
          </w:p>
          <w:p>
            <w:pPr>
              <w:spacing w:line="360" w:lineRule="auto"/>
              <w:jc w:val="left"/>
              <w:rPr>
                <w:color w:val="auto"/>
                <w:highlight w:val="none"/>
              </w:rPr>
            </w:pPr>
            <w:r>
              <w:rPr>
                <w:color w:val="auto"/>
                <w:highlight w:val="none"/>
              </w:rPr>
              <w:t xml:space="preserve">C </w:t>
            </w:r>
            <w:r>
              <w:rPr>
                <w:rFonts w:hint="eastAsia"/>
                <w:color w:val="auto"/>
                <w:highlight w:val="none"/>
              </w:rPr>
              <w:t xml:space="preserve">泵，共三台：单台 </w:t>
            </w:r>
            <w:r>
              <w:rPr>
                <w:color w:val="auto"/>
                <w:highlight w:val="none"/>
              </w:rPr>
              <w:t>Q=730 m</w:t>
            </w:r>
            <w:r>
              <w:rPr>
                <w:color w:val="auto"/>
                <w:highlight w:val="none"/>
                <w:vertAlign w:val="superscript"/>
              </w:rPr>
              <w:t>3</w:t>
            </w:r>
            <w:r>
              <w:rPr>
                <w:color w:val="auto"/>
                <w:highlight w:val="none"/>
              </w:rPr>
              <w:t>/h</w:t>
            </w:r>
            <w:r>
              <w:rPr>
                <w:rFonts w:hint="eastAsia"/>
                <w:color w:val="auto"/>
                <w:highlight w:val="none"/>
              </w:rPr>
              <w:t>，</w:t>
            </w:r>
            <w:r>
              <w:rPr>
                <w:color w:val="auto"/>
                <w:highlight w:val="none"/>
              </w:rPr>
              <w:t>H=95m</w:t>
            </w:r>
            <w:r>
              <w:rPr>
                <w:rFonts w:hint="eastAsia"/>
                <w:color w:val="auto"/>
                <w:highlight w:val="none"/>
              </w:rPr>
              <w:t>，</w:t>
            </w:r>
            <w:r>
              <w:rPr>
                <w:color w:val="auto"/>
                <w:highlight w:val="none"/>
              </w:rPr>
              <w:t>N=315kW</w:t>
            </w:r>
            <w:r>
              <w:rPr>
                <w:rFonts w:hint="eastAsia"/>
                <w:color w:val="auto"/>
                <w:highlight w:val="none"/>
              </w:rPr>
              <w:t xml:space="preserve">，变频。 </w:t>
            </w:r>
          </w:p>
          <w:p>
            <w:pPr>
              <w:spacing w:line="360" w:lineRule="auto"/>
              <w:jc w:val="left"/>
              <w:rPr>
                <w:color w:val="auto"/>
                <w:highlight w:val="none"/>
              </w:rPr>
            </w:pPr>
            <w:r>
              <w:rPr>
                <w:color w:val="auto"/>
                <w:highlight w:val="none"/>
              </w:rPr>
              <w:t xml:space="preserve">D </w:t>
            </w:r>
            <w:r>
              <w:rPr>
                <w:rFonts w:hint="eastAsia"/>
                <w:color w:val="auto"/>
                <w:highlight w:val="none"/>
              </w:rPr>
              <w:t xml:space="preserve">泵，共两台：单台 </w:t>
            </w:r>
            <w:r>
              <w:rPr>
                <w:color w:val="auto"/>
                <w:highlight w:val="none"/>
              </w:rPr>
              <w:t>Q=365m</w:t>
            </w:r>
            <w:r>
              <w:rPr>
                <w:color w:val="auto"/>
                <w:highlight w:val="none"/>
                <w:vertAlign w:val="superscript"/>
              </w:rPr>
              <w:t>3</w:t>
            </w:r>
            <w:r>
              <w:rPr>
                <w:color w:val="auto"/>
                <w:highlight w:val="none"/>
              </w:rPr>
              <w:t>/h</w:t>
            </w:r>
            <w:r>
              <w:rPr>
                <w:rFonts w:hint="eastAsia"/>
                <w:color w:val="auto"/>
                <w:highlight w:val="none"/>
              </w:rPr>
              <w:t>，</w:t>
            </w:r>
            <w:r>
              <w:rPr>
                <w:color w:val="auto"/>
                <w:highlight w:val="none"/>
              </w:rPr>
              <w:t>H=95m</w:t>
            </w:r>
            <w:r>
              <w:rPr>
                <w:rFonts w:hint="eastAsia"/>
                <w:color w:val="auto"/>
                <w:highlight w:val="none"/>
              </w:rPr>
              <w:t>，</w:t>
            </w:r>
            <w:r>
              <w:rPr>
                <w:color w:val="auto"/>
                <w:highlight w:val="none"/>
              </w:rPr>
              <w:t>N=185kW</w:t>
            </w:r>
            <w:r>
              <w:rPr>
                <w:rFonts w:hint="eastAsia"/>
                <w:color w:val="auto"/>
                <w:highlight w:val="none"/>
              </w:rPr>
              <w:t xml:space="preserve">，变频。 </w:t>
            </w:r>
          </w:p>
          <w:p>
            <w:pPr>
              <w:spacing w:line="360" w:lineRule="auto"/>
              <w:jc w:val="left"/>
              <w:rPr>
                <w:color w:val="auto"/>
                <w:highlight w:val="none"/>
              </w:rPr>
            </w:pPr>
            <w:r>
              <w:rPr>
                <w:color w:val="auto"/>
                <w:highlight w:val="none"/>
              </w:rPr>
              <w:t xml:space="preserve">2 </w:t>
            </w:r>
            <w:r>
              <w:rPr>
                <w:rFonts w:hint="eastAsia"/>
                <w:color w:val="auto"/>
                <w:highlight w:val="none"/>
              </w:rPr>
              <w:t>大泵用，</w:t>
            </w:r>
            <w:r>
              <w:rPr>
                <w:color w:val="auto"/>
                <w:highlight w:val="none"/>
              </w:rPr>
              <w:t xml:space="preserve">1 </w:t>
            </w:r>
            <w:r>
              <w:rPr>
                <w:rFonts w:hint="eastAsia"/>
                <w:color w:val="auto"/>
                <w:highlight w:val="none"/>
              </w:rPr>
              <w:t xml:space="preserve">大泵与 </w:t>
            </w:r>
            <w:r>
              <w:rPr>
                <w:color w:val="auto"/>
                <w:highlight w:val="none"/>
              </w:rPr>
              <w:t xml:space="preserve">2 </w:t>
            </w:r>
            <w:r>
              <w:rPr>
                <w:rFonts w:hint="eastAsia"/>
                <w:color w:val="auto"/>
                <w:highlight w:val="none"/>
              </w:rPr>
              <w:t>小泵互为备用。</w:t>
            </w:r>
          </w:p>
          <w:p>
            <w:pPr>
              <w:spacing w:line="360" w:lineRule="auto"/>
              <w:jc w:val="left"/>
              <w:rPr>
                <w:color w:val="auto"/>
                <w:highlight w:val="none"/>
              </w:rPr>
            </w:pPr>
            <w:r>
              <w:rPr>
                <w:color w:val="auto"/>
                <w:highlight w:val="none"/>
              </w:rPr>
              <w:t>5</w:t>
            </w:r>
            <w:r>
              <w:rPr>
                <w:rFonts w:hint="eastAsia"/>
                <w:color w:val="auto"/>
                <w:highlight w:val="none"/>
              </w:rPr>
              <w:t xml:space="preserve">）综合加药间 </w:t>
            </w:r>
          </w:p>
          <w:p>
            <w:pPr>
              <w:spacing w:line="360" w:lineRule="auto"/>
              <w:jc w:val="left"/>
              <w:rPr>
                <w:color w:val="auto"/>
                <w:highlight w:val="none"/>
              </w:rPr>
            </w:pPr>
            <w:r>
              <w:rPr>
                <w:rFonts w:hint="eastAsia"/>
                <w:color w:val="auto"/>
                <w:highlight w:val="none"/>
              </w:rPr>
              <w:t xml:space="preserve">加药间设计规模为 </w:t>
            </w:r>
            <w:r>
              <w:rPr>
                <w:color w:val="auto"/>
                <w:highlight w:val="none"/>
              </w:rPr>
              <w:t>6.0</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 xml:space="preserve">，包括加矾、加氯、加 </w:t>
            </w:r>
            <w:r>
              <w:rPr>
                <w:color w:val="auto"/>
                <w:highlight w:val="none"/>
              </w:rPr>
              <w:t xml:space="preserve">PAM </w:t>
            </w:r>
            <w:r>
              <w:rPr>
                <w:rFonts w:hint="eastAsia"/>
                <w:color w:val="auto"/>
                <w:highlight w:val="none"/>
              </w:rPr>
              <w:t xml:space="preserve">系统。混凝剂采用液态聚合氯化铝，最大投加量 </w:t>
            </w:r>
            <w:r>
              <w:rPr>
                <w:color w:val="auto"/>
                <w:highlight w:val="none"/>
              </w:rPr>
              <w:t>20mg/L</w:t>
            </w:r>
            <w:r>
              <w:rPr>
                <w:rFonts w:hint="eastAsia"/>
                <w:color w:val="auto"/>
                <w:highlight w:val="none"/>
              </w:rPr>
              <w:t xml:space="preserve">，加注点 </w:t>
            </w:r>
            <w:r>
              <w:rPr>
                <w:color w:val="auto"/>
                <w:highlight w:val="none"/>
              </w:rPr>
              <w:t xml:space="preserve">2 </w:t>
            </w:r>
            <w:r>
              <w:rPr>
                <w:rFonts w:hint="eastAsia"/>
                <w:color w:val="auto"/>
                <w:highlight w:val="none"/>
              </w:rPr>
              <w:t xml:space="preserve">个，设在前混合池中。加矾设 </w:t>
            </w:r>
            <w:r>
              <w:rPr>
                <w:color w:val="auto"/>
                <w:highlight w:val="none"/>
              </w:rPr>
              <w:t xml:space="preserve">3 </w:t>
            </w:r>
            <w:r>
              <w:rPr>
                <w:rFonts w:hint="eastAsia"/>
                <w:color w:val="auto"/>
                <w:highlight w:val="none"/>
              </w:rPr>
              <w:t>台计量泵，</w:t>
            </w:r>
            <w:r>
              <w:rPr>
                <w:color w:val="auto"/>
                <w:highlight w:val="none"/>
              </w:rPr>
              <w:t xml:space="preserve">2 </w:t>
            </w:r>
            <w:r>
              <w:rPr>
                <w:rFonts w:hint="eastAsia"/>
                <w:color w:val="auto"/>
                <w:highlight w:val="none"/>
              </w:rPr>
              <w:t xml:space="preserve">用 </w:t>
            </w:r>
            <w:r>
              <w:rPr>
                <w:color w:val="auto"/>
                <w:highlight w:val="none"/>
              </w:rPr>
              <w:t xml:space="preserve">1 </w:t>
            </w:r>
            <w:r>
              <w:rPr>
                <w:rFonts w:hint="eastAsia"/>
                <w:color w:val="auto"/>
                <w:highlight w:val="none"/>
              </w:rPr>
              <w:t xml:space="preserve">备，单泵设计投加量为 </w:t>
            </w:r>
            <w:r>
              <w:rPr>
                <w:color w:val="auto"/>
                <w:highlight w:val="none"/>
              </w:rPr>
              <w:t>0-550L/h</w:t>
            </w:r>
            <w:r>
              <w:rPr>
                <w:rFonts w:hint="eastAsia"/>
                <w:color w:val="auto"/>
                <w:highlight w:val="none"/>
              </w:rPr>
              <w:t>，</w:t>
            </w:r>
            <w:r>
              <w:rPr>
                <w:color w:val="auto"/>
                <w:highlight w:val="none"/>
              </w:rPr>
              <w:t>H</w:t>
            </w:r>
            <w:r>
              <w:rPr>
                <w:rFonts w:hint="eastAsia"/>
                <w:color w:val="auto"/>
                <w:highlight w:val="none"/>
              </w:rPr>
              <w:t>＝</w:t>
            </w:r>
            <w:r>
              <w:rPr>
                <w:color w:val="auto"/>
                <w:highlight w:val="none"/>
              </w:rPr>
              <w:t>20m</w:t>
            </w:r>
            <w:r>
              <w:rPr>
                <w:rFonts w:hint="eastAsia"/>
                <w:color w:val="auto"/>
                <w:highlight w:val="none"/>
              </w:rPr>
              <w:t xml:space="preserve">。 </w:t>
            </w:r>
          </w:p>
          <w:p>
            <w:pPr>
              <w:spacing w:line="360" w:lineRule="auto"/>
              <w:rPr>
                <w:color w:val="auto"/>
                <w:highlight w:val="none"/>
              </w:rPr>
            </w:pPr>
            <w:r>
              <w:rPr>
                <w:rFonts w:hint="eastAsia"/>
                <w:color w:val="auto"/>
                <w:highlight w:val="none"/>
              </w:rPr>
              <w:t xml:space="preserve">加氯系统采用电解食盐水制备次氯酸钠，共设置 </w:t>
            </w:r>
            <w:r>
              <w:rPr>
                <w:color w:val="auto"/>
                <w:highlight w:val="none"/>
              </w:rPr>
              <w:t xml:space="preserve">2 </w:t>
            </w:r>
            <w:r>
              <w:rPr>
                <w:rFonts w:hint="eastAsia"/>
                <w:color w:val="auto"/>
                <w:highlight w:val="none"/>
              </w:rPr>
              <w:t>个投加点。前加氯最大投加量为</w:t>
            </w:r>
            <w:r>
              <w:rPr>
                <w:color w:val="auto"/>
                <w:highlight w:val="none"/>
              </w:rPr>
              <w:t>1.0mg/L</w:t>
            </w:r>
            <w:r>
              <w:rPr>
                <w:rFonts w:hint="eastAsia"/>
                <w:color w:val="auto"/>
                <w:highlight w:val="none"/>
              </w:rPr>
              <w:t xml:space="preserve">，设在配水井进水总管上。后加氯最大投加量为 </w:t>
            </w:r>
            <w:r>
              <w:rPr>
                <w:color w:val="auto"/>
                <w:highlight w:val="none"/>
              </w:rPr>
              <w:t>1.5mg/L</w:t>
            </w:r>
            <w:r>
              <w:rPr>
                <w:rFonts w:hint="eastAsia"/>
                <w:color w:val="auto"/>
                <w:highlight w:val="none"/>
              </w:rPr>
              <w:t xml:space="preserve">，投加在清水池进水管上，补加氯设置在送水泵出水管上。加氯设 </w:t>
            </w:r>
            <w:r>
              <w:rPr>
                <w:color w:val="auto"/>
                <w:highlight w:val="none"/>
              </w:rPr>
              <w:t xml:space="preserve">4 </w:t>
            </w:r>
            <w:r>
              <w:rPr>
                <w:rFonts w:hint="eastAsia"/>
                <w:color w:val="auto"/>
                <w:highlight w:val="none"/>
              </w:rPr>
              <w:t>台计量泵，</w:t>
            </w:r>
            <w:r>
              <w:rPr>
                <w:color w:val="auto"/>
                <w:highlight w:val="none"/>
              </w:rPr>
              <w:t>3</w:t>
            </w:r>
            <w:r>
              <w:rPr>
                <w:rFonts w:hint="eastAsia"/>
                <w:color w:val="auto"/>
                <w:highlight w:val="none"/>
              </w:rPr>
              <w:t>用</w:t>
            </w:r>
            <w:r>
              <w:rPr>
                <w:color w:val="auto"/>
                <w:highlight w:val="none"/>
              </w:rPr>
              <w:t>1</w:t>
            </w:r>
            <w:r>
              <w:rPr>
                <w:rFonts w:hint="eastAsia"/>
                <w:color w:val="auto"/>
                <w:highlight w:val="none"/>
              </w:rPr>
              <w:t xml:space="preserve">备，前投加单泵设计投加量为 </w:t>
            </w:r>
            <w:r>
              <w:rPr>
                <w:color w:val="auto"/>
                <w:highlight w:val="none"/>
              </w:rPr>
              <w:t>0-360L/h</w:t>
            </w:r>
            <w:r>
              <w:rPr>
                <w:rFonts w:hint="eastAsia"/>
                <w:color w:val="auto"/>
                <w:highlight w:val="none"/>
              </w:rPr>
              <w:t>，</w:t>
            </w:r>
            <w:r>
              <w:rPr>
                <w:color w:val="auto"/>
                <w:highlight w:val="none"/>
              </w:rPr>
              <w:t>H</w:t>
            </w:r>
            <w:r>
              <w:rPr>
                <w:rFonts w:hint="eastAsia"/>
                <w:color w:val="auto"/>
                <w:highlight w:val="none"/>
              </w:rPr>
              <w:t>＝</w:t>
            </w:r>
            <w:r>
              <w:rPr>
                <w:color w:val="auto"/>
                <w:highlight w:val="none"/>
              </w:rPr>
              <w:t>20m</w:t>
            </w:r>
            <w:r>
              <w:rPr>
                <w:rFonts w:hint="eastAsia"/>
                <w:color w:val="auto"/>
                <w:highlight w:val="none"/>
              </w:rPr>
              <w:t xml:space="preserve">，后投加单泵与补投加单泵设计投加量为 </w:t>
            </w:r>
            <w:r>
              <w:rPr>
                <w:color w:val="auto"/>
                <w:highlight w:val="none"/>
              </w:rPr>
              <w:t>0-540L/h</w:t>
            </w:r>
            <w:r>
              <w:rPr>
                <w:rFonts w:hint="eastAsia"/>
                <w:color w:val="auto"/>
                <w:highlight w:val="none"/>
              </w:rPr>
              <w:t>，</w:t>
            </w:r>
            <w:r>
              <w:rPr>
                <w:color w:val="auto"/>
                <w:highlight w:val="none"/>
              </w:rPr>
              <w:t>H</w:t>
            </w:r>
            <w:r>
              <w:rPr>
                <w:rFonts w:hint="eastAsia"/>
                <w:color w:val="auto"/>
                <w:highlight w:val="none"/>
              </w:rPr>
              <w:t>＝</w:t>
            </w:r>
            <w:r>
              <w:rPr>
                <w:color w:val="auto"/>
                <w:highlight w:val="none"/>
              </w:rPr>
              <w:t>20m</w:t>
            </w:r>
            <w:r>
              <w:rPr>
                <w:rFonts w:hint="eastAsia"/>
                <w:color w:val="auto"/>
                <w:highlight w:val="none"/>
              </w:rPr>
              <w:t xml:space="preserve">。 </w:t>
            </w:r>
          </w:p>
          <w:p>
            <w:pPr>
              <w:spacing w:line="360" w:lineRule="auto"/>
              <w:rPr>
                <w:color w:val="auto"/>
                <w:highlight w:val="none"/>
              </w:rPr>
            </w:pPr>
            <w:r>
              <w:rPr>
                <w:rFonts w:hint="eastAsia"/>
                <w:color w:val="auto"/>
                <w:highlight w:val="none"/>
              </w:rPr>
              <w:t xml:space="preserve">助凝剂采用 </w:t>
            </w:r>
            <w:r>
              <w:rPr>
                <w:color w:val="auto"/>
                <w:highlight w:val="none"/>
              </w:rPr>
              <w:t>PAM</w:t>
            </w:r>
            <w:r>
              <w:rPr>
                <w:rFonts w:hint="eastAsia"/>
                <w:color w:val="auto"/>
                <w:highlight w:val="none"/>
              </w:rPr>
              <w:t xml:space="preserve">，采用一体化配置设备，最大投加量 </w:t>
            </w:r>
            <w:r>
              <w:rPr>
                <w:color w:val="auto"/>
                <w:highlight w:val="none"/>
              </w:rPr>
              <w:t>0.2mg/L</w:t>
            </w:r>
            <w:r>
              <w:rPr>
                <w:rFonts w:hint="eastAsia"/>
                <w:color w:val="auto"/>
                <w:highlight w:val="none"/>
              </w:rPr>
              <w:t>，加注点</w:t>
            </w:r>
            <w:r>
              <w:rPr>
                <w:color w:val="auto"/>
                <w:highlight w:val="none"/>
              </w:rPr>
              <w:t>2</w:t>
            </w:r>
            <w:r>
              <w:rPr>
                <w:rFonts w:hint="eastAsia"/>
                <w:color w:val="auto"/>
                <w:highlight w:val="none"/>
              </w:rPr>
              <w:t xml:space="preserve">个，设在前混合池中。加 </w:t>
            </w:r>
            <w:r>
              <w:rPr>
                <w:color w:val="auto"/>
                <w:highlight w:val="none"/>
              </w:rPr>
              <w:t xml:space="preserve">PAM </w:t>
            </w:r>
            <w:r>
              <w:rPr>
                <w:rFonts w:hint="eastAsia"/>
                <w:color w:val="auto"/>
                <w:highlight w:val="none"/>
              </w:rPr>
              <w:t xml:space="preserve">设 </w:t>
            </w:r>
            <w:r>
              <w:rPr>
                <w:color w:val="auto"/>
                <w:highlight w:val="none"/>
              </w:rPr>
              <w:t xml:space="preserve">3 </w:t>
            </w:r>
            <w:r>
              <w:rPr>
                <w:rFonts w:hint="eastAsia"/>
                <w:color w:val="auto"/>
                <w:highlight w:val="none"/>
              </w:rPr>
              <w:t>台螺杆泵，</w:t>
            </w:r>
            <w:r>
              <w:rPr>
                <w:color w:val="auto"/>
                <w:highlight w:val="none"/>
              </w:rPr>
              <w:t xml:space="preserve">2 </w:t>
            </w:r>
            <w:r>
              <w:rPr>
                <w:rFonts w:hint="eastAsia"/>
                <w:color w:val="auto"/>
                <w:highlight w:val="none"/>
              </w:rPr>
              <w:t xml:space="preserve">用 </w:t>
            </w:r>
            <w:r>
              <w:rPr>
                <w:color w:val="auto"/>
                <w:highlight w:val="none"/>
              </w:rPr>
              <w:t xml:space="preserve">1 </w:t>
            </w:r>
            <w:r>
              <w:rPr>
                <w:rFonts w:hint="eastAsia"/>
                <w:color w:val="auto"/>
                <w:highlight w:val="none"/>
              </w:rPr>
              <w:t>备，单泵设计投加量为</w:t>
            </w:r>
            <w:r>
              <w:rPr>
                <w:color w:val="auto"/>
                <w:highlight w:val="none"/>
              </w:rPr>
              <w:t>0-550L/h</w:t>
            </w:r>
            <w:r>
              <w:rPr>
                <w:rFonts w:hint="eastAsia"/>
                <w:color w:val="auto"/>
                <w:highlight w:val="none"/>
              </w:rPr>
              <w:t>，</w:t>
            </w:r>
            <w:r>
              <w:rPr>
                <w:color w:val="auto"/>
                <w:highlight w:val="none"/>
              </w:rPr>
              <w:t>H</w:t>
            </w:r>
            <w:r>
              <w:rPr>
                <w:rFonts w:hint="eastAsia"/>
                <w:color w:val="auto"/>
                <w:highlight w:val="none"/>
              </w:rPr>
              <w:t>＝</w:t>
            </w:r>
            <w:r>
              <w:rPr>
                <w:color w:val="auto"/>
                <w:highlight w:val="none"/>
              </w:rPr>
              <w:t>25m</w:t>
            </w:r>
            <w:r>
              <w:rPr>
                <w:rFonts w:hint="eastAsia"/>
                <w:color w:val="auto"/>
                <w:highlight w:val="none"/>
              </w:rPr>
              <w:t xml:space="preserve">。 </w:t>
            </w:r>
          </w:p>
          <w:p>
            <w:pPr>
              <w:spacing w:line="360" w:lineRule="auto"/>
              <w:rPr>
                <w:color w:val="auto"/>
                <w:highlight w:val="none"/>
              </w:rPr>
            </w:pPr>
            <w:r>
              <w:rPr>
                <w:color w:val="auto"/>
                <w:highlight w:val="none"/>
              </w:rPr>
              <w:t>6</w:t>
            </w:r>
            <w:r>
              <w:rPr>
                <w:rFonts w:hint="eastAsia"/>
                <w:color w:val="auto"/>
                <w:highlight w:val="none"/>
              </w:rPr>
              <w:t xml:space="preserve">）回用水池 </w:t>
            </w:r>
          </w:p>
          <w:p>
            <w:pPr>
              <w:spacing w:line="360" w:lineRule="auto"/>
              <w:rPr>
                <w:color w:val="auto"/>
                <w:highlight w:val="none"/>
              </w:rPr>
            </w:pPr>
            <w:r>
              <w:rPr>
                <w:rFonts w:hint="eastAsia"/>
                <w:color w:val="auto"/>
                <w:highlight w:val="none"/>
              </w:rPr>
              <w:t xml:space="preserve">考虑到反冲水量与回用水泵的小时流量差，确定反冲废水回用池调节容量为 </w:t>
            </w:r>
            <w:r>
              <w:rPr>
                <w:color w:val="auto"/>
                <w:highlight w:val="none"/>
              </w:rPr>
              <w:t>800m</w:t>
            </w:r>
            <w:r>
              <w:rPr>
                <w:color w:val="auto"/>
                <w:highlight w:val="none"/>
                <w:vertAlign w:val="superscript"/>
              </w:rPr>
              <w:t>3</w:t>
            </w:r>
            <w:r>
              <w:rPr>
                <w:rFonts w:hint="eastAsia"/>
                <w:color w:val="auto"/>
                <w:highlight w:val="none"/>
              </w:rPr>
              <w:t xml:space="preserve">。回用水池共设独立的二格，每格容积 </w:t>
            </w:r>
            <w:r>
              <w:rPr>
                <w:color w:val="auto"/>
                <w:highlight w:val="none"/>
              </w:rPr>
              <w:t>400m</w:t>
            </w:r>
            <w:r>
              <w:rPr>
                <w:color w:val="auto"/>
                <w:highlight w:val="none"/>
                <w:vertAlign w:val="superscript"/>
              </w:rPr>
              <w:t>3</w:t>
            </w:r>
            <w:r>
              <w:rPr>
                <w:rFonts w:hint="eastAsia"/>
                <w:color w:val="auto"/>
                <w:highlight w:val="none"/>
              </w:rPr>
              <w:t>。回用水池内设潜水排污泵</w:t>
            </w:r>
            <w:r>
              <w:rPr>
                <w:color w:val="auto"/>
                <w:highlight w:val="none"/>
              </w:rPr>
              <w:t>3</w:t>
            </w:r>
            <w:r>
              <w:rPr>
                <w:rFonts w:hint="eastAsia"/>
                <w:color w:val="auto"/>
                <w:highlight w:val="none"/>
              </w:rPr>
              <w:t>台，</w:t>
            </w:r>
            <w:r>
              <w:rPr>
                <w:color w:val="auto"/>
                <w:highlight w:val="none"/>
              </w:rPr>
              <w:t>2</w:t>
            </w:r>
            <w:r>
              <w:rPr>
                <w:rFonts w:hint="eastAsia"/>
                <w:color w:val="auto"/>
                <w:highlight w:val="none"/>
              </w:rPr>
              <w:t>用</w:t>
            </w:r>
            <w:r>
              <w:rPr>
                <w:color w:val="auto"/>
                <w:highlight w:val="none"/>
              </w:rPr>
              <w:t xml:space="preserve">1 </w:t>
            </w:r>
            <w:r>
              <w:rPr>
                <w:rFonts w:hint="eastAsia"/>
                <w:color w:val="auto"/>
                <w:highlight w:val="none"/>
              </w:rPr>
              <w:t>备。单泵流量为</w:t>
            </w:r>
            <w:r>
              <w:rPr>
                <w:color w:val="auto"/>
                <w:highlight w:val="none"/>
              </w:rPr>
              <w:t>120 m</w:t>
            </w:r>
            <w:r>
              <w:rPr>
                <w:color w:val="auto"/>
                <w:highlight w:val="none"/>
                <w:vertAlign w:val="superscript"/>
              </w:rPr>
              <w:t>3</w:t>
            </w:r>
            <w:r>
              <w:rPr>
                <w:color w:val="auto"/>
                <w:highlight w:val="none"/>
              </w:rPr>
              <w:t>/h</w:t>
            </w:r>
            <w:r>
              <w:rPr>
                <w:rFonts w:hint="eastAsia"/>
                <w:color w:val="auto"/>
                <w:highlight w:val="none"/>
              </w:rPr>
              <w:t>。每格回用水池需设水下搅拌机</w:t>
            </w:r>
            <w:r>
              <w:rPr>
                <w:color w:val="auto"/>
                <w:highlight w:val="none"/>
              </w:rPr>
              <w:t>2</w:t>
            </w:r>
            <w:r>
              <w:rPr>
                <w:rFonts w:hint="eastAsia"/>
                <w:color w:val="auto"/>
                <w:highlight w:val="none"/>
              </w:rPr>
              <w:t xml:space="preserve">台。 </w:t>
            </w:r>
          </w:p>
          <w:p>
            <w:pPr>
              <w:spacing w:line="360" w:lineRule="auto"/>
              <w:rPr>
                <w:color w:val="auto"/>
                <w:highlight w:val="none"/>
              </w:rPr>
            </w:pPr>
            <w:r>
              <w:rPr>
                <w:color w:val="auto"/>
                <w:highlight w:val="none"/>
              </w:rPr>
              <w:t>7</w:t>
            </w:r>
            <w:r>
              <w:rPr>
                <w:rFonts w:hint="eastAsia"/>
                <w:color w:val="auto"/>
                <w:highlight w:val="none"/>
              </w:rPr>
              <w:t xml:space="preserve">）排泥池 </w:t>
            </w:r>
          </w:p>
          <w:p>
            <w:pPr>
              <w:spacing w:line="360" w:lineRule="auto"/>
              <w:rPr>
                <w:color w:val="auto"/>
                <w:highlight w:val="none"/>
              </w:rPr>
            </w:pPr>
            <w:r>
              <w:rPr>
                <w:rFonts w:hint="eastAsia"/>
                <w:color w:val="auto"/>
                <w:highlight w:val="none"/>
              </w:rPr>
              <w:t>排泥池用于收集沉淀池排泥水。土建规模为</w:t>
            </w:r>
            <w:r>
              <w:rPr>
                <w:color w:val="auto"/>
                <w:highlight w:val="none"/>
              </w:rPr>
              <w:t>6.0</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，设一座分两格。</w:t>
            </w:r>
          </w:p>
          <w:p>
            <w:pPr>
              <w:spacing w:line="360" w:lineRule="auto"/>
              <w:rPr>
                <w:color w:val="auto"/>
                <w:highlight w:val="none"/>
              </w:rPr>
            </w:pPr>
            <w:r>
              <w:rPr>
                <w:rFonts w:hint="eastAsia"/>
                <w:color w:val="auto"/>
                <w:highlight w:val="none"/>
              </w:rPr>
              <w:t xml:space="preserve">沉淀池排泥水自排泥沟自流至排泥池，经静置沉淀后，底部积泥使用泥泵抽排方式清除，两格排泥池互为备用。 </w:t>
            </w:r>
          </w:p>
          <w:p>
            <w:pPr>
              <w:spacing w:line="360" w:lineRule="auto"/>
              <w:rPr>
                <w:color w:val="auto"/>
                <w:highlight w:val="none"/>
              </w:rPr>
            </w:pPr>
            <w:r>
              <w:rPr>
                <w:color w:val="auto"/>
                <w:highlight w:val="none"/>
              </w:rPr>
              <w:t>8</w:t>
            </w:r>
            <w:r>
              <w:rPr>
                <w:rFonts w:hint="eastAsia"/>
                <w:color w:val="auto"/>
                <w:highlight w:val="none"/>
              </w:rPr>
              <w:t xml:space="preserve">）清水池 </w:t>
            </w:r>
          </w:p>
          <w:p>
            <w:pPr>
              <w:spacing w:line="360" w:lineRule="auto"/>
              <w:rPr>
                <w:color w:val="auto"/>
                <w:highlight w:val="none"/>
              </w:rPr>
            </w:pPr>
            <w:r>
              <w:rPr>
                <w:rFonts w:hint="eastAsia"/>
                <w:color w:val="auto"/>
                <w:highlight w:val="none"/>
              </w:rPr>
              <w:t xml:space="preserve">前端设置接触消毒，清水池，共两座，单座有效容积 </w:t>
            </w:r>
            <w:r>
              <w:rPr>
                <w:color w:val="auto"/>
                <w:highlight w:val="none"/>
              </w:rPr>
              <w:t>6000m</w:t>
            </w:r>
            <w:r>
              <w:rPr>
                <w:color w:val="auto"/>
                <w:highlight w:val="none"/>
                <w:vertAlign w:val="superscript"/>
              </w:rPr>
              <w:t>3</w:t>
            </w:r>
            <w:r>
              <w:rPr>
                <w:rFonts w:hint="eastAsia"/>
                <w:color w:val="auto"/>
                <w:highlight w:val="none"/>
              </w:rPr>
              <w:t>。</w:t>
            </w:r>
          </w:p>
          <w:p>
            <w:pPr>
              <w:pStyle w:val="30"/>
              <w:ind w:firstLine="482"/>
              <w:rPr>
                <w:rFonts w:ascii="Times New Roman" w:cs="Times New Roman"/>
                <w:b/>
                <w:color w:val="auto"/>
                <w:highlight w:val="none"/>
              </w:rPr>
            </w:pPr>
            <w:r>
              <w:rPr>
                <w:rFonts w:hint="eastAsia" w:ascii="Times New Roman" w:cs="Times New Roman"/>
                <w:b/>
                <w:color w:val="auto"/>
                <w:highlight w:val="none"/>
              </w:rPr>
              <w:t>（3）管网工程</w:t>
            </w:r>
          </w:p>
          <w:p>
            <w:pPr>
              <w:spacing w:line="360" w:lineRule="auto"/>
              <w:ind w:firstLine="482"/>
              <w:rPr>
                <w:color w:val="auto"/>
                <w:highlight w:val="none"/>
              </w:rPr>
            </w:pPr>
            <w:bookmarkStart w:id="1" w:name="_Toc66264031"/>
            <w:bookmarkStart w:id="2" w:name="_Toc65213333"/>
            <w:bookmarkStart w:id="3" w:name="_Toc43019551"/>
            <w:bookmarkStart w:id="4" w:name="_Toc43020293"/>
            <w:r>
              <w:rPr>
                <w:rFonts w:hint="eastAsia"/>
                <w:b/>
                <w:bCs/>
                <w:color w:val="auto"/>
                <w:highlight w:val="none"/>
              </w:rPr>
              <w:t>①配水管网工程量：</w:t>
            </w:r>
            <w:r>
              <w:rPr>
                <w:rFonts w:hint="eastAsia"/>
                <w:color w:val="auto"/>
                <w:highlight w:val="none"/>
              </w:rPr>
              <w:t>新建配水主干管DN800-DN250总长约256.04km，主干管DN150-DN100至供水片区村口总管道长约464km。</w:t>
            </w:r>
          </w:p>
          <w:p>
            <w:pPr>
              <w:spacing w:line="240" w:lineRule="auto"/>
              <w:ind w:firstLine="422"/>
              <w:jc w:val="center"/>
              <w:rPr>
                <w:b/>
                <w:bCs/>
                <w:color w:val="auto"/>
                <w:sz w:val="21"/>
                <w:szCs w:val="21"/>
                <w:highlight w:val="none"/>
              </w:rPr>
            </w:pPr>
            <w:r>
              <w:rPr>
                <w:rFonts w:hint="eastAsia"/>
                <w:b/>
                <w:bCs/>
                <w:color w:val="auto"/>
                <w:sz w:val="21"/>
                <w:szCs w:val="21"/>
                <w:highlight w:val="none"/>
              </w:rPr>
              <w:t>表1-6 管网工程量一览表</w:t>
            </w:r>
          </w:p>
          <w:tbl>
            <w:tblPr>
              <w:tblStyle w:val="27"/>
              <w:tblW w:w="8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197"/>
              <w:gridCol w:w="2197"/>
              <w:gridCol w:w="2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序号</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管径（mm）</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管长（km）</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管材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DN800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5.27</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DN800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0.45</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钢管（过河）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DN700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18.24</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DN600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4.75</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DN500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13.65</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DN450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40.93</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DN400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61.54</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DN300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73.37</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9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DN200</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36.83</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涂塑钢管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393" w:type="dxa"/>
                  <w:gridSpan w:val="2"/>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合计</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256.04</w:t>
                  </w:r>
                </w:p>
              </w:tc>
              <w:tc>
                <w:tcPr>
                  <w:tcW w:w="2197" w:type="dxa"/>
                  <w:tcBorders>
                    <w:tl2br w:val="nil"/>
                    <w:tr2bl w:val="nil"/>
                  </w:tcBorders>
                  <w:vAlign w:val="center"/>
                </w:tcPr>
                <w:p>
                  <w:pPr>
                    <w:spacing w:line="240" w:lineRule="auto"/>
                    <w:ind w:firstLine="0" w:firstLineChars="0"/>
                    <w:jc w:val="center"/>
                    <w:rPr>
                      <w:color w:val="auto"/>
                      <w:sz w:val="21"/>
                      <w:szCs w:val="21"/>
                      <w:highlight w:val="none"/>
                    </w:rPr>
                  </w:pPr>
                </w:p>
              </w:tc>
            </w:tr>
          </w:tbl>
          <w:p>
            <w:pPr>
              <w:spacing w:line="360" w:lineRule="auto"/>
              <w:ind w:firstLine="482"/>
              <w:rPr>
                <w:b/>
                <w:bCs/>
                <w:color w:val="auto"/>
                <w:highlight w:val="none"/>
              </w:rPr>
            </w:pPr>
            <w:r>
              <w:rPr>
                <w:rFonts w:hint="eastAsia"/>
                <w:b/>
                <w:bCs/>
                <w:color w:val="auto"/>
                <w:highlight w:val="none"/>
              </w:rPr>
              <w:t>②加压站建设内容</w:t>
            </w:r>
          </w:p>
          <w:p>
            <w:pPr>
              <w:spacing w:line="360" w:lineRule="auto"/>
              <w:ind w:firstLine="482"/>
              <w:rPr>
                <w:b/>
                <w:bCs/>
                <w:color w:val="auto"/>
                <w:highlight w:val="none"/>
              </w:rPr>
            </w:pPr>
            <w:r>
              <w:rPr>
                <w:rFonts w:hint="eastAsia"/>
                <w:b/>
                <w:bCs/>
                <w:color w:val="auto"/>
                <w:highlight w:val="none"/>
              </w:rPr>
              <w:t>中东北部片区：</w:t>
            </w:r>
          </w:p>
          <w:p>
            <w:pPr>
              <w:spacing w:line="360" w:lineRule="auto"/>
              <w:ind w:firstLine="482"/>
              <w:rPr>
                <w:rFonts w:hint="eastAsia" w:eastAsia="宋体"/>
                <w:b/>
                <w:bCs/>
                <w:color w:val="FF0000"/>
                <w:highlight w:val="none"/>
                <w:u w:val="single"/>
                <w:lang w:eastAsia="zh-CN"/>
              </w:rPr>
            </w:pPr>
            <w:r>
              <w:rPr>
                <w:rFonts w:hint="eastAsia"/>
                <w:b/>
                <w:bCs/>
                <w:color w:val="auto"/>
                <w:highlight w:val="none"/>
              </w:rPr>
              <w:t>加压泵站</w:t>
            </w:r>
            <w:r>
              <w:rPr>
                <w:b/>
                <w:bCs/>
                <w:color w:val="auto"/>
                <w:highlight w:val="none"/>
              </w:rPr>
              <w:t>1</w:t>
            </w:r>
            <w:r>
              <w:rPr>
                <w:rFonts w:hint="eastAsia"/>
                <w:b/>
                <w:bCs/>
                <w:color w:val="auto"/>
                <w:highlight w:val="none"/>
                <w:lang w:eastAsia="zh-CN"/>
              </w:rPr>
              <w:t>，</w:t>
            </w:r>
            <w:r>
              <w:rPr>
                <w:rFonts w:hint="eastAsia"/>
                <w:b/>
                <w:bCs/>
                <w:color w:val="FF0000"/>
                <w:highlight w:val="none"/>
                <w:u w:val="single"/>
                <w:lang w:eastAsia="zh-CN"/>
              </w:rPr>
              <w:t>设置在潘市镇</w:t>
            </w:r>
          </w:p>
          <w:p>
            <w:pPr>
              <w:spacing w:line="360" w:lineRule="auto"/>
              <w:rPr>
                <w:color w:val="auto"/>
                <w:highlight w:val="none"/>
              </w:rPr>
            </w:pPr>
            <w:r>
              <w:rPr>
                <w:rFonts w:hint="eastAsia"/>
                <w:color w:val="auto"/>
                <w:highlight w:val="none"/>
              </w:rPr>
              <w:t>占地约</w:t>
            </w:r>
            <w:r>
              <w:rPr>
                <w:color w:val="auto"/>
                <w:highlight w:val="none"/>
              </w:rPr>
              <w:t>1800</w:t>
            </w:r>
            <w:r>
              <w:rPr>
                <w:rFonts w:hint="eastAsia"/>
                <w:color w:val="auto"/>
                <w:highlight w:val="none"/>
              </w:rPr>
              <w:t>平方米，建设内容主要有：</w:t>
            </w:r>
          </w:p>
          <w:p>
            <w:pPr>
              <w:spacing w:line="360" w:lineRule="auto"/>
              <w:rPr>
                <w:color w:val="auto"/>
                <w:highlight w:val="none"/>
              </w:rPr>
            </w:pPr>
            <w:r>
              <w:rPr>
                <w:rFonts w:hint="eastAsia"/>
                <w:color w:val="auto"/>
                <w:highlight w:val="none"/>
              </w:rPr>
              <w:t>新建一座清水池，有效容积约为</w:t>
            </w:r>
            <w:r>
              <w:rPr>
                <w:color w:val="auto"/>
                <w:highlight w:val="none"/>
              </w:rPr>
              <w:t>800m</w:t>
            </w:r>
            <w:r>
              <w:rPr>
                <w:color w:val="auto"/>
                <w:highlight w:val="none"/>
                <w:vertAlign w:val="superscript"/>
              </w:rPr>
              <w:t>3</w:t>
            </w:r>
            <w:r>
              <w:rPr>
                <w:rFonts w:hint="eastAsia"/>
                <w:color w:val="auto"/>
                <w:highlight w:val="none"/>
              </w:rPr>
              <w:t>。</w:t>
            </w:r>
          </w:p>
          <w:p>
            <w:pPr>
              <w:spacing w:line="360" w:lineRule="auto"/>
              <w:rPr>
                <w:color w:val="auto"/>
                <w:highlight w:val="none"/>
              </w:rPr>
            </w:pPr>
            <w:r>
              <w:rPr>
                <w:rFonts w:hint="eastAsia"/>
                <w:color w:val="auto"/>
                <w:highlight w:val="none"/>
              </w:rPr>
              <w:t>新建一座补氯间，设计规模为</w:t>
            </w:r>
            <w:r>
              <w:rPr>
                <w:color w:val="auto"/>
                <w:highlight w:val="none"/>
              </w:rPr>
              <w:t>0.4</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w:t>
            </w:r>
          </w:p>
          <w:p>
            <w:pPr>
              <w:spacing w:line="360" w:lineRule="auto"/>
              <w:rPr>
                <w:color w:val="auto"/>
                <w:highlight w:val="none"/>
              </w:rPr>
            </w:pPr>
            <w:r>
              <w:rPr>
                <w:rFonts w:hint="eastAsia"/>
                <w:color w:val="auto"/>
                <w:highlight w:val="none"/>
              </w:rPr>
              <w:t>新建一座加压泵房和配电间，设计规模为</w:t>
            </w:r>
            <w:r>
              <w:rPr>
                <w:color w:val="auto"/>
                <w:highlight w:val="none"/>
              </w:rPr>
              <w:t>0.4</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。加压泵房配电间及补氯间合建。</w:t>
            </w:r>
          </w:p>
          <w:p>
            <w:pPr>
              <w:spacing w:line="360" w:lineRule="auto"/>
              <w:rPr>
                <w:color w:val="auto"/>
                <w:highlight w:val="none"/>
              </w:rPr>
            </w:pPr>
            <w:r>
              <w:rPr>
                <w:rFonts w:hint="eastAsia"/>
                <w:color w:val="auto"/>
                <w:highlight w:val="none"/>
              </w:rPr>
              <w:t>新建一座泵站管理用房。</w:t>
            </w:r>
          </w:p>
          <w:p>
            <w:pPr>
              <w:spacing w:line="360" w:lineRule="auto"/>
              <w:ind w:firstLine="482"/>
              <w:rPr>
                <w:b/>
                <w:bCs/>
                <w:color w:val="auto"/>
                <w:highlight w:val="none"/>
              </w:rPr>
            </w:pPr>
            <w:r>
              <w:rPr>
                <w:rFonts w:hint="eastAsia"/>
                <w:b/>
                <w:bCs/>
                <w:color w:val="auto"/>
                <w:highlight w:val="none"/>
              </w:rPr>
              <w:t>加压泵站</w:t>
            </w:r>
            <w:r>
              <w:rPr>
                <w:b/>
                <w:bCs/>
                <w:color w:val="auto"/>
                <w:highlight w:val="none"/>
              </w:rPr>
              <w:t>2</w:t>
            </w:r>
            <w:r>
              <w:rPr>
                <w:rFonts w:hint="eastAsia"/>
                <w:b/>
                <w:bCs/>
                <w:color w:val="auto"/>
                <w:highlight w:val="none"/>
                <w:lang w:eastAsia="zh-CN"/>
              </w:rPr>
              <w:t>，</w:t>
            </w:r>
            <w:r>
              <w:rPr>
                <w:rFonts w:hint="eastAsia"/>
                <w:b/>
                <w:bCs/>
                <w:color w:val="FF0000"/>
                <w:highlight w:val="none"/>
                <w:u w:val="single"/>
                <w:lang w:eastAsia="zh-CN"/>
              </w:rPr>
              <w:t>设置在梅溪镇</w:t>
            </w:r>
          </w:p>
          <w:p>
            <w:pPr>
              <w:spacing w:line="360" w:lineRule="auto"/>
              <w:rPr>
                <w:color w:val="auto"/>
                <w:highlight w:val="none"/>
              </w:rPr>
            </w:pPr>
            <w:r>
              <w:rPr>
                <w:rFonts w:hint="eastAsia"/>
                <w:color w:val="auto"/>
                <w:highlight w:val="none"/>
              </w:rPr>
              <w:t>占地约</w:t>
            </w:r>
            <w:r>
              <w:rPr>
                <w:color w:val="auto"/>
                <w:highlight w:val="none"/>
              </w:rPr>
              <w:t>4500</w:t>
            </w:r>
            <w:r>
              <w:rPr>
                <w:rFonts w:hint="eastAsia"/>
                <w:color w:val="auto"/>
                <w:highlight w:val="none"/>
              </w:rPr>
              <w:t>平方米，建设内容主要有：</w:t>
            </w:r>
          </w:p>
          <w:p>
            <w:pPr>
              <w:spacing w:line="360" w:lineRule="auto"/>
              <w:rPr>
                <w:color w:val="auto"/>
                <w:highlight w:val="none"/>
              </w:rPr>
            </w:pPr>
            <w:r>
              <w:rPr>
                <w:rFonts w:hint="eastAsia"/>
                <w:color w:val="auto"/>
                <w:highlight w:val="none"/>
              </w:rPr>
              <w:t>新建一座清水池，有效容积约为</w:t>
            </w:r>
            <w:r>
              <w:rPr>
                <w:color w:val="auto"/>
                <w:highlight w:val="none"/>
              </w:rPr>
              <w:t>2000m</w:t>
            </w:r>
            <w:r>
              <w:rPr>
                <w:color w:val="auto"/>
                <w:highlight w:val="none"/>
                <w:vertAlign w:val="superscript"/>
              </w:rPr>
              <w:t>3</w:t>
            </w:r>
            <w:r>
              <w:rPr>
                <w:rFonts w:hint="eastAsia"/>
                <w:color w:val="auto"/>
                <w:highlight w:val="none"/>
              </w:rPr>
              <w:t>。</w:t>
            </w:r>
          </w:p>
          <w:p>
            <w:pPr>
              <w:spacing w:line="360" w:lineRule="auto"/>
              <w:rPr>
                <w:color w:val="auto"/>
                <w:highlight w:val="none"/>
              </w:rPr>
            </w:pPr>
            <w:r>
              <w:rPr>
                <w:rFonts w:hint="eastAsia"/>
                <w:color w:val="auto"/>
                <w:highlight w:val="none"/>
              </w:rPr>
              <w:t>新建一座补氯间，设计规模为</w:t>
            </w:r>
            <w:r>
              <w:rPr>
                <w:color w:val="auto"/>
                <w:highlight w:val="none"/>
              </w:rPr>
              <w:t>1.0</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w:t>
            </w:r>
          </w:p>
          <w:p>
            <w:pPr>
              <w:spacing w:line="360" w:lineRule="auto"/>
              <w:rPr>
                <w:color w:val="auto"/>
                <w:highlight w:val="none"/>
              </w:rPr>
            </w:pPr>
            <w:r>
              <w:rPr>
                <w:rFonts w:hint="eastAsia"/>
                <w:color w:val="auto"/>
                <w:highlight w:val="none"/>
              </w:rPr>
              <w:t>新建一座加压泵房和配电间，设计规模为</w:t>
            </w:r>
            <w:r>
              <w:rPr>
                <w:color w:val="auto"/>
                <w:highlight w:val="none"/>
              </w:rPr>
              <w:t>1.0</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。加压泵房配电间及补氯间合建。</w:t>
            </w:r>
          </w:p>
          <w:p>
            <w:pPr>
              <w:spacing w:line="360" w:lineRule="auto"/>
              <w:rPr>
                <w:color w:val="auto"/>
                <w:highlight w:val="none"/>
              </w:rPr>
            </w:pPr>
            <w:r>
              <w:rPr>
                <w:rFonts w:hint="eastAsia"/>
                <w:color w:val="auto"/>
                <w:highlight w:val="none"/>
              </w:rPr>
              <w:t>新建一座泵站管理用房。</w:t>
            </w:r>
          </w:p>
          <w:p>
            <w:pPr>
              <w:spacing w:line="360" w:lineRule="auto"/>
              <w:ind w:firstLine="482"/>
              <w:rPr>
                <w:rFonts w:hint="eastAsia" w:eastAsia="宋体"/>
                <w:b/>
                <w:bCs/>
                <w:color w:val="FF0000"/>
                <w:highlight w:val="none"/>
                <w:u w:val="single"/>
                <w:lang w:eastAsia="zh-CN"/>
              </w:rPr>
            </w:pPr>
            <w:r>
              <w:rPr>
                <w:rFonts w:hint="eastAsia"/>
                <w:b/>
                <w:bCs/>
                <w:color w:val="FF0000"/>
                <w:highlight w:val="none"/>
                <w:u w:val="single"/>
              </w:rPr>
              <w:t>加压泵站3</w:t>
            </w:r>
            <w:r>
              <w:rPr>
                <w:rFonts w:hint="eastAsia"/>
                <w:b/>
                <w:bCs/>
                <w:color w:val="FF0000"/>
                <w:highlight w:val="none"/>
                <w:u w:val="single"/>
                <w:lang w:eastAsia="zh-CN"/>
              </w:rPr>
              <w:t>，设置在羊角塘镇</w:t>
            </w:r>
          </w:p>
          <w:p>
            <w:pPr>
              <w:spacing w:line="360" w:lineRule="auto"/>
              <w:rPr>
                <w:color w:val="auto"/>
                <w:highlight w:val="none"/>
              </w:rPr>
            </w:pPr>
            <w:r>
              <w:rPr>
                <w:rFonts w:hint="eastAsia"/>
                <w:color w:val="auto"/>
                <w:highlight w:val="none"/>
              </w:rPr>
              <w:t>占地约 3600 平方米，建设内容主要有：</w:t>
            </w:r>
          </w:p>
          <w:p>
            <w:pPr>
              <w:spacing w:line="360" w:lineRule="auto"/>
              <w:rPr>
                <w:color w:val="auto"/>
                <w:highlight w:val="none"/>
              </w:rPr>
            </w:pPr>
            <w:r>
              <w:rPr>
                <w:rFonts w:hint="eastAsia"/>
                <w:color w:val="auto"/>
                <w:highlight w:val="none"/>
              </w:rPr>
              <w:t>①新建一座清水池，有效容积约为 1600m</w:t>
            </w:r>
            <w:r>
              <w:rPr>
                <w:rFonts w:hint="eastAsia"/>
                <w:color w:val="auto"/>
                <w:highlight w:val="none"/>
                <w:vertAlign w:val="superscript"/>
              </w:rPr>
              <w:t>3</w:t>
            </w:r>
            <w:r>
              <w:rPr>
                <w:rFonts w:hint="eastAsia"/>
                <w:color w:val="auto"/>
                <w:highlight w:val="none"/>
              </w:rPr>
              <w:t>。</w:t>
            </w:r>
          </w:p>
          <w:p>
            <w:pPr>
              <w:spacing w:line="360" w:lineRule="auto"/>
              <w:rPr>
                <w:color w:val="auto"/>
                <w:highlight w:val="none"/>
              </w:rPr>
            </w:pPr>
            <w:r>
              <w:rPr>
                <w:rFonts w:hint="eastAsia"/>
                <w:color w:val="auto"/>
                <w:highlight w:val="none"/>
              </w:rPr>
              <w:t>②新建一座补氯间，设计规模为 0.8×10</w:t>
            </w:r>
            <w:r>
              <w:rPr>
                <w:rFonts w:hint="eastAsia"/>
                <w:color w:val="auto"/>
                <w:highlight w:val="none"/>
                <w:vertAlign w:val="superscript"/>
              </w:rPr>
              <w:t>4</w:t>
            </w:r>
            <w:r>
              <w:rPr>
                <w:rFonts w:hint="eastAsia"/>
                <w:color w:val="auto"/>
                <w:highlight w:val="none"/>
              </w:rPr>
              <w:t>m</w:t>
            </w:r>
            <w:r>
              <w:rPr>
                <w:rFonts w:hint="eastAsia"/>
                <w:color w:val="auto"/>
                <w:highlight w:val="none"/>
                <w:vertAlign w:val="superscript"/>
              </w:rPr>
              <w:t>3</w:t>
            </w:r>
            <w:r>
              <w:rPr>
                <w:rFonts w:hint="eastAsia"/>
                <w:color w:val="auto"/>
                <w:highlight w:val="none"/>
              </w:rPr>
              <w:t xml:space="preserve">/d。 </w:t>
            </w:r>
          </w:p>
          <w:p>
            <w:pPr>
              <w:spacing w:line="360" w:lineRule="auto"/>
              <w:rPr>
                <w:color w:val="auto"/>
                <w:highlight w:val="none"/>
              </w:rPr>
            </w:pPr>
            <w:r>
              <w:rPr>
                <w:rFonts w:hint="eastAsia"/>
                <w:color w:val="auto"/>
                <w:highlight w:val="none"/>
              </w:rPr>
              <w:t>③新建一座加压泵房和配电间，设计规模为 0.8×10</w:t>
            </w:r>
            <w:r>
              <w:rPr>
                <w:rFonts w:hint="eastAsia"/>
                <w:color w:val="auto"/>
                <w:highlight w:val="none"/>
                <w:vertAlign w:val="superscript"/>
              </w:rPr>
              <w:t>4</w:t>
            </w:r>
            <w:r>
              <w:rPr>
                <w:rFonts w:hint="eastAsia"/>
                <w:color w:val="auto"/>
                <w:highlight w:val="none"/>
              </w:rPr>
              <w:t>m</w:t>
            </w:r>
            <w:r>
              <w:rPr>
                <w:rFonts w:hint="eastAsia"/>
                <w:color w:val="auto"/>
                <w:highlight w:val="none"/>
                <w:vertAlign w:val="superscript"/>
              </w:rPr>
              <w:t>3</w:t>
            </w:r>
            <w:r>
              <w:rPr>
                <w:rFonts w:hint="eastAsia"/>
                <w:color w:val="auto"/>
                <w:highlight w:val="none"/>
              </w:rPr>
              <w:t>/d。加压泵房配电间及补氯间合建。</w:t>
            </w:r>
          </w:p>
          <w:p>
            <w:pPr>
              <w:spacing w:line="360" w:lineRule="auto"/>
              <w:rPr>
                <w:color w:val="auto"/>
                <w:highlight w:val="none"/>
              </w:rPr>
            </w:pPr>
            <w:r>
              <w:rPr>
                <w:rFonts w:hint="eastAsia"/>
                <w:color w:val="auto"/>
                <w:highlight w:val="none"/>
              </w:rPr>
              <w:t>④新建一座泵站管理用房。</w:t>
            </w:r>
          </w:p>
          <w:p>
            <w:pPr>
              <w:spacing w:line="360" w:lineRule="auto"/>
              <w:ind w:firstLine="482"/>
              <w:rPr>
                <w:b/>
                <w:bCs/>
                <w:color w:val="auto"/>
                <w:highlight w:val="none"/>
              </w:rPr>
            </w:pPr>
            <w:r>
              <w:rPr>
                <w:rFonts w:hint="eastAsia"/>
                <w:b/>
                <w:bCs/>
                <w:color w:val="auto"/>
                <w:highlight w:val="none"/>
              </w:rPr>
              <w:t xml:space="preserve">中东南部片区： </w:t>
            </w:r>
          </w:p>
          <w:p>
            <w:pPr>
              <w:spacing w:line="360" w:lineRule="auto"/>
              <w:rPr>
                <w:rFonts w:hint="eastAsia" w:eastAsia="宋体"/>
                <w:color w:val="auto"/>
                <w:highlight w:val="none"/>
                <w:lang w:eastAsia="zh-CN"/>
              </w:rPr>
            </w:pPr>
            <w:r>
              <w:rPr>
                <w:rFonts w:hint="eastAsia"/>
                <w:color w:val="auto"/>
                <w:highlight w:val="none"/>
              </w:rPr>
              <w:t>加压泵站</w:t>
            </w:r>
            <w:r>
              <w:rPr>
                <w:color w:val="auto"/>
                <w:highlight w:val="none"/>
              </w:rPr>
              <w:t>4</w:t>
            </w:r>
            <w:r>
              <w:rPr>
                <w:rFonts w:hint="eastAsia"/>
                <w:color w:val="auto"/>
                <w:highlight w:val="none"/>
                <w:lang w:eastAsia="zh-CN"/>
              </w:rPr>
              <w:t>，</w:t>
            </w:r>
            <w:r>
              <w:rPr>
                <w:rFonts w:hint="eastAsia"/>
                <w:color w:val="FF0000"/>
                <w:highlight w:val="none"/>
                <w:u w:val="single"/>
                <w:lang w:eastAsia="zh-CN"/>
              </w:rPr>
              <w:t>设置在黄泥塘镇</w:t>
            </w:r>
          </w:p>
          <w:p>
            <w:pPr>
              <w:spacing w:line="360" w:lineRule="auto"/>
              <w:rPr>
                <w:color w:val="auto"/>
                <w:highlight w:val="none"/>
              </w:rPr>
            </w:pPr>
            <w:r>
              <w:rPr>
                <w:rFonts w:hint="eastAsia"/>
                <w:color w:val="auto"/>
                <w:highlight w:val="none"/>
              </w:rPr>
              <w:t>占地约</w:t>
            </w:r>
            <w:r>
              <w:rPr>
                <w:color w:val="auto"/>
                <w:highlight w:val="none"/>
              </w:rPr>
              <w:t>1750</w:t>
            </w:r>
            <w:r>
              <w:rPr>
                <w:rFonts w:hint="eastAsia"/>
                <w:color w:val="auto"/>
                <w:highlight w:val="none"/>
              </w:rPr>
              <w:t>平方米，建设内容主要有：</w:t>
            </w:r>
          </w:p>
          <w:p>
            <w:pPr>
              <w:spacing w:line="360" w:lineRule="auto"/>
              <w:rPr>
                <w:color w:val="auto"/>
                <w:highlight w:val="none"/>
              </w:rPr>
            </w:pPr>
            <w:r>
              <w:rPr>
                <w:rFonts w:hint="eastAsia"/>
                <w:color w:val="auto"/>
                <w:highlight w:val="none"/>
              </w:rPr>
              <w:t>新建一座清水池，有效容积约为</w:t>
            </w:r>
            <w:r>
              <w:rPr>
                <w:color w:val="auto"/>
                <w:highlight w:val="none"/>
              </w:rPr>
              <w:t>760m</w:t>
            </w:r>
            <w:r>
              <w:rPr>
                <w:color w:val="auto"/>
                <w:highlight w:val="none"/>
                <w:vertAlign w:val="superscript"/>
              </w:rPr>
              <w:t>3</w:t>
            </w:r>
            <w:r>
              <w:rPr>
                <w:rFonts w:hint="eastAsia"/>
                <w:color w:val="auto"/>
                <w:highlight w:val="none"/>
              </w:rPr>
              <w:t>。</w:t>
            </w:r>
          </w:p>
          <w:p>
            <w:pPr>
              <w:spacing w:line="360" w:lineRule="auto"/>
              <w:rPr>
                <w:color w:val="auto"/>
                <w:highlight w:val="none"/>
              </w:rPr>
            </w:pPr>
            <w:r>
              <w:rPr>
                <w:rFonts w:hint="eastAsia"/>
                <w:color w:val="auto"/>
                <w:highlight w:val="none"/>
              </w:rPr>
              <w:t>新建一座补氯间，设计规模为</w:t>
            </w:r>
            <w:r>
              <w:rPr>
                <w:color w:val="auto"/>
                <w:highlight w:val="none"/>
              </w:rPr>
              <w:t>0.38</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w:t>
            </w:r>
          </w:p>
          <w:p>
            <w:pPr>
              <w:spacing w:line="360" w:lineRule="auto"/>
              <w:rPr>
                <w:color w:val="auto"/>
                <w:highlight w:val="none"/>
              </w:rPr>
            </w:pPr>
            <w:r>
              <w:rPr>
                <w:rFonts w:hint="eastAsia"/>
                <w:color w:val="auto"/>
                <w:highlight w:val="none"/>
              </w:rPr>
              <w:t>新建一座加压泵房和配电间，设计规模为</w:t>
            </w:r>
            <w:r>
              <w:rPr>
                <w:color w:val="auto"/>
                <w:highlight w:val="none"/>
              </w:rPr>
              <w:t>0.38</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。加压泵房配电间及补氯间合建。</w:t>
            </w:r>
          </w:p>
          <w:p>
            <w:pPr>
              <w:spacing w:line="360" w:lineRule="auto"/>
              <w:rPr>
                <w:color w:val="auto"/>
                <w:highlight w:val="none"/>
              </w:rPr>
            </w:pPr>
            <w:r>
              <w:rPr>
                <w:rFonts w:hint="eastAsia"/>
                <w:color w:val="auto"/>
                <w:highlight w:val="none"/>
              </w:rPr>
              <w:t>新建一座泵站管理用房。</w:t>
            </w:r>
          </w:p>
          <w:p>
            <w:pPr>
              <w:spacing w:line="360" w:lineRule="auto"/>
              <w:ind w:firstLine="482"/>
              <w:rPr>
                <w:rFonts w:hint="eastAsia" w:eastAsia="宋体"/>
                <w:b/>
                <w:bCs/>
                <w:color w:val="FF0000"/>
                <w:highlight w:val="none"/>
                <w:u w:val="single"/>
                <w:lang w:eastAsia="zh-CN"/>
              </w:rPr>
            </w:pPr>
            <w:r>
              <w:rPr>
                <w:rFonts w:hint="eastAsia"/>
                <w:b/>
                <w:bCs/>
                <w:color w:val="auto"/>
                <w:highlight w:val="none"/>
              </w:rPr>
              <w:t>加压泵站</w:t>
            </w:r>
            <w:r>
              <w:rPr>
                <w:b/>
                <w:bCs/>
                <w:color w:val="auto"/>
                <w:highlight w:val="none"/>
              </w:rPr>
              <w:t>5</w:t>
            </w:r>
            <w:r>
              <w:rPr>
                <w:rFonts w:hint="eastAsia"/>
                <w:b/>
                <w:bCs/>
                <w:color w:val="auto"/>
                <w:highlight w:val="none"/>
                <w:lang w:eastAsia="zh-CN"/>
              </w:rPr>
              <w:t>，</w:t>
            </w:r>
            <w:r>
              <w:rPr>
                <w:rFonts w:hint="eastAsia"/>
                <w:b/>
                <w:bCs/>
                <w:color w:val="FF0000"/>
                <w:highlight w:val="none"/>
                <w:u w:val="single"/>
                <w:lang w:eastAsia="zh-CN"/>
              </w:rPr>
              <w:t>设置在八宝镇</w:t>
            </w:r>
          </w:p>
          <w:p>
            <w:pPr>
              <w:spacing w:line="360" w:lineRule="auto"/>
              <w:rPr>
                <w:color w:val="auto"/>
                <w:highlight w:val="none"/>
              </w:rPr>
            </w:pPr>
            <w:r>
              <w:rPr>
                <w:rFonts w:hint="eastAsia"/>
                <w:color w:val="auto"/>
                <w:highlight w:val="none"/>
              </w:rPr>
              <w:t>占地约</w:t>
            </w:r>
            <w:r>
              <w:rPr>
                <w:color w:val="auto"/>
                <w:highlight w:val="none"/>
              </w:rPr>
              <w:t>2250</w:t>
            </w:r>
            <w:r>
              <w:rPr>
                <w:rFonts w:hint="eastAsia"/>
                <w:color w:val="auto"/>
                <w:highlight w:val="none"/>
              </w:rPr>
              <w:t>平方米，建设内容主要有：</w:t>
            </w:r>
          </w:p>
          <w:p>
            <w:pPr>
              <w:spacing w:line="360" w:lineRule="auto"/>
              <w:rPr>
                <w:color w:val="auto"/>
                <w:highlight w:val="none"/>
              </w:rPr>
            </w:pPr>
            <w:r>
              <w:rPr>
                <w:rFonts w:hint="eastAsia"/>
                <w:color w:val="auto"/>
                <w:highlight w:val="none"/>
              </w:rPr>
              <w:t>新建一座清水池，有效容积约为</w:t>
            </w:r>
            <w:r>
              <w:rPr>
                <w:color w:val="auto"/>
                <w:highlight w:val="none"/>
              </w:rPr>
              <w:t>1000m</w:t>
            </w:r>
            <w:r>
              <w:rPr>
                <w:color w:val="auto"/>
                <w:highlight w:val="none"/>
                <w:vertAlign w:val="superscript"/>
              </w:rPr>
              <w:t>3</w:t>
            </w:r>
            <w:r>
              <w:rPr>
                <w:rFonts w:hint="eastAsia"/>
                <w:color w:val="auto"/>
                <w:highlight w:val="none"/>
              </w:rPr>
              <w:t>。</w:t>
            </w:r>
          </w:p>
          <w:p>
            <w:pPr>
              <w:spacing w:line="360" w:lineRule="auto"/>
              <w:rPr>
                <w:color w:val="auto"/>
                <w:highlight w:val="none"/>
              </w:rPr>
            </w:pPr>
            <w:r>
              <w:rPr>
                <w:rFonts w:hint="eastAsia"/>
                <w:color w:val="auto"/>
                <w:highlight w:val="none"/>
              </w:rPr>
              <w:t>新建一座补氯间，设计规模为</w:t>
            </w:r>
            <w:r>
              <w:rPr>
                <w:color w:val="auto"/>
                <w:highlight w:val="none"/>
              </w:rPr>
              <w:t>0.5</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w:t>
            </w:r>
          </w:p>
          <w:p>
            <w:pPr>
              <w:spacing w:line="360" w:lineRule="auto"/>
              <w:rPr>
                <w:color w:val="auto"/>
                <w:highlight w:val="none"/>
              </w:rPr>
            </w:pPr>
            <w:r>
              <w:rPr>
                <w:rFonts w:hint="eastAsia"/>
                <w:color w:val="auto"/>
                <w:highlight w:val="none"/>
              </w:rPr>
              <w:t>新建一座加压泵房和配电间，设计规模为</w:t>
            </w:r>
            <w:r>
              <w:rPr>
                <w:color w:val="auto"/>
                <w:highlight w:val="none"/>
              </w:rPr>
              <w:t>0.5</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。加压泵房配电间及补氯间合建。</w:t>
            </w:r>
          </w:p>
          <w:p>
            <w:pPr>
              <w:spacing w:line="360" w:lineRule="auto"/>
              <w:rPr>
                <w:color w:val="auto"/>
                <w:highlight w:val="none"/>
              </w:rPr>
            </w:pPr>
            <w:r>
              <w:rPr>
                <w:rFonts w:hint="eastAsia"/>
                <w:color w:val="auto"/>
                <w:highlight w:val="none"/>
              </w:rPr>
              <w:t>新建一座泵站管理用房。</w:t>
            </w:r>
          </w:p>
          <w:p>
            <w:pPr>
              <w:spacing w:line="360" w:lineRule="auto"/>
              <w:ind w:firstLine="482"/>
              <w:rPr>
                <w:rFonts w:hint="eastAsia" w:eastAsia="宋体"/>
                <w:b/>
                <w:bCs/>
                <w:color w:val="FF0000"/>
                <w:highlight w:val="none"/>
                <w:u w:val="single"/>
                <w:lang w:eastAsia="zh-CN"/>
              </w:rPr>
            </w:pPr>
            <w:r>
              <w:rPr>
                <w:rFonts w:hint="eastAsia"/>
                <w:b/>
                <w:bCs/>
                <w:color w:val="auto"/>
                <w:highlight w:val="none"/>
              </w:rPr>
              <w:t>加压泵站</w:t>
            </w:r>
            <w:r>
              <w:rPr>
                <w:b/>
                <w:bCs/>
                <w:color w:val="auto"/>
                <w:highlight w:val="none"/>
              </w:rPr>
              <w:t>6</w:t>
            </w:r>
            <w:r>
              <w:rPr>
                <w:rFonts w:hint="eastAsia"/>
                <w:b/>
                <w:bCs/>
                <w:color w:val="auto"/>
                <w:highlight w:val="none"/>
                <w:lang w:eastAsia="zh-CN"/>
              </w:rPr>
              <w:t>，</w:t>
            </w:r>
            <w:r>
              <w:rPr>
                <w:rFonts w:hint="eastAsia"/>
                <w:b/>
                <w:bCs/>
                <w:color w:val="FF0000"/>
                <w:highlight w:val="none"/>
                <w:u w:val="single"/>
                <w:lang w:eastAsia="zh-CN"/>
              </w:rPr>
              <w:t>设置在肖家镇</w:t>
            </w:r>
          </w:p>
          <w:p>
            <w:pPr>
              <w:spacing w:line="360" w:lineRule="auto"/>
              <w:rPr>
                <w:color w:val="auto"/>
                <w:highlight w:val="none"/>
              </w:rPr>
            </w:pPr>
            <w:r>
              <w:rPr>
                <w:rFonts w:hint="eastAsia"/>
                <w:color w:val="auto"/>
                <w:highlight w:val="none"/>
              </w:rPr>
              <w:t>占地约</w:t>
            </w:r>
            <w:r>
              <w:rPr>
                <w:color w:val="auto"/>
                <w:highlight w:val="none"/>
              </w:rPr>
              <w:t>2250</w:t>
            </w:r>
            <w:r>
              <w:rPr>
                <w:rFonts w:hint="eastAsia"/>
                <w:color w:val="auto"/>
                <w:highlight w:val="none"/>
              </w:rPr>
              <w:t>平方米，建设内容主要有：</w:t>
            </w:r>
          </w:p>
          <w:p>
            <w:pPr>
              <w:spacing w:line="360" w:lineRule="auto"/>
              <w:rPr>
                <w:color w:val="auto"/>
                <w:highlight w:val="none"/>
              </w:rPr>
            </w:pPr>
            <w:r>
              <w:rPr>
                <w:rFonts w:hint="eastAsia"/>
                <w:color w:val="auto"/>
                <w:highlight w:val="none"/>
              </w:rPr>
              <w:t>新建一座清水池，有效容积约为</w:t>
            </w:r>
            <w:r>
              <w:rPr>
                <w:color w:val="auto"/>
                <w:highlight w:val="none"/>
              </w:rPr>
              <w:t>1000m</w:t>
            </w:r>
            <w:r>
              <w:rPr>
                <w:color w:val="auto"/>
                <w:highlight w:val="none"/>
                <w:vertAlign w:val="superscript"/>
              </w:rPr>
              <w:t>3</w:t>
            </w:r>
            <w:r>
              <w:rPr>
                <w:rFonts w:hint="eastAsia"/>
                <w:color w:val="auto"/>
                <w:highlight w:val="none"/>
              </w:rPr>
              <w:t>。</w:t>
            </w:r>
          </w:p>
          <w:p>
            <w:pPr>
              <w:spacing w:line="360" w:lineRule="auto"/>
              <w:rPr>
                <w:color w:val="auto"/>
                <w:highlight w:val="none"/>
              </w:rPr>
            </w:pPr>
            <w:r>
              <w:rPr>
                <w:rFonts w:hint="eastAsia"/>
                <w:color w:val="auto"/>
                <w:highlight w:val="none"/>
              </w:rPr>
              <w:t>新建一座补氯间，设计规模为</w:t>
            </w:r>
            <w:r>
              <w:rPr>
                <w:color w:val="auto"/>
                <w:highlight w:val="none"/>
              </w:rPr>
              <w:t>0.5</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w:t>
            </w:r>
          </w:p>
          <w:p>
            <w:pPr>
              <w:spacing w:line="360" w:lineRule="auto"/>
              <w:rPr>
                <w:color w:val="auto"/>
                <w:highlight w:val="none"/>
              </w:rPr>
            </w:pPr>
            <w:r>
              <w:rPr>
                <w:rFonts w:hint="eastAsia"/>
                <w:color w:val="auto"/>
                <w:highlight w:val="none"/>
              </w:rPr>
              <w:t>新建一座加压泵房和配电间，设计规模为</w:t>
            </w:r>
            <w:r>
              <w:rPr>
                <w:color w:val="auto"/>
                <w:highlight w:val="none"/>
              </w:rPr>
              <w:t>0.5</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。加压泵房配电间及补氯间合建。</w:t>
            </w:r>
          </w:p>
          <w:p>
            <w:pPr>
              <w:spacing w:line="360" w:lineRule="auto"/>
              <w:rPr>
                <w:color w:val="auto"/>
                <w:highlight w:val="none"/>
              </w:rPr>
            </w:pPr>
            <w:r>
              <w:rPr>
                <w:rFonts w:hint="eastAsia"/>
                <w:color w:val="auto"/>
                <w:highlight w:val="none"/>
              </w:rPr>
              <w:t>新建一座泵站管理用房。</w:t>
            </w:r>
          </w:p>
          <w:p>
            <w:pPr>
              <w:spacing w:line="360" w:lineRule="auto"/>
              <w:ind w:firstLine="482"/>
              <w:rPr>
                <w:b/>
                <w:bCs/>
                <w:color w:val="auto"/>
                <w:highlight w:val="none"/>
              </w:rPr>
            </w:pPr>
            <w:r>
              <w:rPr>
                <w:rFonts w:hint="eastAsia"/>
                <w:b/>
                <w:bCs/>
                <w:color w:val="auto"/>
                <w:highlight w:val="none"/>
              </w:rPr>
              <w:t>③加压站附属构筑物设计</w:t>
            </w:r>
          </w:p>
          <w:p>
            <w:pPr>
              <w:numPr>
                <w:ilvl w:val="0"/>
                <w:numId w:val="1"/>
              </w:numPr>
              <w:spacing w:line="360" w:lineRule="auto"/>
              <w:rPr>
                <w:color w:val="auto"/>
                <w:highlight w:val="none"/>
              </w:rPr>
            </w:pPr>
            <w:r>
              <w:rPr>
                <w:rFonts w:hint="eastAsia"/>
                <w:color w:val="auto"/>
                <w:highlight w:val="none"/>
              </w:rPr>
              <w:t>阀门井 配水管网的起点、终点、分叉处以及穿越河道、铁路、公路段，应根据工程 的具体情况和有关部门的规定设置阀门，此外也应根据管网检修需要设置阀门。 配水管网上两个阀门之间独立管段内消火栓的数量不宜超过 5 个。</w:t>
            </w:r>
          </w:p>
          <w:p>
            <w:pPr>
              <w:numPr>
                <w:ilvl w:val="0"/>
                <w:numId w:val="1"/>
              </w:numPr>
              <w:spacing w:line="360" w:lineRule="auto"/>
              <w:rPr>
                <w:color w:val="auto"/>
                <w:highlight w:val="none"/>
              </w:rPr>
            </w:pPr>
            <w:r>
              <w:rPr>
                <w:rFonts w:hint="eastAsia"/>
                <w:color w:val="auto"/>
                <w:highlight w:val="none"/>
              </w:rPr>
              <w:t>排气井 本工程在管道隆起点设置自动排气井，在管线竖向布置平缓时，间隔 1000m 左右设置一处自动排气井。管道排气阀采用自动复合排气阀，自动复合式排气阀 可以自动控制排水管线中的气体量，防止产生气阻。采用自动复合式排气阀后可 以免于人工操作，且保障排气及时。 复合式排气阀特点：①当水流初始进入管道时，排气阀能排出管道内原有的 大量空气，防止气体局部积聚产生气阻；②污水流经外排水管道的过程中可能会 产生一定量的气体，并积聚在管道局部最高点位，设置于该点位的排气阀可自动 排出该点的气体，防止产生气阻；③当管道内产生负压时，自动复合式排气阀可 迅速导入管外空气，平衡内外压力以保护管线免受外压破坏。</w:t>
            </w:r>
          </w:p>
          <w:p>
            <w:pPr>
              <w:numPr>
                <w:ilvl w:val="0"/>
                <w:numId w:val="1"/>
              </w:numPr>
              <w:spacing w:line="360" w:lineRule="auto"/>
              <w:rPr>
                <w:color w:val="auto"/>
                <w:highlight w:val="none"/>
              </w:rPr>
            </w:pPr>
            <w:r>
              <w:rPr>
                <w:rFonts w:hint="eastAsia"/>
                <w:color w:val="auto"/>
                <w:highlight w:val="none"/>
              </w:rPr>
              <w:t>排泥井 本工程在配水管网低洼处及阀门间管段低处，根据需要设置排泥井。</w:t>
            </w:r>
          </w:p>
          <w:p>
            <w:pPr>
              <w:numPr>
                <w:ilvl w:val="0"/>
                <w:numId w:val="1"/>
              </w:numPr>
              <w:spacing w:line="360" w:lineRule="auto"/>
              <w:rPr>
                <w:color w:val="auto"/>
                <w:highlight w:val="none"/>
              </w:rPr>
            </w:pPr>
            <w:r>
              <w:rPr>
                <w:rFonts w:hint="eastAsia"/>
                <w:color w:val="auto"/>
                <w:highlight w:val="none"/>
              </w:rPr>
              <w:t>消火栓 配水干管间隔 110m（最大间距不应超过 120m）左右设一处室外消火栓。</w:t>
            </w:r>
          </w:p>
          <w:p>
            <w:pPr>
              <w:spacing w:line="360" w:lineRule="auto"/>
              <w:ind w:firstLine="482"/>
              <w:rPr>
                <w:b/>
                <w:bCs/>
                <w:color w:val="auto"/>
                <w:highlight w:val="none"/>
              </w:rPr>
            </w:pPr>
            <w:r>
              <w:rPr>
                <w:rFonts w:hint="eastAsia"/>
                <w:b/>
                <w:bCs/>
                <w:color w:val="auto"/>
                <w:highlight w:val="none"/>
              </w:rPr>
              <w:t>④管材选选择</w:t>
            </w:r>
          </w:p>
          <w:p>
            <w:pPr>
              <w:spacing w:line="360" w:lineRule="auto"/>
              <w:rPr>
                <w:color w:val="auto"/>
                <w:highlight w:val="none"/>
              </w:rPr>
            </w:pPr>
            <w:r>
              <w:rPr>
                <w:rFonts w:hint="eastAsia"/>
                <w:color w:val="auto"/>
                <w:highlight w:val="none"/>
              </w:rPr>
              <w:t>本工程配水管道管材均为涂塑钢管。</w:t>
            </w:r>
          </w:p>
          <w:p>
            <w:pPr>
              <w:spacing w:line="360" w:lineRule="auto"/>
              <w:ind w:firstLine="482"/>
              <w:rPr>
                <w:b/>
                <w:bCs/>
                <w:color w:val="auto"/>
                <w:highlight w:val="none"/>
              </w:rPr>
            </w:pPr>
            <w:r>
              <w:rPr>
                <w:rFonts w:hint="eastAsia"/>
                <w:b/>
                <w:bCs/>
                <w:color w:val="auto"/>
                <w:highlight w:val="none"/>
              </w:rPr>
              <w:t>⑤管道敷设方式</w:t>
            </w:r>
          </w:p>
          <w:p>
            <w:pPr>
              <w:spacing w:line="360" w:lineRule="auto"/>
              <w:rPr>
                <w:color w:val="auto"/>
                <w:highlight w:val="none"/>
              </w:rPr>
            </w:pPr>
            <w:r>
              <w:rPr>
                <w:rFonts w:hint="eastAsia"/>
                <w:color w:val="auto"/>
                <w:highlight w:val="none"/>
              </w:rPr>
              <w:t>本工程配水管线大多沿道路敷设，埋深大于0.7米，在管道转角需要的地方支墩，一般情况下，管道敷设可不做基础处理，将管槽基坑平整，管道铺设在未经扰动的原土上。入遇地基较差或含岩石段埋管时，可采用砂垫层基础，砂垫层的厚度不少于100mm。本项目采取合理施工方式，不涉水施工。</w:t>
            </w:r>
          </w:p>
          <w:p>
            <w:pPr>
              <w:spacing w:line="360" w:lineRule="auto"/>
              <w:ind w:firstLine="482"/>
              <w:jc w:val="left"/>
              <w:rPr>
                <w:b/>
                <w:bCs/>
                <w:color w:val="auto"/>
                <w:highlight w:val="none"/>
              </w:rPr>
            </w:pPr>
            <w:r>
              <w:rPr>
                <w:rFonts w:hint="eastAsia"/>
                <w:b/>
                <w:bCs/>
                <w:color w:val="auto"/>
                <w:highlight w:val="none"/>
              </w:rPr>
              <w:t>2.4自来水厂</w:t>
            </w:r>
            <w:r>
              <w:rPr>
                <w:b/>
                <w:bCs/>
                <w:color w:val="auto"/>
                <w:highlight w:val="none"/>
              </w:rPr>
              <w:t>主要工艺设备</w:t>
            </w:r>
          </w:p>
          <w:p>
            <w:pPr>
              <w:spacing w:line="360" w:lineRule="auto"/>
              <w:jc w:val="left"/>
              <w:rPr>
                <w:b/>
                <w:bCs/>
                <w:color w:val="auto"/>
                <w:highlight w:val="none"/>
              </w:rPr>
            </w:pPr>
            <w:r>
              <w:rPr>
                <w:rFonts w:hint="eastAsia"/>
                <w:color w:val="auto"/>
                <w:highlight w:val="none"/>
              </w:rPr>
              <w:t>祁阳县大村甸自来水厂</w:t>
            </w:r>
            <w:r>
              <w:rPr>
                <w:color w:val="auto"/>
                <w:highlight w:val="none"/>
              </w:rPr>
              <w:t>工艺设备详见表1-7。</w:t>
            </w:r>
          </w:p>
          <w:p>
            <w:pPr>
              <w:spacing w:line="240" w:lineRule="auto"/>
              <w:ind w:firstLine="422"/>
              <w:jc w:val="center"/>
              <w:rPr>
                <w:b/>
                <w:bCs/>
                <w:color w:val="auto"/>
                <w:sz w:val="21"/>
                <w:szCs w:val="21"/>
                <w:highlight w:val="none"/>
              </w:rPr>
            </w:pPr>
            <w:r>
              <w:rPr>
                <w:rFonts w:hint="eastAsia"/>
                <w:b/>
                <w:bCs/>
                <w:color w:val="auto"/>
                <w:sz w:val="21"/>
                <w:szCs w:val="21"/>
                <w:highlight w:val="none"/>
              </w:rPr>
              <w:t>表1-7主要设备表</w:t>
            </w:r>
          </w:p>
          <w:tbl>
            <w:tblPr>
              <w:tblStyle w:val="27"/>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726"/>
              <w:gridCol w:w="3079"/>
              <w:gridCol w:w="641"/>
              <w:gridCol w:w="1043"/>
              <w:gridCol w:w="16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序号</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名称</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型号和规格</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单位</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数量</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取水泵房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水泵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Q=920m</w:t>
                  </w:r>
                  <w:r>
                    <w:rPr>
                      <w:rFonts w:hint="eastAsia"/>
                      <w:color w:val="auto"/>
                      <w:sz w:val="21"/>
                      <w:szCs w:val="21"/>
                      <w:highlight w:val="none"/>
                      <w:vertAlign w:val="superscript"/>
                    </w:rPr>
                    <w:t>3</w:t>
                  </w:r>
                  <w:r>
                    <w:rPr>
                      <w:rFonts w:hint="eastAsia"/>
                      <w:color w:val="auto"/>
                      <w:sz w:val="21"/>
                      <w:szCs w:val="21"/>
                      <w:highlight w:val="none"/>
                    </w:rPr>
                    <w:t>/h，H=20m，N=90kW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三用一备（变频）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电动单梁环轨道起重机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5t,Lk=13.5m</w:t>
                  </w:r>
                  <w:r>
                    <w:rPr>
                      <w:rFonts w:hint="eastAsia"/>
                      <w:color w:val="auto"/>
                      <w:sz w:val="21"/>
                      <w:szCs w:val="21"/>
                      <w:highlight w:val="none"/>
                    </w:rPr>
                    <w:t xml:space="preserve">，起升高度 </w:t>
                  </w:r>
                  <w:r>
                    <w:rPr>
                      <w:color w:val="auto"/>
                      <w:sz w:val="21"/>
                      <w:szCs w:val="21"/>
                      <w:highlight w:val="none"/>
                    </w:rPr>
                    <w:t>24m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7.5kW+0.8kW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 xml:space="preserve">T35-11-8 a=25° </w:t>
                  </w:r>
                  <w:r>
                    <w:rPr>
                      <w:rFonts w:hint="eastAsia"/>
                      <w:color w:val="auto"/>
                      <w:sz w:val="21"/>
                      <w:szCs w:val="21"/>
                      <w:highlight w:val="none"/>
                    </w:rPr>
                    <w:t>，</w:t>
                  </w:r>
                  <w:r>
                    <w:rPr>
                      <w:color w:val="auto"/>
                      <w:sz w:val="21"/>
                      <w:szCs w:val="21"/>
                      <w:highlight w:val="none"/>
                    </w:rPr>
                    <w:t>N=0.75kW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潜 水 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Q=20m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rPr>
                    <w:t>，</w:t>
                  </w:r>
                  <w:r>
                    <w:rPr>
                      <w:color w:val="auto"/>
                      <w:sz w:val="21"/>
                      <w:szCs w:val="21"/>
                      <w:highlight w:val="none"/>
                    </w:rPr>
                    <w:t>H</w:t>
                  </w:r>
                  <w:r>
                    <w:rPr>
                      <w:rFonts w:hint="eastAsia"/>
                      <w:color w:val="auto"/>
                      <w:sz w:val="21"/>
                      <w:szCs w:val="21"/>
                      <w:highlight w:val="none"/>
                    </w:rPr>
                    <w:t>＝</w:t>
                  </w:r>
                  <w:r>
                    <w:rPr>
                      <w:color w:val="auto"/>
                      <w:sz w:val="21"/>
                      <w:szCs w:val="21"/>
                      <w:highlight w:val="none"/>
                    </w:rPr>
                    <w:t>30m</w:t>
                  </w:r>
                  <w:r>
                    <w:rPr>
                      <w:rFonts w:hint="eastAsia"/>
                      <w:color w:val="auto"/>
                      <w:sz w:val="21"/>
                      <w:szCs w:val="21"/>
                      <w:highlight w:val="none"/>
                    </w:rPr>
                    <w:t>，</w:t>
                  </w:r>
                  <w:r>
                    <w:rPr>
                      <w:color w:val="auto"/>
                      <w:sz w:val="21"/>
                      <w:szCs w:val="21"/>
                      <w:highlight w:val="none"/>
                    </w:rPr>
                    <w:t>N=4kW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总图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电磁流量计</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400 DN700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DN700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附阀门井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DN700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w:t>
                  </w:r>
                  <w:r>
                    <w:rPr>
                      <w:rFonts w:hint="eastAsia"/>
                      <w:color w:val="auto"/>
                      <w:sz w:val="21"/>
                      <w:szCs w:val="21"/>
                      <w:highlight w:val="none"/>
                    </w:rPr>
                    <w:t>4</w:t>
                  </w:r>
                  <w:r>
                    <w:rPr>
                      <w:color w:val="auto"/>
                      <w:sz w:val="21"/>
                      <w:szCs w:val="21"/>
                      <w:highlight w:val="none"/>
                    </w:rPr>
                    <w:t>00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消火栓</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SS100-1.0，地上式</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 xml:space="preserve">配水井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回转式格栅除污机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 xml:space="preserve">栅条宽 </w:t>
                  </w:r>
                  <w:r>
                    <w:rPr>
                      <w:color w:val="auto"/>
                      <w:sz w:val="21"/>
                      <w:szCs w:val="21"/>
                      <w:highlight w:val="none"/>
                    </w:rPr>
                    <w:t>s=10mm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N=1.5kW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快开排泥阀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Jm744-10 DN200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手动闸门</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φ800，双向承压</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超声波液位计</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混合搅拌机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N=4kW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絮凝沉淀清水池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虹吸式吸泥机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N=3.0kW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插板闸门</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700×700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膜片式快开排泥阀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DN150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只</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DN150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只</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手动闸阀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w:t>
                  </w:r>
                  <w:r>
                    <w:rPr>
                      <w:rFonts w:hint="eastAsia"/>
                      <w:color w:val="auto"/>
                      <w:sz w:val="21"/>
                      <w:szCs w:val="21"/>
                      <w:highlight w:val="none"/>
                    </w:rPr>
                    <w:t>30</w:t>
                  </w:r>
                  <w:r>
                    <w:rPr>
                      <w:color w:val="auto"/>
                      <w:sz w:val="21"/>
                      <w:szCs w:val="21"/>
                      <w:highlight w:val="none"/>
                    </w:rPr>
                    <w:t>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只</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手动闸阀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w:t>
                  </w:r>
                  <w:r>
                    <w:rPr>
                      <w:rFonts w:hint="eastAsia"/>
                      <w:color w:val="auto"/>
                      <w:sz w:val="21"/>
                      <w:szCs w:val="21"/>
                      <w:highlight w:val="none"/>
                    </w:rPr>
                    <w:t>60</w:t>
                  </w:r>
                  <w:r>
                    <w:rPr>
                      <w:color w:val="auto"/>
                      <w:sz w:val="21"/>
                      <w:szCs w:val="21"/>
                      <w:highlight w:val="none"/>
                    </w:rPr>
                    <w:t>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只</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手动闸阀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w:t>
                  </w:r>
                  <w:r>
                    <w:rPr>
                      <w:rFonts w:hint="eastAsia"/>
                      <w:color w:val="auto"/>
                      <w:sz w:val="21"/>
                      <w:szCs w:val="21"/>
                      <w:highlight w:val="none"/>
                    </w:rPr>
                    <w:t>80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只</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冲洗栓</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SN65</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单阀单口室外消火栓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气水反冲洗滤池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水泵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Q=490m</w:t>
                  </w:r>
                  <w:r>
                    <w:rPr>
                      <w:color w:val="auto"/>
                      <w:sz w:val="21"/>
                      <w:szCs w:val="21"/>
                      <w:highlight w:val="none"/>
                      <w:vertAlign w:val="superscript"/>
                    </w:rPr>
                    <w:t>3</w:t>
                  </w:r>
                  <w:r>
                    <w:rPr>
                      <w:color w:val="auto"/>
                      <w:sz w:val="21"/>
                      <w:szCs w:val="21"/>
                      <w:highlight w:val="none"/>
                    </w:rPr>
                    <w:t>/h,H=8.8m,P=30kW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手动伸缩蝶阀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 xml:space="preserve">SD341-1.0,DN450 </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微阻缓闭止回阀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HH49X-1.0Q,DN450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伸缩蝶阀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SD941-1.0</w:t>
                  </w:r>
                  <w:r>
                    <w:rPr>
                      <w:rFonts w:hint="eastAsia"/>
                      <w:color w:val="auto"/>
                      <w:sz w:val="21"/>
                      <w:szCs w:val="21"/>
                      <w:highlight w:val="none"/>
                    </w:rPr>
                    <w:t>，</w:t>
                  </w:r>
                  <w:r>
                    <w:rPr>
                      <w:color w:val="auto"/>
                      <w:sz w:val="21"/>
                      <w:szCs w:val="21"/>
                      <w:highlight w:val="none"/>
                    </w:rPr>
                    <w:t>DN450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冲洗水进口气动蝶阀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QKD-500/10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冲洗水进口气动蝶阀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 xml:space="preserve">QKD-250/10 </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鼓风机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(Q=24m</w:t>
                  </w:r>
                  <w:r>
                    <w:rPr>
                      <w:color w:val="auto"/>
                      <w:sz w:val="21"/>
                      <w:szCs w:val="21"/>
                      <w:highlight w:val="none"/>
                      <w:vertAlign w:val="superscript"/>
                    </w:rPr>
                    <w:t>3</w:t>
                  </w:r>
                  <w:r>
                    <w:rPr>
                      <w:color w:val="auto"/>
                      <w:sz w:val="21"/>
                      <w:szCs w:val="21"/>
                      <w:highlight w:val="none"/>
                    </w:rPr>
                    <w:t>/min,P=23.0KW,</w:t>
                  </w:r>
                  <w:r>
                    <w:rPr>
                      <w:rFonts w:hint="eastAsia"/>
                      <w:color w:val="auto"/>
                      <w:sz w:val="21"/>
                      <w:szCs w:val="21"/>
                      <w:highlight w:val="none"/>
                    </w:rPr>
                    <w:t xml:space="preserve">升压 </w:t>
                  </w:r>
                </w:p>
                <w:p>
                  <w:pPr>
                    <w:spacing w:line="240" w:lineRule="auto"/>
                    <w:ind w:firstLine="0" w:firstLineChars="0"/>
                    <w:jc w:val="center"/>
                    <w:rPr>
                      <w:color w:val="auto"/>
                      <w:sz w:val="21"/>
                      <w:szCs w:val="21"/>
                      <w:highlight w:val="none"/>
                    </w:rPr>
                  </w:pPr>
                  <w:r>
                    <w:rPr>
                      <w:color w:val="auto"/>
                      <w:sz w:val="21"/>
                      <w:szCs w:val="21"/>
                      <w:highlight w:val="none"/>
                    </w:rPr>
                    <w:t>34.3Kpa)</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电动单梁悬挂式起重机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LX2-6-20 P=7.5kW+0.8kW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电动葫芦</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CD12-6</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空气压缩机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 xml:space="preserve">（供气量 </w:t>
                  </w:r>
                  <w:r>
                    <w:rPr>
                      <w:color w:val="auto"/>
                      <w:sz w:val="21"/>
                      <w:szCs w:val="21"/>
                      <w:highlight w:val="none"/>
                    </w:rPr>
                    <w:t>1m</w:t>
                  </w:r>
                  <w:r>
                    <w:rPr>
                      <w:color w:val="auto"/>
                      <w:sz w:val="21"/>
                      <w:szCs w:val="21"/>
                      <w:highlight w:val="none"/>
                      <w:vertAlign w:val="superscript"/>
                    </w:rPr>
                    <w:t>3</w:t>
                  </w:r>
                  <w:r>
                    <w:rPr>
                      <w:color w:val="auto"/>
                      <w:sz w:val="21"/>
                      <w:szCs w:val="21"/>
                      <w:highlight w:val="none"/>
                    </w:rPr>
                    <w:t>/min,</w:t>
                  </w:r>
                  <w:r>
                    <w:rPr>
                      <w:rFonts w:hint="eastAsia"/>
                      <w:color w:val="auto"/>
                      <w:sz w:val="21"/>
                      <w:szCs w:val="21"/>
                      <w:highlight w:val="none"/>
                    </w:rPr>
                    <w:t xml:space="preserve">工作压力 </w:t>
                  </w:r>
                </w:p>
                <w:p>
                  <w:pPr>
                    <w:spacing w:line="240" w:lineRule="auto"/>
                    <w:ind w:firstLine="0" w:firstLineChars="0"/>
                    <w:jc w:val="center"/>
                    <w:rPr>
                      <w:color w:val="auto"/>
                      <w:sz w:val="21"/>
                      <w:szCs w:val="21"/>
                      <w:highlight w:val="none"/>
                    </w:rPr>
                  </w:pPr>
                  <w:r>
                    <w:rPr>
                      <w:color w:val="auto"/>
                      <w:sz w:val="21"/>
                      <w:szCs w:val="21"/>
                      <w:highlight w:val="none"/>
                    </w:rPr>
                    <w:t>0.7Mpa.P=7.5kW,380V</w:t>
                  </w:r>
                  <w:r>
                    <w:rPr>
                      <w:rFonts w:hint="eastAsia"/>
                      <w:color w:val="auto"/>
                      <w:sz w:val="21"/>
                      <w:szCs w:val="21"/>
                      <w:highlight w:val="none"/>
                    </w:rPr>
                    <w:t>）</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取样泵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Q=0.51-2.7m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lang w:eastAsia="zh-CN"/>
                    </w:rPr>
                    <w:t>，</w:t>
                  </w:r>
                  <w:r>
                    <w:rPr>
                      <w:color w:val="auto"/>
                      <w:sz w:val="21"/>
                      <w:szCs w:val="21"/>
                      <w:highlight w:val="none"/>
                    </w:rPr>
                    <w:t>H=20m</w:t>
                  </w:r>
                  <w:r>
                    <w:rPr>
                      <w:rFonts w:hint="eastAsia"/>
                      <w:color w:val="auto"/>
                      <w:sz w:val="21"/>
                      <w:szCs w:val="21"/>
                      <w:highlight w:val="none"/>
                      <w:lang w:eastAsia="zh-CN"/>
                    </w:rPr>
                    <w:t>，</w:t>
                  </w:r>
                  <w:r>
                    <w:rPr>
                      <w:color w:val="auto"/>
                      <w:sz w:val="21"/>
                      <w:szCs w:val="21"/>
                      <w:highlight w:val="none"/>
                    </w:rPr>
                    <w:t>P=1.1kW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送水泵房配电间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A 卧式离心泵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Q=560m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rPr>
                    <w:t>，</w:t>
                  </w:r>
                  <w:r>
                    <w:rPr>
                      <w:color w:val="auto"/>
                      <w:sz w:val="21"/>
                      <w:szCs w:val="21"/>
                      <w:highlight w:val="none"/>
                    </w:rPr>
                    <w:t>H=90m</w:t>
                  </w:r>
                  <w:r>
                    <w:rPr>
                      <w:rFonts w:hint="eastAsia"/>
                      <w:color w:val="auto"/>
                      <w:sz w:val="21"/>
                      <w:szCs w:val="21"/>
                      <w:highlight w:val="none"/>
                    </w:rPr>
                    <w:t>，</w:t>
                  </w:r>
                  <w:r>
                    <w:rPr>
                      <w:color w:val="auto"/>
                      <w:sz w:val="21"/>
                      <w:szCs w:val="21"/>
                      <w:highlight w:val="none"/>
                    </w:rPr>
                    <w:t>N=250kW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B卧式离心泵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Q=280m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rPr>
                    <w:t>，</w:t>
                  </w:r>
                  <w:r>
                    <w:rPr>
                      <w:color w:val="auto"/>
                      <w:sz w:val="21"/>
                      <w:szCs w:val="21"/>
                      <w:highlight w:val="none"/>
                    </w:rPr>
                    <w:t>H=90m</w:t>
                  </w:r>
                  <w:r>
                    <w:rPr>
                      <w:rFonts w:hint="eastAsia"/>
                      <w:color w:val="auto"/>
                      <w:sz w:val="21"/>
                      <w:szCs w:val="21"/>
                      <w:highlight w:val="none"/>
                    </w:rPr>
                    <w:t>，</w:t>
                  </w:r>
                  <w:r>
                    <w:rPr>
                      <w:color w:val="auto"/>
                      <w:sz w:val="21"/>
                      <w:szCs w:val="21"/>
                      <w:highlight w:val="none"/>
                    </w:rPr>
                    <w:t>N=110kW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C 卧式离心泵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Q=730m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rPr>
                    <w:t>，</w:t>
                  </w:r>
                  <w:r>
                    <w:rPr>
                      <w:color w:val="auto"/>
                      <w:sz w:val="21"/>
                      <w:szCs w:val="21"/>
                      <w:highlight w:val="none"/>
                    </w:rPr>
                    <w:t>H=95m</w:t>
                  </w:r>
                  <w:r>
                    <w:rPr>
                      <w:rFonts w:hint="eastAsia"/>
                      <w:color w:val="auto"/>
                      <w:sz w:val="21"/>
                      <w:szCs w:val="21"/>
                      <w:highlight w:val="none"/>
                    </w:rPr>
                    <w:t>，</w:t>
                  </w:r>
                  <w:r>
                    <w:rPr>
                      <w:color w:val="auto"/>
                      <w:sz w:val="21"/>
                      <w:szCs w:val="21"/>
                      <w:highlight w:val="none"/>
                    </w:rPr>
                    <w:t>N=315kW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D 卧式离心泵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Q=365m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rPr>
                    <w:t>，</w:t>
                  </w:r>
                  <w:r>
                    <w:rPr>
                      <w:color w:val="auto"/>
                      <w:sz w:val="21"/>
                      <w:szCs w:val="21"/>
                      <w:highlight w:val="none"/>
                    </w:rPr>
                    <w:t>H=95m</w:t>
                  </w:r>
                  <w:r>
                    <w:rPr>
                      <w:rFonts w:hint="eastAsia"/>
                      <w:color w:val="auto"/>
                      <w:sz w:val="21"/>
                      <w:szCs w:val="21"/>
                      <w:highlight w:val="none"/>
                    </w:rPr>
                    <w:t>，</w:t>
                  </w:r>
                  <w:r>
                    <w:rPr>
                      <w:color w:val="auto"/>
                      <w:sz w:val="21"/>
                      <w:szCs w:val="21"/>
                      <w:highlight w:val="none"/>
                    </w:rPr>
                    <w:t>N=185kW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潜水排污泵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Q=120m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rPr>
                    <w:t>，</w:t>
                  </w:r>
                  <w:r>
                    <w:rPr>
                      <w:color w:val="auto"/>
                      <w:sz w:val="21"/>
                      <w:szCs w:val="21"/>
                      <w:highlight w:val="none"/>
                    </w:rPr>
                    <w:t>H=10m</w:t>
                  </w:r>
                  <w:r>
                    <w:rPr>
                      <w:rFonts w:hint="eastAsia"/>
                      <w:color w:val="auto"/>
                      <w:sz w:val="21"/>
                      <w:szCs w:val="21"/>
                      <w:highlight w:val="none"/>
                    </w:rPr>
                    <w:t>，</w:t>
                  </w:r>
                  <w:r>
                    <w:rPr>
                      <w:color w:val="auto"/>
                      <w:sz w:val="21"/>
                      <w:szCs w:val="21"/>
                      <w:highlight w:val="none"/>
                    </w:rPr>
                    <w:t>N=5.5kW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 用 1 库备，移动式软管 安装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电动单梁悬挂起重机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5T</w:t>
                  </w:r>
                  <w:r>
                    <w:rPr>
                      <w:rFonts w:hint="eastAsia"/>
                      <w:color w:val="auto"/>
                      <w:sz w:val="21"/>
                      <w:szCs w:val="21"/>
                      <w:highlight w:val="none"/>
                    </w:rPr>
                    <w:t>，</w:t>
                  </w:r>
                  <w:r>
                    <w:rPr>
                      <w:color w:val="auto"/>
                      <w:sz w:val="21"/>
                      <w:szCs w:val="21"/>
                      <w:highlight w:val="none"/>
                    </w:rPr>
                    <w:t>Lk=7m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7.5kW+0.8kW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综合加药间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PAM 制备装置</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 PAM 变频螺杆泵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设计加注量 Q=0-550L/h,H=25m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P=1.1kW,2 用 1 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 PAM 管道系统</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包括过滤器，防脉冲器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在线稀释装置</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手动球阀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DN100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只</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用于进水总管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手动球阀</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DN</w:t>
                  </w:r>
                  <w:r>
                    <w:rPr>
                      <w:rFonts w:hint="eastAsia"/>
                      <w:color w:val="auto"/>
                      <w:sz w:val="21"/>
                      <w:szCs w:val="21"/>
                      <w:highlight w:val="none"/>
                    </w:rPr>
                    <w:t>50</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只</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用于进水管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搅拌器</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慢速，P=1.5kW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用于溶液池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搅拌器</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慢速，P=1.5kW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 xml:space="preserve">用于固矾溶解池（应急备 </w:t>
                  </w:r>
                </w:p>
                <w:p>
                  <w:pPr>
                    <w:spacing w:line="240" w:lineRule="auto"/>
                    <w:ind w:firstLine="0" w:firstLineChars="0"/>
                    <w:jc w:val="center"/>
                    <w:rPr>
                      <w:color w:val="auto"/>
                      <w:sz w:val="21"/>
                      <w:szCs w:val="21"/>
                      <w:highlight w:val="none"/>
                    </w:rPr>
                  </w:pPr>
                  <w:r>
                    <w:rPr>
                      <w:rFonts w:hint="eastAsia"/>
                      <w:color w:val="auto"/>
                      <w:sz w:val="21"/>
                      <w:szCs w:val="21"/>
                      <w:highlight w:val="none"/>
                    </w:rPr>
                    <w:t>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加矾变频计量泵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 xml:space="preserve">设计加注量 </w:t>
                  </w:r>
                  <w:r>
                    <w:rPr>
                      <w:color w:val="auto"/>
                      <w:sz w:val="21"/>
                      <w:szCs w:val="21"/>
                      <w:highlight w:val="none"/>
                    </w:rPr>
                    <w:t>Q=0-550L/h,H=20m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p>
                  <w:pPr>
                    <w:spacing w:line="240" w:lineRule="auto"/>
                    <w:ind w:firstLine="0" w:firstLineChars="0"/>
                    <w:jc w:val="center"/>
                    <w:rPr>
                      <w:color w:val="auto"/>
                      <w:sz w:val="21"/>
                      <w:szCs w:val="21"/>
                      <w:highlight w:val="none"/>
                    </w:rPr>
                  </w:pP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P=1.1kW，2 用 1 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耐腐立式液下提升泵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Q=15m</w:t>
                  </w:r>
                  <w:r>
                    <w:rPr>
                      <w:color w:val="auto"/>
                      <w:sz w:val="21"/>
                      <w:szCs w:val="21"/>
                      <w:highlight w:val="none"/>
                      <w:vertAlign w:val="superscript"/>
                    </w:rPr>
                    <w:t>3</w:t>
                  </w:r>
                  <w:r>
                    <w:rPr>
                      <w:color w:val="auto"/>
                      <w:sz w:val="21"/>
                      <w:szCs w:val="21"/>
                      <w:highlight w:val="none"/>
                    </w:rPr>
                    <w:t>/h,H=8m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P=0.75kW</w:t>
                  </w:r>
                  <w:r>
                    <w:rPr>
                      <w:rFonts w:hint="eastAsia"/>
                      <w:color w:val="auto"/>
                      <w:sz w:val="21"/>
                      <w:szCs w:val="21"/>
                      <w:highlight w:val="none"/>
                    </w:rPr>
                    <w:t>，</w:t>
                  </w:r>
                  <w:r>
                    <w:rPr>
                      <w:color w:val="auto"/>
                      <w:sz w:val="21"/>
                      <w:szCs w:val="21"/>
                      <w:highlight w:val="none"/>
                    </w:rPr>
                    <w:t xml:space="preserve">2 </w:t>
                  </w:r>
                  <w:r>
                    <w:rPr>
                      <w:rFonts w:hint="eastAsia"/>
                      <w:color w:val="auto"/>
                      <w:sz w:val="21"/>
                      <w:szCs w:val="21"/>
                      <w:highlight w:val="none"/>
                    </w:rPr>
                    <w:t xml:space="preserve">用 </w:t>
                  </w:r>
                  <w:r>
                    <w:rPr>
                      <w:color w:val="auto"/>
                      <w:sz w:val="21"/>
                      <w:szCs w:val="21"/>
                      <w:highlight w:val="none"/>
                    </w:rPr>
                    <w:t xml:space="preserve">1 </w:t>
                  </w:r>
                  <w:r>
                    <w:rPr>
                      <w:rFonts w:hint="eastAsia"/>
                      <w:color w:val="auto"/>
                      <w:sz w:val="21"/>
                      <w:szCs w:val="21"/>
                      <w:highlight w:val="none"/>
                    </w:rPr>
                    <w:t>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Q=6000m</w:t>
                  </w:r>
                  <w:r>
                    <w:rPr>
                      <w:color w:val="auto"/>
                      <w:sz w:val="21"/>
                      <w:szCs w:val="21"/>
                      <w:highlight w:val="none"/>
                      <w:vertAlign w:val="superscript"/>
                    </w:rPr>
                    <w:t>3</w:t>
                  </w:r>
                  <w:r>
                    <w:rPr>
                      <w:color w:val="auto"/>
                      <w:sz w:val="21"/>
                      <w:szCs w:val="21"/>
                      <w:highlight w:val="none"/>
                    </w:rPr>
                    <w:t>/h，N=0.37kW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16</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防腐，开孔φ600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加氯系统设备</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N=22.0kW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前加氯泵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设计加注量 Q=0-360L/h,H=20m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P=1.2KW，1 用 1 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14</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后加氯泵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设计加注量 Q=0-360L/h,H=20m</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套</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P=1.2KW，1 用 1 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回用水池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潜水搅拌器</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N=3kW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用于回用水池，平衡池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Q=120m</w:t>
                  </w:r>
                  <w:r>
                    <w:rPr>
                      <w:color w:val="auto"/>
                      <w:sz w:val="21"/>
                      <w:szCs w:val="21"/>
                      <w:highlight w:val="none"/>
                      <w:vertAlign w:val="superscript"/>
                    </w:rPr>
                    <w:t>3</w:t>
                  </w:r>
                  <w:r>
                    <w:rPr>
                      <w:color w:val="auto"/>
                      <w:sz w:val="21"/>
                      <w:szCs w:val="21"/>
                      <w:highlight w:val="none"/>
                    </w:rPr>
                    <w:t>/h，H=16m，P=12kW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 用 2 备，用于回用水池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Q=15～30m</w:t>
                  </w:r>
                  <w:r>
                    <w:rPr>
                      <w:color w:val="auto"/>
                      <w:sz w:val="21"/>
                      <w:szCs w:val="21"/>
                      <w:highlight w:val="none"/>
                      <w:vertAlign w:val="superscript"/>
                    </w:rPr>
                    <w:t>3</w:t>
                  </w:r>
                  <w:r>
                    <w:rPr>
                      <w:color w:val="auto"/>
                      <w:sz w:val="21"/>
                      <w:szCs w:val="21"/>
                      <w:highlight w:val="none"/>
                    </w:rPr>
                    <w:t>/h，H=8～9m，P=1.5kW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 用，用于排水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tcBorders>
                    <w:tl2br w:val="nil"/>
                    <w:tr2bl w:val="nil"/>
                  </w:tcBorders>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加压泵站1主要设备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加压泵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Q=90m</w:t>
                  </w:r>
                  <w:r>
                    <w:rPr>
                      <w:color w:val="auto"/>
                      <w:sz w:val="21"/>
                      <w:szCs w:val="21"/>
                      <w:highlight w:val="none"/>
                      <w:vertAlign w:val="superscript"/>
                    </w:rPr>
                    <w:t>3</w:t>
                  </w:r>
                  <w:r>
                    <w:rPr>
                      <w:color w:val="auto"/>
                      <w:sz w:val="21"/>
                      <w:szCs w:val="21"/>
                      <w:highlight w:val="none"/>
                    </w:rPr>
                    <w:t>/h,H=80m，P=37kw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二用一备，变频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Q=15～30m</w:t>
                  </w:r>
                  <w:r>
                    <w:rPr>
                      <w:color w:val="auto"/>
                      <w:sz w:val="21"/>
                      <w:szCs w:val="21"/>
                      <w:highlight w:val="none"/>
                      <w:vertAlign w:val="superscript"/>
                    </w:rPr>
                    <w:t>3</w:t>
                  </w:r>
                  <w:r>
                    <w:rPr>
                      <w:color w:val="auto"/>
                      <w:sz w:val="21"/>
                      <w:szCs w:val="21"/>
                      <w:highlight w:val="none"/>
                    </w:rPr>
                    <w:t>/h，H=8～9m，P=1.5KW</w:t>
                  </w:r>
                </w:p>
              </w:tc>
              <w:tc>
                <w:tcPr>
                  <w:tcW w:w="64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冷备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T35-11-3.15#-25°，N=0.55KW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N=4.5KW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加压泵站2主要设备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加压泵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w:t>
                  </w:r>
                  <w:r>
                    <w:rPr>
                      <w:rFonts w:hint="eastAsia"/>
                      <w:color w:val="auto"/>
                      <w:sz w:val="21"/>
                      <w:szCs w:val="21"/>
                      <w:highlight w:val="none"/>
                    </w:rPr>
                    <w:t>230</w:t>
                  </w:r>
                  <w:r>
                    <w:rPr>
                      <w:color w:val="auto"/>
                      <w:sz w:val="21"/>
                      <w:szCs w:val="21"/>
                      <w:highlight w:val="none"/>
                    </w:rPr>
                    <w:t>m</w:t>
                  </w:r>
                  <w:r>
                    <w:rPr>
                      <w:color w:val="auto"/>
                      <w:sz w:val="21"/>
                      <w:szCs w:val="21"/>
                      <w:highlight w:val="none"/>
                      <w:vertAlign w:val="superscript"/>
                    </w:rPr>
                    <w:t>3</w:t>
                  </w:r>
                  <w:r>
                    <w:rPr>
                      <w:color w:val="auto"/>
                      <w:sz w:val="21"/>
                      <w:szCs w:val="21"/>
                      <w:highlight w:val="none"/>
                    </w:rPr>
                    <w:t>/h,H=</w:t>
                  </w:r>
                  <w:r>
                    <w:rPr>
                      <w:rFonts w:hint="eastAsia"/>
                      <w:color w:val="auto"/>
                      <w:sz w:val="21"/>
                      <w:szCs w:val="21"/>
                      <w:highlight w:val="none"/>
                    </w:rPr>
                    <w:t>70</w:t>
                  </w:r>
                  <w:r>
                    <w:rPr>
                      <w:color w:val="auto"/>
                      <w:sz w:val="21"/>
                      <w:szCs w:val="21"/>
                      <w:highlight w:val="none"/>
                    </w:rPr>
                    <w:t>m，P=</w:t>
                  </w:r>
                  <w:r>
                    <w:rPr>
                      <w:rFonts w:hint="eastAsia"/>
                      <w:color w:val="auto"/>
                      <w:sz w:val="21"/>
                      <w:szCs w:val="21"/>
                      <w:highlight w:val="none"/>
                    </w:rPr>
                    <w:t>75</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二用一备，变频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Q=15～30m</w:t>
                  </w:r>
                  <w:r>
                    <w:rPr>
                      <w:color w:val="auto"/>
                      <w:sz w:val="21"/>
                      <w:szCs w:val="21"/>
                      <w:highlight w:val="none"/>
                      <w:vertAlign w:val="superscript"/>
                    </w:rPr>
                    <w:t>3</w:t>
                  </w:r>
                  <w:r>
                    <w:rPr>
                      <w:color w:val="auto"/>
                      <w:sz w:val="21"/>
                      <w:szCs w:val="21"/>
                      <w:highlight w:val="none"/>
                    </w:rPr>
                    <w:t>/h，H=8～9m，P=1.5KW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冷备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T35-11-3.15#-25°，N=0.55KW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N</w:t>
                  </w:r>
                  <w:r>
                    <w:rPr>
                      <w:rFonts w:hint="eastAsia"/>
                      <w:color w:val="auto"/>
                      <w:sz w:val="21"/>
                      <w:szCs w:val="21"/>
                      <w:highlight w:val="none"/>
                    </w:rPr>
                    <w:t>9.0</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加压泵站3主要设备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加压泵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w:t>
                  </w:r>
                  <w:r>
                    <w:rPr>
                      <w:rFonts w:hint="eastAsia"/>
                      <w:color w:val="auto"/>
                      <w:sz w:val="21"/>
                      <w:szCs w:val="21"/>
                      <w:highlight w:val="none"/>
                    </w:rPr>
                    <w:t>180</w:t>
                  </w:r>
                  <w:r>
                    <w:rPr>
                      <w:color w:val="auto"/>
                      <w:sz w:val="21"/>
                      <w:szCs w:val="21"/>
                      <w:highlight w:val="none"/>
                    </w:rPr>
                    <w:t>m</w:t>
                  </w:r>
                  <w:r>
                    <w:rPr>
                      <w:color w:val="auto"/>
                      <w:sz w:val="21"/>
                      <w:szCs w:val="21"/>
                      <w:highlight w:val="none"/>
                      <w:vertAlign w:val="superscript"/>
                    </w:rPr>
                    <w:t>3</w:t>
                  </w:r>
                  <w:r>
                    <w:rPr>
                      <w:color w:val="auto"/>
                      <w:sz w:val="21"/>
                      <w:szCs w:val="21"/>
                      <w:highlight w:val="none"/>
                    </w:rPr>
                    <w:t>/h,H=</w:t>
                  </w:r>
                  <w:r>
                    <w:rPr>
                      <w:rFonts w:hint="eastAsia"/>
                      <w:color w:val="auto"/>
                      <w:sz w:val="21"/>
                      <w:szCs w:val="21"/>
                      <w:highlight w:val="none"/>
                    </w:rPr>
                    <w:t>120</w:t>
                  </w:r>
                  <w:r>
                    <w:rPr>
                      <w:color w:val="auto"/>
                      <w:sz w:val="21"/>
                      <w:szCs w:val="21"/>
                      <w:highlight w:val="none"/>
                    </w:rPr>
                    <w:t>m，P=</w:t>
                  </w:r>
                  <w:r>
                    <w:rPr>
                      <w:rFonts w:hint="eastAsia"/>
                      <w:color w:val="auto"/>
                      <w:sz w:val="21"/>
                      <w:szCs w:val="21"/>
                      <w:highlight w:val="none"/>
                    </w:rPr>
                    <w:t>132</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二用一备，变频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Q=15～30m</w:t>
                  </w:r>
                  <w:r>
                    <w:rPr>
                      <w:color w:val="auto"/>
                      <w:sz w:val="21"/>
                      <w:szCs w:val="21"/>
                      <w:highlight w:val="none"/>
                      <w:vertAlign w:val="superscript"/>
                    </w:rPr>
                    <w:t>3</w:t>
                  </w:r>
                  <w:r>
                    <w:rPr>
                      <w:color w:val="auto"/>
                      <w:sz w:val="21"/>
                      <w:szCs w:val="21"/>
                      <w:highlight w:val="none"/>
                    </w:rPr>
                    <w:t>/h，H=8～9m，P=1.5KW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冷备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T35-11-3.15#-25°，N=0.55KW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N=4.5KW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加压泵站4主要设备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加压泵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w:t>
                  </w:r>
                  <w:r>
                    <w:rPr>
                      <w:rFonts w:hint="eastAsia"/>
                      <w:color w:val="auto"/>
                      <w:sz w:val="21"/>
                      <w:szCs w:val="21"/>
                      <w:highlight w:val="none"/>
                    </w:rPr>
                    <w:t>90</w:t>
                  </w:r>
                  <w:r>
                    <w:rPr>
                      <w:color w:val="auto"/>
                      <w:sz w:val="21"/>
                      <w:szCs w:val="21"/>
                      <w:highlight w:val="none"/>
                      <w:vertAlign w:val="superscript"/>
                    </w:rPr>
                    <w:t>3</w:t>
                  </w:r>
                  <w:r>
                    <w:rPr>
                      <w:color w:val="auto"/>
                      <w:sz w:val="21"/>
                      <w:szCs w:val="21"/>
                      <w:highlight w:val="none"/>
                    </w:rPr>
                    <w:t>/h,H=</w:t>
                  </w:r>
                  <w:r>
                    <w:rPr>
                      <w:rFonts w:hint="eastAsia"/>
                      <w:color w:val="auto"/>
                      <w:sz w:val="21"/>
                      <w:szCs w:val="21"/>
                      <w:highlight w:val="none"/>
                    </w:rPr>
                    <w:t>100</w:t>
                  </w:r>
                  <w:r>
                    <w:rPr>
                      <w:color w:val="auto"/>
                      <w:sz w:val="21"/>
                      <w:szCs w:val="21"/>
                      <w:highlight w:val="none"/>
                    </w:rPr>
                    <w:t>m，P=</w:t>
                  </w:r>
                  <w:r>
                    <w:rPr>
                      <w:rFonts w:hint="eastAsia"/>
                      <w:color w:val="auto"/>
                      <w:sz w:val="21"/>
                      <w:szCs w:val="21"/>
                      <w:highlight w:val="none"/>
                    </w:rPr>
                    <w:t>75</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二用一备，变频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Q=15～30m</w:t>
                  </w:r>
                  <w:r>
                    <w:rPr>
                      <w:color w:val="auto"/>
                      <w:sz w:val="21"/>
                      <w:szCs w:val="21"/>
                      <w:highlight w:val="none"/>
                      <w:vertAlign w:val="superscript"/>
                    </w:rPr>
                    <w:t>3</w:t>
                  </w:r>
                  <w:r>
                    <w:rPr>
                      <w:color w:val="auto"/>
                      <w:sz w:val="21"/>
                      <w:szCs w:val="21"/>
                      <w:highlight w:val="none"/>
                    </w:rPr>
                    <w:t>/h，H=8～9m，P=1.5KW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冷备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T35-11-3.15#-25°，N=0.55KW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N=4.5KW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加压泵站5主要设备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加压泵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w:t>
                  </w:r>
                  <w:r>
                    <w:rPr>
                      <w:rFonts w:hint="eastAsia"/>
                      <w:color w:val="auto"/>
                      <w:sz w:val="21"/>
                      <w:szCs w:val="21"/>
                      <w:highlight w:val="none"/>
                    </w:rPr>
                    <w:t>120</w:t>
                  </w:r>
                  <w:r>
                    <w:rPr>
                      <w:color w:val="auto"/>
                      <w:sz w:val="21"/>
                      <w:szCs w:val="21"/>
                      <w:highlight w:val="none"/>
                      <w:vertAlign w:val="superscript"/>
                    </w:rPr>
                    <w:t>3</w:t>
                  </w:r>
                  <w:r>
                    <w:rPr>
                      <w:color w:val="auto"/>
                      <w:sz w:val="21"/>
                      <w:szCs w:val="21"/>
                      <w:highlight w:val="none"/>
                    </w:rPr>
                    <w:t>/h,H=</w:t>
                  </w:r>
                  <w:r>
                    <w:rPr>
                      <w:rFonts w:hint="eastAsia"/>
                      <w:color w:val="auto"/>
                      <w:sz w:val="21"/>
                      <w:szCs w:val="21"/>
                      <w:highlight w:val="none"/>
                    </w:rPr>
                    <w:t>90</w:t>
                  </w:r>
                  <w:r>
                    <w:rPr>
                      <w:color w:val="auto"/>
                      <w:sz w:val="21"/>
                      <w:szCs w:val="21"/>
                      <w:highlight w:val="none"/>
                    </w:rPr>
                    <w:t>m，P=</w:t>
                  </w:r>
                  <w:r>
                    <w:rPr>
                      <w:rFonts w:hint="eastAsia"/>
                      <w:color w:val="auto"/>
                      <w:sz w:val="21"/>
                      <w:szCs w:val="21"/>
                      <w:highlight w:val="none"/>
                    </w:rPr>
                    <w:t>75</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二用一备，变频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Q=15～30m</w:t>
                  </w:r>
                  <w:r>
                    <w:rPr>
                      <w:color w:val="auto"/>
                      <w:sz w:val="21"/>
                      <w:szCs w:val="21"/>
                      <w:highlight w:val="none"/>
                      <w:vertAlign w:val="superscript"/>
                    </w:rPr>
                    <w:t>3</w:t>
                  </w:r>
                  <w:r>
                    <w:rPr>
                      <w:color w:val="auto"/>
                      <w:sz w:val="21"/>
                      <w:szCs w:val="21"/>
                      <w:highlight w:val="none"/>
                    </w:rPr>
                    <w:t>/h，H=8～9m，P=1.5KW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冷备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T35-11-3.15#-25°，N=0.55KW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N=4.</w:t>
                  </w:r>
                  <w:r>
                    <w:rPr>
                      <w:rFonts w:hint="eastAsia"/>
                      <w:color w:val="auto"/>
                      <w:sz w:val="21"/>
                      <w:szCs w:val="21"/>
                      <w:highlight w:val="none"/>
                    </w:rPr>
                    <w:t>8</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87" w:type="dxa"/>
                  <w:gridSpan w:val="6"/>
                  <w:vAlign w:val="center"/>
                </w:tcPr>
                <w:p>
                  <w:pPr>
                    <w:spacing w:line="240" w:lineRule="auto"/>
                    <w:ind w:firstLine="0" w:firstLineChars="0"/>
                    <w:jc w:val="center"/>
                    <w:rPr>
                      <w:color w:val="auto"/>
                      <w:sz w:val="21"/>
                      <w:szCs w:val="21"/>
                      <w:highlight w:val="none"/>
                    </w:rPr>
                  </w:pPr>
                  <w:r>
                    <w:rPr>
                      <w:rFonts w:hint="eastAsia"/>
                      <w:b/>
                      <w:bCs/>
                      <w:color w:val="auto"/>
                      <w:sz w:val="21"/>
                      <w:szCs w:val="21"/>
                      <w:highlight w:val="none"/>
                    </w:rPr>
                    <w:t>加压泵站6主要设备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加压泵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w:t>
                  </w:r>
                  <w:r>
                    <w:rPr>
                      <w:rFonts w:hint="eastAsia"/>
                      <w:color w:val="auto"/>
                      <w:sz w:val="21"/>
                      <w:szCs w:val="21"/>
                      <w:highlight w:val="none"/>
                    </w:rPr>
                    <w:t>120</w:t>
                  </w:r>
                  <w:r>
                    <w:rPr>
                      <w:color w:val="auto"/>
                      <w:sz w:val="21"/>
                      <w:szCs w:val="21"/>
                      <w:highlight w:val="none"/>
                      <w:vertAlign w:val="superscript"/>
                    </w:rPr>
                    <w:t>3</w:t>
                  </w:r>
                  <w:r>
                    <w:rPr>
                      <w:color w:val="auto"/>
                      <w:sz w:val="21"/>
                      <w:szCs w:val="21"/>
                      <w:highlight w:val="none"/>
                    </w:rPr>
                    <w:t>/h,H=</w:t>
                  </w:r>
                  <w:r>
                    <w:rPr>
                      <w:rFonts w:hint="eastAsia"/>
                      <w:color w:val="auto"/>
                      <w:sz w:val="21"/>
                      <w:szCs w:val="21"/>
                      <w:highlight w:val="none"/>
                    </w:rPr>
                    <w:t>85</w:t>
                  </w:r>
                  <w:r>
                    <w:rPr>
                      <w:color w:val="auto"/>
                      <w:sz w:val="21"/>
                      <w:szCs w:val="21"/>
                      <w:highlight w:val="none"/>
                    </w:rPr>
                    <w:t>m，P=</w:t>
                  </w:r>
                  <w:r>
                    <w:rPr>
                      <w:rFonts w:hint="eastAsia"/>
                      <w:color w:val="auto"/>
                      <w:sz w:val="21"/>
                      <w:szCs w:val="21"/>
                      <w:highlight w:val="none"/>
                    </w:rPr>
                    <w:t>55</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二用一备，变频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7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污水潜污泵</w:t>
                  </w:r>
                </w:p>
              </w:tc>
              <w:tc>
                <w:tcPr>
                  <w:tcW w:w="3079" w:type="dxa"/>
                  <w:vAlign w:val="center"/>
                </w:tcPr>
                <w:p>
                  <w:pPr>
                    <w:spacing w:line="240" w:lineRule="auto"/>
                    <w:ind w:firstLine="0" w:firstLineChars="0"/>
                    <w:jc w:val="center"/>
                    <w:rPr>
                      <w:color w:val="auto"/>
                      <w:sz w:val="21"/>
                      <w:szCs w:val="21"/>
                      <w:highlight w:val="none"/>
                    </w:rPr>
                  </w:pPr>
                  <w:r>
                    <w:rPr>
                      <w:color w:val="auto"/>
                      <w:sz w:val="21"/>
                      <w:szCs w:val="21"/>
                      <w:highlight w:val="none"/>
                    </w:rPr>
                    <w:t>Q=15～30m</w:t>
                  </w:r>
                  <w:r>
                    <w:rPr>
                      <w:color w:val="auto"/>
                      <w:sz w:val="21"/>
                      <w:szCs w:val="21"/>
                      <w:highlight w:val="none"/>
                      <w:vertAlign w:val="superscript"/>
                    </w:rPr>
                    <w:t>3</w:t>
                  </w:r>
                  <w:r>
                    <w:rPr>
                      <w:color w:val="auto"/>
                      <w:sz w:val="21"/>
                      <w:szCs w:val="21"/>
                      <w:highlight w:val="none"/>
                    </w:rPr>
                    <w:t>/h，H=8～9m，P=1.5KW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67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冷备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T35-11-3.15#-25°，N=0.55KW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1726" w:type="dxa"/>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3079" w:type="dxa"/>
                </w:tcPr>
                <w:p>
                  <w:pPr>
                    <w:spacing w:line="240" w:lineRule="auto"/>
                    <w:ind w:firstLine="0" w:firstLineChars="0"/>
                    <w:jc w:val="center"/>
                    <w:rPr>
                      <w:color w:val="auto"/>
                      <w:sz w:val="21"/>
                      <w:szCs w:val="21"/>
                      <w:highlight w:val="none"/>
                    </w:rPr>
                  </w:pPr>
                  <w:r>
                    <w:rPr>
                      <w:color w:val="auto"/>
                      <w:sz w:val="21"/>
                      <w:szCs w:val="21"/>
                      <w:highlight w:val="none"/>
                    </w:rPr>
                    <w:t>N=4.</w:t>
                  </w:r>
                  <w:r>
                    <w:rPr>
                      <w:rFonts w:hint="eastAsia"/>
                      <w:color w:val="auto"/>
                      <w:sz w:val="21"/>
                      <w:szCs w:val="21"/>
                      <w:highlight w:val="none"/>
                    </w:rPr>
                    <w:t>8</w:t>
                  </w:r>
                  <w:r>
                    <w:rPr>
                      <w:color w:val="auto"/>
                      <w:sz w:val="21"/>
                      <w:szCs w:val="21"/>
                      <w:highlight w:val="none"/>
                    </w:rPr>
                    <w:t>KW</w:t>
                  </w:r>
                </w:p>
              </w:tc>
              <w:tc>
                <w:tcPr>
                  <w:tcW w:w="64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04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674" w:type="dxa"/>
                </w:tcPr>
                <w:p>
                  <w:pPr>
                    <w:spacing w:line="240" w:lineRule="auto"/>
                    <w:ind w:firstLine="0" w:firstLineChars="0"/>
                    <w:jc w:val="center"/>
                    <w:rPr>
                      <w:color w:val="auto"/>
                      <w:sz w:val="21"/>
                      <w:szCs w:val="21"/>
                      <w:highlight w:val="none"/>
                    </w:rPr>
                  </w:pPr>
                  <w:r>
                    <w:rPr>
                      <w:rFonts w:hint="eastAsia"/>
                      <w:color w:val="auto"/>
                      <w:sz w:val="21"/>
                      <w:szCs w:val="21"/>
                      <w:highlight w:val="none"/>
                    </w:rPr>
                    <w:t>一用一备</w:t>
                  </w:r>
                </w:p>
              </w:tc>
            </w:tr>
          </w:tbl>
          <w:p>
            <w:pPr>
              <w:spacing w:line="360" w:lineRule="auto"/>
              <w:ind w:firstLine="482"/>
              <w:jc w:val="left"/>
              <w:rPr>
                <w:b/>
                <w:bCs/>
                <w:color w:val="auto"/>
                <w:highlight w:val="none"/>
              </w:rPr>
            </w:pPr>
            <w:r>
              <w:rPr>
                <w:rFonts w:hint="eastAsia"/>
                <w:b/>
                <w:bCs/>
                <w:color w:val="auto"/>
                <w:highlight w:val="none"/>
              </w:rPr>
              <w:t>2.5原辅材料及能源消耗</w:t>
            </w:r>
          </w:p>
          <w:p>
            <w:pPr>
              <w:spacing w:line="360" w:lineRule="auto"/>
              <w:rPr>
                <w:bCs/>
                <w:color w:val="auto"/>
                <w:highlight w:val="none"/>
              </w:rPr>
            </w:pPr>
            <w:r>
              <w:rPr>
                <w:rFonts w:hint="eastAsia"/>
                <w:bCs/>
                <w:color w:val="auto"/>
                <w:highlight w:val="none"/>
              </w:rPr>
              <w:t>项目主要原辅材料和能源消耗情况详见下表。</w:t>
            </w:r>
          </w:p>
          <w:p>
            <w:pPr>
              <w:pStyle w:val="2"/>
              <w:spacing w:line="240" w:lineRule="auto"/>
              <w:jc w:val="center"/>
              <w:rPr>
                <w:b/>
                <w:color w:val="auto"/>
                <w:sz w:val="21"/>
                <w:szCs w:val="21"/>
                <w:highlight w:val="none"/>
              </w:rPr>
            </w:pPr>
            <w:r>
              <w:rPr>
                <w:rFonts w:hint="eastAsia"/>
                <w:b/>
                <w:color w:val="auto"/>
                <w:sz w:val="21"/>
                <w:szCs w:val="21"/>
                <w:highlight w:val="none"/>
              </w:rPr>
              <w:t>表1-8  项目主要原辅材料消耗情况一览表</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28"/>
              <w:gridCol w:w="829"/>
              <w:gridCol w:w="1101"/>
              <w:gridCol w:w="1102"/>
              <w:gridCol w:w="1096"/>
              <w:gridCol w:w="1095"/>
              <w:gridCol w:w="1096"/>
              <w:gridCol w:w="1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64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序号</w:t>
                  </w:r>
                </w:p>
              </w:tc>
              <w:tc>
                <w:tcPr>
                  <w:tcW w:w="1557" w:type="dxa"/>
                  <w:gridSpan w:val="2"/>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名称</w:t>
                  </w:r>
                </w:p>
              </w:tc>
              <w:tc>
                <w:tcPr>
                  <w:tcW w:w="1101"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单位</w:t>
                  </w:r>
                </w:p>
              </w:tc>
              <w:tc>
                <w:tcPr>
                  <w:tcW w:w="1102"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用量</w:t>
                  </w:r>
                </w:p>
              </w:tc>
              <w:tc>
                <w:tcPr>
                  <w:tcW w:w="1096"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来源</w:t>
                  </w: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厂区暂存量</w:t>
                  </w:r>
                </w:p>
              </w:tc>
              <w:tc>
                <w:tcPr>
                  <w:tcW w:w="1096"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形态</w:t>
                  </w: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贮存方式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4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w:t>
                  </w:r>
                </w:p>
              </w:tc>
              <w:tc>
                <w:tcPr>
                  <w:tcW w:w="728" w:type="dxa"/>
                  <w:vMerge w:val="restart"/>
                  <w:vAlign w:val="center"/>
                </w:tcPr>
                <w:p>
                  <w:pPr>
                    <w:spacing w:line="240" w:lineRule="auto"/>
                    <w:ind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eastAsia="zh-CN"/>
                    </w:rPr>
                    <w:t>净水厂</w:t>
                  </w:r>
                </w:p>
              </w:tc>
              <w:tc>
                <w:tcPr>
                  <w:tcW w:w="829" w:type="dxa"/>
                  <w:vAlign w:val="center"/>
                </w:tcPr>
                <w:p>
                  <w:pPr>
                    <w:spacing w:line="240" w:lineRule="auto"/>
                    <w:ind w:firstLine="0" w:firstLineChars="0"/>
                    <w:jc w:val="center"/>
                    <w:rPr>
                      <w:bCs/>
                      <w:color w:val="auto"/>
                      <w:sz w:val="21"/>
                      <w:szCs w:val="21"/>
                      <w:highlight w:val="none"/>
                    </w:rPr>
                  </w:pPr>
                  <w:r>
                    <w:rPr>
                      <w:bCs/>
                      <w:color w:val="auto"/>
                      <w:sz w:val="21"/>
                      <w:szCs w:val="21"/>
                      <w:highlight w:val="none"/>
                    </w:rPr>
                    <w:t>盐酸</w:t>
                  </w:r>
                  <w:r>
                    <w:rPr>
                      <w:rFonts w:hint="eastAsia"/>
                      <w:bCs/>
                      <w:color w:val="auto"/>
                      <w:sz w:val="21"/>
                      <w:szCs w:val="21"/>
                      <w:highlight w:val="none"/>
                    </w:rPr>
                    <w:t>(</w:t>
                  </w:r>
                  <w:r>
                    <w:rPr>
                      <w:bCs/>
                      <w:color w:val="auto"/>
                      <w:sz w:val="21"/>
                      <w:szCs w:val="21"/>
                      <w:highlight w:val="none"/>
                    </w:rPr>
                    <w:t>31%</w:t>
                  </w:r>
                  <w:r>
                    <w:rPr>
                      <w:rFonts w:hint="eastAsia"/>
                      <w:bCs/>
                      <w:color w:val="auto"/>
                      <w:sz w:val="21"/>
                      <w:szCs w:val="21"/>
                      <w:highlight w:val="none"/>
                    </w:rPr>
                    <w:t>)</w:t>
                  </w:r>
                </w:p>
              </w:tc>
              <w:tc>
                <w:tcPr>
                  <w:tcW w:w="1101"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t/a</w:t>
                  </w:r>
                </w:p>
              </w:tc>
              <w:tc>
                <w:tcPr>
                  <w:tcW w:w="1102"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69.5</w:t>
                  </w:r>
                </w:p>
              </w:tc>
              <w:tc>
                <w:tcPr>
                  <w:tcW w:w="1096" w:type="dxa"/>
                  <w:vMerge w:val="restart"/>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永州</w:t>
                  </w: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w:t>
                  </w:r>
                </w:p>
              </w:tc>
              <w:tc>
                <w:tcPr>
                  <w:tcW w:w="1096"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液态</w:t>
                  </w: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4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w:t>
                  </w:r>
                </w:p>
              </w:tc>
              <w:tc>
                <w:tcPr>
                  <w:tcW w:w="728" w:type="dxa"/>
                  <w:vMerge w:val="continue"/>
                  <w:vAlign w:val="center"/>
                </w:tcPr>
                <w:p>
                  <w:pPr>
                    <w:spacing w:line="240" w:lineRule="auto"/>
                    <w:ind w:firstLine="0" w:firstLineChars="0"/>
                    <w:jc w:val="center"/>
                    <w:rPr>
                      <w:bCs/>
                      <w:color w:val="auto"/>
                      <w:sz w:val="21"/>
                      <w:szCs w:val="21"/>
                      <w:highlight w:val="none"/>
                    </w:rPr>
                  </w:pPr>
                </w:p>
              </w:tc>
              <w:tc>
                <w:tcPr>
                  <w:tcW w:w="829" w:type="dxa"/>
                  <w:vAlign w:val="center"/>
                </w:tcPr>
                <w:p>
                  <w:pPr>
                    <w:spacing w:line="240" w:lineRule="auto"/>
                    <w:ind w:firstLine="0" w:firstLineChars="0"/>
                    <w:jc w:val="center"/>
                    <w:rPr>
                      <w:bCs/>
                      <w:color w:val="auto"/>
                      <w:sz w:val="21"/>
                      <w:szCs w:val="21"/>
                      <w:highlight w:val="none"/>
                    </w:rPr>
                  </w:pPr>
                  <w:r>
                    <w:rPr>
                      <w:bCs/>
                      <w:color w:val="auto"/>
                      <w:sz w:val="21"/>
                      <w:szCs w:val="21"/>
                      <w:highlight w:val="none"/>
                    </w:rPr>
                    <w:t>亚氯酸钠</w:t>
                  </w:r>
                </w:p>
              </w:tc>
              <w:tc>
                <w:tcPr>
                  <w:tcW w:w="1101"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t/a</w:t>
                  </w:r>
                </w:p>
              </w:tc>
              <w:tc>
                <w:tcPr>
                  <w:tcW w:w="1102"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1.76</w:t>
                  </w:r>
                </w:p>
              </w:tc>
              <w:tc>
                <w:tcPr>
                  <w:tcW w:w="1096" w:type="dxa"/>
                  <w:vMerge w:val="continue"/>
                  <w:vAlign w:val="center"/>
                </w:tcPr>
                <w:p>
                  <w:pPr>
                    <w:spacing w:line="240" w:lineRule="auto"/>
                    <w:ind w:firstLine="0" w:firstLineChars="0"/>
                    <w:jc w:val="center"/>
                    <w:rPr>
                      <w:bCs/>
                      <w:color w:val="auto"/>
                      <w:sz w:val="21"/>
                      <w:szCs w:val="21"/>
                      <w:highlight w:val="none"/>
                    </w:rPr>
                  </w:pP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0.5</w:t>
                  </w:r>
                </w:p>
              </w:tc>
              <w:tc>
                <w:tcPr>
                  <w:tcW w:w="1096"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液态</w:t>
                  </w: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4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3</w:t>
                  </w:r>
                </w:p>
              </w:tc>
              <w:tc>
                <w:tcPr>
                  <w:tcW w:w="728" w:type="dxa"/>
                  <w:vMerge w:val="continue"/>
                  <w:vAlign w:val="center"/>
                </w:tcPr>
                <w:p>
                  <w:pPr>
                    <w:spacing w:line="240" w:lineRule="auto"/>
                    <w:ind w:firstLine="0" w:firstLineChars="0"/>
                    <w:jc w:val="center"/>
                    <w:rPr>
                      <w:bCs/>
                      <w:color w:val="auto"/>
                      <w:sz w:val="21"/>
                      <w:szCs w:val="21"/>
                      <w:highlight w:val="none"/>
                    </w:rPr>
                  </w:pPr>
                </w:p>
              </w:tc>
              <w:tc>
                <w:tcPr>
                  <w:tcW w:w="829" w:type="dxa"/>
                  <w:vAlign w:val="center"/>
                </w:tcPr>
                <w:p>
                  <w:pPr>
                    <w:spacing w:line="240" w:lineRule="auto"/>
                    <w:ind w:firstLine="0" w:firstLineChars="0"/>
                    <w:jc w:val="center"/>
                    <w:rPr>
                      <w:rFonts w:hint="eastAsia"/>
                      <w:bCs/>
                      <w:color w:val="auto"/>
                      <w:sz w:val="21"/>
                      <w:szCs w:val="21"/>
                      <w:highlight w:val="none"/>
                    </w:rPr>
                  </w:pPr>
                  <w:r>
                    <w:rPr>
                      <w:rFonts w:hint="eastAsia"/>
                      <w:bCs/>
                      <w:color w:val="auto"/>
                      <w:sz w:val="21"/>
                      <w:szCs w:val="21"/>
                      <w:highlight w:val="none"/>
                    </w:rPr>
                    <w:t>明矾</w:t>
                  </w:r>
                </w:p>
              </w:tc>
              <w:tc>
                <w:tcPr>
                  <w:tcW w:w="1101"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t/a</w:t>
                  </w:r>
                </w:p>
              </w:tc>
              <w:tc>
                <w:tcPr>
                  <w:tcW w:w="1102"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109.5</w:t>
                  </w:r>
                </w:p>
              </w:tc>
              <w:tc>
                <w:tcPr>
                  <w:tcW w:w="1096" w:type="dxa"/>
                  <w:vMerge w:val="continue"/>
                  <w:vAlign w:val="center"/>
                </w:tcPr>
                <w:p>
                  <w:pPr>
                    <w:spacing w:line="240" w:lineRule="auto"/>
                    <w:ind w:firstLine="0" w:firstLineChars="0"/>
                    <w:jc w:val="center"/>
                    <w:rPr>
                      <w:bCs/>
                      <w:color w:val="auto"/>
                      <w:sz w:val="21"/>
                      <w:szCs w:val="21"/>
                      <w:highlight w:val="none"/>
                    </w:rPr>
                  </w:pP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5</w:t>
                  </w:r>
                </w:p>
              </w:tc>
              <w:tc>
                <w:tcPr>
                  <w:tcW w:w="1096"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粉末</w:t>
                  </w:r>
                </w:p>
              </w:tc>
              <w:tc>
                <w:tcPr>
                  <w:tcW w:w="109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45" w:type="dxa"/>
                  <w:vAlign w:val="center"/>
                </w:tcPr>
                <w:p>
                  <w:pPr>
                    <w:spacing w:line="240" w:lineRule="auto"/>
                    <w:ind w:firstLine="0" w:firstLineChars="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4</w:t>
                  </w:r>
                </w:p>
              </w:tc>
              <w:tc>
                <w:tcPr>
                  <w:tcW w:w="728" w:type="dxa"/>
                  <w:vMerge w:val="continue"/>
                  <w:vAlign w:val="center"/>
                </w:tcPr>
                <w:p>
                  <w:pPr>
                    <w:spacing w:line="240" w:lineRule="auto"/>
                    <w:ind w:firstLine="0" w:firstLineChars="0"/>
                    <w:jc w:val="center"/>
                    <w:rPr>
                      <w:rFonts w:hint="eastAsia"/>
                      <w:bCs/>
                      <w:color w:val="auto"/>
                      <w:sz w:val="21"/>
                      <w:szCs w:val="21"/>
                      <w:highlight w:val="none"/>
                    </w:rPr>
                  </w:pPr>
                </w:p>
              </w:tc>
              <w:tc>
                <w:tcPr>
                  <w:tcW w:w="829" w:type="dxa"/>
                  <w:vAlign w:val="center"/>
                </w:tcPr>
                <w:p>
                  <w:pPr>
                    <w:spacing w:line="240" w:lineRule="auto"/>
                    <w:ind w:firstLine="0" w:firstLineChars="0"/>
                    <w:jc w:val="center"/>
                    <w:rPr>
                      <w:rFonts w:hint="eastAsia"/>
                      <w:bCs/>
                      <w:color w:val="auto"/>
                      <w:sz w:val="21"/>
                      <w:szCs w:val="21"/>
                      <w:highlight w:val="none"/>
                    </w:rPr>
                  </w:pPr>
                  <w:r>
                    <w:rPr>
                      <w:rFonts w:hint="eastAsia"/>
                      <w:bCs/>
                      <w:color w:val="auto"/>
                      <w:sz w:val="21"/>
                      <w:szCs w:val="21"/>
                      <w:highlight w:val="none"/>
                    </w:rPr>
                    <w:t>PAM</w:t>
                  </w:r>
                </w:p>
              </w:tc>
              <w:tc>
                <w:tcPr>
                  <w:tcW w:w="1101" w:type="dxa"/>
                  <w:vAlign w:val="center"/>
                </w:tcPr>
                <w:p>
                  <w:pPr>
                    <w:spacing w:line="240" w:lineRule="auto"/>
                    <w:ind w:firstLine="0" w:firstLineChars="0"/>
                    <w:jc w:val="center"/>
                    <w:rPr>
                      <w:rFonts w:hint="eastAsia"/>
                      <w:bCs/>
                      <w:color w:val="auto"/>
                      <w:sz w:val="21"/>
                      <w:szCs w:val="21"/>
                      <w:highlight w:val="none"/>
                    </w:rPr>
                  </w:pPr>
                  <w:r>
                    <w:rPr>
                      <w:rFonts w:hint="eastAsia"/>
                      <w:bCs/>
                      <w:color w:val="auto"/>
                      <w:sz w:val="21"/>
                      <w:szCs w:val="21"/>
                      <w:highlight w:val="none"/>
                    </w:rPr>
                    <w:t>t/a</w:t>
                  </w:r>
                </w:p>
              </w:tc>
              <w:tc>
                <w:tcPr>
                  <w:tcW w:w="1102" w:type="dxa"/>
                  <w:vAlign w:val="center"/>
                </w:tcPr>
                <w:p>
                  <w:pPr>
                    <w:spacing w:line="240" w:lineRule="auto"/>
                    <w:ind w:firstLine="0" w:firstLineChars="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12</w:t>
                  </w:r>
                </w:p>
              </w:tc>
              <w:tc>
                <w:tcPr>
                  <w:tcW w:w="1096" w:type="dxa"/>
                  <w:vMerge w:val="continue"/>
                  <w:vAlign w:val="center"/>
                </w:tcPr>
                <w:p>
                  <w:pPr>
                    <w:spacing w:line="240" w:lineRule="auto"/>
                    <w:ind w:firstLine="0" w:firstLineChars="0"/>
                    <w:jc w:val="center"/>
                    <w:rPr>
                      <w:bCs/>
                      <w:color w:val="auto"/>
                      <w:sz w:val="21"/>
                      <w:szCs w:val="21"/>
                      <w:highlight w:val="none"/>
                    </w:rPr>
                  </w:pPr>
                </w:p>
              </w:tc>
              <w:tc>
                <w:tcPr>
                  <w:tcW w:w="1095" w:type="dxa"/>
                  <w:vAlign w:val="center"/>
                </w:tcPr>
                <w:p>
                  <w:pPr>
                    <w:spacing w:line="240" w:lineRule="auto"/>
                    <w:ind w:firstLine="0" w:firstLineChars="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1</w:t>
                  </w:r>
                </w:p>
              </w:tc>
              <w:tc>
                <w:tcPr>
                  <w:tcW w:w="1096" w:type="dxa"/>
                  <w:vAlign w:val="center"/>
                </w:tcPr>
                <w:p>
                  <w:pPr>
                    <w:spacing w:line="240" w:lineRule="auto"/>
                    <w:ind w:firstLine="0" w:firstLineChars="0"/>
                    <w:jc w:val="center"/>
                    <w:rPr>
                      <w:rFonts w:hint="eastAsia"/>
                      <w:bCs/>
                      <w:color w:val="auto"/>
                      <w:sz w:val="21"/>
                      <w:szCs w:val="21"/>
                      <w:highlight w:val="none"/>
                    </w:rPr>
                  </w:pPr>
                  <w:r>
                    <w:rPr>
                      <w:rFonts w:hint="eastAsia"/>
                      <w:bCs/>
                      <w:color w:val="auto"/>
                      <w:sz w:val="21"/>
                      <w:szCs w:val="21"/>
                      <w:highlight w:val="none"/>
                    </w:rPr>
                    <w:t>粉末</w:t>
                  </w:r>
                </w:p>
              </w:tc>
              <w:tc>
                <w:tcPr>
                  <w:tcW w:w="1095" w:type="dxa"/>
                  <w:vAlign w:val="center"/>
                </w:tcPr>
                <w:p>
                  <w:pPr>
                    <w:spacing w:line="240" w:lineRule="auto"/>
                    <w:ind w:firstLine="0" w:firstLineChars="0"/>
                    <w:jc w:val="center"/>
                    <w:rPr>
                      <w:rFonts w:hint="eastAsia"/>
                      <w:bCs/>
                      <w:color w:val="auto"/>
                      <w:sz w:val="21"/>
                      <w:szCs w:val="21"/>
                      <w:highlight w:val="none"/>
                    </w:rPr>
                  </w:pPr>
                  <w:r>
                    <w:rPr>
                      <w:rFonts w:hint="eastAsia"/>
                      <w:bCs/>
                      <w:color w:val="auto"/>
                      <w:sz w:val="21"/>
                      <w:szCs w:val="21"/>
                      <w:highlight w:val="none"/>
                    </w:rPr>
                    <w:t>袋装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45" w:type="dxa"/>
                  <w:vAlign w:val="center"/>
                </w:tcPr>
                <w:p>
                  <w:pPr>
                    <w:spacing w:line="240" w:lineRule="auto"/>
                    <w:ind w:firstLine="0" w:firstLineChars="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5</w:t>
                  </w:r>
                </w:p>
              </w:tc>
              <w:tc>
                <w:tcPr>
                  <w:tcW w:w="728" w:type="dxa"/>
                  <w:vMerge w:val="continue"/>
                  <w:vAlign w:val="center"/>
                </w:tcPr>
                <w:p>
                  <w:pPr>
                    <w:spacing w:line="240" w:lineRule="auto"/>
                    <w:ind w:firstLine="0" w:firstLineChars="0"/>
                    <w:jc w:val="center"/>
                    <w:rPr>
                      <w:bCs/>
                      <w:color w:val="auto"/>
                      <w:sz w:val="21"/>
                      <w:szCs w:val="21"/>
                      <w:highlight w:val="none"/>
                    </w:rPr>
                  </w:pPr>
                </w:p>
              </w:tc>
              <w:tc>
                <w:tcPr>
                  <w:tcW w:w="829" w:type="dxa"/>
                  <w:vAlign w:val="center"/>
                </w:tcPr>
                <w:p>
                  <w:pPr>
                    <w:spacing w:line="240" w:lineRule="auto"/>
                    <w:ind w:firstLine="0" w:firstLineChars="0"/>
                    <w:jc w:val="center"/>
                    <w:rPr>
                      <w:rFonts w:hint="eastAsia"/>
                      <w:bCs/>
                      <w:color w:val="auto"/>
                      <w:sz w:val="21"/>
                      <w:szCs w:val="21"/>
                      <w:highlight w:val="none"/>
                    </w:rPr>
                  </w:pPr>
                  <w:r>
                    <w:rPr>
                      <w:rFonts w:hint="eastAsia"/>
                      <w:bCs/>
                      <w:color w:val="auto"/>
                      <w:sz w:val="21"/>
                      <w:szCs w:val="21"/>
                      <w:highlight w:val="none"/>
                    </w:rPr>
                    <w:t>水</w:t>
                  </w:r>
                </w:p>
              </w:tc>
              <w:tc>
                <w:tcPr>
                  <w:tcW w:w="1101"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t/a</w:t>
                  </w:r>
                </w:p>
              </w:tc>
              <w:tc>
                <w:tcPr>
                  <w:tcW w:w="1102"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1587.75</w:t>
                  </w:r>
                </w:p>
              </w:tc>
              <w:tc>
                <w:tcPr>
                  <w:tcW w:w="1096"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本项目净水厂内</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bCs/>
                      <w:color w:val="auto"/>
                      <w:sz w:val="21"/>
                      <w:szCs w:val="21"/>
                      <w:highlight w:val="none"/>
                    </w:rPr>
                  </w:pPr>
                  <w:r>
                    <w:rPr>
                      <w:rFonts w:hint="eastAsia"/>
                      <w:bCs/>
                      <w:color w:val="auto"/>
                      <w:sz w:val="21"/>
                      <w:szCs w:val="21"/>
                      <w:highlight w:val="none"/>
                    </w:rPr>
                    <w:t>/</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bCs/>
                      <w:color w:val="auto"/>
                      <w:sz w:val="21"/>
                      <w:szCs w:val="21"/>
                      <w:highlight w:val="none"/>
                    </w:rPr>
                  </w:pPr>
                  <w:r>
                    <w:rPr>
                      <w:rFonts w:hint="eastAsia"/>
                      <w:bCs/>
                      <w:color w:val="auto"/>
                      <w:sz w:val="21"/>
                      <w:szCs w:val="21"/>
                      <w:highlight w:val="none"/>
                    </w:rPr>
                    <w:t>/</w:t>
                  </w:r>
                </w:p>
              </w:tc>
              <w:tc>
                <w:tcPr>
                  <w:tcW w:w="109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bCs/>
                      <w:color w:val="auto"/>
                      <w:sz w:val="21"/>
                      <w:szCs w:val="21"/>
                      <w:highlight w:val="none"/>
                    </w:rPr>
                  </w:pPr>
                  <w:r>
                    <w:rPr>
                      <w:rFonts w:hint="eastAsia"/>
                      <w:b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45"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val="en-US" w:eastAsia="zh-CN"/>
                    </w:rPr>
                    <w:t>6</w:t>
                  </w:r>
                </w:p>
              </w:tc>
              <w:tc>
                <w:tcPr>
                  <w:tcW w:w="728" w:type="dxa"/>
                  <w:vMerge w:val="restart"/>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1</w:t>
                  </w: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4.38</w:t>
                  </w:r>
                </w:p>
              </w:tc>
              <w:tc>
                <w:tcPr>
                  <w:tcW w:w="1096" w:type="dxa"/>
                  <w:vMerge w:val="restart"/>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永州</w:t>
                  </w:r>
                </w:p>
              </w:tc>
              <w:tc>
                <w:tcPr>
                  <w:tcW w:w="1095"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645" w:type="dxa"/>
                  <w:vMerge w:val="continue"/>
                  <w:vAlign w:val="center"/>
                </w:tcPr>
                <w:p>
                  <w:pPr>
                    <w:spacing w:line="240" w:lineRule="auto"/>
                    <w:ind w:firstLine="0" w:firstLineChars="0"/>
                    <w:jc w:val="center"/>
                    <w:rPr>
                      <w:rFonts w:hint="eastAsia"/>
                      <w:bCs/>
                      <w:color w:val="FF0000"/>
                      <w:sz w:val="21"/>
                      <w:szCs w:val="21"/>
                      <w:highlight w:val="none"/>
                      <w:u w:val="single"/>
                      <w:lang w:val="en-US" w:eastAsia="zh-CN"/>
                    </w:rPr>
                  </w:pPr>
                </w:p>
              </w:tc>
              <w:tc>
                <w:tcPr>
                  <w:tcW w:w="728" w:type="dxa"/>
                  <w:vMerge w:val="continue"/>
                  <w:vAlign w:val="center"/>
                </w:tcPr>
                <w:p>
                  <w:pPr>
                    <w:spacing w:line="240" w:lineRule="auto"/>
                    <w:ind w:firstLine="0" w:firstLineChars="0"/>
                    <w:jc w:val="center"/>
                    <w:rPr>
                      <w:rFonts w:hint="eastAsia"/>
                      <w:bCs/>
                      <w:color w:val="FF0000"/>
                      <w:sz w:val="21"/>
                      <w:szCs w:val="21"/>
                      <w:highlight w:val="none"/>
                      <w:u w:val="single"/>
                      <w:lang w:eastAsia="zh-CN"/>
                    </w:rPr>
                  </w:pPr>
                </w:p>
              </w:tc>
              <w:tc>
                <w:tcPr>
                  <w:tcW w:w="829" w:type="dxa"/>
                  <w:vAlign w:val="center"/>
                </w:tcPr>
                <w:p>
                  <w:pPr>
                    <w:spacing w:line="240" w:lineRule="auto"/>
                    <w:ind w:firstLine="0" w:firstLineChars="0"/>
                    <w:jc w:val="center"/>
                    <w:rPr>
                      <w:bCs/>
                      <w:color w:val="FF0000"/>
                      <w:sz w:val="21"/>
                      <w:szCs w:val="21"/>
                      <w:highlight w:val="none"/>
                      <w:u w:val="single"/>
                    </w:rPr>
                  </w:pPr>
                  <w:r>
                    <w:rPr>
                      <w:bCs/>
                      <w:color w:val="FF0000"/>
                      <w:sz w:val="21"/>
                      <w:szCs w:val="21"/>
                      <w:highlight w:val="none"/>
                      <w:u w:val="single"/>
                    </w:rPr>
                    <w:t>亚氯酸钠</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0.12</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0.05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45"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val="en-US" w:eastAsia="zh-CN"/>
                    </w:rPr>
                    <w:t>7</w:t>
                  </w:r>
                </w:p>
              </w:tc>
              <w:tc>
                <w:tcPr>
                  <w:tcW w:w="728"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2</w:t>
                  </w: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10.95</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45" w:type="dxa"/>
                  <w:vMerge w:val="continue"/>
                  <w:vAlign w:val="center"/>
                </w:tcPr>
                <w:p>
                  <w:pPr>
                    <w:spacing w:line="240" w:lineRule="auto"/>
                    <w:ind w:firstLine="0" w:firstLineChars="0"/>
                    <w:jc w:val="center"/>
                    <w:rPr>
                      <w:rFonts w:hint="eastAsia"/>
                      <w:bCs/>
                      <w:color w:val="FF0000"/>
                      <w:sz w:val="21"/>
                      <w:szCs w:val="21"/>
                      <w:highlight w:val="none"/>
                      <w:u w:val="single"/>
                      <w:lang w:val="en-US" w:eastAsia="zh-CN"/>
                    </w:rPr>
                  </w:pPr>
                </w:p>
              </w:tc>
              <w:tc>
                <w:tcPr>
                  <w:tcW w:w="728" w:type="dxa"/>
                  <w:vMerge w:val="continue"/>
                  <w:vAlign w:val="center"/>
                </w:tcPr>
                <w:p>
                  <w:pPr>
                    <w:spacing w:line="240" w:lineRule="auto"/>
                    <w:ind w:firstLine="0" w:firstLineChars="0"/>
                    <w:jc w:val="center"/>
                    <w:rPr>
                      <w:rFonts w:hint="eastAsia"/>
                      <w:bCs/>
                      <w:color w:val="FF0000"/>
                      <w:sz w:val="21"/>
                      <w:szCs w:val="21"/>
                      <w:highlight w:val="none"/>
                      <w:u w:val="single"/>
                      <w:lang w:eastAsia="zh-CN"/>
                    </w:rPr>
                  </w:pP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亚氯酸钠</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0.292</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645"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val="en-US" w:eastAsia="zh-CN"/>
                    </w:rPr>
                    <w:t>8</w:t>
                  </w:r>
                </w:p>
              </w:tc>
              <w:tc>
                <w:tcPr>
                  <w:tcW w:w="728"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3</w:t>
                  </w: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8.75</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lang w:val="en-US"/>
                    </w:rPr>
                  </w:pPr>
                  <w:r>
                    <w:rPr>
                      <w:rFonts w:hint="eastAsia"/>
                      <w:bCs/>
                      <w:color w:val="FF0000"/>
                      <w:sz w:val="21"/>
                      <w:szCs w:val="21"/>
                      <w:highlight w:val="none"/>
                      <w:u w:val="single"/>
                      <w:lang w:val="en-US" w:eastAsia="zh-CN"/>
                    </w:rPr>
                    <w:t>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45" w:type="dxa"/>
                  <w:vMerge w:val="continue"/>
                  <w:vAlign w:val="center"/>
                </w:tcPr>
                <w:p>
                  <w:pPr>
                    <w:spacing w:line="240" w:lineRule="auto"/>
                    <w:ind w:firstLine="0" w:firstLineChars="0"/>
                    <w:jc w:val="center"/>
                    <w:rPr>
                      <w:rFonts w:hint="eastAsia"/>
                      <w:bCs/>
                      <w:color w:val="FF0000"/>
                      <w:sz w:val="21"/>
                      <w:szCs w:val="21"/>
                      <w:highlight w:val="none"/>
                      <w:u w:val="single"/>
                      <w:lang w:val="en-US" w:eastAsia="zh-CN"/>
                    </w:rPr>
                  </w:pPr>
                </w:p>
              </w:tc>
              <w:tc>
                <w:tcPr>
                  <w:tcW w:w="728" w:type="dxa"/>
                  <w:vMerge w:val="continue"/>
                  <w:vAlign w:val="center"/>
                </w:tcPr>
                <w:p>
                  <w:pPr>
                    <w:spacing w:line="240" w:lineRule="auto"/>
                    <w:ind w:firstLine="0" w:firstLineChars="0"/>
                    <w:jc w:val="center"/>
                    <w:rPr>
                      <w:rFonts w:hint="eastAsia"/>
                      <w:bCs/>
                      <w:color w:val="FF0000"/>
                      <w:sz w:val="21"/>
                      <w:szCs w:val="21"/>
                      <w:highlight w:val="none"/>
                      <w:u w:val="single"/>
                      <w:lang w:eastAsia="zh-CN"/>
                    </w:rPr>
                  </w:pP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亚氯酸钠</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0.23</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645"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val="en-US" w:eastAsia="zh-CN"/>
                    </w:rPr>
                    <w:t>9</w:t>
                  </w:r>
                </w:p>
              </w:tc>
              <w:tc>
                <w:tcPr>
                  <w:tcW w:w="728"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4</w:t>
                  </w: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bCs/>
                      <w:color w:val="FF0000"/>
                      <w:sz w:val="21"/>
                      <w:szCs w:val="21"/>
                      <w:highlight w:val="none"/>
                      <w:u w:val="single"/>
                      <w:lang w:val="en-US"/>
                    </w:rPr>
                  </w:pPr>
                  <w:r>
                    <w:rPr>
                      <w:rFonts w:hint="eastAsia"/>
                      <w:bCs/>
                      <w:color w:val="FF0000"/>
                      <w:sz w:val="21"/>
                      <w:szCs w:val="21"/>
                      <w:highlight w:val="none"/>
                      <w:u w:val="single"/>
                      <w:lang w:val="en-US" w:eastAsia="zh-CN"/>
                    </w:rPr>
                    <w:t>4.16</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645" w:type="dxa"/>
                  <w:vMerge w:val="continue"/>
                  <w:vAlign w:val="center"/>
                </w:tcPr>
                <w:p>
                  <w:pPr>
                    <w:spacing w:line="240" w:lineRule="auto"/>
                    <w:ind w:firstLine="0" w:firstLineChars="0"/>
                    <w:jc w:val="center"/>
                    <w:rPr>
                      <w:rFonts w:hint="eastAsia"/>
                      <w:bCs/>
                      <w:color w:val="FF0000"/>
                      <w:sz w:val="21"/>
                      <w:szCs w:val="21"/>
                      <w:highlight w:val="none"/>
                      <w:u w:val="single"/>
                      <w:lang w:val="en-US" w:eastAsia="zh-CN"/>
                    </w:rPr>
                  </w:pPr>
                </w:p>
              </w:tc>
              <w:tc>
                <w:tcPr>
                  <w:tcW w:w="728" w:type="dxa"/>
                  <w:vMerge w:val="continue"/>
                  <w:vAlign w:val="center"/>
                </w:tcPr>
                <w:p>
                  <w:pPr>
                    <w:spacing w:line="240" w:lineRule="auto"/>
                    <w:ind w:firstLine="0" w:firstLineChars="0"/>
                    <w:jc w:val="center"/>
                    <w:rPr>
                      <w:rFonts w:hint="eastAsia"/>
                      <w:bCs/>
                      <w:color w:val="FF0000"/>
                      <w:sz w:val="21"/>
                      <w:szCs w:val="21"/>
                      <w:highlight w:val="none"/>
                      <w:u w:val="single"/>
                      <w:lang w:eastAsia="zh-CN"/>
                    </w:rPr>
                  </w:pP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亚氯酸钠</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bCs/>
                      <w:color w:val="FF0000"/>
                      <w:sz w:val="21"/>
                      <w:szCs w:val="21"/>
                      <w:highlight w:val="none"/>
                      <w:u w:val="single"/>
                      <w:lang w:val="en-US"/>
                    </w:rPr>
                  </w:pPr>
                  <w:r>
                    <w:rPr>
                      <w:rFonts w:hint="eastAsia"/>
                      <w:bCs/>
                      <w:color w:val="FF0000"/>
                      <w:sz w:val="21"/>
                      <w:szCs w:val="21"/>
                      <w:highlight w:val="none"/>
                      <w:u w:val="single"/>
                      <w:lang w:val="en-US" w:eastAsia="zh-CN"/>
                    </w:rPr>
                    <w:t>0.11</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645"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val="en-US" w:eastAsia="zh-CN"/>
                    </w:rPr>
                    <w:t>10</w:t>
                  </w:r>
                </w:p>
              </w:tc>
              <w:tc>
                <w:tcPr>
                  <w:tcW w:w="728"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5</w:t>
                  </w: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5.47</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645" w:type="dxa"/>
                  <w:vMerge w:val="continue"/>
                  <w:vAlign w:val="center"/>
                </w:tcPr>
                <w:p>
                  <w:pPr>
                    <w:spacing w:line="240" w:lineRule="auto"/>
                    <w:ind w:firstLine="0" w:firstLineChars="0"/>
                    <w:jc w:val="center"/>
                    <w:rPr>
                      <w:rFonts w:hint="eastAsia"/>
                      <w:bCs/>
                      <w:color w:val="FF0000"/>
                      <w:sz w:val="21"/>
                      <w:szCs w:val="21"/>
                      <w:highlight w:val="none"/>
                      <w:u w:val="single"/>
                      <w:lang w:val="en-US" w:eastAsia="zh-CN"/>
                    </w:rPr>
                  </w:pPr>
                </w:p>
              </w:tc>
              <w:tc>
                <w:tcPr>
                  <w:tcW w:w="728" w:type="dxa"/>
                  <w:vMerge w:val="continue"/>
                  <w:vAlign w:val="center"/>
                </w:tcPr>
                <w:p>
                  <w:pPr>
                    <w:spacing w:line="240" w:lineRule="auto"/>
                    <w:ind w:firstLine="0" w:firstLineChars="0"/>
                    <w:jc w:val="center"/>
                    <w:rPr>
                      <w:rFonts w:hint="eastAsia"/>
                      <w:bCs/>
                      <w:color w:val="FF0000"/>
                      <w:sz w:val="21"/>
                      <w:szCs w:val="21"/>
                      <w:highlight w:val="none"/>
                      <w:u w:val="single"/>
                      <w:lang w:eastAsia="zh-CN"/>
                    </w:rPr>
                  </w:pP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亚氯酸钠</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eastAsia="宋体"/>
                      <w:bCs/>
                      <w:color w:val="FF0000"/>
                      <w:sz w:val="21"/>
                      <w:szCs w:val="21"/>
                      <w:highlight w:val="none"/>
                      <w:u w:val="single"/>
                      <w:lang w:val="en-US" w:eastAsia="zh-CN"/>
                    </w:rPr>
                  </w:pPr>
                  <w:r>
                    <w:rPr>
                      <w:rFonts w:hint="eastAsia"/>
                      <w:bCs/>
                      <w:color w:val="FF0000"/>
                      <w:sz w:val="21"/>
                      <w:szCs w:val="21"/>
                      <w:highlight w:val="none"/>
                      <w:u w:val="single"/>
                      <w:lang w:val="en-US" w:eastAsia="zh-CN"/>
                    </w:rPr>
                    <w:t>0.14</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645"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val="en-US" w:eastAsia="zh-CN"/>
                    </w:rPr>
                    <w:t>11</w:t>
                  </w:r>
                </w:p>
              </w:tc>
              <w:tc>
                <w:tcPr>
                  <w:tcW w:w="728" w:type="dxa"/>
                  <w:vMerge w:val="restart"/>
                  <w:vAlign w:val="center"/>
                </w:tcPr>
                <w:p>
                  <w:pPr>
                    <w:spacing w:line="240" w:lineRule="auto"/>
                    <w:ind w:firstLine="0" w:firstLineChars="0"/>
                    <w:jc w:val="center"/>
                    <w:rPr>
                      <w:rFonts w:hint="eastAsia"/>
                      <w:bCs/>
                      <w:color w:val="FF0000"/>
                      <w:sz w:val="21"/>
                      <w:szCs w:val="21"/>
                      <w:highlight w:val="none"/>
                      <w:u w:val="single"/>
                      <w:lang w:val="en-US" w:eastAsia="zh-CN"/>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6</w:t>
                  </w: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5.47</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45" w:type="dxa"/>
                  <w:vMerge w:val="continue"/>
                  <w:vAlign w:val="center"/>
                </w:tcPr>
                <w:p>
                  <w:pPr>
                    <w:spacing w:line="240" w:lineRule="auto"/>
                    <w:ind w:firstLine="0" w:firstLineChars="0"/>
                    <w:jc w:val="center"/>
                    <w:rPr>
                      <w:rFonts w:hint="eastAsia"/>
                      <w:bCs/>
                      <w:color w:val="FF0000"/>
                      <w:sz w:val="21"/>
                      <w:szCs w:val="21"/>
                      <w:highlight w:val="none"/>
                      <w:u w:val="single"/>
                      <w:lang w:val="en-US" w:eastAsia="zh-CN"/>
                    </w:rPr>
                  </w:pPr>
                </w:p>
              </w:tc>
              <w:tc>
                <w:tcPr>
                  <w:tcW w:w="728" w:type="dxa"/>
                  <w:vMerge w:val="continue"/>
                  <w:vAlign w:val="center"/>
                </w:tcPr>
                <w:p>
                  <w:pPr>
                    <w:spacing w:line="240" w:lineRule="auto"/>
                    <w:ind w:firstLine="0" w:firstLineChars="0"/>
                    <w:jc w:val="center"/>
                    <w:rPr>
                      <w:rFonts w:hint="eastAsia"/>
                      <w:bCs/>
                      <w:color w:val="FF0000"/>
                      <w:sz w:val="21"/>
                      <w:szCs w:val="21"/>
                      <w:highlight w:val="none"/>
                      <w:u w:val="single"/>
                      <w:lang w:eastAsia="zh-CN"/>
                    </w:rPr>
                  </w:pPr>
                </w:p>
              </w:tc>
              <w:tc>
                <w:tcPr>
                  <w:tcW w:w="829" w:type="dxa"/>
                  <w:vAlign w:val="center"/>
                </w:tcPr>
                <w:p>
                  <w:pPr>
                    <w:spacing w:line="240" w:lineRule="auto"/>
                    <w:ind w:firstLine="0" w:firstLineChars="0"/>
                    <w:jc w:val="center"/>
                    <w:rPr>
                      <w:rFonts w:hint="eastAsia"/>
                      <w:bCs/>
                      <w:color w:val="FF0000"/>
                      <w:sz w:val="21"/>
                      <w:szCs w:val="21"/>
                      <w:highlight w:val="none"/>
                      <w:u w:val="single"/>
                    </w:rPr>
                  </w:pPr>
                  <w:r>
                    <w:rPr>
                      <w:bCs/>
                      <w:color w:val="FF0000"/>
                      <w:sz w:val="21"/>
                      <w:szCs w:val="21"/>
                      <w:highlight w:val="none"/>
                      <w:u w:val="single"/>
                    </w:rPr>
                    <w:t>亚氯酸钠</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bCs/>
                      <w:color w:val="FF0000"/>
                      <w:sz w:val="21"/>
                      <w:szCs w:val="21"/>
                      <w:highlight w:val="none"/>
                      <w:u w:val="single"/>
                    </w:rPr>
                  </w:pPr>
                  <w:r>
                    <w:rPr>
                      <w:rFonts w:hint="eastAsia"/>
                      <w:bCs/>
                      <w:color w:val="FF0000"/>
                      <w:sz w:val="21"/>
                      <w:szCs w:val="21"/>
                      <w:highlight w:val="none"/>
                      <w:u w:val="single"/>
                    </w:rPr>
                    <w:t>t/a</w:t>
                  </w:r>
                </w:p>
              </w:tc>
              <w:tc>
                <w:tcPr>
                  <w:tcW w:w="1102"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0.14</w:t>
                  </w:r>
                </w:p>
              </w:tc>
              <w:tc>
                <w:tcPr>
                  <w:tcW w:w="1096" w:type="dxa"/>
                  <w:vMerge w:val="continue"/>
                  <w:vAlign w:val="center"/>
                </w:tcPr>
                <w:p>
                  <w:pPr>
                    <w:spacing w:line="240" w:lineRule="auto"/>
                    <w:ind w:firstLine="0" w:firstLineChars="0"/>
                    <w:jc w:val="center"/>
                    <w:rPr>
                      <w:rFonts w:hint="eastAsia"/>
                      <w:bCs/>
                      <w:color w:val="FF0000"/>
                      <w:sz w:val="21"/>
                      <w:szCs w:val="21"/>
                      <w:highlight w:val="none"/>
                      <w:u w:val="single"/>
                    </w:rPr>
                  </w:pP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lang w:val="en-US" w:eastAsia="zh-CN"/>
                    </w:rPr>
                    <w:t>0.05</w:t>
                  </w:r>
                </w:p>
              </w:tc>
              <w:tc>
                <w:tcPr>
                  <w:tcW w:w="1096"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液态</w:t>
                  </w:r>
                </w:p>
              </w:tc>
              <w:tc>
                <w:tcPr>
                  <w:tcW w:w="1095" w:type="dxa"/>
                  <w:vAlign w:val="center"/>
                </w:tcPr>
                <w:p>
                  <w:pPr>
                    <w:spacing w:line="240" w:lineRule="auto"/>
                    <w:ind w:firstLine="0" w:firstLineChars="0"/>
                    <w:jc w:val="center"/>
                    <w:rPr>
                      <w:rFonts w:hint="eastAsia"/>
                      <w:bCs/>
                      <w:color w:val="FF0000"/>
                      <w:sz w:val="21"/>
                      <w:szCs w:val="21"/>
                      <w:highlight w:val="none"/>
                      <w:u w:val="single"/>
                    </w:rPr>
                  </w:pPr>
                  <w:r>
                    <w:rPr>
                      <w:rFonts w:hint="eastAsia"/>
                      <w:bCs/>
                      <w:color w:val="FF0000"/>
                      <w:sz w:val="21"/>
                      <w:szCs w:val="21"/>
                      <w:highlight w:val="none"/>
                      <w:u w:val="single"/>
                    </w:rPr>
                    <w:t>桶装</w:t>
                  </w:r>
                </w:p>
              </w:tc>
            </w:tr>
          </w:tbl>
          <w:p>
            <w:pPr>
              <w:spacing w:line="360" w:lineRule="auto"/>
              <w:ind w:firstLine="482"/>
              <w:jc w:val="left"/>
              <w:rPr>
                <w:b/>
                <w:bCs/>
                <w:color w:val="auto"/>
                <w:highlight w:val="none"/>
              </w:rPr>
            </w:pPr>
            <w:r>
              <w:rPr>
                <w:rFonts w:hint="eastAsia"/>
                <w:b/>
                <w:bCs/>
                <w:color w:val="auto"/>
                <w:highlight w:val="none"/>
              </w:rPr>
              <w:t>原辅材料理化性质：</w:t>
            </w:r>
          </w:p>
          <w:p>
            <w:pPr>
              <w:spacing w:line="360" w:lineRule="auto"/>
              <w:ind w:firstLine="482"/>
              <w:rPr>
                <w:rFonts w:hint="eastAsia"/>
                <w:bCs/>
                <w:color w:val="FF0000"/>
                <w:highlight w:val="none"/>
                <w:u w:val="single"/>
                <w:lang w:val="en-US" w:eastAsia="zh-CN"/>
              </w:rPr>
            </w:pPr>
            <w:r>
              <w:rPr>
                <w:rFonts w:hint="eastAsia"/>
                <w:b/>
                <w:color w:val="FF0000"/>
                <w:highlight w:val="none"/>
                <w:u w:val="single"/>
              </w:rPr>
              <w:t>盐酸：</w:t>
            </w:r>
            <w:r>
              <w:rPr>
                <w:color w:val="FF0000"/>
                <w:highlight w:val="none"/>
                <w:u w:val="single"/>
              </w:rPr>
              <w:fldChar w:fldCharType="begin"/>
            </w:r>
            <w:r>
              <w:rPr>
                <w:color w:val="FF0000"/>
                <w:highlight w:val="none"/>
                <w:u w:val="single"/>
              </w:rPr>
              <w:instrText xml:space="preserve"> HYPERLINK "https://baike.baidu.com/item/%E7%9B%90%E9%85%B8" \t "https://baike.baidu.com/item/%E7%9B%90%E9%85%B8/_blank" </w:instrText>
            </w:r>
            <w:r>
              <w:rPr>
                <w:color w:val="FF0000"/>
                <w:highlight w:val="none"/>
                <w:u w:val="single"/>
              </w:rPr>
              <w:fldChar w:fldCharType="separate"/>
            </w:r>
            <w:r>
              <w:rPr>
                <w:bCs/>
                <w:color w:val="FF0000"/>
                <w:highlight w:val="none"/>
                <w:u w:val="single"/>
              </w:rPr>
              <w:t>盐酸</w:t>
            </w:r>
            <w:r>
              <w:rPr>
                <w:bCs/>
                <w:color w:val="FF0000"/>
                <w:highlight w:val="none"/>
                <w:u w:val="single"/>
              </w:rPr>
              <w:fldChar w:fldCharType="end"/>
            </w:r>
            <w:r>
              <w:rPr>
                <w:bCs/>
                <w:color w:val="FF0000"/>
                <w:highlight w:val="none"/>
                <w:u w:val="single"/>
              </w:rPr>
              <w:t>是无色液体（工业用盐酸会因有杂质三价铁盐而略显黄色），为</w:t>
            </w:r>
            <w:r>
              <w:rPr>
                <w:color w:val="FF0000"/>
                <w:highlight w:val="none"/>
                <w:u w:val="single"/>
              </w:rPr>
              <w:fldChar w:fldCharType="begin"/>
            </w:r>
            <w:r>
              <w:rPr>
                <w:color w:val="FF0000"/>
                <w:highlight w:val="none"/>
                <w:u w:val="single"/>
              </w:rPr>
              <w:instrText xml:space="preserve"> HYPERLINK "https://baike.baidu.com/item/%E6%B0%AF%E5%8C%96%E6%B0%A2" \t "https://baike.baidu.com/item/%E7%9B%90%E9%85%B8/_blank" </w:instrText>
            </w:r>
            <w:r>
              <w:rPr>
                <w:color w:val="FF0000"/>
                <w:highlight w:val="none"/>
                <w:u w:val="single"/>
              </w:rPr>
              <w:fldChar w:fldCharType="separate"/>
            </w:r>
            <w:r>
              <w:rPr>
                <w:bCs/>
                <w:color w:val="FF0000"/>
                <w:highlight w:val="none"/>
                <w:u w:val="single"/>
              </w:rPr>
              <w:t>氯化氢</w:t>
            </w:r>
            <w:r>
              <w:rPr>
                <w:bCs/>
                <w:color w:val="FF0000"/>
                <w:highlight w:val="none"/>
                <w:u w:val="single"/>
              </w:rPr>
              <w:fldChar w:fldCharType="end"/>
            </w:r>
            <w:r>
              <w:rPr>
                <w:bCs/>
                <w:color w:val="FF0000"/>
                <w:highlight w:val="none"/>
                <w:u w:val="single"/>
              </w:rPr>
              <w:t>的水溶液，具有刺激性气味，</w:t>
            </w:r>
            <w:r>
              <w:rPr>
                <w:rFonts w:hint="eastAsia"/>
                <w:bCs/>
                <w:color w:val="FF0000"/>
                <w:highlight w:val="none"/>
                <w:u w:val="single"/>
                <w:lang w:eastAsia="zh-CN"/>
              </w:rPr>
              <w:t>与水混熔，溶于碱液，熔点</w:t>
            </w:r>
            <w:r>
              <w:rPr>
                <w:rFonts w:hint="eastAsia"/>
                <w:bCs/>
                <w:color w:val="FF0000"/>
                <w:highlight w:val="none"/>
                <w:u w:val="single"/>
                <w:lang w:val="en-US" w:eastAsia="zh-CN"/>
              </w:rPr>
              <w:t>-27.32℃，</w:t>
            </w:r>
            <w:r>
              <w:rPr>
                <w:rFonts w:hint="eastAsia"/>
                <w:bCs/>
                <w:color w:val="FF0000"/>
                <w:highlight w:val="none"/>
                <w:u w:val="single"/>
                <w:lang w:eastAsia="zh-CN"/>
              </w:rPr>
              <w:t>沸点-</w:t>
            </w:r>
            <w:r>
              <w:rPr>
                <w:rFonts w:hint="eastAsia"/>
                <w:bCs/>
                <w:color w:val="FF0000"/>
                <w:highlight w:val="none"/>
                <w:u w:val="single"/>
                <w:lang w:val="en-US" w:eastAsia="zh-CN"/>
              </w:rPr>
              <w:t>110℃，相对密度（水=1）：1:20，相对整齐密度（空气=1）：1:26，饱和蒸气压（kpa）：30.66（21℃），主要用途重要的无机化工原料，广泛用于染料、医药、食品、印染、皮革、冶金等行业禁配物:碱类、胺类、碱金属、易燃或可燃物。本项目使用的盐酸浓度为31%，属于低浓度盐酸，31%盐酸的密度为1.157Kg/L</w:t>
            </w:r>
          </w:p>
          <w:p>
            <w:pPr>
              <w:spacing w:line="360" w:lineRule="auto"/>
              <w:ind w:firstLine="482"/>
              <w:rPr>
                <w:bCs/>
                <w:color w:val="auto"/>
                <w:highlight w:val="none"/>
              </w:rPr>
            </w:pPr>
            <w:r>
              <w:rPr>
                <w:rFonts w:hint="eastAsia"/>
                <w:b/>
                <w:color w:val="auto"/>
                <w:highlight w:val="none"/>
                <w:u w:val="none"/>
              </w:rPr>
              <w:t>亚氯酸钠：</w:t>
            </w:r>
            <w:r>
              <w:rPr>
                <w:rFonts w:hint="eastAsia"/>
                <w:bCs/>
                <w:color w:val="auto"/>
                <w:highlight w:val="none"/>
                <w:u w:val="none"/>
              </w:rPr>
              <w:t>是一种高效氧化剂漂白剂。 </w:t>
            </w:r>
            <w:r>
              <w:rPr>
                <w:bCs/>
                <w:color w:val="auto"/>
                <w:highlight w:val="none"/>
                <w:u w:val="none"/>
              </w:rPr>
              <w:t>性状 </w:t>
            </w:r>
            <w:r>
              <w:rPr>
                <w:bCs/>
                <w:color w:val="auto"/>
                <w:highlight w:val="none"/>
              </w:rPr>
              <w:t xml:space="preserve"> 白色结晶体。因常含有</w:t>
            </w:r>
            <w:r>
              <w:rPr>
                <w:color w:val="auto"/>
                <w:highlight w:val="none"/>
              </w:rPr>
              <w:fldChar w:fldCharType="begin"/>
            </w:r>
            <w:r>
              <w:rPr>
                <w:color w:val="auto"/>
                <w:highlight w:val="none"/>
              </w:rPr>
              <w:instrText xml:space="preserve"> HYPERLINK "http://www.chemyq.com/xz/xz11/108119gordo.htm" </w:instrText>
            </w:r>
            <w:r>
              <w:rPr>
                <w:color w:val="auto"/>
                <w:highlight w:val="none"/>
              </w:rPr>
              <w:fldChar w:fldCharType="separate"/>
            </w:r>
            <w:r>
              <w:rPr>
                <w:bCs/>
                <w:color w:val="auto"/>
                <w:highlight w:val="none"/>
              </w:rPr>
              <w:t>二氧化氯</w:t>
            </w:r>
            <w:r>
              <w:rPr>
                <w:bCs/>
                <w:color w:val="auto"/>
                <w:highlight w:val="none"/>
              </w:rPr>
              <w:fldChar w:fldCharType="end"/>
            </w:r>
            <w:r>
              <w:rPr>
                <w:bCs/>
                <w:color w:val="auto"/>
                <w:highlight w:val="none"/>
              </w:rPr>
              <w:t>故带有绿色。有潮解性，易溶于水，溶解时吸热。加热到175℃即分解，并放出氧。与强酸接触，能放出有刺激性的二氧化氯毒气。是</w:t>
            </w:r>
            <w:r>
              <w:rPr>
                <w:color w:val="auto"/>
                <w:highlight w:val="none"/>
              </w:rPr>
              <w:fldChar w:fldCharType="begin"/>
            </w:r>
            <w:r>
              <w:rPr>
                <w:color w:val="auto"/>
                <w:highlight w:val="none"/>
              </w:rPr>
              <w:instrText xml:space="preserve"> HYPERLINK "http://www.chemyq.com/xz/xz5/49401gtaqb.htm" </w:instrText>
            </w:r>
            <w:r>
              <w:rPr>
                <w:color w:val="auto"/>
                <w:highlight w:val="none"/>
              </w:rPr>
              <w:fldChar w:fldCharType="separate"/>
            </w:r>
            <w:r>
              <w:rPr>
                <w:bCs/>
                <w:color w:val="auto"/>
                <w:highlight w:val="none"/>
              </w:rPr>
              <w:t>强氧化剂</w:t>
            </w:r>
            <w:r>
              <w:rPr>
                <w:bCs/>
                <w:color w:val="auto"/>
                <w:highlight w:val="none"/>
              </w:rPr>
              <w:fldChar w:fldCharType="end"/>
            </w:r>
            <w:r>
              <w:rPr>
                <w:bCs/>
                <w:color w:val="auto"/>
                <w:highlight w:val="none"/>
              </w:rPr>
              <w:t>，与</w:t>
            </w:r>
            <w:r>
              <w:rPr>
                <w:color w:val="auto"/>
                <w:highlight w:val="none"/>
              </w:rPr>
              <w:fldChar w:fldCharType="begin"/>
            </w:r>
            <w:r>
              <w:rPr>
                <w:color w:val="auto"/>
                <w:highlight w:val="none"/>
              </w:rPr>
              <w:instrText xml:space="preserve"> HYPERLINK "http://www.chemyq.com/xz/xz7/69980nelio.htm" </w:instrText>
            </w:r>
            <w:r>
              <w:rPr>
                <w:color w:val="auto"/>
                <w:highlight w:val="none"/>
              </w:rPr>
              <w:fldChar w:fldCharType="separate"/>
            </w:r>
            <w:r>
              <w:rPr>
                <w:bCs/>
                <w:color w:val="auto"/>
                <w:highlight w:val="none"/>
              </w:rPr>
              <w:t>有机物</w:t>
            </w:r>
            <w:r>
              <w:rPr>
                <w:bCs/>
                <w:color w:val="auto"/>
                <w:highlight w:val="none"/>
              </w:rPr>
              <w:fldChar w:fldCharType="end"/>
            </w:r>
            <w:r>
              <w:rPr>
                <w:bCs/>
                <w:color w:val="auto"/>
                <w:highlight w:val="none"/>
              </w:rPr>
              <w:t>接触能引起爆炸。</w:t>
            </w:r>
          </w:p>
          <w:p>
            <w:pPr>
              <w:spacing w:line="360" w:lineRule="auto"/>
              <w:ind w:firstLine="482"/>
              <w:rPr>
                <w:bCs/>
                <w:color w:val="auto"/>
                <w:highlight w:val="none"/>
              </w:rPr>
            </w:pPr>
            <w:r>
              <w:rPr>
                <w:rFonts w:hint="eastAsia"/>
                <w:b/>
                <w:color w:val="auto"/>
                <w:highlight w:val="none"/>
              </w:rPr>
              <w:t>明矾：</w:t>
            </w:r>
            <w:r>
              <w:rPr>
                <w:rFonts w:hint="eastAsia"/>
                <w:bCs/>
                <w:color w:val="auto"/>
                <w:highlight w:val="none"/>
              </w:rPr>
              <w:t>十二水硫酸铝钾，又称：白矾、钾矾、钾铝矾、钾明矾，国家已经禁止其使用于食品添加剂，是含有结晶水的</w:t>
            </w:r>
            <w:r>
              <w:rPr>
                <w:color w:val="auto"/>
                <w:highlight w:val="none"/>
              </w:rPr>
              <w:fldChar w:fldCharType="begin"/>
            </w:r>
            <w:r>
              <w:rPr>
                <w:color w:val="auto"/>
                <w:highlight w:val="none"/>
              </w:rPr>
              <w:instrText xml:space="preserve"> HYPERLINK "https://baike.baidu.com/item/%E7%A1%AB%E9%85%B8%E9%92%BE/159095" \t "https://baike.baidu.com/item/%E5%8D%81%E4%BA%8C%E6%B0%B4%E7%A1%AB%E9%85%B8%E9%93%9D%E9%92%BE/_blank" </w:instrText>
            </w:r>
            <w:r>
              <w:rPr>
                <w:color w:val="auto"/>
                <w:highlight w:val="none"/>
              </w:rPr>
              <w:fldChar w:fldCharType="separate"/>
            </w:r>
            <w:r>
              <w:rPr>
                <w:bCs/>
                <w:color w:val="auto"/>
                <w:highlight w:val="none"/>
              </w:rPr>
              <w:t>硫酸钾</w:t>
            </w:r>
            <w:r>
              <w:rPr>
                <w:bCs/>
                <w:color w:val="auto"/>
                <w:highlight w:val="none"/>
              </w:rPr>
              <w:fldChar w:fldCharType="end"/>
            </w:r>
            <w:r>
              <w:rPr>
                <w:bCs/>
                <w:color w:val="auto"/>
                <w:highlight w:val="none"/>
              </w:rPr>
              <w:t>和</w:t>
            </w:r>
            <w:r>
              <w:rPr>
                <w:color w:val="auto"/>
                <w:highlight w:val="none"/>
              </w:rPr>
              <w:fldChar w:fldCharType="begin"/>
            </w:r>
            <w:r>
              <w:rPr>
                <w:color w:val="auto"/>
                <w:highlight w:val="none"/>
              </w:rPr>
              <w:instrText xml:space="preserve"> HYPERLINK "https://baike.baidu.com/item/%E7%A1%AB%E9%85%B8%E9%93%9D/1016405" \t "https://baike.baidu.com/item/%E5%8D%81%E4%BA%8C%E6%B0%B4%E7%A1%AB%E9%85%B8%E9%93%9D%E9%92%BE/_blank" </w:instrText>
            </w:r>
            <w:r>
              <w:rPr>
                <w:color w:val="auto"/>
                <w:highlight w:val="none"/>
              </w:rPr>
              <w:fldChar w:fldCharType="separate"/>
            </w:r>
            <w:r>
              <w:rPr>
                <w:bCs/>
                <w:color w:val="auto"/>
                <w:highlight w:val="none"/>
              </w:rPr>
              <w:t>硫酸铝</w:t>
            </w:r>
            <w:r>
              <w:rPr>
                <w:bCs/>
                <w:color w:val="auto"/>
                <w:highlight w:val="none"/>
              </w:rPr>
              <w:fldChar w:fldCharType="end"/>
            </w:r>
            <w:r>
              <w:rPr>
                <w:bCs/>
                <w:color w:val="auto"/>
                <w:highlight w:val="none"/>
              </w:rPr>
              <w:t>的复盐。无色立方晶体，外表常呈八面体，或与立方体、菱形十二面体形成聚形，有时以{111}面附于容器壁上而形似六方板状，属于α型明矾类</w:t>
            </w:r>
            <w:r>
              <w:rPr>
                <w:color w:val="auto"/>
                <w:highlight w:val="none"/>
              </w:rPr>
              <w:fldChar w:fldCharType="begin"/>
            </w:r>
            <w:r>
              <w:rPr>
                <w:color w:val="auto"/>
                <w:highlight w:val="none"/>
              </w:rPr>
              <w:instrText xml:space="preserve"> HYPERLINK "https://baike.baidu.com/item/%E5%A4%8D%E7%9B%90" \t "https://baike.baidu.com/item/%E5%8D%81%E4%BA%8C%E6%B0%B4%E7%A1%AB%E9%85%B8%E9%93%9D%E9%92%BE/_blank" </w:instrText>
            </w:r>
            <w:r>
              <w:rPr>
                <w:color w:val="auto"/>
                <w:highlight w:val="none"/>
              </w:rPr>
              <w:fldChar w:fldCharType="separate"/>
            </w:r>
            <w:r>
              <w:rPr>
                <w:bCs/>
                <w:color w:val="auto"/>
                <w:highlight w:val="none"/>
              </w:rPr>
              <w:t>复盐</w:t>
            </w:r>
            <w:r>
              <w:rPr>
                <w:bCs/>
                <w:color w:val="auto"/>
                <w:highlight w:val="none"/>
              </w:rPr>
              <w:fldChar w:fldCharType="end"/>
            </w:r>
            <w:r>
              <w:rPr>
                <w:bCs/>
                <w:color w:val="auto"/>
                <w:highlight w:val="none"/>
              </w:rPr>
              <w:t>，有玻璃光泽。密度1.757g/cm</w:t>
            </w:r>
            <w:r>
              <w:rPr>
                <w:bCs/>
                <w:color w:val="auto"/>
                <w:highlight w:val="none"/>
                <w:vertAlign w:val="superscript"/>
              </w:rPr>
              <w:t>3</w:t>
            </w:r>
            <w:r>
              <w:rPr>
                <w:bCs/>
                <w:color w:val="auto"/>
                <w:highlight w:val="none"/>
              </w:rPr>
              <w:t>，熔点92.5℃。92.5℃时失去9个分子结晶水，200℃时失去12个分子结晶水，溶于水，不溶于</w:t>
            </w:r>
            <w:r>
              <w:rPr>
                <w:color w:val="auto"/>
                <w:highlight w:val="none"/>
              </w:rPr>
              <w:fldChar w:fldCharType="begin"/>
            </w:r>
            <w:r>
              <w:rPr>
                <w:color w:val="auto"/>
                <w:highlight w:val="none"/>
              </w:rPr>
              <w:instrText xml:space="preserve"> HYPERLINK "https://baike.baidu.com/item/%E4%B9%99%E9%86%87/135334" \t "https://baike.baidu.com/item/%E5%8D%81%E4%BA%8C%E6%B0%B4%E7%A1%AB%E9%85%B8%E9%93%9D%E9%92%BE/_blank" </w:instrText>
            </w:r>
            <w:r>
              <w:rPr>
                <w:color w:val="auto"/>
                <w:highlight w:val="none"/>
              </w:rPr>
              <w:fldChar w:fldCharType="separate"/>
            </w:r>
            <w:r>
              <w:rPr>
                <w:bCs/>
                <w:color w:val="auto"/>
                <w:highlight w:val="none"/>
              </w:rPr>
              <w:t>乙醇</w:t>
            </w:r>
            <w:r>
              <w:rPr>
                <w:bCs/>
                <w:color w:val="auto"/>
                <w:highlight w:val="none"/>
              </w:rPr>
              <w:fldChar w:fldCharType="end"/>
            </w:r>
            <w:r>
              <w:rPr>
                <w:bCs/>
                <w:color w:val="auto"/>
                <w:highlight w:val="none"/>
              </w:rPr>
              <w:t>。明矾性味酸涩，寒；有抗菌作用、收敛作用等，可用做中药。明矾还可用于制备</w:t>
            </w:r>
            <w:r>
              <w:rPr>
                <w:color w:val="auto"/>
                <w:highlight w:val="none"/>
              </w:rPr>
              <w:fldChar w:fldCharType="begin"/>
            </w:r>
            <w:r>
              <w:rPr>
                <w:color w:val="auto"/>
                <w:highlight w:val="none"/>
              </w:rPr>
              <w:instrText xml:space="preserve"> HYPERLINK "https://baike.baidu.com/item/%E9%93%9D%E7%9B%90/7530233" \t "https://baike.baidu.com/item/%E5%8D%81%E4%BA%8C%E6%B0%B4%E7%A1%AB%E9%85%B8%E9%93%9D%E9%92%BE/_blank" </w:instrText>
            </w:r>
            <w:r>
              <w:rPr>
                <w:color w:val="auto"/>
                <w:highlight w:val="none"/>
              </w:rPr>
              <w:fldChar w:fldCharType="separate"/>
            </w:r>
            <w:r>
              <w:rPr>
                <w:bCs/>
                <w:color w:val="auto"/>
                <w:highlight w:val="none"/>
              </w:rPr>
              <w:t>铝盐</w:t>
            </w:r>
            <w:r>
              <w:rPr>
                <w:bCs/>
                <w:color w:val="auto"/>
                <w:highlight w:val="none"/>
              </w:rPr>
              <w:fldChar w:fldCharType="end"/>
            </w:r>
            <w:r>
              <w:rPr>
                <w:bCs/>
                <w:color w:val="auto"/>
                <w:highlight w:val="none"/>
              </w:rPr>
              <w:t>、发酵粉、油漆、</w:t>
            </w:r>
            <w:r>
              <w:rPr>
                <w:color w:val="auto"/>
                <w:highlight w:val="none"/>
              </w:rPr>
              <w:fldChar w:fldCharType="begin"/>
            </w:r>
            <w:r>
              <w:rPr>
                <w:color w:val="auto"/>
                <w:highlight w:val="none"/>
              </w:rPr>
              <w:instrText xml:space="preserve"> HYPERLINK "https://baike.baidu.com/item/%E9%9E%A3%E6%96%99/10982524" \t "https://baike.baidu.com/item/%E5%8D%81%E4%BA%8C%E6%B0%B4%E7%A1%AB%E9%85%B8%E9%93%9D%E9%92%BE/_blank" </w:instrText>
            </w:r>
            <w:r>
              <w:rPr>
                <w:color w:val="auto"/>
                <w:highlight w:val="none"/>
              </w:rPr>
              <w:fldChar w:fldCharType="separate"/>
            </w:r>
            <w:r>
              <w:rPr>
                <w:bCs/>
                <w:color w:val="auto"/>
                <w:highlight w:val="none"/>
              </w:rPr>
              <w:t>鞣料</w:t>
            </w:r>
            <w:r>
              <w:rPr>
                <w:bCs/>
                <w:color w:val="auto"/>
                <w:highlight w:val="none"/>
              </w:rPr>
              <w:fldChar w:fldCharType="end"/>
            </w:r>
            <w:r>
              <w:rPr>
                <w:bCs/>
                <w:color w:val="auto"/>
                <w:highlight w:val="none"/>
              </w:rPr>
              <w:t>、澄清剂、</w:t>
            </w:r>
            <w:r>
              <w:rPr>
                <w:color w:val="auto"/>
                <w:highlight w:val="none"/>
              </w:rPr>
              <w:fldChar w:fldCharType="begin"/>
            </w:r>
            <w:r>
              <w:rPr>
                <w:color w:val="auto"/>
                <w:highlight w:val="none"/>
              </w:rPr>
              <w:instrText xml:space="preserve"> HYPERLINK "https://baike.baidu.com/item/%E5%AA%92%E6%9F%93%E5%89%82/3813090" \t "https://baike.baidu.com/item/%E5%8D%81%E4%BA%8C%E6%B0%B4%E7%A1%AB%E9%85%B8%E9%93%9D%E9%92%BE/_blank" </w:instrText>
            </w:r>
            <w:r>
              <w:rPr>
                <w:color w:val="auto"/>
                <w:highlight w:val="none"/>
              </w:rPr>
              <w:fldChar w:fldCharType="separate"/>
            </w:r>
            <w:r>
              <w:rPr>
                <w:bCs/>
                <w:color w:val="auto"/>
                <w:highlight w:val="none"/>
              </w:rPr>
              <w:t>媒染剂</w:t>
            </w:r>
            <w:r>
              <w:rPr>
                <w:bCs/>
                <w:color w:val="auto"/>
                <w:highlight w:val="none"/>
              </w:rPr>
              <w:fldChar w:fldCharType="end"/>
            </w:r>
            <w:r>
              <w:rPr>
                <w:bCs/>
                <w:color w:val="auto"/>
                <w:highlight w:val="none"/>
              </w:rPr>
              <w:t>、造纸、防水剂等，在我们的生活中常用于净水。</w:t>
            </w:r>
          </w:p>
          <w:p>
            <w:pPr>
              <w:spacing w:line="360" w:lineRule="auto"/>
              <w:ind w:firstLine="482"/>
              <w:rPr>
                <w:rFonts w:hint="eastAsia"/>
                <w:color w:val="auto"/>
                <w:highlight w:val="none"/>
                <w:lang w:val="en-US" w:eastAsia="zh-CN"/>
              </w:rPr>
            </w:pPr>
            <w:r>
              <w:rPr>
                <w:rFonts w:hint="eastAsia"/>
                <w:color w:val="auto"/>
                <w:highlight w:val="none"/>
                <w:lang w:val="en-US" w:eastAsia="zh-CN"/>
              </w:rPr>
              <w:t>PAM：聚丙烯酰胺简称PAM、结构式为[－CH</w:t>
            </w:r>
            <w:r>
              <w:rPr>
                <w:rFonts w:hint="eastAsia"/>
                <w:color w:val="auto"/>
                <w:highlight w:val="none"/>
                <w:vertAlign w:val="subscript"/>
                <w:lang w:val="en-US" w:eastAsia="zh-CN"/>
              </w:rPr>
              <w:t>2</w:t>
            </w:r>
            <w:r>
              <w:rPr>
                <w:rFonts w:hint="eastAsia"/>
                <w:color w:val="auto"/>
                <w:highlight w:val="none"/>
                <w:lang w:val="en-US" w:eastAsia="zh-CN"/>
              </w:rPr>
              <w:t>－CH(CONH</w:t>
            </w:r>
            <w:r>
              <w:rPr>
                <w:rFonts w:hint="eastAsia"/>
                <w:color w:val="auto"/>
                <w:highlight w:val="none"/>
                <w:vertAlign w:val="subscript"/>
                <w:lang w:val="en-US" w:eastAsia="zh-CN"/>
              </w:rPr>
              <w:t>2</w:t>
            </w:r>
            <w:r>
              <w:rPr>
                <w:rFonts w:hint="eastAsia"/>
                <w:color w:val="auto"/>
                <w:highlight w:val="none"/>
                <w:lang w:val="en-US" w:eastAsia="zh-CN"/>
              </w:rPr>
              <w:t>)]n－，分子量100～ 500万。易溶于冷水，速度很慢，高分子量的聚丙烯酰胺当浓度超过10％以后．就会形成凝胶状结构。提高温度可以稍微促进溶解，但温度不得超过50℃，以防发生分子降解。难溶于有机溶剂。温度超过120 ℃时分解。中性。无毒。用作增稠剂、絮凝剂、减阻剂，具有凝胶、沉降、补强等作用。贮存于阴凉、通风、干燥的库房内，防潮、避光、防热．存放时间不宜过长。</w:t>
            </w:r>
          </w:p>
          <w:p>
            <w:pPr>
              <w:spacing w:line="360" w:lineRule="auto"/>
              <w:jc w:val="left"/>
              <w:rPr>
                <w:rFonts w:hint="eastAsia" w:ascii="Times New Roman" w:hAnsi="Times New Roman" w:eastAsia="宋体" w:cs="Times New Roman"/>
                <w:color w:val="FF0000"/>
                <w:szCs w:val="21"/>
                <w:highlight w:val="none"/>
                <w:u w:val="single"/>
                <w:lang w:eastAsia="zh-CN"/>
              </w:rPr>
            </w:pPr>
            <w:r>
              <w:rPr>
                <w:rFonts w:hint="eastAsia"/>
                <w:color w:val="FF0000"/>
                <w:szCs w:val="21"/>
                <w:highlight w:val="none"/>
                <w:u w:val="single"/>
                <w:lang w:eastAsia="zh-CN"/>
              </w:rPr>
              <w:t>二氧化氯：</w:t>
            </w:r>
            <w:r>
              <w:rPr>
                <w:rFonts w:hint="eastAsia"/>
                <w:color w:val="FF0000"/>
                <w:szCs w:val="21"/>
                <w:highlight w:val="none"/>
                <w:u w:val="single"/>
              </w:rPr>
              <w:t>本项目拟采用盐酸（31%）与亚氯酸钠反应来制成二氧化氯</w:t>
            </w:r>
            <w:r>
              <w:rPr>
                <w:rFonts w:hint="eastAsia"/>
                <w:color w:val="FF0000"/>
                <w:szCs w:val="21"/>
                <w:highlight w:val="none"/>
                <w:u w:val="single"/>
                <w:lang w:eastAsia="zh-CN"/>
              </w:rPr>
              <w:t>，</w:t>
            </w:r>
            <w:r>
              <w:rPr>
                <w:rFonts w:hint="eastAsia" w:ascii="Times New Roman" w:hAnsi="Times New Roman" w:eastAsia="宋体" w:cs="Times New Roman"/>
                <w:color w:val="FF0000"/>
                <w:szCs w:val="21"/>
                <w:highlight w:val="none"/>
                <w:u w:val="single"/>
                <w:lang w:eastAsia="zh-CN"/>
              </w:rPr>
              <w:t>二氧化氯是一种黄绿色到橙黄色的气体，有强烈刺激性臭味气体：11℃时液化成红棕色液体，-59℃时凝固成橙红色晶体。有类似氯气和硝酸的特殊刺激臭味。液体为红褐色，固体为橙红色。沸点 11℃。相对蒸气密度 2.3g/L。遇热水则分解成次氯酸、氯气、氧气，受光也易分解，其溶液于冷暗处相对稳定。受热和受光照或遇有机物等能促进氧化作用的物质时，能促进分解并易引起爆炸。若用空气、二氧化碳、氮气等惰性气体稀释时，爆炸性则降低。属强氧化剂，其有效氯是氯的 2.6 倍。</w:t>
            </w:r>
          </w:p>
          <w:p>
            <w:pPr>
              <w:spacing w:line="360" w:lineRule="auto"/>
              <w:ind w:firstLine="482"/>
              <w:jc w:val="left"/>
              <w:rPr>
                <w:b/>
                <w:bCs/>
                <w:color w:val="auto"/>
                <w:highlight w:val="none"/>
              </w:rPr>
            </w:pPr>
            <w:r>
              <w:rPr>
                <w:rFonts w:hint="eastAsia"/>
                <w:b/>
                <w:bCs/>
                <w:color w:val="auto"/>
                <w:highlight w:val="none"/>
              </w:rPr>
              <w:t>2.6自来水厂出水标准</w:t>
            </w:r>
          </w:p>
          <w:p>
            <w:pPr>
              <w:spacing w:line="360" w:lineRule="auto"/>
              <w:jc w:val="left"/>
              <w:rPr>
                <w:b/>
                <w:bCs/>
                <w:color w:val="auto"/>
                <w:highlight w:val="none"/>
              </w:rPr>
            </w:pPr>
            <w:r>
              <w:rPr>
                <w:rFonts w:hint="eastAsia"/>
                <w:bCs/>
                <w:color w:val="auto"/>
                <w:highlight w:val="none"/>
              </w:rPr>
              <w:t>自来水厂水质执行《生活饮用水卫生标准》（GB5749-2006），具体详见下表。</w:t>
            </w:r>
          </w:p>
          <w:p>
            <w:pPr>
              <w:spacing w:line="240" w:lineRule="auto"/>
              <w:ind w:firstLine="482"/>
              <w:jc w:val="center"/>
              <w:rPr>
                <w:b/>
                <w:bCs/>
                <w:color w:val="auto"/>
                <w:highlight w:val="none"/>
              </w:rPr>
            </w:pPr>
            <w:r>
              <w:rPr>
                <w:b/>
                <w:bCs/>
                <w:color w:val="auto"/>
                <w:highlight w:val="none"/>
              </w:rPr>
              <w:t>表1-9  生活饮用水卫生标准</w:t>
            </w:r>
          </w:p>
          <w:tbl>
            <w:tblPr>
              <w:tblStyle w:val="27"/>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220"/>
              <w:gridCol w:w="1980"/>
              <w:gridCol w:w="3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序号</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检测项目</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单位</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《生活饮用水卫生标准》（GB5749-2006）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总大肠菌群</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MPN/100mL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不得检出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耐热大肠菌群</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MPN/100mL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不得检出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3</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大肠埃希氏菌</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MPN/100mL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不得检出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4</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菌落总数</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CFU/ML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5</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铝</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6</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锰</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7</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铁</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8</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铜</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9</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锌</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砷</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11</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硒</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12</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镉</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13</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汞</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14</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铅</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15</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六价铬</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16</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氰化物</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17</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氟化物</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18</w:t>
                  </w:r>
                </w:p>
              </w:tc>
              <w:tc>
                <w:tcPr>
                  <w:tcW w:w="222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硝酸盐（以N计）</w:t>
                  </w:r>
                </w:p>
              </w:tc>
              <w:tc>
                <w:tcPr>
                  <w:tcW w:w="1980"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tcBorders>
                    <w:tl2br w:val="nil"/>
                    <w:tr2bl w:val="nil"/>
                  </w:tcBorders>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19</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氯化物</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20</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硫酸盐</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21</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色度</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度</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22</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臭和味</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无异臭、异味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23</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肉眼可见物</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24</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溶解性总固体</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25</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总硬度</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26</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氨氮</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27</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挥发酚类（以苯酚计）</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28</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阴离子合成洗涤剂</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29</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游离氯</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30</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三氯甲烷</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31</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四氯化碳</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4"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32</w:t>
                  </w:r>
                </w:p>
              </w:tc>
              <w:tc>
                <w:tcPr>
                  <w:tcW w:w="222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耗氧量</w:t>
                  </w:r>
                </w:p>
              </w:tc>
              <w:tc>
                <w:tcPr>
                  <w:tcW w:w="1980"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mg/L</w:t>
                  </w:r>
                </w:p>
              </w:tc>
              <w:tc>
                <w:tcPr>
                  <w:tcW w:w="3613"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3</w:t>
                  </w:r>
                </w:p>
              </w:tc>
            </w:tr>
          </w:tbl>
          <w:p>
            <w:pPr>
              <w:spacing w:line="360" w:lineRule="auto"/>
              <w:ind w:firstLine="482"/>
              <w:jc w:val="left"/>
              <w:rPr>
                <w:b/>
                <w:bCs/>
                <w:color w:val="auto"/>
                <w:highlight w:val="none"/>
              </w:rPr>
            </w:pPr>
            <w:r>
              <w:rPr>
                <w:rFonts w:hint="eastAsia"/>
                <w:b/>
                <w:bCs/>
                <w:color w:val="auto"/>
                <w:highlight w:val="none"/>
              </w:rPr>
              <w:t>2.7公用工程</w:t>
            </w:r>
          </w:p>
          <w:p>
            <w:pPr>
              <w:spacing w:line="360" w:lineRule="auto"/>
              <w:ind w:firstLine="482"/>
              <w:rPr>
                <w:b/>
                <w:color w:val="auto"/>
                <w:highlight w:val="none"/>
              </w:rPr>
            </w:pPr>
            <w:r>
              <w:rPr>
                <w:rFonts w:hint="eastAsia"/>
                <w:b/>
                <w:color w:val="auto"/>
                <w:highlight w:val="none"/>
              </w:rPr>
              <w:t>（1）供电工程</w:t>
            </w:r>
          </w:p>
          <w:p>
            <w:pPr>
              <w:spacing w:line="360" w:lineRule="auto"/>
              <w:rPr>
                <w:bCs/>
                <w:color w:val="auto"/>
                <w:highlight w:val="none"/>
              </w:rPr>
            </w:pPr>
            <w:r>
              <w:rPr>
                <w:rFonts w:hint="eastAsia"/>
                <w:bCs/>
                <w:color w:val="auto"/>
                <w:highlight w:val="none"/>
              </w:rPr>
              <w:t>本项目由市政电网供电，由低压电缆引入配电间。本工程采用双回路电源供电，形成一路工作、另一路备用的电源。当工作电源故障时，备用电源自动引入，保证供电电源不间断。</w:t>
            </w:r>
          </w:p>
          <w:p>
            <w:pPr>
              <w:spacing w:line="360" w:lineRule="auto"/>
              <w:ind w:firstLine="482"/>
              <w:rPr>
                <w:b/>
                <w:color w:val="auto"/>
                <w:highlight w:val="none"/>
              </w:rPr>
            </w:pPr>
            <w:r>
              <w:rPr>
                <w:rFonts w:hint="eastAsia"/>
                <w:b/>
                <w:color w:val="auto"/>
                <w:highlight w:val="none"/>
              </w:rPr>
              <w:t>（2）给水工程</w:t>
            </w:r>
          </w:p>
          <w:p>
            <w:pPr>
              <w:spacing w:line="360" w:lineRule="auto"/>
              <w:rPr>
                <w:b/>
                <w:color w:val="auto"/>
                <w:highlight w:val="none"/>
              </w:rPr>
            </w:pPr>
            <w:r>
              <w:rPr>
                <w:rFonts w:hint="eastAsia"/>
                <w:bCs/>
                <w:color w:val="auto"/>
                <w:highlight w:val="none"/>
              </w:rPr>
              <w:t>水厂用水由水厂自行供给，主要用于工作人员生活用水。</w:t>
            </w:r>
          </w:p>
          <w:p>
            <w:pPr>
              <w:spacing w:line="360" w:lineRule="auto"/>
              <w:ind w:firstLine="482"/>
              <w:rPr>
                <w:b/>
                <w:color w:val="auto"/>
                <w:highlight w:val="none"/>
              </w:rPr>
            </w:pPr>
            <w:r>
              <w:rPr>
                <w:rFonts w:hint="eastAsia"/>
                <w:b/>
                <w:color w:val="auto"/>
                <w:highlight w:val="none"/>
              </w:rPr>
              <w:t>（3）排水工程</w:t>
            </w:r>
          </w:p>
          <w:p>
            <w:pPr>
              <w:spacing w:line="360" w:lineRule="auto"/>
              <w:rPr>
                <w:b/>
                <w:color w:val="auto"/>
                <w:highlight w:val="none"/>
              </w:rPr>
            </w:pPr>
            <w:r>
              <w:rPr>
                <w:color w:val="auto"/>
                <w:highlight w:val="none"/>
              </w:rPr>
              <w:t>本项目</w:t>
            </w:r>
            <w:r>
              <w:rPr>
                <w:rFonts w:hint="eastAsia"/>
                <w:color w:val="auto"/>
                <w:highlight w:val="none"/>
              </w:rPr>
              <w:t>食堂废水经隔油后同其它生活污水排入地埋式一体化污水处理设施处理达到《污水综合排放标准》（GB8978-1996）中表4中一级标准后用于周边林地、农田、菜地施肥及厂区绿化</w:t>
            </w:r>
            <w:r>
              <w:rPr>
                <w:color w:val="auto"/>
                <w:highlight w:val="none"/>
              </w:rPr>
              <w:t>。</w:t>
            </w:r>
            <w:r>
              <w:rPr>
                <w:rFonts w:hint="eastAsia"/>
                <w:color w:val="auto"/>
                <w:highlight w:val="none"/>
              </w:rPr>
              <w:t>生产废水排入澄清池，上清液回流至原水。</w:t>
            </w:r>
          </w:p>
          <w:p>
            <w:pPr>
              <w:spacing w:line="360" w:lineRule="auto"/>
              <w:ind w:firstLine="482"/>
              <w:jc w:val="left"/>
              <w:rPr>
                <w:b/>
                <w:bCs/>
                <w:color w:val="auto"/>
                <w:highlight w:val="none"/>
              </w:rPr>
            </w:pPr>
            <w:r>
              <w:rPr>
                <w:rFonts w:hint="eastAsia"/>
                <w:b/>
                <w:bCs/>
                <w:color w:val="auto"/>
                <w:highlight w:val="none"/>
              </w:rPr>
              <w:t>2.8劳动定员与工作制度</w:t>
            </w:r>
          </w:p>
          <w:p>
            <w:pPr>
              <w:spacing w:line="360" w:lineRule="auto"/>
              <w:rPr>
                <w:bCs/>
                <w:color w:val="auto"/>
                <w:highlight w:val="none"/>
              </w:rPr>
            </w:pPr>
            <w:r>
              <w:rPr>
                <w:rFonts w:hint="eastAsia"/>
                <w:bCs/>
                <w:color w:val="auto"/>
                <w:highlight w:val="none"/>
              </w:rPr>
              <w:t>本项目取水泵站和净水厂距离约为100m，取水泵站值班人员有自来水厂员工轮值，项目员工人数为30人，工作为四班三倒制，均在净水厂食宿。</w:t>
            </w:r>
            <w:bookmarkEnd w:id="1"/>
            <w:bookmarkEnd w:id="2"/>
            <w:bookmarkEnd w:id="3"/>
            <w:bookmarkEnd w:id="4"/>
          </w:p>
          <w:p>
            <w:pPr>
              <w:spacing w:line="360" w:lineRule="auto"/>
              <w:ind w:firstLine="482"/>
              <w:jc w:val="left"/>
              <w:rPr>
                <w:b/>
                <w:bCs/>
                <w:color w:val="auto"/>
                <w:highlight w:val="none"/>
              </w:rPr>
            </w:pPr>
            <w:r>
              <w:rPr>
                <w:rFonts w:hint="eastAsia"/>
                <w:b/>
                <w:bCs/>
                <w:color w:val="auto"/>
                <w:highlight w:val="none"/>
              </w:rPr>
              <w:t>2.9本项目外环境关系</w:t>
            </w:r>
          </w:p>
          <w:p>
            <w:pPr>
              <w:spacing w:line="360" w:lineRule="auto"/>
              <w:ind w:firstLine="482"/>
              <w:rPr>
                <w:b/>
                <w:color w:val="auto"/>
                <w:highlight w:val="none"/>
              </w:rPr>
            </w:pPr>
            <w:r>
              <w:rPr>
                <w:rFonts w:hint="eastAsia"/>
                <w:b/>
                <w:color w:val="auto"/>
                <w:highlight w:val="none"/>
              </w:rPr>
              <w:t>（1）外环境关系</w:t>
            </w:r>
          </w:p>
          <w:p>
            <w:pPr>
              <w:spacing w:line="360" w:lineRule="auto"/>
              <w:rPr>
                <w:bCs/>
                <w:color w:val="auto"/>
                <w:highlight w:val="none"/>
              </w:rPr>
            </w:pPr>
            <w:r>
              <w:rPr>
                <w:rFonts w:hint="eastAsia"/>
                <w:bCs/>
                <w:color w:val="auto"/>
                <w:highlight w:val="none"/>
              </w:rPr>
              <w:t>本项目位于</w:t>
            </w:r>
            <w:r>
              <w:rPr>
                <w:rFonts w:hint="eastAsia"/>
                <w:color w:val="auto"/>
                <w:kern w:val="0"/>
                <w:szCs w:val="21"/>
                <w:highlight w:val="none"/>
              </w:rPr>
              <w:t>湖南省永州市祁阳县潘市镇</w:t>
            </w:r>
            <w:r>
              <w:rPr>
                <w:rFonts w:hint="eastAsia"/>
                <w:color w:val="FF0000"/>
                <w:kern w:val="0"/>
                <w:szCs w:val="21"/>
                <w:highlight w:val="none"/>
                <w:u w:val="single"/>
                <w:lang w:eastAsia="zh-CN"/>
              </w:rPr>
              <w:t>董家埠村</w:t>
            </w:r>
            <w:r>
              <w:rPr>
                <w:rFonts w:hint="eastAsia"/>
                <w:color w:val="auto"/>
                <w:kern w:val="0"/>
                <w:szCs w:val="21"/>
                <w:highlight w:val="none"/>
              </w:rPr>
              <w:t>泗山塘与庙门前之间</w:t>
            </w:r>
            <w:r>
              <w:rPr>
                <w:rFonts w:hint="eastAsia"/>
                <w:bCs/>
                <w:color w:val="auto"/>
                <w:highlight w:val="none"/>
              </w:rPr>
              <w:t>，场地高程在</w:t>
            </w:r>
            <w:r>
              <w:rPr>
                <w:rFonts w:hint="eastAsia"/>
                <w:color w:val="auto"/>
                <w:highlight w:val="none"/>
              </w:rPr>
              <w:t>83.71~100.70m</w:t>
            </w:r>
            <w:r>
              <w:rPr>
                <w:rFonts w:hint="eastAsia"/>
                <w:bCs/>
                <w:color w:val="auto"/>
                <w:highlight w:val="none"/>
              </w:rPr>
              <w:t>，此处地势较缓，距取水点的距离为100m，处于供水区域的上游，地势较好，无不良工程地质现象，无民房，没有拆迁工作。经过现场勘查，本项目外环境关系情况如下：</w:t>
            </w:r>
          </w:p>
          <w:p>
            <w:pPr>
              <w:spacing w:line="360" w:lineRule="auto"/>
              <w:rPr>
                <w:bCs/>
                <w:color w:val="auto"/>
                <w:highlight w:val="none"/>
              </w:rPr>
            </w:pPr>
            <w:r>
              <w:rPr>
                <w:rFonts w:hint="eastAsia"/>
                <w:bCs/>
                <w:color w:val="auto"/>
                <w:highlight w:val="none"/>
              </w:rPr>
              <w:t>厂界东面190m处为泗山塘居民点，约有4户居民居住。</w:t>
            </w:r>
          </w:p>
          <w:p>
            <w:pPr>
              <w:spacing w:line="360" w:lineRule="auto"/>
              <w:rPr>
                <w:bCs/>
                <w:color w:val="auto"/>
                <w:highlight w:val="none"/>
              </w:rPr>
            </w:pPr>
            <w:r>
              <w:rPr>
                <w:rFonts w:hint="eastAsia"/>
                <w:bCs/>
                <w:color w:val="auto"/>
                <w:highlight w:val="none"/>
              </w:rPr>
              <w:t>厂界东北面250m处为谢家冲居民点，约有20户居民居住。</w:t>
            </w:r>
          </w:p>
          <w:p>
            <w:pPr>
              <w:spacing w:line="360" w:lineRule="auto"/>
              <w:rPr>
                <w:bCs/>
                <w:color w:val="auto"/>
                <w:highlight w:val="none"/>
              </w:rPr>
            </w:pPr>
            <w:r>
              <w:rPr>
                <w:rFonts w:hint="eastAsia"/>
                <w:bCs/>
                <w:color w:val="auto"/>
                <w:highlight w:val="none"/>
              </w:rPr>
              <w:t>厂界西北面270m处为庙门前居民点，约有15户居民居住。</w:t>
            </w:r>
          </w:p>
          <w:p>
            <w:pPr>
              <w:spacing w:line="360" w:lineRule="auto"/>
              <w:rPr>
                <w:bCs/>
                <w:color w:val="auto"/>
                <w:highlight w:val="none"/>
              </w:rPr>
            </w:pPr>
            <w:r>
              <w:rPr>
                <w:rFonts w:hint="eastAsia"/>
                <w:bCs/>
                <w:color w:val="auto"/>
                <w:highlight w:val="none"/>
              </w:rPr>
              <w:t>厂界南面为湘江。</w:t>
            </w:r>
          </w:p>
          <w:p>
            <w:pPr>
              <w:pStyle w:val="19"/>
              <w:spacing w:line="360" w:lineRule="auto"/>
              <w:ind w:firstLine="480" w:firstLineChars="200"/>
              <w:jc w:val="both"/>
              <w:rPr>
                <w:b/>
                <w:color w:val="auto"/>
                <w:sz w:val="24"/>
                <w:highlight w:val="none"/>
              </w:rPr>
            </w:pPr>
            <w:r>
              <w:rPr>
                <w:color w:val="auto"/>
                <w:sz w:val="24"/>
                <w:highlight w:val="none"/>
              </w:rPr>
              <w:t>综上</w:t>
            </w:r>
            <w:r>
              <w:rPr>
                <w:rFonts w:hint="eastAsia"/>
                <w:color w:val="auto"/>
                <w:sz w:val="24"/>
                <w:highlight w:val="none"/>
              </w:rPr>
              <w:t>所述</w:t>
            </w:r>
            <w:r>
              <w:rPr>
                <w:color w:val="auto"/>
                <w:sz w:val="24"/>
                <w:highlight w:val="none"/>
              </w:rPr>
              <w:t>，本项目外环境主要为居民住宅及农业用地为主，不涉及自然保护区、风景名胜区等环境敏感点，本项目与周边环境相容，无重大环境制约因素。</w:t>
            </w:r>
          </w:p>
          <w:p>
            <w:pPr>
              <w:pStyle w:val="32"/>
              <w:wordWrap w:val="0"/>
              <w:spacing w:line="360" w:lineRule="auto"/>
              <w:ind w:firstLine="482"/>
              <w:rPr>
                <w:b/>
                <w:color w:val="auto"/>
                <w:highlight w:val="none"/>
              </w:rPr>
            </w:pPr>
            <w:r>
              <w:rPr>
                <w:rFonts w:hint="eastAsia"/>
                <w:b/>
                <w:color w:val="auto"/>
                <w:highlight w:val="none"/>
              </w:rPr>
              <w:t>（2）</w:t>
            </w:r>
            <w:r>
              <w:rPr>
                <w:b/>
                <w:color w:val="auto"/>
                <w:highlight w:val="none"/>
              </w:rPr>
              <w:t>外环境污染源</w:t>
            </w:r>
          </w:p>
          <w:p>
            <w:pPr>
              <w:pStyle w:val="32"/>
              <w:wordWrap w:val="0"/>
              <w:spacing w:line="360" w:lineRule="auto"/>
              <w:rPr>
                <w:color w:val="auto"/>
                <w:highlight w:val="none"/>
              </w:rPr>
            </w:pPr>
            <w:r>
              <w:rPr>
                <w:color w:val="auto"/>
                <w:highlight w:val="none"/>
              </w:rPr>
              <w:t>根据本项目外环境关系，外环境对本项目的主要影响为乡道上行驶的运输车辆带来的噪声及扬尘等污染。</w:t>
            </w:r>
          </w:p>
          <w:p>
            <w:pPr>
              <w:pStyle w:val="32"/>
              <w:wordWrap w:val="0"/>
              <w:spacing w:line="360" w:lineRule="auto"/>
              <w:ind w:firstLine="482"/>
              <w:rPr>
                <w:b/>
                <w:color w:val="auto"/>
                <w:highlight w:val="none"/>
              </w:rPr>
            </w:pPr>
            <w:r>
              <w:rPr>
                <w:rFonts w:hint="eastAsia"/>
                <w:b/>
                <w:color w:val="auto"/>
                <w:highlight w:val="none"/>
              </w:rPr>
              <w:t>2.9水资源论述</w:t>
            </w:r>
          </w:p>
          <w:p>
            <w:pPr>
              <w:pStyle w:val="32"/>
              <w:wordWrap w:val="0"/>
              <w:spacing w:line="360" w:lineRule="auto"/>
              <w:rPr>
                <w:color w:val="auto"/>
                <w:highlight w:val="none"/>
              </w:rPr>
            </w:pPr>
            <w:r>
              <w:rPr>
                <w:rFonts w:hint="eastAsia"/>
                <w:color w:val="auto"/>
                <w:highlight w:val="none"/>
              </w:rPr>
              <w:t>（1）湘江水量的可靠性</w:t>
            </w:r>
          </w:p>
          <w:p>
            <w:pPr>
              <w:pStyle w:val="32"/>
              <w:wordWrap w:val="0"/>
              <w:spacing w:line="360" w:lineRule="auto"/>
              <w:rPr>
                <w:color w:val="auto"/>
                <w:highlight w:val="none"/>
              </w:rPr>
            </w:pPr>
            <w:r>
              <w:rPr>
                <w:color w:val="auto"/>
                <w:highlight w:val="none"/>
              </w:rPr>
              <w:t>湘江是洞庭湖水系湘、资、沅、澧四水中最大的一条河流，地处北纬24°31′～29°00′，东经111°30′～114°00′之间。发源于蓝山县紫良瑶族乡国家森林公园的野狗山麓，即原潇水发源地，流经江华瑶族自治县、江永县、道县、双牌县，经</w:t>
            </w:r>
            <w:r>
              <w:rPr>
                <w:rFonts w:hint="eastAsia"/>
                <w:color w:val="auto"/>
                <w:highlight w:val="none"/>
              </w:rPr>
              <w:t>零陵萍岛</w:t>
            </w:r>
            <w:r>
              <w:rPr>
                <w:color w:val="auto"/>
                <w:highlight w:val="none"/>
              </w:rPr>
              <w:t>纳海洋河，于常宁与耒阳交界的菱河口纳舂陵水、衡阳市纳蒸水与耒水、衡山县雷溪市纳洣水、株州县渌口纳渌水、湘潭市纳涓涟二水、长沙市汇浏阳河与捞刀河，至长沙县靖港纳沩水，北行至湘阴濠河口注入洞庭湖。</w:t>
            </w:r>
          </w:p>
          <w:p>
            <w:pPr>
              <w:pStyle w:val="32"/>
              <w:wordWrap w:val="0"/>
              <w:spacing w:line="360" w:lineRule="auto"/>
              <w:rPr>
                <w:color w:val="auto"/>
                <w:highlight w:val="none"/>
              </w:rPr>
            </w:pPr>
            <w:r>
              <w:rPr>
                <w:color w:val="auto"/>
                <w:highlight w:val="none"/>
              </w:rPr>
              <w:t>湘江干流全长856km，其中湖南境内河长670km。全流域面积94660km</w:t>
            </w:r>
            <w:r>
              <w:rPr>
                <w:color w:val="auto"/>
                <w:highlight w:val="none"/>
                <w:vertAlign w:val="superscript"/>
              </w:rPr>
              <w:t>2</w:t>
            </w:r>
            <w:r>
              <w:rPr>
                <w:color w:val="auto"/>
                <w:highlight w:val="none"/>
              </w:rPr>
              <w:t>，其中湖南境内85383km</w:t>
            </w:r>
            <w:r>
              <w:rPr>
                <w:color w:val="auto"/>
                <w:highlight w:val="none"/>
                <w:vertAlign w:val="superscript"/>
              </w:rPr>
              <w:t>2</w:t>
            </w:r>
            <w:r>
              <w:rPr>
                <w:color w:val="auto"/>
                <w:highlight w:val="none"/>
              </w:rPr>
              <w:t>。河流平均坡降为0.134‰。流域形状近似矩形，南北长，东西窄；地势西南高，东北低。流域南临南岭山脉与珠江水系分流，东以幕埠山，罗霄山脉与鄱阳湖水系分界，西以董家山、雷公岭与资水相隔，北接洞庭湖。湘江两岸河网发育不对称，右岸河网发育，流域面积67316km2，占整个流域面积71.2%。一级支流中有17条流域面积大于1000km2，其中有10条（包括广西灌江）从右岸汇入；流域面积超过10000 km</w:t>
            </w:r>
            <w:r>
              <w:rPr>
                <w:color w:val="auto"/>
                <w:highlight w:val="none"/>
                <w:vertAlign w:val="superscript"/>
              </w:rPr>
              <w:t>2</w:t>
            </w:r>
            <w:r>
              <w:rPr>
                <w:color w:val="auto"/>
                <w:highlight w:val="none"/>
              </w:rPr>
              <w:t>的潇水、耒水、洣水三条支流也都从右岸汇入，左岸支流较少。</w:t>
            </w:r>
          </w:p>
          <w:p>
            <w:pPr>
              <w:pStyle w:val="32"/>
              <w:wordWrap w:val="0"/>
              <w:spacing w:line="360" w:lineRule="auto"/>
              <w:rPr>
                <w:color w:val="auto"/>
                <w:highlight w:val="none"/>
              </w:rPr>
            </w:pPr>
            <w:r>
              <w:rPr>
                <w:color w:val="auto"/>
                <w:highlight w:val="none"/>
              </w:rPr>
              <w:t>本工程</w:t>
            </w:r>
            <w:r>
              <w:rPr>
                <w:rFonts w:hint="eastAsia"/>
                <w:color w:val="auto"/>
                <w:highlight w:val="none"/>
              </w:rPr>
              <w:t>取水泵房拟建设于湘江北岸的祁阳县潘市镇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color w:val="auto"/>
                <w:highlight w:val="none"/>
              </w:rPr>
              <w:t>，</w:t>
            </w:r>
            <w:r>
              <w:rPr>
                <w:rFonts w:hint="eastAsia"/>
                <w:color w:val="auto"/>
                <w:highlight w:val="none"/>
              </w:rPr>
              <w:t>取水水源水厂取水口无观测站，无长系列流量观测资料，</w:t>
            </w:r>
            <w:r>
              <w:rPr>
                <w:color w:val="auto"/>
                <w:highlight w:val="none"/>
              </w:rPr>
              <w:t>该区域径流主要由降水形成，在流域上游有老埠头水文站，该站位于湘江干流与海洋河汇合口以下约2km处，集水面积21341km</w:t>
            </w:r>
            <w:r>
              <w:rPr>
                <w:color w:val="auto"/>
                <w:highlight w:val="none"/>
                <w:vertAlign w:val="superscript"/>
              </w:rPr>
              <w:t>2</w:t>
            </w:r>
            <w:r>
              <w:rPr>
                <w:color w:val="auto"/>
                <w:highlight w:val="none"/>
              </w:rPr>
              <w:t>，1940年由伪杨子江水利委员会设立（始称零陵水文站）。1944年8月因日寇入侵而停测，1951年4月由湖南省人民政府恢复，1956年6月正式成立老埠头水文站。</w:t>
            </w:r>
            <w:r>
              <w:rPr>
                <w:rFonts w:hint="eastAsia"/>
                <w:color w:val="auto"/>
                <w:highlight w:val="none"/>
              </w:rPr>
              <w:t>该站</w:t>
            </w:r>
            <w:r>
              <w:rPr>
                <w:color w:val="auto"/>
                <w:highlight w:val="none"/>
              </w:rPr>
              <w:t>具有较长系列</w:t>
            </w:r>
            <w:r>
              <w:rPr>
                <w:rFonts w:hint="eastAsia"/>
                <w:color w:val="auto"/>
                <w:highlight w:val="none"/>
              </w:rPr>
              <w:t>（</w:t>
            </w:r>
            <w:r>
              <w:rPr>
                <w:color w:val="auto"/>
                <w:highlight w:val="none"/>
              </w:rPr>
              <w:t>1963~20</w:t>
            </w:r>
            <w:r>
              <w:rPr>
                <w:rFonts w:hint="eastAsia"/>
                <w:color w:val="auto"/>
                <w:highlight w:val="none"/>
              </w:rPr>
              <w:t>1</w:t>
            </w:r>
            <w:r>
              <w:rPr>
                <w:color w:val="auto"/>
                <w:highlight w:val="none"/>
              </w:rPr>
              <w:t>2年</w:t>
            </w:r>
            <w:r>
              <w:rPr>
                <w:rFonts w:hint="eastAsia"/>
                <w:color w:val="auto"/>
                <w:highlight w:val="none"/>
              </w:rPr>
              <w:t>）</w:t>
            </w:r>
            <w:r>
              <w:rPr>
                <w:color w:val="auto"/>
                <w:highlight w:val="none"/>
              </w:rPr>
              <w:t>的径流资料，资料可靠，具有一定的代表性，本次设计选择老埠头</w:t>
            </w:r>
            <w:r>
              <w:rPr>
                <w:rFonts w:hint="eastAsia"/>
                <w:color w:val="auto"/>
                <w:highlight w:val="none"/>
              </w:rPr>
              <w:t>水文站</w:t>
            </w:r>
            <w:r>
              <w:rPr>
                <w:color w:val="auto"/>
                <w:highlight w:val="none"/>
              </w:rPr>
              <w:t>作为参证站。</w:t>
            </w:r>
          </w:p>
          <w:p>
            <w:pPr>
              <w:pStyle w:val="32"/>
              <w:wordWrap w:val="0"/>
              <w:spacing w:line="360" w:lineRule="auto"/>
              <w:rPr>
                <w:color w:val="auto"/>
                <w:highlight w:val="none"/>
              </w:rPr>
            </w:pPr>
            <w:r>
              <w:rPr>
                <w:rFonts w:hint="eastAsia"/>
                <w:color w:val="auto"/>
                <w:highlight w:val="none"/>
              </w:rPr>
              <w:t>利用水文比拟法，用老埠头水文站实测流量资料推求项目取水断面以上来水量，因1963年上游双牌水库建成，对下游流量产生影响，为使径流保持较好的一致性，决定采用1963～2012年的实测流量资料进行计算。</w:t>
            </w:r>
            <w:r>
              <w:rPr>
                <w:color w:val="auto"/>
                <w:highlight w:val="none"/>
              </w:rPr>
              <w:t>经计算，取水</w:t>
            </w:r>
            <w:r>
              <w:rPr>
                <w:rFonts w:hint="eastAsia"/>
                <w:color w:val="auto"/>
                <w:highlight w:val="none"/>
              </w:rPr>
              <w:t>断面</w:t>
            </w:r>
            <w:r>
              <w:rPr>
                <w:color w:val="auto"/>
                <w:highlight w:val="none"/>
              </w:rPr>
              <w:t>处多年平均流量69</w:t>
            </w:r>
            <w:r>
              <w:rPr>
                <w:rFonts w:hint="eastAsia"/>
                <w:color w:val="auto"/>
                <w:highlight w:val="none"/>
              </w:rPr>
              <w:t>3.7</w:t>
            </w:r>
            <w:r>
              <w:rPr>
                <w:color w:val="auto"/>
                <w:highlight w:val="none"/>
              </w:rPr>
              <w:t>m</w:t>
            </w:r>
            <w:r>
              <w:rPr>
                <w:color w:val="auto"/>
                <w:highlight w:val="none"/>
                <w:vertAlign w:val="superscript"/>
              </w:rPr>
              <w:t>3</w:t>
            </w:r>
            <w:r>
              <w:rPr>
                <w:color w:val="auto"/>
                <w:highlight w:val="none"/>
              </w:rPr>
              <w:t>/s，多年平均径流量21</w:t>
            </w:r>
            <w:r>
              <w:rPr>
                <w:rFonts w:hint="eastAsia"/>
                <w:color w:val="auto"/>
                <w:highlight w:val="none"/>
              </w:rPr>
              <w:t>8.8</w:t>
            </w:r>
            <w:r>
              <w:rPr>
                <w:color w:val="auto"/>
                <w:highlight w:val="none"/>
              </w:rPr>
              <w:t>亿m</w:t>
            </w:r>
            <w:r>
              <w:rPr>
                <w:color w:val="auto"/>
                <w:highlight w:val="none"/>
                <w:vertAlign w:val="superscript"/>
              </w:rPr>
              <w:t>3</w:t>
            </w:r>
            <w:r>
              <w:rPr>
                <w:color w:val="auto"/>
                <w:highlight w:val="none"/>
              </w:rPr>
              <w:t>。</w:t>
            </w:r>
            <w:r>
              <w:rPr>
                <w:rFonts w:hint="eastAsia"/>
                <w:color w:val="auto"/>
                <w:highlight w:val="none"/>
              </w:rPr>
              <w:t>由于供水工程采用的保证率为95%，根据计算确定本项目湘江取水口断面控制最小流量为79.4m</w:t>
            </w:r>
            <w:r>
              <w:rPr>
                <w:rFonts w:hint="eastAsia"/>
                <w:color w:val="auto"/>
                <w:highlight w:val="none"/>
                <w:vertAlign w:val="superscript"/>
              </w:rPr>
              <w:t>3</w:t>
            </w:r>
            <w:r>
              <w:rPr>
                <w:rFonts w:hint="eastAsia"/>
                <w:color w:val="auto"/>
                <w:highlight w:val="none"/>
              </w:rPr>
              <w:t>/s，采用水文比拟分计算得到取水泵房处95%保证率下年平均流量为436.0m</w:t>
            </w:r>
            <w:r>
              <w:rPr>
                <w:rFonts w:hint="eastAsia"/>
                <w:color w:val="auto"/>
                <w:highlight w:val="none"/>
                <w:vertAlign w:val="superscript"/>
              </w:rPr>
              <w:t>3</w:t>
            </w:r>
            <w:r>
              <w:rPr>
                <w:rFonts w:hint="eastAsia"/>
                <w:color w:val="auto"/>
                <w:highlight w:val="none"/>
              </w:rPr>
              <w:t>/s，因此可供流量为356.6m</w:t>
            </w:r>
            <w:r>
              <w:rPr>
                <w:rFonts w:hint="eastAsia"/>
                <w:color w:val="auto"/>
                <w:highlight w:val="none"/>
                <w:vertAlign w:val="superscript"/>
              </w:rPr>
              <w:t>3</w:t>
            </w:r>
            <w:r>
              <w:rPr>
                <w:rFonts w:hint="eastAsia"/>
                <w:color w:val="auto"/>
                <w:highlight w:val="none"/>
              </w:rPr>
              <w:t>/s，年可供水量为112.5亿m</w:t>
            </w:r>
            <w:r>
              <w:rPr>
                <w:rFonts w:hint="eastAsia"/>
                <w:color w:val="auto"/>
                <w:highlight w:val="none"/>
                <w:vertAlign w:val="superscript"/>
              </w:rPr>
              <w:t>3</w:t>
            </w:r>
            <w:r>
              <w:rPr>
                <w:rFonts w:hint="eastAsia"/>
                <w:color w:val="auto"/>
                <w:highlight w:val="none"/>
              </w:rPr>
              <w:t>，因此水资源量相当丰富，完全可以满足本工程需要。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25" w:hRule="atLeast"/>
          <w:jc w:val="center"/>
        </w:trPr>
        <w:tc>
          <w:tcPr>
            <w:tcW w:w="9071" w:type="dxa"/>
            <w:gridSpan w:val="8"/>
            <w:vAlign w:val="center"/>
          </w:tcPr>
          <w:p>
            <w:pPr>
              <w:spacing w:line="240" w:lineRule="auto"/>
              <w:ind w:firstLine="0" w:firstLineChars="0"/>
              <w:rPr>
                <w:rFonts w:eastAsiaTheme="minorEastAsia"/>
                <w:b/>
                <w:bCs/>
                <w:color w:val="auto"/>
                <w:sz w:val="30"/>
                <w:szCs w:val="30"/>
                <w:highlight w:val="none"/>
              </w:rPr>
            </w:pPr>
            <w:r>
              <w:rPr>
                <w:rFonts w:eastAsiaTheme="minorEastAsia"/>
                <w:b/>
                <w:bCs/>
                <w:color w:val="auto"/>
                <w:sz w:val="30"/>
                <w:szCs w:val="30"/>
                <w:highlight w:val="none"/>
              </w:rPr>
              <w:t>与本项目有关的原有污染情况及主要环境问题：</w:t>
            </w:r>
          </w:p>
          <w:p>
            <w:pPr>
              <w:spacing w:line="360" w:lineRule="auto"/>
              <w:ind w:firstLine="482"/>
              <w:jc w:val="left"/>
              <w:rPr>
                <w:b/>
                <w:bCs/>
                <w:color w:val="auto"/>
                <w:kern w:val="0"/>
                <w:highlight w:val="none"/>
              </w:rPr>
            </w:pPr>
            <w:r>
              <w:rPr>
                <w:rFonts w:hint="eastAsia"/>
                <w:b/>
                <w:bCs/>
                <w:color w:val="auto"/>
                <w:kern w:val="0"/>
                <w:highlight w:val="none"/>
              </w:rPr>
              <w:t>（1）水厂建设地污染源调查</w:t>
            </w:r>
          </w:p>
          <w:p>
            <w:pPr>
              <w:spacing w:line="360" w:lineRule="auto"/>
              <w:jc w:val="left"/>
              <w:rPr>
                <w:color w:val="auto"/>
                <w:highlight w:val="none"/>
              </w:rPr>
            </w:pPr>
            <w:r>
              <w:rPr>
                <w:color w:val="auto"/>
                <w:highlight w:val="none"/>
              </w:rPr>
              <w:t>为加快解决农村饮水安全问题</w:t>
            </w:r>
            <w:r>
              <w:rPr>
                <w:rFonts w:hint="eastAsia"/>
                <w:color w:val="auto"/>
                <w:highlight w:val="none"/>
                <w:lang w:eastAsia="zh-CN"/>
              </w:rPr>
              <w:t>，</w:t>
            </w:r>
            <w:r>
              <w:rPr>
                <w:color w:val="auto"/>
                <w:highlight w:val="none"/>
              </w:rPr>
              <w:t>2018年，祁阳县出台了《祁阳县城乡供水一体化实施方案》</w:t>
            </w:r>
            <w:r>
              <w:rPr>
                <w:rFonts w:hint="eastAsia"/>
                <w:color w:val="auto"/>
                <w:highlight w:val="none"/>
                <w:lang w:eastAsia="zh-CN"/>
              </w:rPr>
              <w:t>，</w:t>
            </w:r>
            <w:r>
              <w:rPr>
                <w:color w:val="auto"/>
                <w:highlight w:val="none"/>
              </w:rPr>
              <w:t>祁阳县城乡供水一体化</w:t>
            </w:r>
            <w:r>
              <w:rPr>
                <w:rFonts w:hint="eastAsia"/>
                <w:color w:val="auto"/>
                <w:highlight w:val="none"/>
                <w:lang w:val="en-US" w:eastAsia="zh-CN"/>
              </w:rPr>
              <w:t>工程分为两期建设，</w:t>
            </w:r>
            <w:r>
              <w:rPr>
                <w:rFonts w:hint="eastAsia"/>
                <w:color w:val="auto"/>
                <w:kern w:val="0"/>
                <w:highlight w:val="none"/>
                <w:u w:val="none"/>
              </w:rPr>
              <w:t>（一期）</w:t>
            </w:r>
            <w:r>
              <w:rPr>
                <w:rFonts w:hint="eastAsia"/>
                <w:color w:val="auto"/>
                <w:kern w:val="0"/>
                <w:highlight w:val="none"/>
                <w:u w:val="none"/>
                <w:lang w:val="en-US" w:eastAsia="zh-CN"/>
              </w:rPr>
              <w:t>工程位于祁阳县北片区，包含</w:t>
            </w:r>
            <w:r>
              <w:rPr>
                <w:rFonts w:hint="eastAsia"/>
                <w:color w:val="auto"/>
                <w:spacing w:val="-6"/>
                <w:sz w:val="24"/>
                <w:highlight w:val="none"/>
                <w:u w:val="none"/>
              </w:rPr>
              <w:t>祁阳县大村甸水厂</w:t>
            </w:r>
            <w:r>
              <w:rPr>
                <w:rFonts w:hint="eastAsia"/>
                <w:color w:val="auto"/>
                <w:spacing w:val="-6"/>
                <w:sz w:val="24"/>
                <w:highlight w:val="none"/>
                <w:u w:val="none"/>
                <w:lang w:val="en-US" w:eastAsia="zh-CN"/>
              </w:rPr>
              <w:t>和</w:t>
            </w:r>
            <w:r>
              <w:rPr>
                <w:rFonts w:hint="eastAsia"/>
                <w:color w:val="auto"/>
                <w:highlight w:val="none"/>
                <w:u w:val="none"/>
              </w:rPr>
              <w:t>祁阳县黎家坪水厂</w:t>
            </w:r>
            <w:r>
              <w:rPr>
                <w:rFonts w:hint="eastAsia"/>
                <w:color w:val="auto"/>
                <w:highlight w:val="none"/>
                <w:u w:val="none"/>
                <w:lang w:eastAsia="zh-CN"/>
              </w:rPr>
              <w:t>，覆盖龚家坪镇、文明铺镇、黎家坪镇、大村甸镇、文富市镇，</w:t>
            </w:r>
            <w:r>
              <w:rPr>
                <w:rFonts w:hint="eastAsia"/>
                <w:color w:val="auto"/>
                <w:highlight w:val="none"/>
                <w:u w:val="none"/>
                <w:lang w:val="en-US" w:eastAsia="zh-CN"/>
              </w:rPr>
              <w:t>大村甸水厂已建成投产，</w:t>
            </w:r>
            <w:r>
              <w:rPr>
                <w:rFonts w:hint="eastAsia"/>
                <w:color w:val="auto"/>
                <w:highlight w:val="none"/>
                <w:u w:val="none"/>
                <w:shd w:val="clear" w:color="auto" w:fill="FFFFFF"/>
              </w:rPr>
              <w:t>供水规模33000m</w:t>
            </w:r>
            <w:r>
              <w:rPr>
                <w:rFonts w:hint="eastAsia"/>
                <w:color w:val="auto"/>
                <w:highlight w:val="none"/>
                <w:u w:val="none"/>
                <w:shd w:val="clear" w:color="auto" w:fill="FFFFFF"/>
                <w:vertAlign w:val="superscript"/>
              </w:rPr>
              <w:t>3</w:t>
            </w:r>
            <w:r>
              <w:rPr>
                <w:rFonts w:hint="eastAsia"/>
                <w:color w:val="auto"/>
                <w:highlight w:val="none"/>
                <w:u w:val="none"/>
                <w:shd w:val="clear" w:color="auto" w:fill="FFFFFF"/>
              </w:rPr>
              <w:t>/d</w:t>
            </w:r>
            <w:r>
              <w:rPr>
                <w:rFonts w:hint="eastAsia"/>
                <w:color w:val="auto"/>
                <w:highlight w:val="none"/>
                <w:u w:val="none"/>
                <w:shd w:val="clear" w:color="auto" w:fill="FFFFFF"/>
                <w:lang w:eastAsia="zh-CN"/>
              </w:rPr>
              <w:t>，</w:t>
            </w:r>
            <w:r>
              <w:rPr>
                <w:rFonts w:hint="eastAsia"/>
                <w:color w:val="auto"/>
                <w:highlight w:val="none"/>
                <w:u w:val="none"/>
              </w:rPr>
              <w:t>黎家坪水厂于1994年10月建成投产</w:t>
            </w:r>
            <w:r>
              <w:rPr>
                <w:rFonts w:hint="eastAsia"/>
                <w:color w:val="auto"/>
                <w:highlight w:val="none"/>
                <w:u w:val="none"/>
                <w:lang w:eastAsia="zh-CN"/>
              </w:rPr>
              <w:t>，现有供水规模</w:t>
            </w:r>
            <w:r>
              <w:rPr>
                <w:rFonts w:hint="eastAsia"/>
                <w:color w:val="auto"/>
                <w:highlight w:val="none"/>
                <w:u w:val="none"/>
                <w:lang w:val="en-US" w:eastAsia="zh-CN"/>
              </w:rPr>
              <w:t>为</w:t>
            </w:r>
            <w:r>
              <w:rPr>
                <w:rFonts w:hint="eastAsia"/>
                <w:color w:val="auto"/>
                <w:highlight w:val="none"/>
                <w:u w:val="none"/>
                <w:lang w:eastAsia="zh-CN"/>
              </w:rPr>
              <w:t>12000m</w:t>
            </w:r>
            <w:r>
              <w:rPr>
                <w:rFonts w:hint="eastAsia"/>
                <w:color w:val="auto"/>
                <w:highlight w:val="none"/>
                <w:u w:val="none"/>
                <w:vertAlign w:val="superscript"/>
                <w:lang w:eastAsia="zh-CN"/>
              </w:rPr>
              <w:t>3</w:t>
            </w:r>
            <w:r>
              <w:rPr>
                <w:rFonts w:hint="eastAsia"/>
                <w:color w:val="auto"/>
                <w:highlight w:val="none"/>
                <w:u w:val="none"/>
                <w:lang w:eastAsia="zh-CN"/>
              </w:rPr>
              <w:t>/d，</w:t>
            </w:r>
            <w:r>
              <w:rPr>
                <w:rFonts w:hint="eastAsia"/>
                <w:color w:val="auto"/>
                <w:highlight w:val="none"/>
                <w:u w:val="none"/>
                <w:lang w:val="en-US" w:eastAsia="zh-CN"/>
              </w:rPr>
              <w:t>目前正在扩建中，扩建后</w:t>
            </w:r>
            <w:r>
              <w:rPr>
                <w:rFonts w:hint="eastAsia"/>
                <w:color w:val="auto"/>
                <w:highlight w:val="none"/>
                <w:u w:val="none"/>
              </w:rPr>
              <w:t>全厂的净水规模达到20000m</w:t>
            </w:r>
            <w:r>
              <w:rPr>
                <w:rFonts w:hint="eastAsia"/>
                <w:color w:val="auto"/>
                <w:highlight w:val="none"/>
                <w:u w:val="none"/>
                <w:vertAlign w:val="superscript"/>
              </w:rPr>
              <w:t>3</w:t>
            </w:r>
            <w:r>
              <w:rPr>
                <w:rFonts w:hint="eastAsia"/>
                <w:color w:val="auto"/>
                <w:highlight w:val="none"/>
                <w:u w:val="none"/>
              </w:rPr>
              <w:t>/d</w:t>
            </w:r>
            <w:r>
              <w:rPr>
                <w:rFonts w:hint="eastAsia"/>
                <w:color w:val="auto"/>
                <w:highlight w:val="none"/>
                <w:u w:val="none"/>
                <w:lang w:eastAsia="zh-CN"/>
              </w:rPr>
              <w:t>，</w:t>
            </w:r>
            <w:r>
              <w:rPr>
                <w:rFonts w:hint="eastAsia"/>
                <w:color w:val="auto"/>
                <w:highlight w:val="none"/>
                <w:u w:val="none"/>
                <w:lang w:val="en-US" w:eastAsia="zh-CN"/>
              </w:rPr>
              <w:t>本项目属于</w:t>
            </w:r>
            <w:r>
              <w:rPr>
                <w:rFonts w:hint="eastAsia"/>
                <w:color w:val="auto"/>
                <w:kern w:val="0"/>
                <w:highlight w:val="none"/>
                <w:u w:val="none"/>
              </w:rPr>
              <w:t>祁阳县城乡供水一体化</w:t>
            </w:r>
            <w:r>
              <w:rPr>
                <w:rFonts w:hint="eastAsia"/>
                <w:color w:val="auto"/>
                <w:kern w:val="0"/>
                <w:highlight w:val="none"/>
                <w:u w:val="none"/>
                <w:lang w:val="en-US" w:eastAsia="zh-CN"/>
              </w:rPr>
              <w:t>二期工程，位于祁阳县南片区，供水范围覆盖</w:t>
            </w:r>
            <w:r>
              <w:rPr>
                <w:rFonts w:hint="eastAsia"/>
                <w:color w:val="auto"/>
                <w:highlight w:val="none"/>
                <w:u w:val="none"/>
              </w:rPr>
              <w:t>供水覆盖潘市镇、梅溪镇、羊角塘镇、进宝塘镇、黄泥塘镇、白水镇、八宝镇、肖家镇。</w:t>
            </w:r>
            <w:r>
              <w:rPr>
                <w:rFonts w:hint="eastAsia"/>
                <w:color w:val="auto"/>
                <w:highlight w:val="none"/>
                <w:u w:val="none"/>
                <w:lang w:val="en-US" w:eastAsia="zh-CN"/>
              </w:rPr>
              <w:t>本项目为新建工程， 与</w:t>
            </w:r>
            <w:r>
              <w:rPr>
                <w:rFonts w:hint="eastAsia"/>
                <w:color w:val="auto"/>
                <w:kern w:val="0"/>
                <w:highlight w:val="none"/>
                <w:u w:val="none"/>
              </w:rPr>
              <w:t>祁阳县城乡供水一体化（一期）</w:t>
            </w:r>
            <w:r>
              <w:rPr>
                <w:rFonts w:hint="eastAsia"/>
                <w:color w:val="auto"/>
                <w:kern w:val="0"/>
                <w:highlight w:val="none"/>
                <w:u w:val="none"/>
                <w:lang w:val="en-US" w:eastAsia="zh-CN"/>
              </w:rPr>
              <w:t>工程无依托工程</w:t>
            </w:r>
            <w:r>
              <w:rPr>
                <w:rFonts w:hint="eastAsia"/>
                <w:color w:val="auto"/>
                <w:kern w:val="0"/>
                <w:highlight w:val="none"/>
                <w:lang w:val="en-US" w:eastAsia="zh-CN"/>
              </w:rPr>
              <w:t>，</w:t>
            </w:r>
            <w:r>
              <w:rPr>
                <w:rFonts w:hint="eastAsia"/>
                <w:color w:val="auto"/>
                <w:kern w:val="0"/>
                <w:highlight w:val="none"/>
              </w:rPr>
              <w:t>根据现场调查，项目建设位于</w:t>
            </w:r>
            <w:r>
              <w:rPr>
                <w:rFonts w:hint="eastAsia"/>
                <w:color w:val="auto"/>
                <w:kern w:val="0"/>
                <w:szCs w:val="21"/>
                <w:highlight w:val="none"/>
              </w:rPr>
              <w:t>湖南省永州市祁阳县潘市镇</w:t>
            </w:r>
            <w:r>
              <w:rPr>
                <w:rFonts w:hint="eastAsia"/>
                <w:color w:val="FF0000"/>
                <w:kern w:val="0"/>
                <w:szCs w:val="21"/>
                <w:highlight w:val="none"/>
                <w:u w:val="single"/>
                <w:lang w:eastAsia="zh-CN"/>
              </w:rPr>
              <w:t>董家埠村</w:t>
            </w:r>
            <w:r>
              <w:rPr>
                <w:rFonts w:hint="eastAsia"/>
                <w:color w:val="auto"/>
                <w:kern w:val="0"/>
                <w:szCs w:val="21"/>
                <w:highlight w:val="none"/>
              </w:rPr>
              <w:t>泗山塘与庙门前之间，</w:t>
            </w:r>
            <w:r>
              <w:rPr>
                <w:color w:val="auto"/>
                <w:highlight w:val="none"/>
              </w:rPr>
              <w:t>占地面积为</w:t>
            </w:r>
            <w:r>
              <w:rPr>
                <w:rFonts w:hint="eastAsia"/>
                <w:color w:val="auto"/>
                <w:kern w:val="0"/>
                <w:szCs w:val="21"/>
                <w:highlight w:val="none"/>
                <w:lang w:eastAsia="zh-CN"/>
              </w:rPr>
              <w:t>33512</w:t>
            </w:r>
            <w:r>
              <w:rPr>
                <w:color w:val="auto"/>
                <w:highlight w:val="none"/>
              </w:rPr>
              <w:t>m</w:t>
            </w:r>
            <w:r>
              <w:rPr>
                <w:color w:val="auto"/>
                <w:highlight w:val="none"/>
                <w:vertAlign w:val="superscript"/>
              </w:rPr>
              <w:t>2</w:t>
            </w:r>
            <w:r>
              <w:rPr>
                <w:rFonts w:hint="eastAsia"/>
                <w:color w:val="auto"/>
                <w:highlight w:val="none"/>
              </w:rPr>
              <w:t>，</w:t>
            </w:r>
            <w:r>
              <w:rPr>
                <w:rFonts w:hint="eastAsia"/>
                <w:color w:val="FF0000"/>
                <w:highlight w:val="none"/>
                <w:u w:val="single"/>
              </w:rPr>
              <w:t>用</w:t>
            </w:r>
            <w:r>
              <w:rPr>
                <w:color w:val="FF0000"/>
                <w:highlight w:val="none"/>
                <w:u w:val="single"/>
              </w:rPr>
              <w:t>地类型</w:t>
            </w:r>
            <w:r>
              <w:rPr>
                <w:rFonts w:hint="eastAsia"/>
                <w:color w:val="FF0000"/>
                <w:highlight w:val="none"/>
                <w:u w:val="single"/>
              </w:rPr>
              <w:t>主要</w:t>
            </w:r>
            <w:r>
              <w:rPr>
                <w:color w:val="FF0000"/>
                <w:highlight w:val="none"/>
                <w:u w:val="single"/>
              </w:rPr>
              <w:t>为</w:t>
            </w:r>
            <w:r>
              <w:rPr>
                <w:rFonts w:hint="eastAsia"/>
                <w:color w:val="FF0000"/>
                <w:highlight w:val="none"/>
                <w:u w:val="single"/>
                <w:lang w:eastAsia="zh-CN"/>
              </w:rPr>
              <w:t>园地、林地（非公益林）、其他农用地、其他土地，不占用基本农田</w:t>
            </w:r>
            <w:r>
              <w:rPr>
                <w:color w:val="auto"/>
                <w:highlight w:val="none"/>
              </w:rPr>
              <w:t>，周边山丘植被类型为常绿阔叶林，主要植物为楠竹、松、杉树等。</w:t>
            </w:r>
            <w:r>
              <w:rPr>
                <w:rFonts w:hint="eastAsia"/>
                <w:color w:val="auto"/>
                <w:highlight w:val="none"/>
              </w:rPr>
              <w:t>根据现场踏勘及建设方提供的资料，项目周边无水、气型工业污染源和大型农业污染源。</w:t>
            </w:r>
          </w:p>
          <w:p>
            <w:pPr>
              <w:spacing w:line="360" w:lineRule="auto"/>
              <w:ind w:firstLine="482"/>
              <w:jc w:val="left"/>
              <w:rPr>
                <w:b/>
                <w:bCs/>
                <w:color w:val="auto"/>
                <w:kern w:val="0"/>
                <w:highlight w:val="none"/>
              </w:rPr>
            </w:pPr>
            <w:r>
              <w:rPr>
                <w:rFonts w:hint="eastAsia"/>
                <w:b/>
                <w:bCs/>
                <w:color w:val="auto"/>
                <w:kern w:val="0"/>
                <w:highlight w:val="none"/>
              </w:rPr>
              <w:t>（2）水源地污染源调查</w:t>
            </w:r>
          </w:p>
          <w:p>
            <w:pPr>
              <w:spacing w:line="360" w:lineRule="auto"/>
              <w:jc w:val="left"/>
              <w:rPr>
                <w:rFonts w:hint="eastAsia" w:ascii="Times New Roman" w:hAnsi="Times New Roman" w:eastAsia="宋体" w:cs="Times New Roman"/>
                <w:color w:val="FF0000"/>
                <w:highlight w:val="none"/>
                <w:u w:val="single"/>
              </w:rPr>
            </w:pPr>
            <w:r>
              <w:rPr>
                <w:rFonts w:hint="eastAsia"/>
                <w:color w:val="auto"/>
                <w:highlight w:val="none"/>
              </w:rPr>
              <w:t>项目水源地位于祁阳县潘市镇</w:t>
            </w:r>
            <w:r>
              <w:rPr>
                <w:rFonts w:hint="eastAsia"/>
                <w:color w:val="FF0000"/>
                <w:kern w:val="0"/>
                <w:szCs w:val="21"/>
                <w:highlight w:val="none"/>
                <w:u w:val="single"/>
                <w:lang w:eastAsia="zh-CN"/>
              </w:rPr>
              <w:t>董家埠村</w:t>
            </w:r>
            <w:r>
              <w:rPr>
                <w:rFonts w:hint="eastAsia"/>
                <w:color w:val="auto"/>
                <w:highlight w:val="none"/>
              </w:rPr>
              <w:t>泗山塘与庙门前之间湘江“鸭婆洲上端至衡阳交界处（归阳镇）”河段</w:t>
            </w:r>
            <w:r>
              <w:rPr>
                <w:rFonts w:hint="eastAsia"/>
                <w:color w:val="auto"/>
                <w:kern w:val="0"/>
                <w:szCs w:val="21"/>
                <w:highlight w:val="none"/>
              </w:rPr>
              <w:t>，水源地自然环境良好，周边均为山林、荒地以及少数农用耕地，属于典型农村环境，水源点最近180m处5户</w:t>
            </w:r>
            <w:r>
              <w:rPr>
                <w:rFonts w:hint="eastAsia"/>
                <w:color w:val="auto"/>
                <w:highlight w:val="none"/>
              </w:rPr>
              <w:t>泗山塘居民点，水源地3km范围内无排污口、无油库、垃圾厂等污染源存在</w:t>
            </w:r>
            <w:r>
              <w:rPr>
                <w:rFonts w:hint="eastAsia"/>
                <w:color w:val="auto"/>
                <w:highlight w:val="none"/>
                <w:lang w:eastAsia="zh-CN"/>
              </w:rPr>
              <w:t>，</w:t>
            </w:r>
            <w:r>
              <w:rPr>
                <w:rFonts w:hint="eastAsia"/>
                <w:color w:val="FF0000"/>
                <w:highlight w:val="none"/>
                <w:u w:val="single"/>
                <w:lang w:eastAsia="zh-CN"/>
              </w:rPr>
              <w:t>项</w:t>
            </w:r>
            <w:r>
              <w:rPr>
                <w:rFonts w:hint="eastAsia" w:ascii="Times New Roman" w:hAnsi="Times New Roman" w:eastAsia="宋体" w:cs="Times New Roman"/>
                <w:color w:val="FF0000"/>
                <w:highlight w:val="none"/>
                <w:u w:val="single"/>
                <w:lang w:eastAsia="zh-CN"/>
              </w:rPr>
              <w:t>目</w:t>
            </w:r>
            <w:r>
              <w:rPr>
                <w:rFonts w:hint="eastAsia" w:ascii="Times New Roman" w:hAnsi="Times New Roman" w:eastAsia="宋体" w:cs="Times New Roman"/>
                <w:color w:val="FF0000"/>
                <w:highlight w:val="none"/>
                <w:u w:val="single"/>
              </w:rPr>
              <w:t>北面约1.46km</w:t>
            </w:r>
            <w:r>
              <w:rPr>
                <w:rFonts w:hint="eastAsia" w:ascii="Times New Roman" w:hAnsi="Times New Roman" w:eastAsia="宋体" w:cs="Times New Roman"/>
                <w:color w:val="FF0000"/>
                <w:highlight w:val="none"/>
                <w:u w:val="single"/>
                <w:lang w:eastAsia="zh-CN"/>
              </w:rPr>
              <w:t>为</w:t>
            </w:r>
            <w:r>
              <w:rPr>
                <w:rFonts w:hint="eastAsia" w:ascii="Times New Roman" w:hAnsi="Times New Roman" w:eastAsia="宋体" w:cs="Times New Roman"/>
                <w:color w:val="FF0000"/>
                <w:highlight w:val="none"/>
                <w:u w:val="single"/>
              </w:rPr>
              <w:t>祁阳鑫茂新型建材有限公司</w:t>
            </w:r>
            <w:r>
              <w:rPr>
                <w:rFonts w:hint="eastAsia" w:ascii="Times New Roman" w:hAnsi="Times New Roman" w:eastAsia="宋体" w:cs="Times New Roman"/>
                <w:color w:val="FF0000"/>
                <w:highlight w:val="none"/>
                <w:u w:val="single"/>
                <w:lang w:eastAsia="zh-CN"/>
              </w:rPr>
              <w:t>，该公司生产方案为：</w:t>
            </w:r>
            <w:r>
              <w:rPr>
                <w:rFonts w:hint="eastAsia" w:ascii="Times New Roman" w:hAnsi="Times New Roman" w:eastAsia="宋体" w:cs="Times New Roman"/>
                <w:color w:val="FF0000"/>
                <w:highlight w:val="none"/>
                <w:u w:val="single"/>
                <w:lang w:val="zh-CN" w:eastAsia="zh-CN"/>
              </w:rPr>
              <w:t>年产</w:t>
            </w:r>
            <w:r>
              <w:rPr>
                <w:rFonts w:hint="eastAsia" w:ascii="Times New Roman" w:hAnsi="Times New Roman" w:eastAsia="宋体" w:cs="Times New Roman"/>
                <w:color w:val="FF0000"/>
                <w:highlight w:val="none"/>
                <w:u w:val="single"/>
                <w:lang w:val="en-US" w:eastAsia="zh-CN"/>
              </w:rPr>
              <w:t>3000万块</w:t>
            </w:r>
            <w:r>
              <w:rPr>
                <w:rFonts w:hint="eastAsia" w:ascii="Times New Roman" w:hAnsi="Times New Roman" w:eastAsia="宋体" w:cs="Times New Roman"/>
                <w:color w:val="FF0000"/>
                <w:highlight w:val="none"/>
                <w:u w:val="single"/>
                <w:lang w:eastAsia="zh-CN"/>
              </w:rPr>
              <w:t>页岩标砖，主要污染为隧道窑废气、原料破碎粉尘、生活污水，根据调查，</w:t>
            </w:r>
            <w:r>
              <w:rPr>
                <w:rFonts w:hint="eastAsia" w:ascii="Times New Roman" w:hAnsi="Times New Roman" w:eastAsia="宋体" w:cs="Times New Roman"/>
                <w:color w:val="FF0000"/>
                <w:highlight w:val="none"/>
                <w:u w:val="single"/>
              </w:rPr>
              <w:t>祁阳鑫茂新型建材有限公司</w:t>
            </w:r>
            <w:r>
              <w:rPr>
                <w:rFonts w:hint="eastAsia" w:ascii="Times New Roman" w:hAnsi="Times New Roman" w:eastAsia="宋体" w:cs="Times New Roman"/>
                <w:color w:val="FF0000"/>
                <w:highlight w:val="none"/>
                <w:u w:val="single"/>
                <w:lang w:eastAsia="zh-CN"/>
              </w:rPr>
              <w:t>隧道窑烟气已安装脱硫塔除尘，</w:t>
            </w:r>
            <w:r>
              <w:rPr>
                <w:rFonts w:hint="eastAsia" w:ascii="Times New Roman" w:hAnsi="Times New Roman" w:eastAsia="宋体" w:cs="Times New Roman"/>
                <w:color w:val="FF0000"/>
                <w:highlight w:val="none"/>
                <w:u w:val="single"/>
                <w:lang w:val="en-US" w:eastAsia="zh-CN"/>
              </w:rPr>
              <w:t>原料破碎粉尘采取生产车间密闭，运输皮带和筛分设备上安装物化喷水装置，破碎粉尘经集气罩收集后由布袋除尘器处理，生活废水经化粪池处理后定期清掏回用于厂区绿化和西北面山林浇灌，该厂目前已通过环竣工环保验收，环保设施到位，无废水外排，该项目距离本项目较远，且有山体阻隔，对水源地基本无影响</w:t>
            </w:r>
            <w:r>
              <w:rPr>
                <w:rFonts w:hint="eastAsia" w:ascii="Times New Roman" w:hAnsi="Times New Roman" w:eastAsia="宋体" w:cs="Times New Roman"/>
                <w:color w:val="FF0000"/>
                <w:highlight w:val="none"/>
                <w:u w:val="single"/>
              </w:rPr>
              <w:t>。</w:t>
            </w:r>
          </w:p>
          <w:p>
            <w:pPr>
              <w:spacing w:line="360" w:lineRule="auto"/>
              <w:ind w:firstLine="482"/>
              <w:jc w:val="left"/>
              <w:rPr>
                <w:b/>
                <w:bCs/>
                <w:color w:val="auto"/>
                <w:highlight w:val="none"/>
              </w:rPr>
            </w:pPr>
            <w:r>
              <w:rPr>
                <w:rFonts w:hint="eastAsia"/>
                <w:b/>
                <w:bCs/>
                <w:color w:val="auto"/>
                <w:highlight w:val="none"/>
              </w:rPr>
              <w:t>（3）与本项目有关的原有污染情况：</w:t>
            </w:r>
          </w:p>
          <w:p>
            <w:pPr>
              <w:pStyle w:val="32"/>
              <w:wordWrap w:val="0"/>
              <w:spacing w:line="360" w:lineRule="auto"/>
              <w:rPr>
                <w:color w:val="auto"/>
                <w:highlight w:val="none"/>
              </w:rPr>
            </w:pPr>
            <w:r>
              <w:rPr>
                <w:rFonts w:hint="eastAsia"/>
                <w:color w:val="auto"/>
                <w:highlight w:val="none"/>
              </w:rPr>
              <w:t>与本项目有关的原有污染情况主要为管道工程沿线公路产生的交通噪声。</w:t>
            </w:r>
            <w:r>
              <w:rPr>
                <w:color w:val="auto"/>
                <w:highlight w:val="none"/>
              </w:rPr>
              <w:t>本项目为新建项目，因</w:t>
            </w:r>
            <w:r>
              <w:rPr>
                <w:rFonts w:hint="eastAsia"/>
                <w:color w:val="auto"/>
                <w:highlight w:val="none"/>
              </w:rPr>
              <w:t>建设选址为农村环境，项目区主要以农业为主，环境质量良好。</w:t>
            </w:r>
            <w:r>
              <w:rPr>
                <w:color w:val="auto"/>
                <w:highlight w:val="none"/>
              </w:rPr>
              <w:t>此本项目不存在原有环境问题。</w:t>
            </w:r>
          </w:p>
          <w:p>
            <w:pPr>
              <w:pStyle w:val="32"/>
              <w:wordWrap w:val="0"/>
              <w:spacing w:line="360" w:lineRule="auto"/>
              <w:rPr>
                <w:color w:val="auto"/>
                <w:highlight w:val="none"/>
              </w:rPr>
            </w:pPr>
          </w:p>
          <w:p>
            <w:pPr>
              <w:pStyle w:val="32"/>
              <w:wordWrap w:val="0"/>
              <w:spacing w:line="360" w:lineRule="auto"/>
              <w:rPr>
                <w:color w:val="auto"/>
                <w:highlight w:val="none"/>
              </w:rPr>
            </w:pPr>
          </w:p>
          <w:p>
            <w:pPr>
              <w:pStyle w:val="32"/>
              <w:wordWrap w:val="0"/>
              <w:spacing w:line="360" w:lineRule="auto"/>
              <w:ind w:left="0" w:leftChars="0" w:firstLine="0" w:firstLineChars="0"/>
              <w:rPr>
                <w:rFonts w:hint="eastAsia" w:eastAsia="宋体"/>
                <w:color w:val="auto"/>
                <w:highlight w:val="none"/>
                <w:lang w:eastAsia="zh-CN"/>
              </w:rPr>
            </w:pPr>
          </w:p>
        </w:tc>
      </w:tr>
    </w:tbl>
    <w:p>
      <w:pPr>
        <w:ind w:firstLine="0" w:firstLineChars="0"/>
        <w:rPr>
          <w:color w:val="auto"/>
          <w:highlight w:val="none"/>
        </w:rPr>
        <w:sectPr>
          <w:footerReference r:id="rId10" w:type="default"/>
          <w:pgSz w:w="11906" w:h="16838"/>
          <w:pgMar w:top="1440" w:right="1800" w:bottom="1440" w:left="1800" w:header="851" w:footer="992" w:gutter="0"/>
          <w:cols w:space="425" w:num="1"/>
          <w:docGrid w:type="lines" w:linePitch="312" w:charSpace="0"/>
        </w:sectPr>
      </w:pPr>
    </w:p>
    <w:p>
      <w:pPr>
        <w:pStyle w:val="3"/>
        <w:spacing w:before="0" w:after="0" w:line="360" w:lineRule="auto"/>
        <w:ind w:firstLine="0" w:firstLineChars="0"/>
        <w:rPr>
          <w:color w:val="auto"/>
          <w:sz w:val="32"/>
          <w:highlight w:val="none"/>
        </w:rPr>
      </w:pPr>
      <w:bookmarkStart w:id="5" w:name="_Toc11917"/>
      <w:r>
        <w:rPr>
          <w:rFonts w:hint="eastAsia"/>
          <w:color w:val="auto"/>
          <w:sz w:val="32"/>
          <w:highlight w:val="none"/>
        </w:rPr>
        <w:t>建设项目所在地自然环境社会环境简况</w:t>
      </w:r>
      <w:bookmarkEnd w:id="5"/>
    </w:p>
    <w:tbl>
      <w:tblPr>
        <w:tblStyle w:val="26"/>
        <w:tblW w:w="907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05" w:hRule="atLeast"/>
          <w:jc w:val="center"/>
        </w:trPr>
        <w:tc>
          <w:tcPr>
            <w:tcW w:w="9077" w:type="dxa"/>
          </w:tcPr>
          <w:p>
            <w:pPr>
              <w:spacing w:line="560" w:lineRule="exact"/>
              <w:ind w:firstLine="0" w:firstLineChars="0"/>
              <w:rPr>
                <w:b/>
                <w:bCs/>
                <w:color w:val="auto"/>
                <w:sz w:val="28"/>
                <w:szCs w:val="28"/>
                <w:highlight w:val="none"/>
              </w:rPr>
            </w:pPr>
            <w:r>
              <w:rPr>
                <w:b/>
                <w:bCs/>
                <w:color w:val="auto"/>
                <w:sz w:val="28"/>
                <w:szCs w:val="28"/>
                <w:highlight w:val="none"/>
              </w:rPr>
              <w:t>自然环境简况(地形、地貌、地质、气候、气象、水文、植被、生物多样性等)：</w:t>
            </w:r>
          </w:p>
          <w:p>
            <w:pPr>
              <w:widowControl/>
              <w:spacing w:line="360" w:lineRule="auto"/>
              <w:ind w:firstLine="482"/>
              <w:jc w:val="left"/>
              <w:rPr>
                <w:b/>
                <w:bCs/>
                <w:color w:val="auto"/>
                <w:highlight w:val="none"/>
              </w:rPr>
            </w:pPr>
            <w:r>
              <w:rPr>
                <w:b/>
                <w:bCs/>
                <w:color w:val="auto"/>
                <w:highlight w:val="none"/>
              </w:rPr>
              <w:t>1、地理位置</w:t>
            </w:r>
          </w:p>
          <w:p>
            <w:pPr>
              <w:spacing w:line="360" w:lineRule="auto"/>
              <w:jc w:val="left"/>
              <w:rPr>
                <w:color w:val="auto"/>
                <w:kern w:val="0"/>
                <w:highlight w:val="none"/>
              </w:rPr>
            </w:pPr>
            <w:r>
              <w:rPr>
                <w:color w:val="auto"/>
                <w:kern w:val="0"/>
                <w:highlight w:val="none"/>
              </w:rPr>
              <w:t>祁阳县辖区东西最大距离64.5千米，南</w:t>
            </w:r>
            <w:r>
              <w:rPr>
                <w:rFonts w:hint="eastAsia"/>
                <w:color w:val="auto"/>
                <w:kern w:val="0"/>
                <w:highlight w:val="none"/>
              </w:rPr>
              <w:t>北最大距离90.4千米，总面积2538平方千米。位于东经110°35′~112°14′、北纬26°02′~26°51′之间。辖20个乡镇，3个农林场所，955个行政村（居委会），总人口101.7万人。地处湖南南部，永州东北部，北依衡山、祁山，南靠阳明山，湘江横贯县境中部。东接常宁、祁东，东南邻桂阳，南接新田、宁远，西南邻双牌，西抵零陵、冷水滩2区，西北邻冷水滩区，北连祁东，东北邻祁东，距永州市区48千米。湘桂铁路、322国道、衡枣高速公路、三南公路贯穿全境，湘江从县境中心穿过，交通十分便利。</w:t>
            </w:r>
          </w:p>
          <w:p>
            <w:pPr>
              <w:spacing w:line="360" w:lineRule="auto"/>
              <w:jc w:val="left"/>
              <w:rPr>
                <w:color w:val="auto"/>
                <w:kern w:val="0"/>
                <w:highlight w:val="none"/>
              </w:rPr>
            </w:pPr>
            <w:r>
              <w:rPr>
                <w:rFonts w:hint="eastAsia"/>
                <w:color w:val="auto"/>
                <w:kern w:val="0"/>
                <w:highlight w:val="none"/>
              </w:rPr>
              <w:t>本项目拟建</w:t>
            </w:r>
            <w:r>
              <w:rPr>
                <w:color w:val="auto"/>
                <w:kern w:val="0"/>
                <w:highlight w:val="none"/>
              </w:rPr>
              <w:t>位于</w:t>
            </w:r>
            <w:r>
              <w:rPr>
                <w:rFonts w:hint="eastAsia"/>
                <w:color w:val="auto"/>
                <w:kern w:val="0"/>
                <w:highlight w:val="none"/>
              </w:rPr>
              <w:t>湖南省永州市祁阳县潘市镇</w:t>
            </w:r>
            <w:r>
              <w:rPr>
                <w:rFonts w:hint="eastAsia"/>
                <w:color w:val="FF0000"/>
                <w:kern w:val="0"/>
                <w:szCs w:val="21"/>
                <w:highlight w:val="none"/>
                <w:u w:val="single"/>
                <w:lang w:eastAsia="zh-CN"/>
              </w:rPr>
              <w:t>董家埠村</w:t>
            </w:r>
            <w:r>
              <w:rPr>
                <w:rFonts w:hint="eastAsia"/>
                <w:color w:val="auto"/>
                <w:kern w:val="0"/>
                <w:highlight w:val="none"/>
              </w:rPr>
              <w:t>泗山塘与庙门前之间（地理坐标为：东经112.040656，北纬26.467903）</w:t>
            </w:r>
            <w:r>
              <w:rPr>
                <w:color w:val="auto"/>
                <w:kern w:val="0"/>
                <w:highlight w:val="none"/>
              </w:rPr>
              <w:t>，</w:t>
            </w:r>
            <w:bookmarkStart w:id="6" w:name="OLE_LINK25"/>
            <w:r>
              <w:rPr>
                <w:rFonts w:hint="eastAsia"/>
                <w:color w:val="auto"/>
                <w:kern w:val="0"/>
                <w:highlight w:val="none"/>
              </w:rPr>
              <w:t>厂区自建道路连接东面为乡道，</w:t>
            </w:r>
            <w:r>
              <w:rPr>
                <w:color w:val="auto"/>
                <w:kern w:val="0"/>
                <w:highlight w:val="none"/>
              </w:rPr>
              <w:t>交通较为便利。</w:t>
            </w:r>
            <w:bookmarkEnd w:id="6"/>
            <w:r>
              <w:rPr>
                <w:color w:val="auto"/>
                <w:kern w:val="0"/>
                <w:highlight w:val="none"/>
              </w:rPr>
              <w:t>项目具体地理位置见附图1。</w:t>
            </w:r>
          </w:p>
          <w:p>
            <w:pPr>
              <w:widowControl/>
              <w:spacing w:line="360" w:lineRule="auto"/>
              <w:ind w:firstLine="482"/>
              <w:jc w:val="left"/>
              <w:rPr>
                <w:b/>
                <w:bCs/>
                <w:color w:val="auto"/>
                <w:highlight w:val="none"/>
              </w:rPr>
            </w:pPr>
            <w:r>
              <w:rPr>
                <w:b/>
                <w:bCs/>
                <w:color w:val="auto"/>
                <w:highlight w:val="none"/>
              </w:rPr>
              <w:t>2、地形、地貌、地质</w:t>
            </w:r>
          </w:p>
          <w:p>
            <w:pPr>
              <w:spacing w:line="360" w:lineRule="auto"/>
              <w:jc w:val="left"/>
              <w:rPr>
                <w:color w:val="auto"/>
                <w:kern w:val="0"/>
                <w:highlight w:val="none"/>
              </w:rPr>
            </w:pPr>
            <w:r>
              <w:rPr>
                <w:rFonts w:hint="eastAsia"/>
                <w:color w:val="auto"/>
                <w:kern w:val="0"/>
                <w:highlight w:val="none"/>
              </w:rPr>
              <w:t>祁阳县地貌呈不对称的凹字形盆地景观。阳明山脉横亘于南部，祁山山脉斜峙于东北，四明山余脉绵亘于西北，湘江贯穿中部，形成狭长的河谷平原。境内丘陵、山地、平原错杂，山地面积较为广大。</w:t>
            </w:r>
          </w:p>
          <w:p>
            <w:pPr>
              <w:spacing w:line="360" w:lineRule="auto"/>
              <w:jc w:val="left"/>
              <w:rPr>
                <w:color w:val="auto"/>
                <w:kern w:val="0"/>
                <w:highlight w:val="none"/>
              </w:rPr>
            </w:pPr>
            <w:r>
              <w:rPr>
                <w:rFonts w:hint="eastAsia"/>
                <w:color w:val="auto"/>
                <w:kern w:val="0"/>
                <w:highlight w:val="none"/>
              </w:rPr>
              <w:t>祁阳县位于祁阳山字型前弧南翼，次级构造较为发育。境内分布有寒武系、奥陶系、泥盆系、石炭系、二叠系、三叠系、侏罗系、白垩系等地层类型，奥陶系、泥盆系、石炭系分布较为广泛。土壤主要为黄色和红色粘土。</w:t>
            </w:r>
          </w:p>
          <w:p>
            <w:pPr>
              <w:spacing w:line="360" w:lineRule="auto"/>
              <w:jc w:val="left"/>
              <w:rPr>
                <w:color w:val="auto"/>
                <w:kern w:val="0"/>
                <w:highlight w:val="none"/>
              </w:rPr>
            </w:pPr>
            <w:r>
              <w:rPr>
                <w:rFonts w:hint="eastAsia"/>
                <w:color w:val="auto"/>
                <w:kern w:val="0"/>
                <w:highlight w:val="none"/>
              </w:rPr>
              <w:t>根据《中国地震动参数区划图》（GB18306-2001），该区域地震动峰值加速度分区为0.05g，地震动反应谱特征周期为0.35g，对照地震基本烈度为Ⅵ度。建筑物按Ⅵ度抗震设防。建筑结构应采用抗震性能好的结构体系，在抗震设防烈度Ⅵ度及以上区域，严禁使用预制空心板及预制楼梯。</w:t>
            </w:r>
          </w:p>
          <w:p>
            <w:pPr>
              <w:widowControl/>
              <w:spacing w:line="360" w:lineRule="auto"/>
              <w:ind w:firstLine="482"/>
              <w:jc w:val="left"/>
              <w:rPr>
                <w:b/>
                <w:bCs/>
                <w:color w:val="auto"/>
                <w:highlight w:val="none"/>
              </w:rPr>
            </w:pPr>
            <w:r>
              <w:rPr>
                <w:b/>
                <w:bCs/>
                <w:color w:val="auto"/>
                <w:highlight w:val="none"/>
              </w:rPr>
              <w:t>3、气候与气象</w:t>
            </w:r>
          </w:p>
          <w:p>
            <w:pPr>
              <w:spacing w:line="360" w:lineRule="auto"/>
              <w:jc w:val="left"/>
              <w:rPr>
                <w:color w:val="auto"/>
                <w:kern w:val="0"/>
                <w:highlight w:val="none"/>
              </w:rPr>
            </w:pPr>
            <w:r>
              <w:rPr>
                <w:rFonts w:hint="eastAsia"/>
                <w:color w:val="auto"/>
                <w:kern w:val="0"/>
                <w:highlight w:val="none"/>
              </w:rPr>
              <w:t>祁阳属亚热带季风性湿润气候，四季分明。其特点是：春温多变，寒潮频繁；夏多暴雨，易遭洪涝；秋季干旱，气候炎热；冬少严寒，间有冰冻。气候要素时空分布不均，山区高差悬殊，立体气候明显，水热分布差异大，局部小气候复杂。 年平均气温在18.2℃，南部相对高于北部，年最高气温出现在7月底至8月，平均温度29.5℃，极端最高气温大部分地方可达39℃以上；最低气温一般出现在1月初至2月底，平均温度6.2℃。年平均日照为1510.8小时，年无霜期291天。年平均降雨量1327.1mm，降水时间分布有明显的季节性，4～6月降水最多，占全年降水量的46.7%。平均相对湿度79%。常年主导风向为北风，夏季主导风向为SSW风，历年平均风速为1.4m/s，最大风速18.7m/s（1978年5月9日）。</w:t>
            </w:r>
          </w:p>
          <w:p>
            <w:pPr>
              <w:widowControl/>
              <w:spacing w:line="360" w:lineRule="auto"/>
              <w:ind w:firstLine="482"/>
              <w:jc w:val="left"/>
              <w:rPr>
                <w:b/>
                <w:bCs/>
                <w:color w:val="auto"/>
                <w:highlight w:val="none"/>
              </w:rPr>
            </w:pPr>
            <w:r>
              <w:rPr>
                <w:b/>
                <w:bCs/>
                <w:color w:val="auto"/>
                <w:highlight w:val="none"/>
              </w:rPr>
              <w:t>4、水文特征</w:t>
            </w:r>
          </w:p>
          <w:p>
            <w:pPr>
              <w:spacing w:line="360" w:lineRule="auto"/>
              <w:jc w:val="left"/>
              <w:rPr>
                <w:color w:val="auto"/>
                <w:kern w:val="0"/>
                <w:highlight w:val="none"/>
              </w:rPr>
            </w:pPr>
            <w:r>
              <w:rPr>
                <w:rFonts w:hint="eastAsia"/>
                <w:color w:val="auto"/>
                <w:kern w:val="0"/>
                <w:highlight w:val="none"/>
              </w:rPr>
              <w:t>祁阳县河流均属湘江水系。湘江从县内中部穿过，流向大致呈东西向，境内流程100.8km，落差18.8m，河面宽度一般为200-350m。</w:t>
            </w:r>
          </w:p>
          <w:p>
            <w:pPr>
              <w:spacing w:line="360" w:lineRule="auto"/>
              <w:jc w:val="left"/>
              <w:rPr>
                <w:color w:val="auto"/>
                <w:kern w:val="0"/>
                <w:highlight w:val="none"/>
              </w:rPr>
            </w:pPr>
            <w:r>
              <w:rPr>
                <w:rFonts w:hint="eastAsia"/>
                <w:color w:val="auto"/>
                <w:kern w:val="0"/>
                <w:highlight w:val="none"/>
              </w:rPr>
              <w:t>湘江是永州境内最大的过境河，湘江发源于湖南省蓝山县至永州市苹岛河段（即潇水）。在湖南省永州市境内，西源自东安县渌埠头入境，汇集紫水、石期河、潇水、应水、白水等，流经芝山、冷水滩，最后由祁阳唐家岭的九洲流向常宁市。境内流程227.2公里，自然落差55.3米。湘江水量丰富，入境流量283.55秒立米，出境流量774.5秒立米，是境内最重要的水路交通，也是全市工农业生产和人民生活用水的源泉。</w:t>
            </w:r>
          </w:p>
          <w:p>
            <w:pPr>
              <w:spacing w:line="360" w:lineRule="auto"/>
              <w:jc w:val="left"/>
              <w:rPr>
                <w:color w:val="auto"/>
                <w:kern w:val="0"/>
                <w:highlight w:val="none"/>
              </w:rPr>
            </w:pPr>
            <w:r>
              <w:rPr>
                <w:rFonts w:hint="eastAsia"/>
                <w:color w:val="auto"/>
                <w:kern w:val="0"/>
                <w:highlight w:val="none"/>
              </w:rPr>
              <w:t>本项目位于湖南省永州市祁阳县潘市镇</w:t>
            </w:r>
            <w:r>
              <w:rPr>
                <w:rFonts w:hint="eastAsia"/>
                <w:color w:val="FF0000"/>
                <w:kern w:val="0"/>
                <w:szCs w:val="21"/>
                <w:highlight w:val="none"/>
                <w:u w:val="single"/>
                <w:lang w:eastAsia="zh-CN"/>
              </w:rPr>
              <w:t>董家埠村</w:t>
            </w:r>
            <w:r>
              <w:rPr>
                <w:rFonts w:hint="eastAsia"/>
                <w:color w:val="auto"/>
                <w:kern w:val="0"/>
                <w:highlight w:val="none"/>
              </w:rPr>
              <w:t>泗山塘与庙门前之间，南面为</w:t>
            </w:r>
            <w:r>
              <w:rPr>
                <w:rFonts w:hint="eastAsia"/>
                <w:color w:val="auto"/>
                <w:highlight w:val="none"/>
              </w:rPr>
              <w:t>湘江“鸭婆洲上端至衡阳交界处（归阳镇）”河段，属于渔业用水，</w:t>
            </w:r>
            <w:r>
              <w:rPr>
                <w:rFonts w:hint="eastAsia"/>
                <w:color w:val="auto"/>
                <w:kern w:val="0"/>
                <w:highlight w:val="none"/>
              </w:rPr>
              <w:t>执行《地表水环境质量标准》（GB3838-2002）中Ⅱ类标准。</w:t>
            </w:r>
          </w:p>
          <w:p>
            <w:pPr>
              <w:spacing w:line="360" w:lineRule="auto"/>
              <w:ind w:firstLine="482"/>
              <w:jc w:val="left"/>
              <w:rPr>
                <w:b/>
                <w:bCs/>
                <w:color w:val="auto"/>
                <w:highlight w:val="none"/>
                <w:lang w:val="zh-CN"/>
              </w:rPr>
            </w:pPr>
            <w:r>
              <w:rPr>
                <w:rFonts w:hint="eastAsia"/>
                <w:b/>
                <w:bCs/>
                <w:color w:val="auto"/>
                <w:highlight w:val="none"/>
                <w:lang w:val="zh-CN"/>
              </w:rPr>
              <w:t>（2）地下水</w:t>
            </w:r>
          </w:p>
          <w:p>
            <w:pPr>
              <w:spacing w:line="360" w:lineRule="auto"/>
              <w:jc w:val="left"/>
              <w:rPr>
                <w:color w:val="auto"/>
                <w:kern w:val="0"/>
                <w:highlight w:val="none"/>
                <w:lang w:val="zh-CN"/>
              </w:rPr>
            </w:pPr>
            <w:r>
              <w:rPr>
                <w:rFonts w:hint="eastAsia"/>
                <w:color w:val="auto"/>
                <w:kern w:val="0"/>
                <w:highlight w:val="none"/>
                <w:lang w:val="zh-CN"/>
              </w:rPr>
              <w:t>① 含水层</w:t>
            </w:r>
          </w:p>
          <w:p>
            <w:pPr>
              <w:spacing w:line="360" w:lineRule="auto"/>
              <w:jc w:val="left"/>
              <w:rPr>
                <w:color w:val="auto"/>
                <w:kern w:val="0"/>
                <w:highlight w:val="none"/>
                <w:lang w:val="zh-CN"/>
              </w:rPr>
            </w:pPr>
            <w:r>
              <w:rPr>
                <w:rFonts w:hint="eastAsia"/>
                <w:color w:val="auto"/>
                <w:kern w:val="0"/>
                <w:highlight w:val="none"/>
                <w:lang w:val="zh-CN"/>
              </w:rPr>
              <w:t>区内主要含水层有石炭系下统岩关阶邵东段灰岩(C1y1)、泥盆系上统锡矿山组下段泥灰岩、灰岩(D3x1)及侏罗系下统门口山组砂岩(J1m)。</w:t>
            </w:r>
          </w:p>
          <w:p>
            <w:pPr>
              <w:spacing w:line="360" w:lineRule="auto"/>
              <w:jc w:val="left"/>
              <w:rPr>
                <w:color w:val="auto"/>
                <w:kern w:val="0"/>
                <w:highlight w:val="none"/>
                <w:lang w:val="zh-CN"/>
              </w:rPr>
            </w:pPr>
            <w:r>
              <w:rPr>
                <w:rFonts w:hint="eastAsia"/>
                <w:color w:val="auto"/>
                <w:kern w:val="0"/>
                <w:highlight w:val="none"/>
                <w:lang w:val="zh-CN"/>
              </w:rPr>
              <w:t>石炭系下统岩关阶邵东段灰岩（C1y1）：岩性为深灰色泥晶灰岩、泥灰岩。地表溶蚀较发育，很少见有岩石露头。钻孔中见有小溶孔，溶蚀裂隙较发育。一般泉水出露较少，泉水流量0.004~0.07L/s。含中等丰富的溶洞裂隙水。</w:t>
            </w:r>
          </w:p>
          <w:p>
            <w:pPr>
              <w:spacing w:line="360" w:lineRule="auto"/>
              <w:jc w:val="left"/>
              <w:rPr>
                <w:color w:val="auto"/>
                <w:kern w:val="0"/>
                <w:highlight w:val="none"/>
                <w:lang w:val="zh-CN"/>
              </w:rPr>
            </w:pPr>
            <w:r>
              <w:rPr>
                <w:rFonts w:hint="eastAsia"/>
                <w:color w:val="auto"/>
                <w:kern w:val="0"/>
                <w:highlight w:val="none"/>
                <w:lang w:val="zh-CN"/>
              </w:rPr>
              <w:t>泥盆系上统锡矿山组下段泥灰岩、灰岩（D3x1）：岩性为浅灰至深灰色泥晶灰岩、含泥灰岩及白云质灰岩。地表见有小溶沟、溶槽等岩溶现象。钻孔中见有小溶孔，溶蚀裂隙发育，裂隙发育深度一般达200m左右，雨季泉水流量0.03~1.24L/s，旱季泉水流量0.001~0.06L/s。含富水性中等的溶洞裂隙水。</w:t>
            </w:r>
          </w:p>
          <w:p>
            <w:pPr>
              <w:spacing w:line="360" w:lineRule="auto"/>
              <w:jc w:val="left"/>
              <w:rPr>
                <w:color w:val="auto"/>
                <w:kern w:val="0"/>
                <w:highlight w:val="none"/>
                <w:lang w:val="zh-CN"/>
              </w:rPr>
            </w:pPr>
            <w:r>
              <w:rPr>
                <w:rFonts w:hint="eastAsia"/>
                <w:color w:val="auto"/>
                <w:kern w:val="0"/>
                <w:highlight w:val="none"/>
                <w:lang w:val="zh-CN"/>
              </w:rPr>
              <w:t>侏罗系下统门口山组（J1m）：岩性为粉砂岩、砂质泥岩为主夹中粒砂岩、细砂岩及泥岩，中细粒砂岩含弱裂隙水。</w:t>
            </w:r>
          </w:p>
          <w:p>
            <w:pPr>
              <w:spacing w:line="360" w:lineRule="auto"/>
              <w:jc w:val="left"/>
              <w:rPr>
                <w:color w:val="auto"/>
                <w:kern w:val="0"/>
                <w:highlight w:val="none"/>
                <w:lang w:val="zh-CN"/>
              </w:rPr>
            </w:pPr>
            <w:r>
              <w:rPr>
                <w:rFonts w:hint="eastAsia"/>
                <w:color w:val="auto"/>
                <w:kern w:val="0"/>
                <w:highlight w:val="none"/>
                <w:lang w:val="zh-CN"/>
              </w:rPr>
              <w:t>区域内各含水层的水质均属于 HCO3-Ca型，矿化度0.187~0.316克/升，PH值7.1~7.5。</w:t>
            </w:r>
          </w:p>
          <w:p>
            <w:pPr>
              <w:spacing w:line="360" w:lineRule="auto"/>
              <w:jc w:val="left"/>
              <w:rPr>
                <w:color w:val="auto"/>
                <w:kern w:val="0"/>
                <w:highlight w:val="none"/>
                <w:lang w:val="zh-CN"/>
              </w:rPr>
            </w:pPr>
            <w:r>
              <w:rPr>
                <w:rFonts w:hint="eastAsia"/>
                <w:color w:val="auto"/>
                <w:kern w:val="0"/>
                <w:highlight w:val="none"/>
                <w:lang w:val="zh-CN"/>
              </w:rPr>
              <w:t>② 隔水层</w:t>
            </w:r>
          </w:p>
          <w:p>
            <w:pPr>
              <w:spacing w:line="360" w:lineRule="auto"/>
              <w:jc w:val="left"/>
              <w:rPr>
                <w:color w:val="auto"/>
                <w:kern w:val="0"/>
                <w:highlight w:val="none"/>
                <w:lang w:val="zh-CN"/>
              </w:rPr>
            </w:pPr>
            <w:r>
              <w:rPr>
                <w:rFonts w:hint="eastAsia"/>
                <w:color w:val="auto"/>
                <w:kern w:val="0"/>
                <w:highlight w:val="none"/>
                <w:lang w:val="zh-CN"/>
              </w:rPr>
              <w:t>侏罗系下统门口山组（J1m）泥岩相对隔水层：岩性为粉砂岩、砂质泥岩为主夹中粒砂岩、细砂岩，除中细粒砂岩含弱裂隙水外，其他岩石不含水或含水微弱，均可视为相对隔水层。</w:t>
            </w:r>
          </w:p>
          <w:p>
            <w:pPr>
              <w:spacing w:line="360" w:lineRule="auto"/>
              <w:jc w:val="left"/>
              <w:rPr>
                <w:color w:val="auto"/>
                <w:kern w:val="0"/>
                <w:highlight w:val="none"/>
                <w:lang w:val="zh-CN"/>
              </w:rPr>
            </w:pPr>
            <w:r>
              <w:rPr>
                <w:rFonts w:hint="eastAsia"/>
                <w:color w:val="auto"/>
                <w:kern w:val="0"/>
                <w:highlight w:val="none"/>
                <w:lang w:val="zh-CN"/>
              </w:rPr>
              <w:t>泥盆系中统跳马涧组及奥陶系砂岩、板岩相对隔水层：除浅部砂岩含风化裂隙水外，深部含水性弱，可视为相对隔水层。</w:t>
            </w:r>
          </w:p>
          <w:p>
            <w:pPr>
              <w:spacing w:line="360" w:lineRule="auto"/>
              <w:jc w:val="left"/>
              <w:rPr>
                <w:color w:val="auto"/>
                <w:kern w:val="0"/>
                <w:highlight w:val="none"/>
                <w:lang w:val="zh-CN"/>
              </w:rPr>
            </w:pPr>
            <w:r>
              <w:rPr>
                <w:rFonts w:hint="eastAsia"/>
                <w:color w:val="auto"/>
                <w:kern w:val="0"/>
                <w:highlight w:val="none"/>
                <w:lang w:val="zh-CN"/>
              </w:rPr>
              <w:t>③ 断层带的导水性与富水性</w:t>
            </w:r>
          </w:p>
          <w:p>
            <w:pPr>
              <w:spacing w:line="360" w:lineRule="auto"/>
              <w:jc w:val="left"/>
              <w:rPr>
                <w:color w:val="auto"/>
                <w:kern w:val="0"/>
                <w:highlight w:val="none"/>
                <w:lang w:val="zh-CN"/>
              </w:rPr>
            </w:pPr>
            <w:r>
              <w:rPr>
                <w:rFonts w:hint="eastAsia"/>
                <w:color w:val="auto"/>
                <w:kern w:val="0"/>
                <w:highlight w:val="none"/>
                <w:lang w:val="zh-CN"/>
              </w:rPr>
              <w:t>该区断层以逆掩压扭性断层为主，钻孔揭露断层均见明显的断层角砾（破碎带），未出现断层涌漏水现象，因此，断层的导水性富水性较弱。但断层上盘岩层的富水性中等。</w:t>
            </w:r>
          </w:p>
          <w:p>
            <w:pPr>
              <w:spacing w:line="360" w:lineRule="auto"/>
              <w:jc w:val="left"/>
              <w:rPr>
                <w:color w:val="auto"/>
                <w:kern w:val="0"/>
                <w:highlight w:val="none"/>
                <w:lang w:val="zh-CN"/>
              </w:rPr>
            </w:pPr>
            <w:r>
              <w:rPr>
                <w:rFonts w:hint="eastAsia"/>
                <w:color w:val="auto"/>
                <w:kern w:val="0"/>
                <w:highlight w:val="none"/>
                <w:lang w:val="zh-CN"/>
              </w:rPr>
              <w:t>④ 地下水补、径、排特征</w:t>
            </w:r>
          </w:p>
          <w:p>
            <w:pPr>
              <w:spacing w:line="360" w:lineRule="auto"/>
              <w:jc w:val="left"/>
              <w:rPr>
                <w:color w:val="auto"/>
                <w:kern w:val="0"/>
                <w:highlight w:val="none"/>
                <w:lang w:val="zh-CN"/>
              </w:rPr>
            </w:pPr>
            <w:r>
              <w:rPr>
                <w:rFonts w:hint="eastAsia"/>
                <w:color w:val="auto"/>
                <w:kern w:val="0"/>
                <w:highlight w:val="none"/>
                <w:lang w:val="zh-CN"/>
              </w:rPr>
              <w:t>地下水补给：项目区域内各含水层均以大气降水的沿裂隙渗入补给为主，其次为地表水通过孔隙裂隙对地下水渗入补给，在构造沟通各含水层的有利地段，受相邻含水层补给。</w:t>
            </w:r>
          </w:p>
          <w:p>
            <w:pPr>
              <w:spacing w:line="360" w:lineRule="auto"/>
              <w:jc w:val="left"/>
              <w:rPr>
                <w:color w:val="auto"/>
                <w:kern w:val="0"/>
                <w:highlight w:val="none"/>
                <w:lang w:val="zh-CN"/>
              </w:rPr>
            </w:pPr>
            <w:r>
              <w:rPr>
                <w:rFonts w:hint="eastAsia"/>
                <w:color w:val="auto"/>
                <w:kern w:val="0"/>
                <w:highlight w:val="none"/>
                <w:lang w:val="zh-CN"/>
              </w:rPr>
              <w:t>地下水径流：受地形地貌、岩层产出状态的控制，评估区总体地势北高南低，区内地下水的总体径流方向：由北向南流。局部地段因构造影响可能有所变化。</w:t>
            </w:r>
          </w:p>
          <w:p>
            <w:pPr>
              <w:spacing w:line="360" w:lineRule="auto"/>
              <w:jc w:val="left"/>
              <w:rPr>
                <w:color w:val="auto"/>
                <w:kern w:val="0"/>
                <w:highlight w:val="none"/>
                <w:lang w:val="zh-CN"/>
              </w:rPr>
            </w:pPr>
            <w:r>
              <w:rPr>
                <w:rFonts w:hint="eastAsia"/>
                <w:color w:val="auto"/>
                <w:kern w:val="0"/>
                <w:highlight w:val="none"/>
                <w:lang w:val="zh-CN"/>
              </w:rPr>
              <w:t>地下水排泄：区内地下水的排泄受南西面侵蚀基准面的控制，地下水主要通过泉或向低洼处的溪沟排泄，最终汇入湘江。</w:t>
            </w:r>
          </w:p>
          <w:p>
            <w:pPr>
              <w:spacing w:line="360" w:lineRule="auto"/>
              <w:jc w:val="left"/>
              <w:rPr>
                <w:color w:val="auto"/>
                <w:kern w:val="0"/>
                <w:highlight w:val="none"/>
              </w:rPr>
            </w:pPr>
            <w:r>
              <w:rPr>
                <w:rFonts w:hint="eastAsia"/>
                <w:color w:val="auto"/>
                <w:kern w:val="0"/>
                <w:highlight w:val="none"/>
                <w:lang w:val="zh-CN"/>
              </w:rPr>
              <w:t>综上，项目区域主要补充水源为大气降水，本区水文地质条件属孔隙裂隙充水为主的简单偏中等类型。</w:t>
            </w:r>
          </w:p>
          <w:p>
            <w:pPr>
              <w:widowControl/>
              <w:spacing w:line="360" w:lineRule="auto"/>
              <w:ind w:firstLine="482"/>
              <w:jc w:val="left"/>
              <w:rPr>
                <w:b/>
                <w:bCs/>
                <w:color w:val="auto"/>
                <w:highlight w:val="none"/>
              </w:rPr>
            </w:pPr>
            <w:r>
              <w:rPr>
                <w:rFonts w:hint="eastAsia"/>
                <w:b/>
                <w:bCs/>
                <w:color w:val="auto"/>
                <w:highlight w:val="none"/>
              </w:rPr>
              <w:t>5、植被状况</w:t>
            </w:r>
          </w:p>
          <w:p>
            <w:pPr>
              <w:spacing w:line="360" w:lineRule="auto"/>
              <w:jc w:val="left"/>
              <w:rPr>
                <w:color w:val="auto"/>
                <w:kern w:val="0"/>
                <w:highlight w:val="none"/>
                <w:lang w:val="zh-CN"/>
              </w:rPr>
            </w:pPr>
            <w:r>
              <w:rPr>
                <w:rFonts w:hint="eastAsia"/>
                <w:color w:val="auto"/>
                <w:kern w:val="0"/>
                <w:highlight w:val="none"/>
                <w:lang w:val="zh-CN"/>
              </w:rPr>
              <w:t>祁阳县属于中亚热带、常绿阔叶林带植被区。祁阳用村林有杉、松、樟、楠等，经济林以油茶为主，兼有油桐、乌桕；药材主要有白果、乌梅、杜仲、淮山、丹皮、白芍、香附、乌药、蛇胆等100余种。其中用材林6.4万公顷，林木蓄积量达300万立方米； 油茶林40万亩；以柑桔为主的水果28万亩。</w:t>
            </w:r>
          </w:p>
          <w:p>
            <w:pPr>
              <w:spacing w:line="360" w:lineRule="auto"/>
              <w:jc w:val="left"/>
              <w:rPr>
                <w:color w:val="auto"/>
                <w:kern w:val="0"/>
                <w:highlight w:val="none"/>
                <w:lang w:val="zh-CN"/>
              </w:rPr>
            </w:pPr>
            <w:r>
              <w:rPr>
                <w:rFonts w:hint="eastAsia"/>
                <w:color w:val="auto"/>
                <w:kern w:val="0"/>
                <w:highlight w:val="none"/>
                <w:lang w:val="zh-CN"/>
              </w:rPr>
              <w:t>经调查，项目评价范围内主要植被为樟树、杉树、灌木、杂草，区内除樟树为国家二级保护植物外，未发无珍稀濒危野生植物以及野生珍稀濒危动物种类，无原有污染物，无文物古迹保护单位。</w:t>
            </w:r>
          </w:p>
          <w:p>
            <w:pPr>
              <w:widowControl/>
              <w:spacing w:line="360" w:lineRule="auto"/>
              <w:ind w:firstLine="482"/>
              <w:jc w:val="left"/>
              <w:rPr>
                <w:b/>
                <w:bCs/>
                <w:color w:val="auto"/>
                <w:highlight w:val="none"/>
              </w:rPr>
            </w:pPr>
            <w:r>
              <w:rPr>
                <w:b/>
                <w:bCs/>
                <w:color w:val="auto"/>
                <w:highlight w:val="none"/>
              </w:rPr>
              <w:t>6、</w:t>
            </w:r>
            <w:r>
              <w:rPr>
                <w:rFonts w:hint="eastAsia"/>
                <w:b/>
                <w:bCs/>
                <w:color w:val="auto"/>
                <w:highlight w:val="none"/>
              </w:rPr>
              <w:t>生物多样性</w:t>
            </w:r>
          </w:p>
          <w:p>
            <w:pPr>
              <w:spacing w:line="360" w:lineRule="auto"/>
              <w:jc w:val="left"/>
              <w:rPr>
                <w:color w:val="auto"/>
                <w:kern w:val="0"/>
                <w:highlight w:val="none"/>
                <w:lang w:val="zh-CN"/>
              </w:rPr>
            </w:pPr>
            <w:r>
              <w:rPr>
                <w:rFonts w:hint="eastAsia"/>
                <w:color w:val="auto"/>
                <w:kern w:val="0"/>
                <w:highlight w:val="none"/>
                <w:lang w:val="zh-CN"/>
              </w:rPr>
              <w:t>永州市地形起伏，气候温热潮润，草木畅茂，水域辽阔，为野生动物生息繁殖提供了较好的生存环境，野生动物中两栖纲有蝾螈、中地大蟾蜍、青蛙、泥蛙、雨蛙、金线蛙等；爬行纲有壁虎、晰蜴、龟、鳖、蛇等；鸟纲有鸬鹚、苍鹭、白鹭、鸿雁、灰鹅、野鸭、鸳鸯、秋沙鸭、黑耳鸢、雀鹰、鹌鹑、竹鸡、绿啄木鸟等；哺乳纲有刺猬、鲮鲤、兔、鼠、松鼠、蝙蝠、果子狸、獐、野猪、豪猪、水獭、山獾等。</w:t>
            </w:r>
          </w:p>
          <w:p>
            <w:pPr>
              <w:spacing w:line="360" w:lineRule="auto"/>
              <w:jc w:val="left"/>
              <w:rPr>
                <w:color w:val="auto"/>
                <w:kern w:val="0"/>
                <w:highlight w:val="none"/>
                <w:lang w:val="zh-CN"/>
              </w:rPr>
            </w:pPr>
            <w:r>
              <w:rPr>
                <w:rFonts w:hint="eastAsia"/>
                <w:color w:val="auto"/>
                <w:kern w:val="0"/>
                <w:highlight w:val="none"/>
                <w:lang w:val="zh-CN"/>
              </w:rPr>
              <w:t>根据现场踏勘，本项目位于农村，人的活动较频繁，项目评价范围内无自然保护区和重点文物保护单位，区内未见国家法定珍稀物种。</w:t>
            </w:r>
          </w:p>
          <w:p>
            <w:pPr>
              <w:spacing w:line="360" w:lineRule="auto"/>
              <w:jc w:val="left"/>
              <w:rPr>
                <w:color w:val="auto"/>
                <w:kern w:val="0"/>
                <w:highlight w:val="none"/>
                <w:lang w:val="zh-CN"/>
              </w:rPr>
            </w:pPr>
          </w:p>
          <w:p>
            <w:pPr>
              <w:spacing w:line="360" w:lineRule="auto"/>
              <w:jc w:val="left"/>
              <w:rPr>
                <w:color w:val="auto"/>
                <w:kern w:val="0"/>
                <w:highlight w:val="none"/>
                <w:lang w:val="zh-CN"/>
              </w:rPr>
            </w:pPr>
          </w:p>
          <w:p>
            <w:pPr>
              <w:spacing w:line="360" w:lineRule="auto"/>
              <w:rPr>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5"/>
              <w:ind w:firstLine="0" w:firstLineChars="0"/>
              <w:rPr>
                <w:color w:val="auto"/>
                <w:highlight w:val="none"/>
              </w:rPr>
            </w:pPr>
          </w:p>
        </w:tc>
      </w:tr>
    </w:tbl>
    <w:p>
      <w:pPr>
        <w:pStyle w:val="3"/>
        <w:spacing w:before="0" w:after="0" w:line="360" w:lineRule="auto"/>
        <w:ind w:firstLine="0" w:firstLineChars="0"/>
        <w:rPr>
          <w:color w:val="auto"/>
          <w:sz w:val="32"/>
          <w:highlight w:val="none"/>
        </w:rPr>
      </w:pPr>
      <w:bookmarkStart w:id="7" w:name="_Toc167674095"/>
      <w:bookmarkStart w:id="8" w:name="_Toc167421092"/>
      <w:bookmarkStart w:id="9" w:name="_Toc107133123"/>
      <w:bookmarkStart w:id="10" w:name="_Toc112124828"/>
      <w:bookmarkStart w:id="11" w:name="_Toc120584301"/>
      <w:bookmarkStart w:id="12" w:name="_Toc112820641"/>
      <w:bookmarkStart w:id="13" w:name="_Toc167422968"/>
      <w:bookmarkStart w:id="14" w:name="_Toc103347233"/>
      <w:bookmarkStart w:id="15" w:name="_Toc165285229"/>
      <w:bookmarkStart w:id="16" w:name="_Toc109699571"/>
      <w:bookmarkStart w:id="17" w:name="_Toc23609"/>
      <w:bookmarkStart w:id="18" w:name="_Toc112127017"/>
      <w:bookmarkStart w:id="19" w:name="_Toc110587901"/>
      <w:bookmarkStart w:id="20" w:name="_Toc203477670"/>
      <w:r>
        <w:rPr>
          <w:rFonts w:hint="eastAsia"/>
          <w:color w:val="auto"/>
          <w:sz w:val="32"/>
          <w:highlight w:val="none"/>
        </w:rPr>
        <w:t>环境质量状况</w:t>
      </w:r>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2" w:hRule="atLeast"/>
          <w:jc w:val="center"/>
        </w:trPr>
        <w:tc>
          <w:tcPr>
            <w:tcW w:w="9071" w:type="dxa"/>
            <w:vAlign w:val="top"/>
          </w:tcPr>
          <w:p>
            <w:pPr>
              <w:spacing w:line="560" w:lineRule="exact"/>
              <w:ind w:firstLine="0" w:firstLineChars="0"/>
              <w:rPr>
                <w:b/>
                <w:color w:val="auto"/>
                <w:kern w:val="0"/>
                <w:sz w:val="28"/>
                <w:szCs w:val="28"/>
                <w:highlight w:val="none"/>
              </w:rPr>
            </w:pPr>
            <w:r>
              <w:rPr>
                <w:b/>
                <w:color w:val="auto"/>
                <w:kern w:val="0"/>
                <w:sz w:val="28"/>
                <w:szCs w:val="28"/>
                <w:highlight w:val="none"/>
              </w:rPr>
              <w:t>建设项目所在地区域环境质量现状及主要环境问题(环境空气、地面水、地下水、声环境、生态环境等)：</w:t>
            </w:r>
          </w:p>
          <w:p>
            <w:pPr>
              <w:pStyle w:val="33"/>
              <w:spacing w:line="360" w:lineRule="auto"/>
              <w:ind w:firstLine="480" w:firstLineChars="200"/>
              <w:rPr>
                <w:b/>
                <w:color w:val="auto"/>
                <w:highlight w:val="none"/>
              </w:rPr>
            </w:pPr>
            <w:bookmarkStart w:id="21" w:name="_Toc224444638"/>
            <w:bookmarkStart w:id="22" w:name="_Toc238874072"/>
            <w:bookmarkStart w:id="23" w:name="_Toc231965557"/>
            <w:r>
              <w:rPr>
                <w:rFonts w:ascii="Times New Roman" w:hAnsi="Times New Roman"/>
                <w:color w:val="auto"/>
                <w:highlight w:val="none"/>
              </w:rPr>
              <w:t>本次评价采用现场监测与引用历史监测数相结合的方式对建设项目所在地环境质量进行评价，具体监测点位见附图。</w:t>
            </w:r>
          </w:p>
          <w:bookmarkEnd w:id="21"/>
          <w:bookmarkEnd w:id="22"/>
          <w:bookmarkEnd w:id="23"/>
          <w:p>
            <w:pPr>
              <w:widowControl/>
              <w:spacing w:line="360" w:lineRule="auto"/>
              <w:ind w:firstLine="562"/>
              <w:jc w:val="left"/>
              <w:rPr>
                <w:b/>
                <w:bCs/>
                <w:color w:val="auto"/>
                <w:sz w:val="28"/>
                <w:szCs w:val="28"/>
                <w:highlight w:val="none"/>
              </w:rPr>
            </w:pPr>
            <w:r>
              <w:rPr>
                <w:b/>
                <w:bCs/>
                <w:color w:val="auto"/>
                <w:sz w:val="28"/>
                <w:szCs w:val="28"/>
                <w:highlight w:val="none"/>
              </w:rPr>
              <w:t>1、环境空气质量现状</w:t>
            </w:r>
          </w:p>
          <w:p>
            <w:pPr>
              <w:widowControl/>
              <w:spacing w:line="360" w:lineRule="auto"/>
              <w:ind w:firstLine="482"/>
              <w:jc w:val="left"/>
              <w:rPr>
                <w:b/>
                <w:bCs/>
                <w:color w:val="auto"/>
                <w:highlight w:val="none"/>
              </w:rPr>
            </w:pPr>
            <w:r>
              <w:rPr>
                <w:b/>
                <w:bCs/>
                <w:color w:val="auto"/>
                <w:highlight w:val="none"/>
              </w:rPr>
              <w:t>（1）项目所在区域环境空气达标判定</w:t>
            </w:r>
          </w:p>
          <w:p>
            <w:pPr>
              <w:pStyle w:val="33"/>
              <w:spacing w:line="360" w:lineRule="auto"/>
              <w:ind w:firstLine="480" w:firstLineChars="200"/>
              <w:rPr>
                <w:rFonts w:ascii="Times New Roman" w:hAnsi="Times New Roman"/>
                <w:color w:val="auto"/>
                <w:highlight w:val="none"/>
              </w:rPr>
            </w:pPr>
            <w:r>
              <w:rPr>
                <w:rFonts w:ascii="Times New Roman" w:hAnsi="Times New Roman"/>
                <w:color w:val="auto"/>
                <w:highlight w:val="none"/>
              </w:rPr>
              <w:t xml:space="preserve">本项目环境空气质量功能规划为“二类区域”，应执行《环境空气质量标准》（GB3095-2012）（2018年修改单）中的二级标准。 </w:t>
            </w:r>
          </w:p>
          <w:p>
            <w:pPr>
              <w:pStyle w:val="33"/>
              <w:spacing w:line="360" w:lineRule="auto"/>
              <w:ind w:firstLine="480" w:firstLineChars="200"/>
              <w:rPr>
                <w:rFonts w:ascii="Times New Roman" w:hAnsi="Times New Roman"/>
                <w:color w:val="auto"/>
                <w:highlight w:val="none"/>
              </w:rPr>
            </w:pPr>
            <w:r>
              <w:rPr>
                <w:rFonts w:ascii="Times New Roman" w:hAnsi="Times New Roman"/>
                <w:color w:val="auto"/>
                <w:highlight w:val="none"/>
              </w:rPr>
              <w:t>根据《环境影响评价技术导则大气环境》（HJ2.2-2018）6.2.1基本污染物环境质量现状数据“采用评价范围内国家或地方环境空气质量监测网中评价基准年连续1年的监测数据，或采用生态环境主管部门公开发布的环境空气质量现状数据”的规定；引用的数据为近3年的数据，满足引用要求。本次评价采用祁阳环境保护局发布的《201</w:t>
            </w:r>
            <w:r>
              <w:rPr>
                <w:rFonts w:hint="eastAsia" w:ascii="Times New Roman" w:hAnsi="Times New Roman"/>
                <w:color w:val="auto"/>
                <w:highlight w:val="none"/>
              </w:rPr>
              <w:t>9</w:t>
            </w:r>
            <w:r>
              <w:rPr>
                <w:rFonts w:ascii="Times New Roman" w:hAnsi="Times New Roman"/>
                <w:color w:val="auto"/>
                <w:highlight w:val="none"/>
              </w:rPr>
              <w:t>年祁阳环境质量监测年报》中</w:t>
            </w:r>
            <w:r>
              <w:rPr>
                <w:rFonts w:hint="eastAsia" w:ascii="Times New Roman" w:hAnsi="Times New Roman"/>
                <w:color w:val="auto"/>
                <w:highlight w:val="none"/>
              </w:rPr>
              <w:t>祁阳县</w:t>
            </w:r>
            <w:r>
              <w:rPr>
                <w:rFonts w:ascii="Times New Roman" w:hAnsi="Times New Roman"/>
                <w:color w:val="auto"/>
                <w:highlight w:val="none"/>
              </w:rPr>
              <w:t>环境空气质量现状数据，</w:t>
            </w:r>
            <w:r>
              <w:rPr>
                <w:rFonts w:hint="eastAsia" w:ascii="Times New Roman" w:hAnsi="Times New Roman"/>
                <w:color w:val="auto"/>
                <w:highlight w:val="none"/>
              </w:rPr>
              <w:t>祁阳</w:t>
            </w:r>
            <w:r>
              <w:rPr>
                <w:rFonts w:ascii="Times New Roman" w:hAnsi="Times New Roman"/>
                <w:color w:val="auto"/>
                <w:kern w:val="0"/>
                <w:highlight w:val="none"/>
              </w:rPr>
              <w:t>气象站编号为57868，属于国家气象观测站一般站。距拟建项目约为</w:t>
            </w:r>
            <w:r>
              <w:rPr>
                <w:rFonts w:hint="eastAsia" w:ascii="Times New Roman" w:hAnsi="Times New Roman"/>
                <w:color w:val="auto"/>
                <w:kern w:val="0"/>
                <w:highlight w:val="none"/>
              </w:rPr>
              <w:t>23</w:t>
            </w:r>
            <w:r>
              <w:rPr>
                <w:rFonts w:ascii="Times New Roman" w:hAnsi="Times New Roman"/>
                <w:color w:val="auto"/>
                <w:kern w:val="0"/>
                <w:highlight w:val="none"/>
              </w:rPr>
              <w:t>km</w:t>
            </w:r>
            <w:r>
              <w:rPr>
                <w:rFonts w:hint="eastAsia" w:ascii="Times New Roman" w:hAnsi="Times New Roman"/>
                <w:color w:val="auto"/>
                <w:kern w:val="0"/>
                <w:highlight w:val="none"/>
              </w:rPr>
              <w:t>，</w:t>
            </w:r>
            <w:r>
              <w:rPr>
                <w:rFonts w:ascii="Times New Roman" w:hAnsi="Times New Roman"/>
                <w:color w:val="auto"/>
                <w:highlight w:val="none"/>
              </w:rPr>
              <w:t>根据</w:t>
            </w:r>
            <w:r>
              <w:rPr>
                <w:rFonts w:hint="eastAsia" w:ascii="Times New Roman" w:hAnsi="Times New Roman"/>
                <w:color w:val="auto"/>
                <w:highlight w:val="none"/>
              </w:rPr>
              <w:t>祁阳县</w:t>
            </w:r>
            <w:r>
              <w:rPr>
                <w:rFonts w:ascii="Times New Roman" w:hAnsi="Times New Roman"/>
                <w:color w:val="auto"/>
                <w:highlight w:val="none"/>
              </w:rPr>
              <w:t>环保局常规监测点空气质量监测数据，监测数据详见下表3-1：</w:t>
            </w:r>
          </w:p>
          <w:p>
            <w:pPr>
              <w:widowControl/>
              <w:spacing w:line="240" w:lineRule="auto"/>
              <w:ind w:firstLine="422"/>
              <w:jc w:val="center"/>
              <w:rPr>
                <w:b/>
                <w:bCs/>
                <w:color w:val="auto"/>
                <w:szCs w:val="21"/>
                <w:highlight w:val="none"/>
              </w:rPr>
            </w:pPr>
            <w:r>
              <w:rPr>
                <w:rFonts w:hint="eastAsia"/>
                <w:b/>
                <w:bCs/>
                <w:color w:val="auto"/>
                <w:sz w:val="21"/>
                <w:szCs w:val="21"/>
                <w:highlight w:val="none"/>
              </w:rPr>
              <w:t>表3-1   2019年祁阳县环境空气质量状况</w:t>
            </w:r>
          </w:p>
          <w:tbl>
            <w:tblPr>
              <w:tblStyle w:val="26"/>
              <w:tblW w:w="84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40"/>
              <w:gridCol w:w="1600"/>
              <w:gridCol w:w="1213"/>
              <w:gridCol w:w="1214"/>
              <w:gridCol w:w="1214"/>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1" w:type="dxa"/>
                  <w:vAlign w:val="center"/>
                </w:tcPr>
                <w:p>
                  <w:pPr>
                    <w:spacing w:line="240" w:lineRule="auto"/>
                    <w:ind w:firstLine="0" w:firstLineChars="0"/>
                    <w:jc w:val="center"/>
                    <w:rPr>
                      <w:color w:val="auto"/>
                      <w:sz w:val="21"/>
                      <w:szCs w:val="21"/>
                      <w:highlight w:val="none"/>
                    </w:rPr>
                  </w:pPr>
                  <w:r>
                    <w:rPr>
                      <w:color w:val="auto"/>
                      <w:sz w:val="21"/>
                      <w:szCs w:val="21"/>
                      <w:highlight w:val="none"/>
                    </w:rPr>
                    <w:t>点位</w:t>
                  </w:r>
                </w:p>
              </w:tc>
              <w:tc>
                <w:tcPr>
                  <w:tcW w:w="1140"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监测因子</w:t>
                  </w:r>
                </w:p>
              </w:tc>
              <w:tc>
                <w:tcPr>
                  <w:tcW w:w="1600" w:type="dxa"/>
                  <w:vAlign w:val="center"/>
                </w:tcPr>
                <w:p>
                  <w:pPr>
                    <w:spacing w:line="240" w:lineRule="auto"/>
                    <w:ind w:firstLine="0" w:firstLineChars="0"/>
                    <w:jc w:val="center"/>
                    <w:rPr>
                      <w:color w:val="auto"/>
                      <w:sz w:val="21"/>
                      <w:szCs w:val="21"/>
                      <w:highlight w:val="none"/>
                    </w:rPr>
                  </w:pPr>
                  <w:r>
                    <w:rPr>
                      <w:color w:val="auto"/>
                      <w:sz w:val="21"/>
                      <w:szCs w:val="21"/>
                      <w:highlight w:val="none"/>
                    </w:rPr>
                    <w:t>年评价指标</w:t>
                  </w:r>
                </w:p>
              </w:tc>
              <w:tc>
                <w:tcPr>
                  <w:tcW w:w="1213"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监测浓度（年平均值）</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标准值（年平均值）</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占标率（%）</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祁阳县环保局</w:t>
                  </w:r>
                </w:p>
              </w:tc>
              <w:tc>
                <w:tcPr>
                  <w:tcW w:w="1140" w:type="dxa"/>
                  <w:vAlign w:val="center"/>
                </w:tcPr>
                <w:p>
                  <w:pPr>
                    <w:spacing w:line="240" w:lineRule="auto"/>
                    <w:ind w:firstLine="0" w:firstLineChars="0"/>
                    <w:jc w:val="center"/>
                    <w:rPr>
                      <w:color w:val="auto"/>
                      <w:sz w:val="21"/>
                      <w:szCs w:val="21"/>
                      <w:highlight w:val="none"/>
                    </w:rPr>
                  </w:pPr>
                  <w:r>
                    <w:rPr>
                      <w:color w:val="auto"/>
                      <w:sz w:val="21"/>
                      <w:szCs w:val="21"/>
                      <w:highlight w:val="none"/>
                    </w:rPr>
                    <w:t>PM</w:t>
                  </w:r>
                  <w:r>
                    <w:rPr>
                      <w:color w:val="auto"/>
                      <w:sz w:val="21"/>
                      <w:szCs w:val="21"/>
                      <w:highlight w:val="none"/>
                      <w:vertAlign w:val="subscript"/>
                    </w:rPr>
                    <w:t>10</w:t>
                  </w:r>
                </w:p>
              </w:tc>
              <w:tc>
                <w:tcPr>
                  <w:tcW w:w="1600" w:type="dxa"/>
                  <w:vMerge w:val="restart"/>
                  <w:vAlign w:val="center"/>
                </w:tcPr>
                <w:p>
                  <w:pPr>
                    <w:pStyle w:val="41"/>
                    <w:snapToGrid w:val="0"/>
                    <w:spacing w:line="240" w:lineRule="auto"/>
                    <w:ind w:firstLine="0" w:firstLineChars="0"/>
                    <w:rPr>
                      <w:color w:val="auto"/>
                      <w:sz w:val="21"/>
                      <w:szCs w:val="21"/>
                      <w:highlight w:val="none"/>
                    </w:rPr>
                  </w:pPr>
                  <w:r>
                    <w:rPr>
                      <w:color w:val="auto"/>
                      <w:sz w:val="21"/>
                      <w:szCs w:val="21"/>
                      <w:highlight w:val="none"/>
                    </w:rPr>
                    <w:t>年平均质量浓度</w:t>
                  </w:r>
                </w:p>
              </w:tc>
              <w:tc>
                <w:tcPr>
                  <w:tcW w:w="121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53.5</w:t>
                  </w:r>
                  <w:r>
                    <w:rPr>
                      <w:color w:val="auto"/>
                      <w:sz w:val="21"/>
                      <w:szCs w:val="21"/>
                      <w:highlight w:val="none"/>
                    </w:rPr>
                    <w:t>ug/m</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70ug/m</w:t>
                  </w:r>
                </w:p>
              </w:tc>
              <w:tc>
                <w:tcPr>
                  <w:tcW w:w="12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76.42</w:t>
                  </w:r>
                  <w:r>
                    <w:rPr>
                      <w:color w:val="auto"/>
                      <w:sz w:val="21"/>
                      <w:szCs w:val="21"/>
                      <w:highlight w:val="none"/>
                    </w:rPr>
                    <w:t>%</w:t>
                  </w:r>
                </w:p>
              </w:tc>
              <w:tc>
                <w:tcPr>
                  <w:tcW w:w="12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1" w:type="dxa"/>
                  <w:vMerge w:val="continue"/>
                  <w:vAlign w:val="center"/>
                </w:tcPr>
                <w:p>
                  <w:pPr>
                    <w:spacing w:line="240" w:lineRule="auto"/>
                    <w:ind w:firstLine="0" w:firstLineChars="0"/>
                    <w:jc w:val="center"/>
                    <w:rPr>
                      <w:color w:val="auto"/>
                      <w:sz w:val="21"/>
                      <w:szCs w:val="21"/>
                      <w:highlight w:val="none"/>
                    </w:rPr>
                  </w:pPr>
                </w:p>
              </w:tc>
              <w:tc>
                <w:tcPr>
                  <w:tcW w:w="1140" w:type="dxa"/>
                  <w:vAlign w:val="center"/>
                </w:tcPr>
                <w:p>
                  <w:pPr>
                    <w:spacing w:line="240" w:lineRule="auto"/>
                    <w:ind w:firstLine="0" w:firstLineChars="0"/>
                    <w:jc w:val="center"/>
                    <w:rPr>
                      <w:color w:val="auto"/>
                      <w:sz w:val="21"/>
                      <w:szCs w:val="21"/>
                      <w:highlight w:val="none"/>
                    </w:rPr>
                  </w:pPr>
                  <w:r>
                    <w:rPr>
                      <w:color w:val="auto"/>
                      <w:sz w:val="21"/>
                      <w:szCs w:val="21"/>
                      <w:highlight w:val="none"/>
                    </w:rPr>
                    <w:t>PM</w:t>
                  </w:r>
                  <w:r>
                    <w:rPr>
                      <w:color w:val="auto"/>
                      <w:sz w:val="21"/>
                      <w:szCs w:val="21"/>
                      <w:highlight w:val="none"/>
                      <w:vertAlign w:val="subscript"/>
                    </w:rPr>
                    <w:t>2.5</w:t>
                  </w:r>
                </w:p>
              </w:tc>
              <w:tc>
                <w:tcPr>
                  <w:tcW w:w="1600" w:type="dxa"/>
                  <w:vMerge w:val="continue"/>
                  <w:vAlign w:val="center"/>
                </w:tcPr>
                <w:p>
                  <w:pPr>
                    <w:pStyle w:val="41"/>
                    <w:snapToGrid w:val="0"/>
                    <w:spacing w:line="240" w:lineRule="auto"/>
                    <w:ind w:firstLine="0" w:firstLineChars="0"/>
                    <w:rPr>
                      <w:color w:val="auto"/>
                      <w:sz w:val="21"/>
                      <w:szCs w:val="21"/>
                      <w:highlight w:val="none"/>
                    </w:rPr>
                  </w:pPr>
                </w:p>
              </w:tc>
              <w:tc>
                <w:tcPr>
                  <w:tcW w:w="121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40.9</w:t>
                  </w:r>
                  <w:r>
                    <w:rPr>
                      <w:color w:val="auto"/>
                      <w:sz w:val="21"/>
                      <w:szCs w:val="21"/>
                      <w:highlight w:val="none"/>
                    </w:rPr>
                    <w:t>ug/m</w:t>
                  </w:r>
                  <w:r>
                    <w:rPr>
                      <w:color w:val="auto"/>
                      <w:sz w:val="21"/>
                      <w:szCs w:val="21"/>
                      <w:highlight w:val="none"/>
                      <w:vertAlign w:val="superscript"/>
                    </w:rPr>
                    <w:t>3</w:t>
                  </w:r>
                </w:p>
              </w:tc>
              <w:tc>
                <w:tcPr>
                  <w:tcW w:w="1214" w:type="dxa"/>
                  <w:vAlign w:val="center"/>
                </w:tcPr>
                <w:p>
                  <w:pPr>
                    <w:spacing w:line="240" w:lineRule="auto"/>
                    <w:ind w:firstLine="0" w:firstLineChars="0"/>
                    <w:jc w:val="center"/>
                    <w:rPr>
                      <w:color w:val="FF0000"/>
                      <w:sz w:val="21"/>
                      <w:szCs w:val="21"/>
                      <w:highlight w:val="none"/>
                      <w:u w:val="single"/>
                    </w:rPr>
                  </w:pPr>
                  <w:r>
                    <w:rPr>
                      <w:rFonts w:hint="eastAsia"/>
                      <w:color w:val="FF0000"/>
                      <w:sz w:val="21"/>
                      <w:szCs w:val="21"/>
                      <w:highlight w:val="none"/>
                      <w:u w:val="single"/>
                      <w:lang w:val="en-US" w:eastAsia="zh-CN"/>
                    </w:rPr>
                    <w:t>35</w:t>
                  </w:r>
                  <w:r>
                    <w:rPr>
                      <w:color w:val="FF0000"/>
                      <w:sz w:val="21"/>
                      <w:szCs w:val="21"/>
                      <w:highlight w:val="none"/>
                      <w:u w:val="single"/>
                    </w:rPr>
                    <w:t>ug/m</w:t>
                  </w:r>
                  <w:r>
                    <w:rPr>
                      <w:color w:val="FF0000"/>
                      <w:sz w:val="21"/>
                      <w:szCs w:val="21"/>
                      <w:highlight w:val="none"/>
                      <w:u w:val="single"/>
                      <w:vertAlign w:val="superscript"/>
                    </w:rPr>
                    <w:t>3</w:t>
                  </w:r>
                </w:p>
              </w:tc>
              <w:tc>
                <w:tcPr>
                  <w:tcW w:w="1214" w:type="dxa"/>
                  <w:vAlign w:val="center"/>
                </w:tcPr>
                <w:p>
                  <w:pPr>
                    <w:spacing w:line="240" w:lineRule="auto"/>
                    <w:ind w:firstLine="0" w:firstLineChars="0"/>
                    <w:jc w:val="center"/>
                    <w:rPr>
                      <w:color w:val="FF0000"/>
                      <w:sz w:val="21"/>
                      <w:szCs w:val="21"/>
                      <w:highlight w:val="none"/>
                      <w:u w:val="single"/>
                    </w:rPr>
                  </w:pPr>
                  <w:r>
                    <w:rPr>
                      <w:rFonts w:hint="eastAsia"/>
                      <w:color w:val="FF0000"/>
                      <w:sz w:val="21"/>
                      <w:szCs w:val="21"/>
                      <w:highlight w:val="none"/>
                      <w:u w:val="single"/>
                      <w:lang w:val="en-US" w:eastAsia="zh-CN"/>
                    </w:rPr>
                    <w:t>116.8</w:t>
                  </w:r>
                  <w:r>
                    <w:rPr>
                      <w:color w:val="FF0000"/>
                      <w:sz w:val="21"/>
                      <w:szCs w:val="21"/>
                      <w:highlight w:val="none"/>
                      <w:u w:val="single"/>
                    </w:rPr>
                    <w:t>%</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1" w:type="dxa"/>
                  <w:vMerge w:val="continue"/>
                  <w:vAlign w:val="center"/>
                </w:tcPr>
                <w:p>
                  <w:pPr>
                    <w:spacing w:line="240" w:lineRule="auto"/>
                    <w:ind w:firstLine="0" w:firstLineChars="0"/>
                    <w:jc w:val="center"/>
                    <w:rPr>
                      <w:color w:val="auto"/>
                      <w:sz w:val="21"/>
                      <w:szCs w:val="21"/>
                      <w:highlight w:val="none"/>
                    </w:rPr>
                  </w:pPr>
                </w:p>
              </w:tc>
              <w:tc>
                <w:tcPr>
                  <w:tcW w:w="1140" w:type="dxa"/>
                  <w:vAlign w:val="center"/>
                </w:tcPr>
                <w:p>
                  <w:pPr>
                    <w:spacing w:line="240" w:lineRule="auto"/>
                    <w:ind w:firstLine="0" w:firstLineChars="0"/>
                    <w:jc w:val="center"/>
                    <w:rPr>
                      <w:color w:val="auto"/>
                      <w:sz w:val="21"/>
                      <w:szCs w:val="21"/>
                      <w:highlight w:val="none"/>
                    </w:rPr>
                  </w:pPr>
                  <w:r>
                    <w:rPr>
                      <w:color w:val="auto"/>
                      <w:sz w:val="21"/>
                      <w:szCs w:val="21"/>
                      <w:highlight w:val="none"/>
                    </w:rPr>
                    <w:t>二氧化硫</w:t>
                  </w:r>
                </w:p>
              </w:tc>
              <w:tc>
                <w:tcPr>
                  <w:tcW w:w="1600" w:type="dxa"/>
                  <w:vMerge w:val="continue"/>
                  <w:vAlign w:val="center"/>
                </w:tcPr>
                <w:p>
                  <w:pPr>
                    <w:pStyle w:val="41"/>
                    <w:snapToGrid w:val="0"/>
                    <w:spacing w:line="240" w:lineRule="auto"/>
                    <w:ind w:firstLine="0" w:firstLineChars="0"/>
                    <w:rPr>
                      <w:color w:val="auto"/>
                      <w:sz w:val="21"/>
                      <w:szCs w:val="21"/>
                      <w:highlight w:val="none"/>
                    </w:rPr>
                  </w:pPr>
                </w:p>
              </w:tc>
              <w:tc>
                <w:tcPr>
                  <w:tcW w:w="121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12.6</w:t>
                  </w:r>
                  <w:r>
                    <w:rPr>
                      <w:color w:val="auto"/>
                      <w:sz w:val="21"/>
                      <w:szCs w:val="21"/>
                      <w:highlight w:val="none"/>
                    </w:rPr>
                    <w:t>ug/m</w:t>
                  </w:r>
                  <w:r>
                    <w:rPr>
                      <w:color w:val="auto"/>
                      <w:sz w:val="21"/>
                      <w:szCs w:val="21"/>
                      <w:highlight w:val="none"/>
                      <w:vertAlign w:val="superscript"/>
                    </w:rPr>
                    <w:t>3</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60ug/m</w:t>
                  </w:r>
                  <w:r>
                    <w:rPr>
                      <w:color w:val="auto"/>
                      <w:sz w:val="21"/>
                      <w:szCs w:val="21"/>
                      <w:highlight w:val="none"/>
                      <w:vertAlign w:val="superscript"/>
                    </w:rPr>
                    <w:t>3</w:t>
                  </w:r>
                </w:p>
              </w:tc>
              <w:tc>
                <w:tcPr>
                  <w:tcW w:w="12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21</w:t>
                  </w:r>
                  <w:r>
                    <w:rPr>
                      <w:color w:val="auto"/>
                      <w:sz w:val="21"/>
                      <w:szCs w:val="21"/>
                      <w:highlight w:val="none"/>
                    </w:rPr>
                    <w:t>%</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1" w:type="dxa"/>
                  <w:vMerge w:val="continue"/>
                  <w:vAlign w:val="center"/>
                </w:tcPr>
                <w:p>
                  <w:pPr>
                    <w:spacing w:line="240" w:lineRule="auto"/>
                    <w:ind w:firstLine="0" w:firstLineChars="0"/>
                    <w:jc w:val="center"/>
                    <w:rPr>
                      <w:color w:val="auto"/>
                      <w:sz w:val="21"/>
                      <w:szCs w:val="21"/>
                      <w:highlight w:val="none"/>
                    </w:rPr>
                  </w:pPr>
                </w:p>
              </w:tc>
              <w:tc>
                <w:tcPr>
                  <w:tcW w:w="1140" w:type="dxa"/>
                  <w:vAlign w:val="center"/>
                </w:tcPr>
                <w:p>
                  <w:pPr>
                    <w:spacing w:line="240" w:lineRule="auto"/>
                    <w:ind w:firstLine="0" w:firstLineChars="0"/>
                    <w:jc w:val="center"/>
                    <w:rPr>
                      <w:color w:val="auto"/>
                      <w:sz w:val="21"/>
                      <w:szCs w:val="21"/>
                      <w:highlight w:val="none"/>
                    </w:rPr>
                  </w:pPr>
                  <w:r>
                    <w:rPr>
                      <w:color w:val="auto"/>
                      <w:sz w:val="21"/>
                      <w:szCs w:val="21"/>
                      <w:highlight w:val="none"/>
                    </w:rPr>
                    <w:t>二氧化氮</w:t>
                  </w:r>
                </w:p>
              </w:tc>
              <w:tc>
                <w:tcPr>
                  <w:tcW w:w="1600" w:type="dxa"/>
                  <w:vMerge w:val="continue"/>
                  <w:vAlign w:val="center"/>
                </w:tcPr>
                <w:p>
                  <w:pPr>
                    <w:pStyle w:val="41"/>
                    <w:snapToGrid w:val="0"/>
                    <w:spacing w:line="240" w:lineRule="auto"/>
                    <w:ind w:firstLine="0" w:firstLineChars="0"/>
                    <w:rPr>
                      <w:color w:val="auto"/>
                      <w:sz w:val="21"/>
                      <w:szCs w:val="21"/>
                      <w:highlight w:val="none"/>
                    </w:rPr>
                  </w:pPr>
                </w:p>
              </w:tc>
              <w:tc>
                <w:tcPr>
                  <w:tcW w:w="1213" w:type="dxa"/>
                  <w:vAlign w:val="center"/>
                </w:tcPr>
                <w:p>
                  <w:pPr>
                    <w:spacing w:line="240" w:lineRule="auto"/>
                    <w:ind w:firstLine="0" w:firstLineChars="0"/>
                    <w:jc w:val="center"/>
                    <w:rPr>
                      <w:color w:val="auto"/>
                      <w:sz w:val="21"/>
                      <w:szCs w:val="21"/>
                      <w:highlight w:val="none"/>
                    </w:rPr>
                  </w:pPr>
                  <w:r>
                    <w:rPr>
                      <w:color w:val="auto"/>
                      <w:sz w:val="21"/>
                      <w:szCs w:val="21"/>
                      <w:highlight w:val="none"/>
                    </w:rPr>
                    <w:t>12.</w:t>
                  </w:r>
                  <w:r>
                    <w:rPr>
                      <w:rFonts w:hint="eastAsia"/>
                      <w:color w:val="auto"/>
                      <w:sz w:val="21"/>
                      <w:szCs w:val="21"/>
                      <w:highlight w:val="none"/>
                    </w:rPr>
                    <w:t>6</w:t>
                  </w:r>
                  <w:r>
                    <w:rPr>
                      <w:color w:val="auto"/>
                      <w:sz w:val="21"/>
                      <w:szCs w:val="21"/>
                      <w:highlight w:val="none"/>
                    </w:rPr>
                    <w:t>ug/m</w:t>
                  </w:r>
                  <w:r>
                    <w:rPr>
                      <w:color w:val="auto"/>
                      <w:sz w:val="21"/>
                      <w:szCs w:val="21"/>
                      <w:highlight w:val="none"/>
                      <w:vertAlign w:val="superscript"/>
                    </w:rPr>
                    <w:t>3</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40ug/m</w:t>
                  </w:r>
                  <w:r>
                    <w:rPr>
                      <w:color w:val="auto"/>
                      <w:sz w:val="21"/>
                      <w:szCs w:val="21"/>
                      <w:highlight w:val="none"/>
                      <w:vertAlign w:val="superscript"/>
                    </w:rPr>
                    <w:t>3</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30.5%</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1" w:type="dxa"/>
                  <w:vMerge w:val="continue"/>
                  <w:vAlign w:val="center"/>
                </w:tcPr>
                <w:p>
                  <w:pPr>
                    <w:spacing w:line="240" w:lineRule="auto"/>
                    <w:ind w:firstLine="0" w:firstLineChars="0"/>
                    <w:jc w:val="center"/>
                    <w:rPr>
                      <w:color w:val="auto"/>
                      <w:sz w:val="21"/>
                      <w:szCs w:val="21"/>
                      <w:highlight w:val="none"/>
                    </w:rPr>
                  </w:pPr>
                </w:p>
              </w:tc>
              <w:tc>
                <w:tcPr>
                  <w:tcW w:w="1140" w:type="dxa"/>
                  <w:vAlign w:val="center"/>
                </w:tcPr>
                <w:p>
                  <w:pPr>
                    <w:spacing w:line="240" w:lineRule="auto"/>
                    <w:ind w:firstLine="0" w:firstLineChars="0"/>
                    <w:jc w:val="center"/>
                    <w:rPr>
                      <w:color w:val="auto"/>
                      <w:sz w:val="21"/>
                      <w:szCs w:val="21"/>
                      <w:highlight w:val="none"/>
                    </w:rPr>
                  </w:pPr>
                  <w:r>
                    <w:rPr>
                      <w:color w:val="auto"/>
                      <w:sz w:val="21"/>
                      <w:szCs w:val="21"/>
                      <w:highlight w:val="none"/>
                    </w:rPr>
                    <w:t>臭氧</w:t>
                  </w:r>
                </w:p>
              </w:tc>
              <w:tc>
                <w:tcPr>
                  <w:tcW w:w="1600" w:type="dxa"/>
                  <w:vAlign w:val="center"/>
                </w:tcPr>
                <w:p>
                  <w:pPr>
                    <w:pStyle w:val="41"/>
                    <w:snapToGrid w:val="0"/>
                    <w:spacing w:line="240" w:lineRule="auto"/>
                    <w:ind w:firstLine="0" w:firstLineChars="0"/>
                    <w:rPr>
                      <w:color w:val="auto"/>
                      <w:sz w:val="21"/>
                      <w:szCs w:val="21"/>
                      <w:highlight w:val="none"/>
                    </w:rPr>
                  </w:pPr>
                  <w:r>
                    <w:rPr>
                      <w:color w:val="auto"/>
                      <w:sz w:val="21"/>
                      <w:szCs w:val="21"/>
                      <w:highlight w:val="none"/>
                    </w:rPr>
                    <w:t>CO第95百分值</w:t>
                  </w:r>
                </w:p>
              </w:tc>
              <w:tc>
                <w:tcPr>
                  <w:tcW w:w="121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81</w:t>
                  </w:r>
                  <w:r>
                    <w:rPr>
                      <w:color w:val="auto"/>
                      <w:sz w:val="21"/>
                      <w:szCs w:val="21"/>
                      <w:highlight w:val="none"/>
                    </w:rPr>
                    <w:t>ug/m</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160ug/m</w:t>
                  </w:r>
                </w:p>
              </w:tc>
              <w:tc>
                <w:tcPr>
                  <w:tcW w:w="12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50.62</w:t>
                  </w:r>
                  <w:r>
                    <w:rPr>
                      <w:color w:val="auto"/>
                      <w:sz w:val="21"/>
                      <w:szCs w:val="21"/>
                      <w:highlight w:val="none"/>
                    </w:rPr>
                    <w:t>%</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1" w:type="dxa"/>
                  <w:vMerge w:val="continue"/>
                  <w:vAlign w:val="center"/>
                </w:tcPr>
                <w:p>
                  <w:pPr>
                    <w:spacing w:line="240" w:lineRule="auto"/>
                    <w:ind w:firstLine="0" w:firstLineChars="0"/>
                    <w:jc w:val="center"/>
                    <w:rPr>
                      <w:color w:val="auto"/>
                      <w:sz w:val="21"/>
                      <w:szCs w:val="21"/>
                      <w:highlight w:val="none"/>
                    </w:rPr>
                  </w:pPr>
                </w:p>
              </w:tc>
              <w:tc>
                <w:tcPr>
                  <w:tcW w:w="1140" w:type="dxa"/>
                  <w:vAlign w:val="center"/>
                </w:tcPr>
                <w:p>
                  <w:pPr>
                    <w:spacing w:line="240" w:lineRule="auto"/>
                    <w:ind w:firstLine="0" w:firstLineChars="0"/>
                    <w:jc w:val="center"/>
                    <w:rPr>
                      <w:color w:val="auto"/>
                      <w:sz w:val="21"/>
                      <w:szCs w:val="21"/>
                      <w:highlight w:val="none"/>
                    </w:rPr>
                  </w:pPr>
                  <w:r>
                    <w:rPr>
                      <w:color w:val="auto"/>
                      <w:sz w:val="21"/>
                      <w:szCs w:val="21"/>
                      <w:highlight w:val="none"/>
                    </w:rPr>
                    <w:t>一氧化碳</w:t>
                  </w:r>
                </w:p>
              </w:tc>
              <w:tc>
                <w:tcPr>
                  <w:tcW w:w="1600" w:type="dxa"/>
                  <w:vAlign w:val="center"/>
                </w:tcPr>
                <w:p>
                  <w:pPr>
                    <w:pStyle w:val="41"/>
                    <w:snapToGrid w:val="0"/>
                    <w:spacing w:line="240" w:lineRule="auto"/>
                    <w:ind w:firstLine="0" w:firstLineChars="0"/>
                    <w:rPr>
                      <w:color w:val="auto"/>
                      <w:sz w:val="21"/>
                      <w:szCs w:val="21"/>
                      <w:highlight w:val="none"/>
                    </w:rPr>
                  </w:pPr>
                  <w:r>
                    <w:rPr>
                      <w:color w:val="auto"/>
                      <w:sz w:val="21"/>
                      <w:szCs w:val="21"/>
                      <w:highlight w:val="none"/>
                    </w:rPr>
                    <w:t>日最大8h第90百分位</w:t>
                  </w:r>
                </w:p>
              </w:tc>
              <w:tc>
                <w:tcPr>
                  <w:tcW w:w="121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0.9</w:t>
                  </w:r>
                  <w:r>
                    <w:rPr>
                      <w:color w:val="auto"/>
                      <w:sz w:val="21"/>
                      <w:szCs w:val="21"/>
                      <w:highlight w:val="none"/>
                    </w:rPr>
                    <w:t>mg/m</w:t>
                  </w:r>
                  <w:r>
                    <w:rPr>
                      <w:color w:val="auto"/>
                      <w:sz w:val="21"/>
                      <w:szCs w:val="21"/>
                      <w:highlight w:val="none"/>
                      <w:vertAlign w:val="superscript"/>
                    </w:rPr>
                    <w:t>3</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4ug/m</w:t>
                  </w:r>
                  <w:r>
                    <w:rPr>
                      <w:color w:val="auto"/>
                      <w:sz w:val="21"/>
                      <w:szCs w:val="21"/>
                      <w:highlight w:val="none"/>
                      <w:vertAlign w:val="superscript"/>
                    </w:rPr>
                    <w:t>3</w:t>
                  </w:r>
                </w:p>
              </w:tc>
              <w:tc>
                <w:tcPr>
                  <w:tcW w:w="12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22.5</w:t>
                  </w:r>
                  <w:r>
                    <w:rPr>
                      <w:color w:val="auto"/>
                      <w:sz w:val="21"/>
                      <w:szCs w:val="21"/>
                      <w:highlight w:val="none"/>
                    </w:rPr>
                    <w:t>%</w:t>
                  </w:r>
                </w:p>
              </w:tc>
              <w:tc>
                <w:tcPr>
                  <w:tcW w:w="1214" w:type="dxa"/>
                  <w:vAlign w:val="center"/>
                </w:tcPr>
                <w:p>
                  <w:pPr>
                    <w:spacing w:line="240" w:lineRule="auto"/>
                    <w:ind w:firstLine="0" w:firstLineChars="0"/>
                    <w:jc w:val="center"/>
                    <w:rPr>
                      <w:color w:val="auto"/>
                      <w:sz w:val="21"/>
                      <w:szCs w:val="21"/>
                      <w:highlight w:val="none"/>
                    </w:rPr>
                  </w:pPr>
                  <w:r>
                    <w:rPr>
                      <w:color w:val="auto"/>
                      <w:sz w:val="21"/>
                      <w:szCs w:val="21"/>
                      <w:highlight w:val="none"/>
                    </w:rPr>
                    <w:t>达标</w:t>
                  </w:r>
                </w:p>
              </w:tc>
            </w:tr>
          </w:tbl>
          <w:p>
            <w:pPr>
              <w:pStyle w:val="33"/>
              <w:spacing w:line="360" w:lineRule="auto"/>
              <w:ind w:firstLine="480" w:firstLineChars="200"/>
              <w:rPr>
                <w:rFonts w:ascii="Times New Roman" w:hAnsi="Times New Roman"/>
                <w:color w:val="auto"/>
                <w:highlight w:val="none"/>
              </w:rPr>
            </w:pPr>
            <w:r>
              <w:rPr>
                <w:rFonts w:ascii="Times New Roman" w:hAnsi="Times New Roman"/>
                <w:color w:val="auto"/>
                <w:highlight w:val="none"/>
              </w:rPr>
              <w:t>由表</w:t>
            </w:r>
            <w:r>
              <w:rPr>
                <w:rFonts w:hint="eastAsia" w:ascii="Times New Roman" w:hAnsi="Times New Roman"/>
                <w:color w:val="auto"/>
                <w:highlight w:val="none"/>
              </w:rPr>
              <w:t>3-</w:t>
            </w:r>
            <w:r>
              <w:rPr>
                <w:rFonts w:ascii="Times New Roman" w:hAnsi="Times New Roman"/>
                <w:color w:val="auto"/>
                <w:highlight w:val="none"/>
              </w:rPr>
              <w:t>1可见，祁阳县城区近一年常规大气污染物PM</w:t>
            </w:r>
            <w:r>
              <w:rPr>
                <w:rFonts w:ascii="Times New Roman" w:hAnsi="Times New Roman"/>
                <w:color w:val="auto"/>
                <w:highlight w:val="none"/>
                <w:vertAlign w:val="subscript"/>
              </w:rPr>
              <w:t>10</w:t>
            </w:r>
            <w:r>
              <w:rPr>
                <w:rFonts w:hint="eastAsia" w:ascii="Times New Roman" w:hAnsi="Times New Roman"/>
                <w:color w:val="auto"/>
                <w:highlight w:val="none"/>
              </w:rPr>
              <w:t>、</w:t>
            </w:r>
            <w:r>
              <w:rPr>
                <w:rFonts w:ascii="Times New Roman" w:hAnsi="Times New Roman"/>
                <w:color w:val="auto"/>
                <w:highlight w:val="none"/>
              </w:rPr>
              <w:t xml:space="preserve"> SO</w:t>
            </w:r>
            <w:r>
              <w:rPr>
                <w:rFonts w:ascii="Times New Roman" w:hAnsi="Times New Roman"/>
                <w:color w:val="auto"/>
                <w:highlight w:val="none"/>
                <w:vertAlign w:val="subscript"/>
              </w:rPr>
              <w:t>2</w:t>
            </w:r>
            <w:r>
              <w:rPr>
                <w:rFonts w:ascii="Times New Roman" w:hAnsi="Times New Roman"/>
                <w:color w:val="auto"/>
                <w:highlight w:val="none"/>
              </w:rPr>
              <w:t>、NO</w:t>
            </w:r>
            <w:r>
              <w:rPr>
                <w:rFonts w:ascii="Times New Roman" w:hAnsi="Times New Roman"/>
                <w:color w:val="auto"/>
                <w:highlight w:val="none"/>
                <w:vertAlign w:val="subscript"/>
              </w:rPr>
              <w:t>2</w:t>
            </w:r>
            <w:r>
              <w:rPr>
                <w:rFonts w:ascii="Times New Roman" w:hAnsi="Times New Roman"/>
                <w:color w:val="auto"/>
                <w:highlight w:val="none"/>
              </w:rPr>
              <w:t>、臭氧、一氧化碳</w:t>
            </w:r>
            <w:r>
              <w:rPr>
                <w:rFonts w:hint="eastAsia" w:ascii="Times New Roman" w:hAnsi="Times New Roman"/>
                <w:color w:val="auto"/>
                <w:highlight w:val="none"/>
              </w:rPr>
              <w:t>监测因子</w:t>
            </w:r>
            <w:r>
              <w:rPr>
                <w:rFonts w:ascii="Times New Roman" w:hAnsi="Times New Roman"/>
                <w:color w:val="auto"/>
                <w:highlight w:val="none"/>
              </w:rPr>
              <w:t>的年均值浓度满足《环境空气质量标准》（GB3095-2012）二级标准年均值要求，PM2.5年均值超过《环境空气质量标准》（GB3095-2012）二级标准年均值要求，超标倍数</w:t>
            </w:r>
            <w:r>
              <w:rPr>
                <w:rFonts w:ascii="Times New Roman" w:hAnsi="Times New Roman"/>
                <w:color w:val="FF0000"/>
                <w:highlight w:val="none"/>
                <w:u w:val="single"/>
              </w:rPr>
              <w:t>为</w:t>
            </w:r>
            <w:r>
              <w:rPr>
                <w:rFonts w:hint="eastAsia" w:ascii="Times New Roman" w:hAnsi="Times New Roman"/>
                <w:color w:val="FF0000"/>
                <w:highlight w:val="none"/>
                <w:u w:val="single"/>
                <w:lang w:val="en-US" w:eastAsia="zh-CN"/>
              </w:rPr>
              <w:t>1.16</w:t>
            </w:r>
            <w:r>
              <w:rPr>
                <w:rFonts w:ascii="Times New Roman" w:hAnsi="Times New Roman"/>
                <w:color w:val="FF0000"/>
                <w:highlight w:val="none"/>
                <w:u w:val="single"/>
              </w:rPr>
              <w:t>，</w:t>
            </w:r>
            <w:r>
              <w:rPr>
                <w:rFonts w:hint="eastAsia" w:ascii="Times New Roman" w:hAnsi="Times New Roman"/>
                <w:color w:val="auto"/>
                <w:highlight w:val="none"/>
              </w:rPr>
              <w:t>因此祁阳县城属于不达标区</w:t>
            </w:r>
            <w:r>
              <w:rPr>
                <w:rFonts w:ascii="Times New Roman" w:hAnsi="Times New Roman"/>
                <w:color w:val="auto"/>
                <w:highlight w:val="none"/>
              </w:rPr>
              <w:t>。</w:t>
            </w:r>
          </w:p>
          <w:p>
            <w:pPr>
              <w:pStyle w:val="33"/>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祁阳县城区</w:t>
            </w:r>
            <w:r>
              <w:rPr>
                <w:rFonts w:ascii="Times New Roman" w:hAnsi="Times New Roman"/>
                <w:color w:val="auto"/>
                <w:highlight w:val="none"/>
              </w:rPr>
              <w:t>环境空气质量不达标区，不达标因子为PM2.5。监测数据客观的反应了祁阳县中心城区环境空气质量的现状。分析超标原因为：随着祁阳县工业的快速发展、能源消耗和机动车保有量的快速增长，排放大量的二氧化硫、氮氧化物与挥发性有机物导致细颗粒物等二次污染呈加剧态势。根据《中共中央国务院关于全面加强生态环境保护坚决打好污染防治攻坚战的意见》，通过部分行业大气排放执行特别限值标准等清洗空气行动，加快以细颗粒物为重点的大气污染治理，切实改善环境空气质量，空气质量将逐渐好转。</w:t>
            </w:r>
          </w:p>
          <w:p>
            <w:pPr>
              <w:pStyle w:val="33"/>
              <w:spacing w:line="360" w:lineRule="auto"/>
              <w:ind w:firstLine="482" w:firstLineChars="200"/>
              <w:rPr>
                <w:rFonts w:ascii="Times New Roman" w:hAnsi="Times New Roman"/>
                <w:b/>
                <w:bCs/>
                <w:color w:val="auto"/>
                <w:highlight w:val="none"/>
              </w:rPr>
            </w:pPr>
            <w:r>
              <w:rPr>
                <w:rFonts w:ascii="Times New Roman" w:hAnsi="Times New Roman"/>
                <w:b/>
                <w:bCs/>
                <w:color w:val="auto"/>
                <w:highlight w:val="none"/>
              </w:rPr>
              <w:t>（2）各大气污染物环境质量现状调查与评价</w:t>
            </w:r>
          </w:p>
          <w:p>
            <w:pPr>
              <w:pStyle w:val="33"/>
              <w:spacing w:line="360" w:lineRule="auto"/>
              <w:ind w:firstLine="480" w:firstLineChars="200"/>
              <w:rPr>
                <w:rFonts w:ascii="Times New Roman" w:hAnsi="Times New Roman"/>
                <w:color w:val="auto"/>
                <w:highlight w:val="none"/>
              </w:rPr>
            </w:pPr>
            <w:r>
              <w:rPr>
                <w:rFonts w:ascii="Times New Roman" w:hAnsi="Times New Roman"/>
                <w:color w:val="auto"/>
                <w:highlight w:val="none"/>
              </w:rPr>
              <w:t>本次环评的环境空气质量现状分析引用《祁阳鑫茂新型建材有限公司年产3000万块页岩砖建设项目</w:t>
            </w:r>
            <w:r>
              <w:rPr>
                <w:rFonts w:ascii="Times New Roman" w:hAnsi="Times New Roman"/>
                <w:color w:val="auto"/>
                <w:highlight w:val="none"/>
                <w:lang w:val="zh-CN"/>
              </w:rPr>
              <w:t>环境影响报告</w:t>
            </w:r>
            <w:r>
              <w:rPr>
                <w:rFonts w:hint="eastAsia" w:ascii="Times New Roman" w:hAnsi="Times New Roman"/>
                <w:color w:val="auto"/>
                <w:highlight w:val="none"/>
                <w:lang w:val="zh-CN"/>
              </w:rPr>
              <w:t>表</w:t>
            </w:r>
            <w:r>
              <w:rPr>
                <w:rFonts w:ascii="Times New Roman" w:hAnsi="Times New Roman"/>
                <w:color w:val="auto"/>
                <w:highlight w:val="none"/>
              </w:rPr>
              <w:t>》中大气监测数据，该项目G1监测点位祁阳鑫茂新型建材有限公司上风向300m处居民点，位于本项目拟建地</w:t>
            </w:r>
            <w:r>
              <w:rPr>
                <w:rFonts w:hint="eastAsia" w:ascii="Times New Roman" w:hAnsi="Times New Roman"/>
                <w:color w:val="auto"/>
                <w:highlight w:val="none"/>
              </w:rPr>
              <w:t>北</w:t>
            </w:r>
            <w:r>
              <w:rPr>
                <w:rFonts w:ascii="Times New Roman" w:hAnsi="Times New Roman"/>
                <w:color w:val="auto"/>
                <w:highlight w:val="none"/>
              </w:rPr>
              <w:t>面约</w:t>
            </w:r>
            <w:r>
              <w:rPr>
                <w:rFonts w:hint="eastAsia" w:ascii="Times New Roman" w:hAnsi="Times New Roman"/>
                <w:color w:val="auto"/>
                <w:highlight w:val="none"/>
              </w:rPr>
              <w:t>1.46k</w:t>
            </w:r>
            <w:r>
              <w:rPr>
                <w:rFonts w:ascii="Times New Roman" w:hAnsi="Times New Roman"/>
                <w:color w:val="auto"/>
                <w:highlight w:val="none"/>
              </w:rPr>
              <w:t>m，</w:t>
            </w:r>
            <w:r>
              <w:rPr>
                <w:rFonts w:ascii="Times New Roman" w:hAnsi="Times New Roman"/>
                <w:color w:val="FF0000"/>
                <w:highlight w:val="none"/>
                <w:u w:val="single"/>
              </w:rPr>
              <w:t>其监测数据为近三年有效的历史监测资料，</w:t>
            </w:r>
            <w:r>
              <w:rPr>
                <w:rFonts w:ascii="Times New Roman" w:hAnsi="Times New Roman"/>
                <w:color w:val="auto"/>
                <w:highlight w:val="none"/>
              </w:rPr>
              <w:t>项目区域环境情况相似，且近年来区域环境未发生较大变化，监测点的数据可以反映本项目区域环境空气质量现状具体监测情况如下：</w:t>
            </w:r>
          </w:p>
          <w:p>
            <w:pPr>
              <w:widowControl/>
              <w:spacing w:line="360" w:lineRule="auto"/>
              <w:jc w:val="left"/>
              <w:rPr>
                <w:color w:val="auto"/>
                <w:highlight w:val="none"/>
              </w:rPr>
            </w:pPr>
            <w:r>
              <w:rPr>
                <w:rFonts w:hint="eastAsia"/>
                <w:color w:val="auto"/>
                <w:highlight w:val="none"/>
              </w:rPr>
              <w:t>湖南坤诚检测技术有限公司</w:t>
            </w:r>
            <w:r>
              <w:rPr>
                <w:color w:val="auto"/>
                <w:highlight w:val="none"/>
              </w:rPr>
              <w:t>于2017年12月21～27日进行大气环境质量现状监测，监测时间为7天，SO</w:t>
            </w:r>
            <w:r>
              <w:rPr>
                <w:color w:val="auto"/>
                <w:highlight w:val="none"/>
                <w:vertAlign w:val="subscript"/>
              </w:rPr>
              <w:t>2</w:t>
            </w:r>
            <w:r>
              <w:rPr>
                <w:color w:val="auto"/>
                <w:highlight w:val="none"/>
              </w:rPr>
              <w:t>、NO</w:t>
            </w:r>
            <w:r>
              <w:rPr>
                <w:color w:val="auto"/>
                <w:highlight w:val="none"/>
                <w:vertAlign w:val="subscript"/>
              </w:rPr>
              <w:t>2</w:t>
            </w:r>
            <w:r>
              <w:rPr>
                <w:color w:val="auto"/>
                <w:highlight w:val="none"/>
              </w:rPr>
              <w:t>监测小时浓度</w:t>
            </w:r>
            <w:r>
              <w:rPr>
                <w:rFonts w:hint="eastAsia"/>
                <w:color w:val="auto"/>
                <w:highlight w:val="none"/>
              </w:rPr>
              <w:t>，</w:t>
            </w:r>
            <w:r>
              <w:rPr>
                <w:color w:val="auto"/>
                <w:highlight w:val="none"/>
              </w:rPr>
              <w:t>PM</w:t>
            </w:r>
            <w:r>
              <w:rPr>
                <w:color w:val="auto"/>
                <w:highlight w:val="none"/>
                <w:vertAlign w:val="subscript"/>
              </w:rPr>
              <w:t>10</w:t>
            </w:r>
            <w:r>
              <w:rPr>
                <w:color w:val="auto"/>
                <w:highlight w:val="none"/>
              </w:rPr>
              <w:t>监测日均值；采样按《环境空气质量标准》（GB3095-2012）（修改单）中二级标准要求执行，具体监测结果见3-</w:t>
            </w:r>
            <w:r>
              <w:rPr>
                <w:rFonts w:hint="eastAsia"/>
                <w:color w:val="auto"/>
                <w:highlight w:val="none"/>
              </w:rPr>
              <w:t>2</w:t>
            </w:r>
            <w:r>
              <w:rPr>
                <w:color w:val="auto"/>
                <w:highlight w:val="none"/>
              </w:rPr>
              <w:t>。</w:t>
            </w:r>
          </w:p>
          <w:p>
            <w:pPr>
              <w:widowControl/>
              <w:spacing w:line="240" w:lineRule="auto"/>
              <w:ind w:firstLine="422"/>
              <w:jc w:val="center"/>
              <w:rPr>
                <w:b/>
                <w:bCs/>
                <w:color w:val="auto"/>
                <w:sz w:val="21"/>
                <w:szCs w:val="21"/>
                <w:highlight w:val="none"/>
              </w:rPr>
            </w:pPr>
            <w:r>
              <w:rPr>
                <w:b/>
                <w:bCs/>
                <w:color w:val="auto"/>
                <w:sz w:val="21"/>
                <w:szCs w:val="21"/>
                <w:highlight w:val="none"/>
              </w:rPr>
              <w:t>表3-</w:t>
            </w:r>
            <w:r>
              <w:rPr>
                <w:rFonts w:hint="eastAsia"/>
                <w:b/>
                <w:bCs/>
                <w:color w:val="auto"/>
                <w:sz w:val="21"/>
                <w:szCs w:val="21"/>
                <w:highlight w:val="none"/>
              </w:rPr>
              <w:t>2</w:t>
            </w:r>
            <w:r>
              <w:rPr>
                <w:b/>
                <w:bCs/>
                <w:color w:val="auto"/>
                <w:sz w:val="21"/>
                <w:szCs w:val="21"/>
                <w:highlight w:val="none"/>
              </w:rPr>
              <w:t xml:space="preserve">   引用数据大气现状监测点</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2955"/>
              <w:gridCol w:w="2110"/>
              <w:gridCol w:w="1788"/>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42" w:type="dxa"/>
                  <w:vAlign w:val="center"/>
                </w:tcPr>
                <w:p>
                  <w:pPr>
                    <w:spacing w:line="240" w:lineRule="auto"/>
                    <w:ind w:firstLine="0" w:firstLineChars="0"/>
                    <w:jc w:val="center"/>
                    <w:rPr>
                      <w:color w:val="auto"/>
                      <w:sz w:val="21"/>
                      <w:szCs w:val="21"/>
                      <w:highlight w:val="none"/>
                    </w:rPr>
                  </w:pPr>
                  <w:r>
                    <w:rPr>
                      <w:color w:val="auto"/>
                      <w:sz w:val="21"/>
                      <w:szCs w:val="21"/>
                      <w:highlight w:val="none"/>
                    </w:rPr>
                    <w:t>序号</w:t>
                  </w:r>
                </w:p>
              </w:tc>
              <w:tc>
                <w:tcPr>
                  <w:tcW w:w="2955" w:type="dxa"/>
                  <w:tcBorders>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rPr>
                    <w:t>监测点位</w:t>
                  </w:r>
                </w:p>
              </w:tc>
              <w:tc>
                <w:tcPr>
                  <w:tcW w:w="2110" w:type="dxa"/>
                  <w:tcBorders>
                    <w:left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rPr>
                    <w:t>与本项目位置关系</w:t>
                  </w:r>
                </w:p>
              </w:tc>
              <w:tc>
                <w:tcPr>
                  <w:tcW w:w="1788" w:type="dxa"/>
                  <w:tcBorders>
                    <w:left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rPr>
                    <w:t>祁阳区主导风向</w:t>
                  </w:r>
                </w:p>
              </w:tc>
              <w:tc>
                <w:tcPr>
                  <w:tcW w:w="892" w:type="dxa"/>
                  <w:tcBorders>
                    <w:lef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rPr>
                    <w:t>风速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42" w:type="dxa"/>
                  <w:vAlign w:val="center"/>
                </w:tcPr>
                <w:p>
                  <w:pPr>
                    <w:spacing w:line="240" w:lineRule="auto"/>
                    <w:ind w:firstLine="0" w:firstLineChars="0"/>
                    <w:jc w:val="center"/>
                    <w:rPr>
                      <w:color w:val="auto"/>
                      <w:sz w:val="21"/>
                      <w:szCs w:val="21"/>
                      <w:highlight w:val="none"/>
                    </w:rPr>
                  </w:pPr>
                  <w:r>
                    <w:rPr>
                      <w:color w:val="auto"/>
                      <w:sz w:val="21"/>
                      <w:szCs w:val="21"/>
                      <w:highlight w:val="none"/>
                    </w:rPr>
                    <w:t>G1</w:t>
                  </w:r>
                </w:p>
              </w:tc>
              <w:tc>
                <w:tcPr>
                  <w:tcW w:w="2955" w:type="dxa"/>
                  <w:tcBorders>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祁阳鑫茂新型建材有限公司上风向300m处居民点</w:t>
                  </w:r>
                </w:p>
              </w:tc>
              <w:tc>
                <w:tcPr>
                  <w:tcW w:w="211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本项目</w:t>
                  </w:r>
                  <w:r>
                    <w:rPr>
                      <w:rFonts w:hint="eastAsia"/>
                      <w:color w:val="auto"/>
                      <w:sz w:val="21"/>
                      <w:szCs w:val="21"/>
                      <w:highlight w:val="none"/>
                    </w:rPr>
                    <w:t>北面1.46km</w:t>
                  </w:r>
                </w:p>
              </w:tc>
              <w:tc>
                <w:tcPr>
                  <w:tcW w:w="1788" w:type="dxa"/>
                  <w:tcBorders>
                    <w:left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rPr>
                    <w:t>东北偏北</w:t>
                  </w:r>
                </w:p>
              </w:tc>
              <w:tc>
                <w:tcPr>
                  <w:tcW w:w="892" w:type="dxa"/>
                  <w:tcBorders>
                    <w:lef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rPr>
                    <w:t>2.3m/s</w:t>
                  </w:r>
                </w:p>
              </w:tc>
            </w:tr>
          </w:tbl>
          <w:p>
            <w:pPr>
              <w:widowControl/>
              <w:spacing w:line="240" w:lineRule="auto"/>
              <w:ind w:firstLine="422"/>
              <w:jc w:val="center"/>
              <w:rPr>
                <w:b/>
                <w:bCs/>
                <w:color w:val="auto"/>
                <w:sz w:val="21"/>
                <w:szCs w:val="21"/>
                <w:highlight w:val="none"/>
              </w:rPr>
            </w:pPr>
            <w:r>
              <w:rPr>
                <w:b/>
                <w:bCs/>
                <w:color w:val="auto"/>
                <w:sz w:val="21"/>
                <w:szCs w:val="21"/>
                <w:highlight w:val="none"/>
              </w:rPr>
              <w:t>表3-3  引用环境空气现状监测结果  浓度单位：ug/m</w:t>
            </w:r>
            <w:r>
              <w:rPr>
                <w:b/>
                <w:bCs/>
                <w:color w:val="auto"/>
                <w:sz w:val="21"/>
                <w:szCs w:val="21"/>
                <w:highlight w:val="none"/>
                <w:vertAlign w:val="superscript"/>
              </w:rPr>
              <w:t>3</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1"/>
              <w:gridCol w:w="1180"/>
              <w:gridCol w:w="1402"/>
              <w:gridCol w:w="1355"/>
              <w:gridCol w:w="1355"/>
              <w:gridCol w:w="948"/>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01"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监测点</w:t>
                  </w:r>
                </w:p>
              </w:tc>
              <w:tc>
                <w:tcPr>
                  <w:tcW w:w="1180"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监测因子</w:t>
                  </w:r>
                </w:p>
              </w:tc>
              <w:tc>
                <w:tcPr>
                  <w:tcW w:w="1402"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sz w:val="21"/>
                      <w:szCs w:val="21"/>
                      <w:highlight w:val="none"/>
                    </w:rPr>
                    <w:t>（小时）日浓度范围（μg/m</w:t>
                  </w:r>
                  <w:r>
                    <w:rPr>
                      <w:color w:val="auto"/>
                      <w:sz w:val="21"/>
                      <w:szCs w:val="21"/>
                      <w:highlight w:val="none"/>
                      <w:vertAlign w:val="superscript"/>
                    </w:rPr>
                    <w:t>3</w:t>
                  </w:r>
                  <w:r>
                    <w:rPr>
                      <w:color w:val="auto"/>
                      <w:sz w:val="21"/>
                      <w:szCs w:val="21"/>
                      <w:highlight w:val="none"/>
                    </w:rPr>
                    <w:t>）</w:t>
                  </w:r>
                </w:p>
              </w:tc>
              <w:tc>
                <w:tcPr>
                  <w:tcW w:w="1355"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评价指数</w:t>
                  </w:r>
                </w:p>
              </w:tc>
              <w:tc>
                <w:tcPr>
                  <w:tcW w:w="1355"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sz w:val="21"/>
                      <w:szCs w:val="21"/>
                      <w:highlight w:val="none"/>
                    </w:rPr>
                    <w:t>GB3095-2012中二级标准限值</w:t>
                  </w:r>
                </w:p>
              </w:tc>
              <w:tc>
                <w:tcPr>
                  <w:tcW w:w="948"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最大超标倍数</w:t>
                  </w:r>
                </w:p>
              </w:tc>
              <w:tc>
                <w:tcPr>
                  <w:tcW w:w="1146"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超标率（%）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01" w:type="dxa"/>
                  <w:vMerge w:val="restart"/>
                  <w:tcMar>
                    <w:top w:w="0" w:type="dxa"/>
                    <w:left w:w="28" w:type="dxa"/>
                    <w:bottom w:w="0" w:type="dxa"/>
                    <w:right w:w="28" w:type="dxa"/>
                  </w:tcMar>
                  <w:vAlign w:val="center"/>
                </w:tcPr>
                <w:p>
                  <w:pPr>
                    <w:spacing w:line="240" w:lineRule="auto"/>
                    <w:ind w:firstLine="0" w:firstLineChars="0"/>
                    <w:jc w:val="center"/>
                    <w:rPr>
                      <w:color w:val="auto"/>
                      <w:kern w:val="0"/>
                      <w:sz w:val="21"/>
                      <w:szCs w:val="21"/>
                      <w:highlight w:val="none"/>
                    </w:rPr>
                  </w:pPr>
                  <w:r>
                    <w:rPr>
                      <w:color w:val="auto"/>
                      <w:sz w:val="21"/>
                      <w:szCs w:val="21"/>
                      <w:highlight w:val="none"/>
                    </w:rPr>
                    <w:t>G1祁阳鑫茂新型建材有限公司上风向300m处居民点</w:t>
                  </w:r>
                  <w:r>
                    <w:rPr>
                      <w:rFonts w:hint="eastAsia"/>
                      <w:color w:val="auto"/>
                      <w:sz w:val="21"/>
                      <w:szCs w:val="21"/>
                      <w:highlight w:val="none"/>
                    </w:rPr>
                    <w:t>（</w:t>
                  </w:r>
                  <w:r>
                    <w:rPr>
                      <w:color w:val="auto"/>
                      <w:sz w:val="21"/>
                      <w:szCs w:val="21"/>
                      <w:highlight w:val="none"/>
                    </w:rPr>
                    <w:t>本项目</w:t>
                  </w:r>
                  <w:r>
                    <w:rPr>
                      <w:rFonts w:hint="eastAsia"/>
                      <w:color w:val="auto"/>
                      <w:sz w:val="21"/>
                      <w:szCs w:val="21"/>
                      <w:highlight w:val="none"/>
                    </w:rPr>
                    <w:t>北面1.46km）</w:t>
                  </w:r>
                </w:p>
              </w:tc>
              <w:tc>
                <w:tcPr>
                  <w:tcW w:w="1180" w:type="dxa"/>
                  <w:tcMar>
                    <w:top w:w="0" w:type="dxa"/>
                    <w:left w:w="28" w:type="dxa"/>
                    <w:bottom w:w="0" w:type="dxa"/>
                    <w:right w:w="28" w:type="dxa"/>
                  </w:tcMar>
                  <w:vAlign w:val="center"/>
                </w:tcPr>
                <w:p>
                  <w:pPr>
                    <w:pStyle w:val="37"/>
                    <w:widowControl/>
                    <w:adjustRightInd w:val="0"/>
                    <w:spacing w:after="0"/>
                    <w:rPr>
                      <w:rFonts w:ascii="Times New Roman" w:hAnsi="Times New Roman"/>
                      <w:color w:val="auto"/>
                      <w:highlight w:val="none"/>
                    </w:rPr>
                  </w:pPr>
                  <w:r>
                    <w:rPr>
                      <w:rFonts w:ascii="Times New Roman" w:hAnsi="Times New Roman"/>
                      <w:color w:val="auto"/>
                      <w:highlight w:val="none"/>
                    </w:rPr>
                    <w:t>SO</w:t>
                  </w:r>
                  <w:r>
                    <w:rPr>
                      <w:rFonts w:ascii="Times New Roman" w:hAnsi="Times New Roman"/>
                      <w:color w:val="auto"/>
                      <w:highlight w:val="none"/>
                      <w:vertAlign w:val="subscript"/>
                    </w:rPr>
                    <w:t>2</w:t>
                  </w:r>
                </w:p>
              </w:tc>
              <w:tc>
                <w:tcPr>
                  <w:tcW w:w="1402" w:type="dxa"/>
                  <w:tcMar>
                    <w:top w:w="0" w:type="dxa"/>
                    <w:left w:w="28" w:type="dxa"/>
                    <w:bottom w:w="0" w:type="dxa"/>
                    <w:right w:w="28" w:type="dxa"/>
                  </w:tcMar>
                  <w:vAlign w:val="center"/>
                </w:tcPr>
                <w:p>
                  <w:pPr>
                    <w:pStyle w:val="37"/>
                    <w:adjustRightInd w:val="0"/>
                    <w:spacing w:after="0"/>
                    <w:rPr>
                      <w:rFonts w:ascii="Times New Roman" w:hAnsi="Times New Roman"/>
                      <w:color w:val="auto"/>
                      <w:highlight w:val="none"/>
                    </w:rPr>
                  </w:pPr>
                  <w:r>
                    <w:rPr>
                      <w:rFonts w:hint="eastAsia" w:ascii="Times New Roman" w:hAnsi="Times New Roman"/>
                      <w:color w:val="auto"/>
                      <w:highlight w:val="none"/>
                    </w:rPr>
                    <w:t>2~5</w:t>
                  </w:r>
                </w:p>
              </w:tc>
              <w:tc>
                <w:tcPr>
                  <w:tcW w:w="1355"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rFonts w:hint="eastAsia"/>
                      <w:color w:val="auto"/>
                      <w:sz w:val="21"/>
                      <w:szCs w:val="21"/>
                      <w:highlight w:val="none"/>
                    </w:rPr>
                    <w:t>0.033</w:t>
                  </w:r>
                </w:p>
              </w:tc>
              <w:tc>
                <w:tcPr>
                  <w:tcW w:w="1355" w:type="dxa"/>
                  <w:tcMar>
                    <w:top w:w="0" w:type="dxa"/>
                    <w:left w:w="28" w:type="dxa"/>
                    <w:bottom w:w="0" w:type="dxa"/>
                    <w:right w:w="28" w:type="dxa"/>
                  </w:tcMar>
                  <w:vAlign w:val="center"/>
                </w:tcPr>
                <w:p>
                  <w:pPr>
                    <w:spacing w:line="240" w:lineRule="auto"/>
                    <w:ind w:firstLine="0" w:firstLineChars="0"/>
                    <w:jc w:val="center"/>
                    <w:rPr>
                      <w:color w:val="auto"/>
                      <w:kern w:val="0"/>
                      <w:sz w:val="21"/>
                      <w:szCs w:val="21"/>
                      <w:highlight w:val="none"/>
                    </w:rPr>
                  </w:pPr>
                  <w:r>
                    <w:rPr>
                      <w:color w:val="auto"/>
                      <w:sz w:val="21"/>
                      <w:szCs w:val="21"/>
                      <w:highlight w:val="none"/>
                    </w:rPr>
                    <w:t>150</w:t>
                  </w:r>
                </w:p>
              </w:tc>
              <w:tc>
                <w:tcPr>
                  <w:tcW w:w="948"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0</w:t>
                  </w:r>
                </w:p>
              </w:tc>
              <w:tc>
                <w:tcPr>
                  <w:tcW w:w="1146"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01" w:type="dxa"/>
                  <w:vMerge w:val="continue"/>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p>
              </w:tc>
              <w:tc>
                <w:tcPr>
                  <w:tcW w:w="1180" w:type="dxa"/>
                  <w:tcMar>
                    <w:top w:w="0" w:type="dxa"/>
                    <w:left w:w="28" w:type="dxa"/>
                    <w:bottom w:w="0" w:type="dxa"/>
                    <w:right w:w="28" w:type="dxa"/>
                  </w:tcMar>
                  <w:vAlign w:val="center"/>
                </w:tcPr>
                <w:p>
                  <w:pPr>
                    <w:pStyle w:val="37"/>
                    <w:widowControl/>
                    <w:adjustRightInd w:val="0"/>
                    <w:spacing w:after="0"/>
                    <w:rPr>
                      <w:rFonts w:ascii="Times New Roman" w:hAnsi="Times New Roman"/>
                      <w:color w:val="auto"/>
                      <w:highlight w:val="none"/>
                    </w:rPr>
                  </w:pPr>
                  <w:r>
                    <w:rPr>
                      <w:rFonts w:ascii="Times New Roman" w:hAnsi="Times New Roman"/>
                      <w:color w:val="auto"/>
                      <w:highlight w:val="none"/>
                    </w:rPr>
                    <w:t>NO</w:t>
                  </w:r>
                  <w:r>
                    <w:rPr>
                      <w:rFonts w:ascii="Times New Roman" w:hAnsi="Times New Roman"/>
                      <w:color w:val="auto"/>
                      <w:highlight w:val="none"/>
                      <w:vertAlign w:val="subscript"/>
                    </w:rPr>
                    <w:t>2</w:t>
                  </w:r>
                </w:p>
              </w:tc>
              <w:tc>
                <w:tcPr>
                  <w:tcW w:w="1402" w:type="dxa"/>
                  <w:tcMar>
                    <w:top w:w="0" w:type="dxa"/>
                    <w:left w:w="28" w:type="dxa"/>
                    <w:bottom w:w="0" w:type="dxa"/>
                    <w:right w:w="28" w:type="dxa"/>
                  </w:tcMar>
                  <w:vAlign w:val="center"/>
                </w:tcPr>
                <w:p>
                  <w:pPr>
                    <w:pStyle w:val="37"/>
                    <w:adjustRightInd w:val="0"/>
                    <w:spacing w:after="0"/>
                    <w:rPr>
                      <w:rFonts w:ascii="Times New Roman" w:hAnsi="Times New Roman"/>
                      <w:color w:val="auto"/>
                      <w:highlight w:val="none"/>
                    </w:rPr>
                  </w:pPr>
                  <w:r>
                    <w:rPr>
                      <w:rFonts w:hint="eastAsia" w:ascii="Times New Roman" w:hAnsi="Times New Roman"/>
                      <w:color w:val="auto"/>
                      <w:highlight w:val="none"/>
                    </w:rPr>
                    <w:t>5~8</w:t>
                  </w:r>
                </w:p>
              </w:tc>
              <w:tc>
                <w:tcPr>
                  <w:tcW w:w="1355"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sz w:val="21"/>
                      <w:szCs w:val="21"/>
                      <w:highlight w:val="none"/>
                    </w:rPr>
                  </w:pPr>
                  <w:r>
                    <w:rPr>
                      <w:rFonts w:hint="eastAsia"/>
                      <w:color w:val="auto"/>
                      <w:kern w:val="0"/>
                      <w:sz w:val="21"/>
                      <w:szCs w:val="21"/>
                      <w:highlight w:val="none"/>
                    </w:rPr>
                    <w:t>0.1</w:t>
                  </w:r>
                </w:p>
              </w:tc>
              <w:tc>
                <w:tcPr>
                  <w:tcW w:w="1355" w:type="dxa"/>
                  <w:tcMar>
                    <w:top w:w="0" w:type="dxa"/>
                    <w:left w:w="28" w:type="dxa"/>
                    <w:bottom w:w="0" w:type="dxa"/>
                    <w:right w:w="28" w:type="dxa"/>
                  </w:tcMar>
                  <w:vAlign w:val="center"/>
                </w:tcPr>
                <w:p>
                  <w:pPr>
                    <w:spacing w:line="240" w:lineRule="auto"/>
                    <w:ind w:firstLine="0" w:firstLineChars="0"/>
                    <w:jc w:val="center"/>
                    <w:rPr>
                      <w:color w:val="auto"/>
                      <w:kern w:val="0"/>
                      <w:sz w:val="21"/>
                      <w:szCs w:val="21"/>
                      <w:highlight w:val="none"/>
                    </w:rPr>
                  </w:pPr>
                  <w:r>
                    <w:rPr>
                      <w:color w:val="auto"/>
                      <w:sz w:val="21"/>
                      <w:szCs w:val="21"/>
                      <w:highlight w:val="none"/>
                    </w:rPr>
                    <w:t>80</w:t>
                  </w:r>
                </w:p>
              </w:tc>
              <w:tc>
                <w:tcPr>
                  <w:tcW w:w="948"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0</w:t>
                  </w:r>
                </w:p>
              </w:tc>
              <w:tc>
                <w:tcPr>
                  <w:tcW w:w="1146"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01" w:type="dxa"/>
                  <w:vMerge w:val="continue"/>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p>
              </w:tc>
              <w:tc>
                <w:tcPr>
                  <w:tcW w:w="1180" w:type="dxa"/>
                  <w:tcMar>
                    <w:top w:w="0" w:type="dxa"/>
                    <w:left w:w="28" w:type="dxa"/>
                    <w:bottom w:w="0" w:type="dxa"/>
                    <w:right w:w="28" w:type="dxa"/>
                  </w:tcMar>
                  <w:vAlign w:val="center"/>
                </w:tcPr>
                <w:p>
                  <w:pPr>
                    <w:pStyle w:val="37"/>
                    <w:widowControl/>
                    <w:adjustRightInd w:val="0"/>
                    <w:spacing w:after="0"/>
                    <w:rPr>
                      <w:rFonts w:ascii="Times New Roman" w:hAnsi="Times New Roman"/>
                      <w:color w:val="auto"/>
                      <w:highlight w:val="none"/>
                    </w:rPr>
                  </w:pPr>
                  <w:r>
                    <w:rPr>
                      <w:rFonts w:ascii="Times New Roman" w:hAnsi="Times New Roman"/>
                      <w:color w:val="auto"/>
                      <w:highlight w:val="none"/>
                    </w:rPr>
                    <w:t>PM</w:t>
                  </w:r>
                  <w:r>
                    <w:rPr>
                      <w:rFonts w:ascii="Times New Roman" w:hAnsi="Times New Roman"/>
                      <w:color w:val="auto"/>
                      <w:highlight w:val="none"/>
                      <w:vertAlign w:val="subscript"/>
                    </w:rPr>
                    <w:t>10</w:t>
                  </w:r>
                </w:p>
              </w:tc>
              <w:tc>
                <w:tcPr>
                  <w:tcW w:w="1402" w:type="dxa"/>
                  <w:tcMar>
                    <w:top w:w="0" w:type="dxa"/>
                    <w:left w:w="28" w:type="dxa"/>
                    <w:bottom w:w="0" w:type="dxa"/>
                    <w:right w:w="28" w:type="dxa"/>
                  </w:tcMar>
                  <w:vAlign w:val="center"/>
                </w:tcPr>
                <w:p>
                  <w:pPr>
                    <w:pStyle w:val="37"/>
                    <w:widowControl/>
                    <w:adjustRightInd w:val="0"/>
                    <w:spacing w:after="0"/>
                    <w:rPr>
                      <w:rFonts w:ascii="Times New Roman" w:hAnsi="Times New Roman"/>
                      <w:color w:val="auto"/>
                      <w:highlight w:val="none"/>
                    </w:rPr>
                  </w:pPr>
                  <w:r>
                    <w:rPr>
                      <w:rFonts w:ascii="Times New Roman" w:hAnsi="Times New Roman"/>
                      <w:color w:val="auto"/>
                      <w:highlight w:val="none"/>
                    </w:rPr>
                    <w:t>85～95</w:t>
                  </w:r>
                </w:p>
              </w:tc>
              <w:tc>
                <w:tcPr>
                  <w:tcW w:w="1355"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rFonts w:hint="eastAsia"/>
                      <w:color w:val="auto"/>
                      <w:kern w:val="0"/>
                      <w:sz w:val="21"/>
                      <w:szCs w:val="21"/>
                      <w:highlight w:val="none"/>
                    </w:rPr>
                    <w:t>0.63</w:t>
                  </w:r>
                </w:p>
              </w:tc>
              <w:tc>
                <w:tcPr>
                  <w:tcW w:w="1355" w:type="dxa"/>
                  <w:tcMar>
                    <w:top w:w="0" w:type="dxa"/>
                    <w:left w:w="28" w:type="dxa"/>
                    <w:bottom w:w="0" w:type="dxa"/>
                    <w:right w:w="28" w:type="dxa"/>
                  </w:tcMar>
                  <w:vAlign w:val="center"/>
                </w:tcPr>
                <w:p>
                  <w:pPr>
                    <w:spacing w:line="240" w:lineRule="auto"/>
                    <w:ind w:firstLine="0" w:firstLineChars="0"/>
                    <w:jc w:val="center"/>
                    <w:rPr>
                      <w:color w:val="auto"/>
                      <w:kern w:val="0"/>
                      <w:sz w:val="21"/>
                      <w:szCs w:val="21"/>
                      <w:highlight w:val="none"/>
                    </w:rPr>
                  </w:pPr>
                  <w:r>
                    <w:rPr>
                      <w:color w:val="auto"/>
                      <w:sz w:val="21"/>
                      <w:szCs w:val="21"/>
                      <w:highlight w:val="none"/>
                    </w:rPr>
                    <w:t>150</w:t>
                  </w:r>
                </w:p>
              </w:tc>
              <w:tc>
                <w:tcPr>
                  <w:tcW w:w="948"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0</w:t>
                  </w:r>
                </w:p>
              </w:tc>
              <w:tc>
                <w:tcPr>
                  <w:tcW w:w="1146" w:type="dxa"/>
                  <w:tcMar>
                    <w:top w:w="0" w:type="dxa"/>
                    <w:left w:w="28" w:type="dxa"/>
                    <w:bottom w:w="0" w:type="dxa"/>
                    <w:right w:w="28" w:type="dxa"/>
                  </w:tcMar>
                  <w:vAlign w:val="center"/>
                </w:tcPr>
                <w:p>
                  <w:pPr>
                    <w:overflowPunct w:val="0"/>
                    <w:autoSpaceDE w:val="0"/>
                    <w:autoSpaceDN w:val="0"/>
                    <w:adjustRightInd w:val="0"/>
                    <w:spacing w:line="240" w:lineRule="auto"/>
                    <w:ind w:firstLine="0" w:firstLineChars="0"/>
                    <w:jc w:val="center"/>
                    <w:textAlignment w:val="baseline"/>
                    <w:rPr>
                      <w:color w:val="auto"/>
                      <w:kern w:val="0"/>
                      <w:sz w:val="21"/>
                      <w:szCs w:val="21"/>
                      <w:highlight w:val="none"/>
                    </w:rPr>
                  </w:pPr>
                  <w:r>
                    <w:rPr>
                      <w:color w:val="auto"/>
                      <w:kern w:val="0"/>
                      <w:sz w:val="21"/>
                      <w:szCs w:val="21"/>
                      <w:highlight w:val="none"/>
                    </w:rPr>
                    <w:t>0</w:t>
                  </w:r>
                </w:p>
              </w:tc>
            </w:tr>
          </w:tbl>
          <w:p>
            <w:pPr>
              <w:widowControl/>
              <w:spacing w:line="360" w:lineRule="auto"/>
              <w:jc w:val="left"/>
              <w:rPr>
                <w:color w:val="auto"/>
                <w:highlight w:val="none"/>
              </w:rPr>
            </w:pPr>
            <w:r>
              <w:rPr>
                <w:color w:val="auto"/>
                <w:highlight w:val="none"/>
              </w:rPr>
              <w:t>从表3-</w:t>
            </w:r>
            <w:r>
              <w:rPr>
                <w:rFonts w:hint="eastAsia"/>
                <w:color w:val="auto"/>
                <w:highlight w:val="none"/>
                <w:lang w:val="en-US" w:eastAsia="zh-CN"/>
              </w:rPr>
              <w:t>3</w:t>
            </w:r>
            <w:r>
              <w:rPr>
                <w:color w:val="auto"/>
                <w:highlight w:val="none"/>
              </w:rPr>
              <w:t>监测结果看出，监测期间祁阳鑫茂新型建材有限公司上风向300m处居民点</w:t>
            </w:r>
            <w:r>
              <w:rPr>
                <w:rFonts w:hint="eastAsia"/>
                <w:color w:val="auto"/>
                <w:highlight w:val="none"/>
              </w:rPr>
              <w:t>（</w:t>
            </w:r>
            <w:r>
              <w:rPr>
                <w:color w:val="auto"/>
                <w:highlight w:val="none"/>
              </w:rPr>
              <w:t>本项目</w:t>
            </w:r>
            <w:r>
              <w:rPr>
                <w:rFonts w:hint="eastAsia"/>
                <w:color w:val="auto"/>
                <w:highlight w:val="none"/>
              </w:rPr>
              <w:t>北面1.46km）监测点</w:t>
            </w:r>
            <w:r>
              <w:rPr>
                <w:color w:val="auto"/>
                <w:highlight w:val="none"/>
              </w:rPr>
              <w:t>评价因子SO2、NO2、PM10监测值监测值均满足《环境空气质量标准》(GB3095-2012)中二级标准要求。</w:t>
            </w:r>
          </w:p>
          <w:p>
            <w:pPr>
              <w:widowControl/>
              <w:spacing w:line="360" w:lineRule="auto"/>
              <w:ind w:firstLine="562"/>
              <w:jc w:val="left"/>
              <w:rPr>
                <w:b/>
                <w:bCs/>
                <w:color w:val="auto"/>
                <w:sz w:val="28"/>
                <w:szCs w:val="28"/>
                <w:highlight w:val="none"/>
              </w:rPr>
            </w:pPr>
            <w:r>
              <w:rPr>
                <w:b/>
                <w:bCs/>
                <w:color w:val="auto"/>
                <w:sz w:val="28"/>
                <w:szCs w:val="28"/>
                <w:highlight w:val="none"/>
              </w:rPr>
              <w:t>2、地表水环境质量现状</w:t>
            </w:r>
          </w:p>
          <w:p>
            <w:pPr>
              <w:widowControl/>
              <w:spacing w:line="360" w:lineRule="auto"/>
              <w:jc w:val="left"/>
              <w:rPr>
                <w:color w:val="auto"/>
                <w:highlight w:val="none"/>
              </w:rPr>
            </w:pPr>
            <w:r>
              <w:rPr>
                <w:color w:val="auto"/>
                <w:highlight w:val="none"/>
              </w:rPr>
              <w:t>①监测因子</w:t>
            </w:r>
          </w:p>
          <w:p>
            <w:pPr>
              <w:widowControl/>
              <w:spacing w:line="360" w:lineRule="auto"/>
              <w:jc w:val="left"/>
              <w:rPr>
                <w:color w:val="auto"/>
                <w:highlight w:val="none"/>
              </w:rPr>
            </w:pPr>
            <w:r>
              <w:rPr>
                <w:color w:val="auto"/>
                <w:highlight w:val="none"/>
              </w:rPr>
              <w:t>水质监测项目为：pH、CODcr、</w:t>
            </w:r>
            <w:r>
              <w:rPr>
                <w:rFonts w:hint="eastAsia"/>
                <w:color w:val="auto"/>
                <w:highlight w:val="none"/>
              </w:rPr>
              <w:t>BOD5、</w:t>
            </w:r>
            <w:r>
              <w:rPr>
                <w:color w:val="auto"/>
                <w:highlight w:val="none"/>
              </w:rPr>
              <w:t>氨氮、</w:t>
            </w:r>
            <w:r>
              <w:rPr>
                <w:rFonts w:hint="eastAsia"/>
                <w:color w:val="auto"/>
                <w:highlight w:val="none"/>
              </w:rPr>
              <w:t>动植物油</w:t>
            </w:r>
            <w:r>
              <w:rPr>
                <w:color w:val="auto"/>
                <w:highlight w:val="none"/>
              </w:rPr>
              <w:t>、</w:t>
            </w:r>
            <w:r>
              <w:rPr>
                <w:rFonts w:hint="eastAsia"/>
                <w:color w:val="auto"/>
                <w:highlight w:val="none"/>
              </w:rPr>
              <w:t>SS、</w:t>
            </w:r>
            <w:r>
              <w:rPr>
                <w:color w:val="auto"/>
                <w:highlight w:val="none"/>
              </w:rPr>
              <w:t>粪大肠菌群共7项。</w:t>
            </w:r>
          </w:p>
          <w:p>
            <w:pPr>
              <w:widowControl/>
              <w:spacing w:line="360" w:lineRule="auto"/>
              <w:jc w:val="left"/>
              <w:rPr>
                <w:color w:val="auto"/>
                <w:highlight w:val="none"/>
              </w:rPr>
            </w:pPr>
            <w:r>
              <w:rPr>
                <w:color w:val="auto"/>
                <w:highlight w:val="none"/>
              </w:rPr>
              <w:t>②监测</w:t>
            </w:r>
            <w:r>
              <w:rPr>
                <w:rFonts w:hint="eastAsia"/>
                <w:color w:val="auto"/>
                <w:highlight w:val="none"/>
              </w:rPr>
              <w:t>断面</w:t>
            </w:r>
          </w:p>
          <w:p>
            <w:pPr>
              <w:widowControl/>
              <w:spacing w:line="240" w:lineRule="auto"/>
              <w:ind w:firstLine="422"/>
              <w:jc w:val="center"/>
              <w:rPr>
                <w:b/>
                <w:bCs/>
                <w:color w:val="auto"/>
                <w:sz w:val="21"/>
                <w:szCs w:val="21"/>
                <w:highlight w:val="none"/>
              </w:rPr>
            </w:pPr>
            <w:r>
              <w:rPr>
                <w:b/>
                <w:bCs/>
                <w:color w:val="auto"/>
                <w:sz w:val="21"/>
                <w:szCs w:val="21"/>
                <w:highlight w:val="none"/>
              </w:rPr>
              <w:t>表3-</w:t>
            </w:r>
            <w:r>
              <w:rPr>
                <w:rFonts w:hint="eastAsia"/>
                <w:b/>
                <w:bCs/>
                <w:color w:val="auto"/>
                <w:sz w:val="21"/>
                <w:szCs w:val="21"/>
                <w:highlight w:val="none"/>
              </w:rPr>
              <w:t>4</w:t>
            </w:r>
            <w:r>
              <w:rPr>
                <w:b/>
                <w:bCs/>
                <w:color w:val="auto"/>
                <w:sz w:val="21"/>
                <w:szCs w:val="21"/>
                <w:highlight w:val="none"/>
              </w:rPr>
              <w:t xml:space="preserve">   地表水质监测断面布设情况</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4571"/>
              <w:gridCol w:w="3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19"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w:t>
                  </w:r>
                </w:p>
                <w:p>
                  <w:pPr>
                    <w:spacing w:line="240" w:lineRule="auto"/>
                    <w:ind w:firstLine="0" w:firstLineChars="0"/>
                    <w:jc w:val="center"/>
                    <w:rPr>
                      <w:color w:val="auto"/>
                      <w:sz w:val="21"/>
                      <w:szCs w:val="21"/>
                      <w:highlight w:val="none"/>
                    </w:rPr>
                  </w:pPr>
                  <w:r>
                    <w:rPr>
                      <w:color w:val="auto"/>
                      <w:sz w:val="21"/>
                      <w:szCs w:val="21"/>
                      <w:highlight w:val="none"/>
                    </w:rPr>
                    <w:t>断面</w:t>
                  </w:r>
                </w:p>
              </w:tc>
              <w:tc>
                <w:tcPr>
                  <w:tcW w:w="4571"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监测点位置</w:t>
                  </w:r>
                </w:p>
              </w:tc>
              <w:tc>
                <w:tcPr>
                  <w:tcW w:w="3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监测点与本项目相对位置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19" w:type="dxa"/>
                  <w:vAlign w:val="center"/>
                </w:tcPr>
                <w:p>
                  <w:pPr>
                    <w:spacing w:line="240" w:lineRule="auto"/>
                    <w:ind w:firstLine="0" w:firstLineChars="0"/>
                    <w:jc w:val="center"/>
                    <w:rPr>
                      <w:color w:val="auto"/>
                      <w:sz w:val="21"/>
                      <w:szCs w:val="21"/>
                      <w:highlight w:val="none"/>
                    </w:rPr>
                  </w:pPr>
                  <w:r>
                    <w:rPr>
                      <w:color w:val="auto"/>
                      <w:sz w:val="21"/>
                      <w:szCs w:val="21"/>
                      <w:highlight w:val="none"/>
                    </w:rPr>
                    <w:t>S1</w:t>
                  </w:r>
                </w:p>
              </w:tc>
              <w:tc>
                <w:tcPr>
                  <w:tcW w:w="4571" w:type="dxa"/>
                  <w:vAlign w:val="center"/>
                </w:tcPr>
                <w:p>
                  <w:pPr>
                    <w:spacing w:line="240" w:lineRule="auto"/>
                    <w:ind w:firstLine="0" w:firstLineChars="0"/>
                    <w:jc w:val="center"/>
                    <w:rPr>
                      <w:color w:val="auto"/>
                      <w:sz w:val="21"/>
                      <w:szCs w:val="21"/>
                      <w:highlight w:val="none"/>
                    </w:rPr>
                  </w:pPr>
                  <w:r>
                    <w:rPr>
                      <w:color w:val="auto"/>
                      <w:sz w:val="21"/>
                      <w:szCs w:val="21"/>
                      <w:highlight w:val="none"/>
                    </w:rPr>
                    <w:t>祁阳鑫茂新型建材有限公司西面700m处湘江监测断面</w:t>
                  </w:r>
                </w:p>
              </w:tc>
              <w:tc>
                <w:tcPr>
                  <w:tcW w:w="3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本项目南面湘江上游700m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19" w:type="dxa"/>
                  <w:vAlign w:val="center"/>
                </w:tcPr>
                <w:p>
                  <w:pPr>
                    <w:spacing w:line="240" w:lineRule="auto"/>
                    <w:ind w:firstLine="0" w:firstLineChars="0"/>
                    <w:jc w:val="center"/>
                    <w:rPr>
                      <w:color w:val="auto"/>
                      <w:sz w:val="21"/>
                      <w:szCs w:val="21"/>
                      <w:highlight w:val="none"/>
                    </w:rPr>
                  </w:pPr>
                  <w:r>
                    <w:rPr>
                      <w:color w:val="auto"/>
                      <w:sz w:val="21"/>
                      <w:szCs w:val="21"/>
                      <w:highlight w:val="none"/>
                    </w:rPr>
                    <w:t>S</w:t>
                  </w:r>
                  <w:r>
                    <w:rPr>
                      <w:rFonts w:hint="eastAsia"/>
                      <w:color w:val="auto"/>
                      <w:sz w:val="21"/>
                      <w:szCs w:val="21"/>
                      <w:highlight w:val="none"/>
                    </w:rPr>
                    <w:t>2</w:t>
                  </w:r>
                </w:p>
              </w:tc>
              <w:tc>
                <w:tcPr>
                  <w:tcW w:w="4571" w:type="dxa"/>
                  <w:vAlign w:val="center"/>
                </w:tcPr>
                <w:p>
                  <w:pPr>
                    <w:spacing w:line="240" w:lineRule="auto"/>
                    <w:ind w:firstLine="0" w:firstLineChars="0"/>
                    <w:jc w:val="center"/>
                    <w:rPr>
                      <w:color w:val="auto"/>
                      <w:sz w:val="21"/>
                      <w:szCs w:val="21"/>
                      <w:highlight w:val="none"/>
                    </w:rPr>
                  </w:pPr>
                  <w:r>
                    <w:rPr>
                      <w:color w:val="auto"/>
                      <w:sz w:val="21"/>
                      <w:szCs w:val="21"/>
                      <w:highlight w:val="none"/>
                    </w:rPr>
                    <w:t>祁阳鑫茂新型建材有限公司东面850m处湘江监测断面</w:t>
                  </w:r>
                </w:p>
              </w:tc>
              <w:tc>
                <w:tcPr>
                  <w:tcW w:w="3197" w:type="dxa"/>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rPr>
                    <w:t>本项目北面750m处湘江断面</w:t>
                  </w:r>
                </w:p>
              </w:tc>
            </w:tr>
          </w:tbl>
          <w:p>
            <w:pPr>
              <w:widowControl/>
              <w:spacing w:line="360" w:lineRule="auto"/>
              <w:jc w:val="left"/>
              <w:rPr>
                <w:color w:val="auto"/>
                <w:highlight w:val="none"/>
              </w:rPr>
            </w:pPr>
            <w:r>
              <w:rPr>
                <w:color w:val="auto"/>
                <w:highlight w:val="none"/>
              </w:rPr>
              <w:t>③监测时间</w:t>
            </w:r>
          </w:p>
          <w:p>
            <w:pPr>
              <w:widowControl/>
              <w:spacing w:line="360" w:lineRule="auto"/>
              <w:jc w:val="left"/>
              <w:rPr>
                <w:color w:val="auto"/>
                <w:highlight w:val="none"/>
              </w:rPr>
            </w:pPr>
            <w:r>
              <w:rPr>
                <w:rFonts w:hint="eastAsia"/>
                <w:color w:val="auto"/>
                <w:highlight w:val="none"/>
              </w:rPr>
              <w:t>湖南坤诚检测技术有限公司</w:t>
            </w:r>
            <w:r>
              <w:rPr>
                <w:color w:val="auto"/>
                <w:highlight w:val="none"/>
              </w:rPr>
              <w:t>于</w:t>
            </w:r>
            <w:r>
              <w:rPr>
                <w:color w:val="auto"/>
                <w:highlight w:val="none"/>
                <w:lang w:val="zh-CN"/>
              </w:rPr>
              <w:t>201</w:t>
            </w:r>
            <w:r>
              <w:rPr>
                <w:rFonts w:hint="eastAsia"/>
                <w:color w:val="auto"/>
                <w:highlight w:val="none"/>
              </w:rPr>
              <w:t>7</w:t>
            </w:r>
            <w:r>
              <w:rPr>
                <w:color w:val="auto"/>
                <w:highlight w:val="none"/>
                <w:lang w:val="zh-CN"/>
              </w:rPr>
              <w:t>年</w:t>
            </w:r>
            <w:r>
              <w:rPr>
                <w:rFonts w:hint="eastAsia"/>
                <w:color w:val="auto"/>
                <w:highlight w:val="none"/>
              </w:rPr>
              <w:t>12</w:t>
            </w:r>
            <w:r>
              <w:rPr>
                <w:color w:val="auto"/>
                <w:highlight w:val="none"/>
                <w:lang w:val="zh-CN"/>
              </w:rPr>
              <w:t>月</w:t>
            </w:r>
            <w:r>
              <w:rPr>
                <w:rFonts w:hint="eastAsia"/>
                <w:color w:val="auto"/>
                <w:highlight w:val="none"/>
              </w:rPr>
              <w:t>21</w:t>
            </w:r>
            <w:r>
              <w:rPr>
                <w:color w:val="auto"/>
                <w:highlight w:val="none"/>
                <w:lang w:val="zh-CN"/>
              </w:rPr>
              <w:t>日~201</w:t>
            </w:r>
            <w:r>
              <w:rPr>
                <w:rFonts w:hint="eastAsia"/>
                <w:color w:val="auto"/>
                <w:highlight w:val="none"/>
              </w:rPr>
              <w:t>7</w:t>
            </w:r>
            <w:r>
              <w:rPr>
                <w:color w:val="auto"/>
                <w:highlight w:val="none"/>
                <w:lang w:val="zh-CN"/>
              </w:rPr>
              <w:t>年</w:t>
            </w:r>
            <w:r>
              <w:rPr>
                <w:rFonts w:hint="eastAsia"/>
                <w:color w:val="auto"/>
                <w:highlight w:val="none"/>
              </w:rPr>
              <w:t>12</w:t>
            </w:r>
            <w:r>
              <w:rPr>
                <w:color w:val="auto"/>
                <w:highlight w:val="none"/>
                <w:lang w:val="zh-CN"/>
              </w:rPr>
              <w:t>月</w:t>
            </w:r>
            <w:r>
              <w:rPr>
                <w:rFonts w:hint="eastAsia"/>
                <w:color w:val="auto"/>
                <w:highlight w:val="none"/>
              </w:rPr>
              <w:t>23</w:t>
            </w:r>
            <w:r>
              <w:rPr>
                <w:color w:val="auto"/>
                <w:highlight w:val="none"/>
                <w:lang w:val="zh-CN"/>
              </w:rPr>
              <w:t>日</w:t>
            </w:r>
            <w:r>
              <w:rPr>
                <w:color w:val="auto"/>
                <w:highlight w:val="none"/>
              </w:rPr>
              <w:t>对</w:t>
            </w:r>
            <w:r>
              <w:rPr>
                <w:rFonts w:hint="eastAsia"/>
                <w:color w:val="auto"/>
                <w:highlight w:val="none"/>
              </w:rPr>
              <w:t>湘江</w:t>
            </w:r>
            <w:r>
              <w:rPr>
                <w:color w:val="auto"/>
                <w:highlight w:val="none"/>
              </w:rPr>
              <w:t>监测断面进行监测。</w:t>
            </w:r>
          </w:p>
          <w:p>
            <w:pPr>
              <w:widowControl/>
              <w:spacing w:line="360" w:lineRule="auto"/>
              <w:jc w:val="left"/>
              <w:rPr>
                <w:color w:val="auto"/>
                <w:highlight w:val="none"/>
              </w:rPr>
            </w:pPr>
            <w:r>
              <w:rPr>
                <w:color w:val="auto"/>
                <w:highlight w:val="none"/>
              </w:rPr>
              <w:t>④监测结果</w:t>
            </w:r>
          </w:p>
          <w:p>
            <w:pPr>
              <w:widowControl/>
              <w:spacing w:line="360" w:lineRule="auto"/>
              <w:jc w:val="left"/>
              <w:rPr>
                <w:color w:val="auto"/>
                <w:highlight w:val="none"/>
              </w:rPr>
            </w:pPr>
            <w:r>
              <w:rPr>
                <w:color w:val="auto"/>
                <w:highlight w:val="none"/>
              </w:rPr>
              <w:t>现状监测统计结果见表3-</w:t>
            </w:r>
            <w:r>
              <w:rPr>
                <w:rFonts w:hint="eastAsia"/>
                <w:color w:val="auto"/>
                <w:highlight w:val="none"/>
              </w:rPr>
              <w:t>5</w:t>
            </w:r>
            <w:r>
              <w:rPr>
                <w:color w:val="auto"/>
                <w:highlight w:val="none"/>
              </w:rPr>
              <w:t>。</w:t>
            </w:r>
          </w:p>
          <w:p>
            <w:pPr>
              <w:widowControl/>
              <w:spacing w:line="240" w:lineRule="auto"/>
              <w:ind w:firstLine="422"/>
              <w:jc w:val="center"/>
              <w:rPr>
                <w:b/>
                <w:bCs/>
                <w:color w:val="auto"/>
                <w:sz w:val="21"/>
                <w:szCs w:val="21"/>
                <w:highlight w:val="none"/>
              </w:rPr>
            </w:pPr>
            <w:r>
              <w:rPr>
                <w:b/>
                <w:bCs/>
                <w:color w:val="auto"/>
                <w:sz w:val="21"/>
                <w:szCs w:val="21"/>
                <w:highlight w:val="none"/>
              </w:rPr>
              <w:t>表3-</w:t>
            </w:r>
            <w:r>
              <w:rPr>
                <w:rFonts w:hint="eastAsia"/>
                <w:b/>
                <w:bCs/>
                <w:color w:val="auto"/>
                <w:sz w:val="21"/>
                <w:szCs w:val="21"/>
                <w:highlight w:val="none"/>
              </w:rPr>
              <w:t>5</w:t>
            </w:r>
            <w:r>
              <w:rPr>
                <w:b/>
                <w:bCs/>
                <w:color w:val="auto"/>
                <w:sz w:val="21"/>
                <w:szCs w:val="21"/>
                <w:highlight w:val="none"/>
              </w:rPr>
              <w:t xml:space="preserve">   地表水环境质量现状监测数据统计结果     单位： mg/L</w:t>
            </w:r>
          </w:p>
          <w:tbl>
            <w:tblPr>
              <w:tblStyle w:val="26"/>
              <w:tblW w:w="8787"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24"/>
              <w:gridCol w:w="1729"/>
              <w:gridCol w:w="1091"/>
              <w:gridCol w:w="1024"/>
              <w:gridCol w:w="1025"/>
              <w:gridCol w:w="1304"/>
              <w:gridCol w:w="12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jc w:val="center"/>
              </w:trPr>
              <w:tc>
                <w:tcPr>
                  <w:tcW w:w="132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监测断面</w:t>
                  </w: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监测因子</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浓度范围</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评价</w:t>
                  </w:r>
                </w:p>
                <w:p>
                  <w:pPr>
                    <w:spacing w:line="240" w:lineRule="auto"/>
                    <w:ind w:firstLine="0" w:firstLineChars="0"/>
                    <w:jc w:val="center"/>
                    <w:rPr>
                      <w:color w:val="auto"/>
                      <w:sz w:val="21"/>
                      <w:szCs w:val="21"/>
                      <w:highlight w:val="none"/>
                    </w:rPr>
                  </w:pPr>
                  <w:r>
                    <w:rPr>
                      <w:color w:val="auto"/>
                      <w:sz w:val="21"/>
                      <w:szCs w:val="21"/>
                      <w:highlight w:val="none"/>
                    </w:rPr>
                    <w:t>指数</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标准限值</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最大超标倍数</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超标率（%）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S</w:t>
                  </w:r>
                  <w:r>
                    <w:rPr>
                      <w:color w:val="auto"/>
                      <w:sz w:val="21"/>
                      <w:szCs w:val="21"/>
                      <w:highlight w:val="none"/>
                    </w:rPr>
                    <w:t>1祁阳鑫茂新型建材有限公司西面700m处湘江监测断面</w:t>
                  </w:r>
                  <w:r>
                    <w:rPr>
                      <w:rFonts w:hint="eastAsia"/>
                      <w:color w:val="auto"/>
                      <w:sz w:val="21"/>
                      <w:szCs w:val="21"/>
                      <w:highlight w:val="none"/>
                    </w:rPr>
                    <w:t>（本项目南面湘江上游700m）</w:t>
                  </w: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p</w:t>
                  </w:r>
                  <w:r>
                    <w:rPr>
                      <w:color w:val="auto"/>
                      <w:sz w:val="21"/>
                      <w:szCs w:val="21"/>
                      <w:highlight w:val="none"/>
                    </w:rPr>
                    <w:t>H</w:t>
                  </w:r>
                  <w:r>
                    <w:rPr>
                      <w:rFonts w:hint="eastAsia"/>
                      <w:color w:val="auto"/>
                      <w:sz w:val="21"/>
                      <w:szCs w:val="21"/>
                      <w:highlight w:val="none"/>
                    </w:rPr>
                    <w:t>值(无量纲)</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6.34~6.84</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6~9</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COD</w:t>
                  </w:r>
                  <w:r>
                    <w:rPr>
                      <w:rFonts w:hint="eastAsia"/>
                      <w:color w:val="auto"/>
                      <w:sz w:val="21"/>
                      <w:szCs w:val="21"/>
                      <w:highlight w:val="none"/>
                    </w:rPr>
                    <w:t>cr</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12~14</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0.7</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20</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BOD</w:t>
                  </w:r>
                  <w:r>
                    <w:rPr>
                      <w:rFonts w:hint="eastAsia"/>
                      <w:color w:val="auto"/>
                      <w:sz w:val="21"/>
                      <w:szCs w:val="21"/>
                      <w:highlight w:val="none"/>
                      <w:vertAlign w:val="subscript"/>
                    </w:rPr>
                    <w:t>5</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2.9~3.2</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0.8</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4</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石油类</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0.02</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2.5</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0.05</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vertAlign w:val="subscript"/>
                    </w:rPr>
                  </w:pPr>
                  <w:r>
                    <w:rPr>
                      <w:rFonts w:hint="eastAsia"/>
                      <w:color w:val="auto"/>
                      <w:sz w:val="21"/>
                      <w:szCs w:val="21"/>
                      <w:highlight w:val="none"/>
                    </w:rPr>
                    <w:t>SS</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6~8</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氨氮</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0.516~0.546</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/0.546</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1.0</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总磷</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0.17~0.19</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0.95</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0.2</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动植物油</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0.03</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粪大肠菌群MPN/L</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110~180</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0.018</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10000</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S2</w:t>
                  </w:r>
                  <w:r>
                    <w:rPr>
                      <w:color w:val="auto"/>
                      <w:sz w:val="21"/>
                      <w:szCs w:val="21"/>
                      <w:highlight w:val="none"/>
                    </w:rPr>
                    <w:t>祁阳鑫茂新型建材有限公司东面850m处湘江监测断面</w:t>
                  </w:r>
                  <w:r>
                    <w:rPr>
                      <w:rFonts w:hint="eastAsia"/>
                      <w:color w:val="auto"/>
                      <w:sz w:val="21"/>
                      <w:szCs w:val="21"/>
                      <w:highlight w:val="none"/>
                    </w:rPr>
                    <w:t>（本项目北面750m处湘江断面）</w:t>
                  </w: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p</w:t>
                  </w:r>
                  <w:r>
                    <w:rPr>
                      <w:color w:val="auto"/>
                      <w:sz w:val="21"/>
                      <w:szCs w:val="21"/>
                      <w:highlight w:val="none"/>
                    </w:rPr>
                    <w:t>H</w:t>
                  </w:r>
                  <w:r>
                    <w:rPr>
                      <w:rFonts w:hint="eastAsia"/>
                      <w:color w:val="auto"/>
                      <w:sz w:val="21"/>
                      <w:szCs w:val="21"/>
                      <w:highlight w:val="none"/>
                    </w:rPr>
                    <w:t>值(无量纲)</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6.37~6.83</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6~9</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COD</w:t>
                  </w:r>
                  <w:r>
                    <w:rPr>
                      <w:rFonts w:hint="eastAsia"/>
                      <w:color w:val="auto"/>
                      <w:sz w:val="21"/>
                      <w:szCs w:val="21"/>
                      <w:highlight w:val="none"/>
                    </w:rPr>
                    <w:t>cr</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12~14</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0.7</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20</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BOD</w:t>
                  </w:r>
                  <w:r>
                    <w:rPr>
                      <w:rFonts w:hint="eastAsia"/>
                      <w:color w:val="auto"/>
                      <w:sz w:val="21"/>
                      <w:szCs w:val="21"/>
                      <w:highlight w:val="none"/>
                      <w:vertAlign w:val="subscript"/>
                    </w:rPr>
                    <w:t>5</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3.2~3.6</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0.9</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4</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石油类</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0.03</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0.6</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0.05</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SS</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9~10</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氨氮</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0.618~0.628</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0.628</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1.0</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总磷</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0.14</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0.7</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0.2</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动植物油</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0.03~0.04</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32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729"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粪大肠菌群MPN/L</w:t>
                  </w:r>
                </w:p>
              </w:tc>
              <w:tc>
                <w:tcPr>
                  <w:tcW w:w="109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140~170</w:t>
                  </w:r>
                </w:p>
              </w:tc>
              <w:tc>
                <w:tcPr>
                  <w:tcW w:w="1024"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0.017</w:t>
                  </w:r>
                </w:p>
              </w:tc>
              <w:tc>
                <w:tcPr>
                  <w:tcW w:w="10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rPr>
                    <w:t>10000</w:t>
                  </w:r>
                </w:p>
              </w:tc>
              <w:tc>
                <w:tcPr>
                  <w:tcW w:w="1304"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c>
                <w:tcPr>
                  <w:tcW w:w="1290"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bl>
          <w:p>
            <w:pPr>
              <w:widowControl/>
              <w:spacing w:line="360" w:lineRule="auto"/>
              <w:jc w:val="left"/>
              <w:rPr>
                <w:color w:val="auto"/>
                <w:highlight w:val="none"/>
              </w:rPr>
            </w:pPr>
            <w:r>
              <w:rPr>
                <w:color w:val="auto"/>
                <w:highlight w:val="none"/>
              </w:rPr>
              <w:t>由上表3-</w:t>
            </w:r>
            <w:r>
              <w:rPr>
                <w:rFonts w:hint="eastAsia"/>
                <w:color w:val="auto"/>
                <w:highlight w:val="none"/>
              </w:rPr>
              <w:t>5</w:t>
            </w:r>
            <w:r>
              <w:rPr>
                <w:color w:val="auto"/>
                <w:highlight w:val="none"/>
              </w:rPr>
              <w:t>监测结果可知，项目拟建地</w:t>
            </w:r>
            <w:r>
              <w:rPr>
                <w:rFonts w:hint="eastAsia"/>
                <w:color w:val="auto"/>
                <w:highlight w:val="none"/>
              </w:rPr>
              <w:t>湘江监测断面</w:t>
            </w:r>
            <w:r>
              <w:rPr>
                <w:color w:val="auto"/>
                <w:highlight w:val="none"/>
              </w:rPr>
              <w:t>监测因子指标均符合《地表水环境质量标准》（GB3838-2002）Ⅲ类标准的要求。</w:t>
            </w:r>
          </w:p>
          <w:p>
            <w:pPr>
              <w:widowControl/>
              <w:spacing w:line="360" w:lineRule="auto"/>
              <w:ind w:firstLine="562"/>
              <w:jc w:val="left"/>
              <w:rPr>
                <w:b/>
                <w:bCs/>
                <w:color w:val="auto"/>
                <w:sz w:val="28"/>
                <w:szCs w:val="28"/>
                <w:highlight w:val="none"/>
              </w:rPr>
            </w:pPr>
            <w:r>
              <w:rPr>
                <w:rFonts w:hint="eastAsia"/>
                <w:b/>
                <w:bCs/>
                <w:color w:val="auto"/>
                <w:sz w:val="28"/>
                <w:szCs w:val="28"/>
                <w:highlight w:val="none"/>
              </w:rPr>
              <w:t>3</w:t>
            </w:r>
            <w:r>
              <w:rPr>
                <w:b/>
                <w:bCs/>
                <w:color w:val="auto"/>
                <w:sz w:val="28"/>
                <w:szCs w:val="28"/>
                <w:highlight w:val="none"/>
              </w:rPr>
              <w:t>、声环境质量现状</w:t>
            </w:r>
          </w:p>
          <w:p>
            <w:pPr>
              <w:widowControl/>
              <w:spacing w:line="360" w:lineRule="auto"/>
              <w:jc w:val="left"/>
              <w:rPr>
                <w:color w:val="auto"/>
                <w:highlight w:val="none"/>
              </w:rPr>
            </w:pPr>
            <w:r>
              <w:rPr>
                <w:color w:val="auto"/>
                <w:highlight w:val="none"/>
              </w:rPr>
              <w:t>①监测项目：LAeq</w:t>
            </w:r>
          </w:p>
          <w:p>
            <w:pPr>
              <w:widowControl/>
              <w:spacing w:line="360" w:lineRule="auto"/>
              <w:jc w:val="left"/>
              <w:rPr>
                <w:color w:val="auto"/>
                <w:highlight w:val="none"/>
              </w:rPr>
            </w:pPr>
            <w:r>
              <w:rPr>
                <w:color w:val="auto"/>
                <w:highlight w:val="none"/>
              </w:rPr>
              <w:t>②监测点位、时间</w:t>
            </w:r>
          </w:p>
          <w:p>
            <w:pPr>
              <w:widowControl/>
              <w:spacing w:line="360" w:lineRule="auto"/>
              <w:jc w:val="left"/>
              <w:rPr>
                <w:color w:val="auto"/>
                <w:highlight w:val="none"/>
              </w:rPr>
            </w:pPr>
            <w:bookmarkStart w:id="24" w:name="OLE_LINK23"/>
            <w:r>
              <w:rPr>
                <w:color w:val="auto"/>
                <w:highlight w:val="none"/>
              </w:rPr>
              <w:t>为了解项目周围声环境质量情况，本评价声环境质量监测委托湖南林晟环境检测有限公司于2019年</w:t>
            </w:r>
            <w:r>
              <w:rPr>
                <w:rFonts w:hint="eastAsia"/>
                <w:color w:val="auto"/>
                <w:highlight w:val="none"/>
              </w:rPr>
              <w:t>11</w:t>
            </w:r>
            <w:r>
              <w:rPr>
                <w:color w:val="auto"/>
                <w:highlight w:val="none"/>
              </w:rPr>
              <w:t>月</w:t>
            </w:r>
            <w:r>
              <w:rPr>
                <w:rFonts w:hint="eastAsia"/>
                <w:color w:val="auto"/>
                <w:highlight w:val="none"/>
              </w:rPr>
              <w:t>27</w:t>
            </w:r>
            <w:r>
              <w:rPr>
                <w:color w:val="auto"/>
                <w:highlight w:val="none"/>
              </w:rPr>
              <w:t>日~</w:t>
            </w:r>
            <w:r>
              <w:rPr>
                <w:rFonts w:hint="eastAsia"/>
                <w:color w:val="auto"/>
                <w:highlight w:val="none"/>
              </w:rPr>
              <w:t>28</w:t>
            </w:r>
            <w:r>
              <w:rPr>
                <w:color w:val="auto"/>
                <w:highlight w:val="none"/>
              </w:rPr>
              <w:t>日对本项目东、南、西、北面场界外1m进行噪声实测</w:t>
            </w:r>
            <w:bookmarkEnd w:id="24"/>
            <w:r>
              <w:rPr>
                <w:color w:val="auto"/>
                <w:highlight w:val="none"/>
              </w:rPr>
              <w:t>，各监测点按昼夜分段监测，监测2天，白天和夜间各1次，监测结果见表3-</w:t>
            </w:r>
            <w:r>
              <w:rPr>
                <w:rFonts w:hint="eastAsia"/>
                <w:color w:val="auto"/>
                <w:highlight w:val="none"/>
              </w:rPr>
              <w:t>6</w:t>
            </w:r>
            <w:r>
              <w:rPr>
                <w:color w:val="auto"/>
                <w:highlight w:val="none"/>
              </w:rPr>
              <w:t>。</w:t>
            </w:r>
          </w:p>
          <w:p>
            <w:pPr>
              <w:widowControl/>
              <w:spacing w:line="240" w:lineRule="auto"/>
              <w:ind w:firstLine="422"/>
              <w:jc w:val="center"/>
              <w:rPr>
                <w:b/>
                <w:bCs/>
                <w:color w:val="auto"/>
                <w:sz w:val="21"/>
                <w:szCs w:val="21"/>
                <w:highlight w:val="none"/>
              </w:rPr>
            </w:pPr>
            <w:r>
              <w:rPr>
                <w:b/>
                <w:bCs/>
                <w:color w:val="auto"/>
                <w:sz w:val="21"/>
                <w:szCs w:val="21"/>
                <w:highlight w:val="none"/>
              </w:rPr>
              <w:t>表3-</w:t>
            </w:r>
            <w:r>
              <w:rPr>
                <w:rFonts w:hint="eastAsia"/>
                <w:b/>
                <w:bCs/>
                <w:color w:val="auto"/>
                <w:sz w:val="21"/>
                <w:szCs w:val="21"/>
                <w:highlight w:val="none"/>
              </w:rPr>
              <w:t>6</w:t>
            </w:r>
            <w:r>
              <w:rPr>
                <w:b/>
                <w:bCs/>
                <w:color w:val="auto"/>
                <w:sz w:val="21"/>
                <w:szCs w:val="21"/>
                <w:highlight w:val="none"/>
              </w:rPr>
              <w:t xml:space="preserve">   噪声现状监测结果   单位：dB(A)</w:t>
            </w:r>
          </w:p>
          <w:tbl>
            <w:tblPr>
              <w:tblStyle w:val="26"/>
              <w:tblW w:w="867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362"/>
              <w:gridCol w:w="1336"/>
              <w:gridCol w:w="1157"/>
              <w:gridCol w:w="1012"/>
              <w:gridCol w:w="1012"/>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测点编号</w:t>
                  </w:r>
                </w:p>
              </w:tc>
              <w:tc>
                <w:tcPr>
                  <w:tcW w:w="1362"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监测日期</w:t>
                  </w:r>
                </w:p>
              </w:tc>
              <w:tc>
                <w:tcPr>
                  <w:tcW w:w="2493" w:type="dxa"/>
                  <w:gridSpan w:val="2"/>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监测结果</w:t>
                  </w:r>
                </w:p>
              </w:tc>
              <w:tc>
                <w:tcPr>
                  <w:tcW w:w="2024" w:type="dxa"/>
                  <w:gridSpan w:val="2"/>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标准值</w:t>
                  </w:r>
                </w:p>
              </w:tc>
              <w:tc>
                <w:tcPr>
                  <w:tcW w:w="1031"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362"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336"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昼间</w:t>
                  </w:r>
                </w:p>
              </w:tc>
              <w:tc>
                <w:tcPr>
                  <w:tcW w:w="1157"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夜间</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昼间</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夜间</w:t>
                  </w:r>
                </w:p>
              </w:tc>
              <w:tc>
                <w:tcPr>
                  <w:tcW w:w="1031"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N1项目东面厂界外1m</w:t>
                  </w: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2019.12.03</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56.3</w:t>
                  </w:r>
                </w:p>
              </w:tc>
              <w:tc>
                <w:tcPr>
                  <w:tcW w:w="1157" w:type="dxa"/>
                  <w:tcBorders>
                    <w:tl2br w:val="nil"/>
                    <w:tr2bl w:val="nil"/>
                  </w:tcBorders>
                  <w:vAlign w:val="center"/>
                </w:tcPr>
                <w:p>
                  <w:pPr>
                    <w:pStyle w:val="44"/>
                    <w:adjustRightInd/>
                    <w:spacing w:line="240" w:lineRule="auto"/>
                    <w:ind w:firstLine="0" w:firstLineChars="0"/>
                    <w:textAlignment w:val="auto"/>
                    <w:rPr>
                      <w:color w:val="auto"/>
                      <w:sz w:val="21"/>
                      <w:highlight w:val="none"/>
                      <w:u w:val="single"/>
                    </w:rPr>
                  </w:pPr>
                  <w:r>
                    <w:rPr>
                      <w:rFonts w:hint="eastAsia"/>
                      <w:color w:val="auto"/>
                      <w:sz w:val="21"/>
                      <w:highlight w:val="none"/>
                      <w:u w:val="single"/>
                    </w:rPr>
                    <w:t>43.1</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2019.12.04</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56.7</w:t>
                  </w:r>
                </w:p>
              </w:tc>
              <w:tc>
                <w:tcPr>
                  <w:tcW w:w="1157" w:type="dxa"/>
                  <w:tcBorders>
                    <w:tl2br w:val="nil"/>
                    <w:tr2bl w:val="nil"/>
                  </w:tcBorders>
                  <w:vAlign w:val="center"/>
                </w:tcPr>
                <w:p>
                  <w:pPr>
                    <w:pStyle w:val="44"/>
                    <w:adjustRightInd/>
                    <w:spacing w:line="240" w:lineRule="auto"/>
                    <w:ind w:firstLine="0" w:firstLineChars="0"/>
                    <w:textAlignment w:val="auto"/>
                    <w:rPr>
                      <w:color w:val="auto"/>
                      <w:sz w:val="21"/>
                      <w:highlight w:val="none"/>
                      <w:u w:val="single"/>
                    </w:rPr>
                  </w:pPr>
                  <w:r>
                    <w:rPr>
                      <w:rFonts w:hint="eastAsia"/>
                      <w:color w:val="auto"/>
                      <w:sz w:val="21"/>
                      <w:highlight w:val="none"/>
                      <w:u w:val="single"/>
                    </w:rPr>
                    <w:t>44.1</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N2项目南面厂界外1m</w:t>
                  </w: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2019.12.03</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54.6</w:t>
                  </w:r>
                </w:p>
              </w:tc>
              <w:tc>
                <w:tcPr>
                  <w:tcW w:w="1157" w:type="dxa"/>
                  <w:tcBorders>
                    <w:tl2br w:val="nil"/>
                    <w:tr2bl w:val="nil"/>
                  </w:tcBorders>
                  <w:vAlign w:val="center"/>
                </w:tcPr>
                <w:p>
                  <w:pPr>
                    <w:pStyle w:val="44"/>
                    <w:adjustRightInd/>
                    <w:spacing w:line="240" w:lineRule="auto"/>
                    <w:ind w:firstLine="0" w:firstLineChars="0"/>
                    <w:textAlignment w:val="auto"/>
                    <w:rPr>
                      <w:color w:val="auto"/>
                      <w:sz w:val="21"/>
                      <w:highlight w:val="none"/>
                      <w:u w:val="single"/>
                    </w:rPr>
                  </w:pPr>
                  <w:r>
                    <w:rPr>
                      <w:rFonts w:hint="eastAsia"/>
                      <w:color w:val="auto"/>
                      <w:sz w:val="21"/>
                      <w:highlight w:val="none"/>
                      <w:u w:val="single"/>
                    </w:rPr>
                    <w:t>43.2</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2019.12.04</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54.1</w:t>
                  </w:r>
                </w:p>
              </w:tc>
              <w:tc>
                <w:tcPr>
                  <w:tcW w:w="1157" w:type="dxa"/>
                  <w:tcBorders>
                    <w:tl2br w:val="nil"/>
                    <w:tr2bl w:val="nil"/>
                  </w:tcBorders>
                  <w:vAlign w:val="center"/>
                </w:tcPr>
                <w:p>
                  <w:pPr>
                    <w:pStyle w:val="44"/>
                    <w:adjustRightInd/>
                    <w:spacing w:line="240" w:lineRule="auto"/>
                    <w:ind w:firstLine="0" w:firstLineChars="0"/>
                    <w:textAlignment w:val="auto"/>
                    <w:rPr>
                      <w:color w:val="auto"/>
                      <w:sz w:val="21"/>
                      <w:highlight w:val="none"/>
                      <w:u w:val="single"/>
                    </w:rPr>
                  </w:pPr>
                  <w:r>
                    <w:rPr>
                      <w:rFonts w:hint="eastAsia"/>
                      <w:color w:val="auto"/>
                      <w:sz w:val="21"/>
                      <w:highlight w:val="none"/>
                      <w:u w:val="single"/>
                    </w:rPr>
                    <w:t>43.2</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N3项目西面厂界外1m</w:t>
                  </w: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2019.12.03</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53.6</w:t>
                  </w:r>
                </w:p>
              </w:tc>
              <w:tc>
                <w:tcPr>
                  <w:tcW w:w="1157"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42.2</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2019.12.04</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54.1</w:t>
                  </w:r>
                </w:p>
              </w:tc>
              <w:tc>
                <w:tcPr>
                  <w:tcW w:w="1157"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43.2</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restart"/>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N4项目北面厂界外1m</w:t>
                  </w: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2019.12.03</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54.1</w:t>
                  </w:r>
                </w:p>
              </w:tc>
              <w:tc>
                <w:tcPr>
                  <w:tcW w:w="1157"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42</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4" w:type="dxa"/>
                  <w:vMerge w:val="continue"/>
                  <w:tcBorders>
                    <w:tl2br w:val="nil"/>
                    <w:tr2bl w:val="nil"/>
                  </w:tcBorders>
                  <w:vAlign w:val="center"/>
                </w:tcPr>
                <w:p>
                  <w:pPr>
                    <w:spacing w:line="240" w:lineRule="auto"/>
                    <w:ind w:firstLine="0" w:firstLineChars="0"/>
                    <w:jc w:val="center"/>
                    <w:rPr>
                      <w:color w:val="auto"/>
                      <w:sz w:val="21"/>
                      <w:szCs w:val="21"/>
                      <w:highlight w:val="none"/>
                    </w:rPr>
                  </w:pPr>
                </w:p>
              </w:tc>
              <w:tc>
                <w:tcPr>
                  <w:tcW w:w="1362" w:type="dxa"/>
                  <w:tcBorders>
                    <w:tl2br w:val="nil"/>
                    <w:tr2bl w:val="nil"/>
                  </w:tcBorders>
                  <w:vAlign w:val="center"/>
                </w:tcPr>
                <w:p>
                  <w:pPr>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2019.12.04</w:t>
                  </w:r>
                </w:p>
              </w:tc>
              <w:tc>
                <w:tcPr>
                  <w:tcW w:w="1336"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53.5</w:t>
                  </w:r>
                </w:p>
              </w:tc>
              <w:tc>
                <w:tcPr>
                  <w:tcW w:w="1157" w:type="dxa"/>
                  <w:tcBorders>
                    <w:tl2br w:val="nil"/>
                    <w:tr2bl w:val="nil"/>
                  </w:tcBorders>
                  <w:vAlign w:val="center"/>
                </w:tcPr>
                <w:p>
                  <w:pPr>
                    <w:widowControl/>
                    <w:spacing w:line="240" w:lineRule="auto"/>
                    <w:ind w:firstLine="0" w:firstLineChars="0"/>
                    <w:jc w:val="center"/>
                    <w:rPr>
                      <w:color w:val="auto"/>
                      <w:sz w:val="21"/>
                      <w:szCs w:val="21"/>
                      <w:highlight w:val="none"/>
                      <w:u w:val="single"/>
                    </w:rPr>
                  </w:pPr>
                  <w:r>
                    <w:rPr>
                      <w:rFonts w:hint="eastAsia"/>
                      <w:color w:val="auto"/>
                      <w:sz w:val="21"/>
                      <w:szCs w:val="21"/>
                      <w:highlight w:val="none"/>
                      <w:u w:val="single"/>
                    </w:rPr>
                    <w:t>42.6</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012"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50</w:t>
                  </w:r>
                </w:p>
              </w:tc>
              <w:tc>
                <w:tcPr>
                  <w:tcW w:w="103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w:t>
                  </w:r>
                </w:p>
              </w:tc>
            </w:tr>
          </w:tbl>
          <w:p>
            <w:pPr>
              <w:widowControl/>
              <w:spacing w:line="360" w:lineRule="auto"/>
              <w:jc w:val="left"/>
              <w:rPr>
                <w:color w:val="auto"/>
                <w:highlight w:val="none"/>
              </w:rPr>
            </w:pPr>
            <w:r>
              <w:rPr>
                <w:color w:val="auto"/>
                <w:highlight w:val="none"/>
              </w:rPr>
              <w:t>由表3-</w:t>
            </w:r>
            <w:r>
              <w:rPr>
                <w:rFonts w:hint="eastAsia"/>
                <w:color w:val="auto"/>
                <w:highlight w:val="none"/>
              </w:rPr>
              <w:t>6</w:t>
            </w:r>
            <w:r>
              <w:rPr>
                <w:color w:val="auto"/>
                <w:highlight w:val="none"/>
              </w:rPr>
              <w:t>声环境质量现状监测结果表明，项目场界东、南、西、北面昼夜间噪声均符合《声环境质量标准》（GB 3096-2008）</w:t>
            </w:r>
            <w:r>
              <w:rPr>
                <w:rFonts w:hint="eastAsia"/>
                <w:color w:val="auto"/>
                <w:highlight w:val="none"/>
              </w:rPr>
              <w:t>2</w:t>
            </w:r>
            <w:r>
              <w:rPr>
                <w:color w:val="auto"/>
                <w:highlight w:val="none"/>
              </w:rPr>
              <w:t>类标准。</w:t>
            </w:r>
          </w:p>
          <w:p>
            <w:pPr>
              <w:widowControl/>
              <w:spacing w:line="360" w:lineRule="auto"/>
              <w:ind w:firstLine="562"/>
              <w:jc w:val="left"/>
              <w:rPr>
                <w:b/>
                <w:bCs/>
                <w:color w:val="auto"/>
                <w:sz w:val="28"/>
                <w:szCs w:val="28"/>
                <w:highlight w:val="none"/>
              </w:rPr>
            </w:pPr>
            <w:r>
              <w:rPr>
                <w:rFonts w:hint="eastAsia"/>
                <w:b/>
                <w:bCs/>
                <w:color w:val="auto"/>
                <w:sz w:val="28"/>
                <w:szCs w:val="28"/>
                <w:highlight w:val="none"/>
              </w:rPr>
              <w:t>五、生态环境</w:t>
            </w:r>
          </w:p>
          <w:p>
            <w:pPr>
              <w:widowControl/>
              <w:spacing w:line="360" w:lineRule="auto"/>
              <w:ind w:firstLine="482"/>
              <w:jc w:val="left"/>
              <w:rPr>
                <w:b/>
                <w:bCs/>
                <w:color w:val="auto"/>
                <w:highlight w:val="none"/>
              </w:rPr>
            </w:pPr>
            <w:r>
              <w:rPr>
                <w:b/>
                <w:bCs/>
                <w:color w:val="auto"/>
                <w:highlight w:val="none"/>
              </w:rPr>
              <w:t>（1）陆生植被</w:t>
            </w:r>
          </w:p>
          <w:p>
            <w:pPr>
              <w:widowControl/>
              <w:spacing w:line="360" w:lineRule="auto"/>
              <w:jc w:val="left"/>
              <w:rPr>
                <w:color w:val="auto"/>
                <w:highlight w:val="none"/>
                <w:lang w:val="zh-CN"/>
              </w:rPr>
            </w:pPr>
            <w:r>
              <w:rPr>
                <w:color w:val="auto"/>
                <w:highlight w:val="none"/>
                <w:lang w:val="zh-CN"/>
              </w:rPr>
              <w:t>项目所在区域为</w:t>
            </w:r>
            <w:r>
              <w:rPr>
                <w:rFonts w:hint="eastAsia"/>
                <w:color w:val="auto"/>
                <w:highlight w:val="none"/>
                <w:lang w:val="zh-CN"/>
              </w:rPr>
              <w:t>农业区</w:t>
            </w:r>
            <w:r>
              <w:rPr>
                <w:color w:val="auto"/>
                <w:highlight w:val="none"/>
                <w:lang w:val="zh-CN"/>
              </w:rPr>
              <w:t>，由于受人类活动干扰较频繁，植被以人工植被为主，地表覆盖物以荒地、草地为主，根据现场实地调查和收集的相关资料，评价范围未发现国家重点保护野生植物和古木大树分布。</w:t>
            </w:r>
          </w:p>
          <w:p>
            <w:pPr>
              <w:widowControl/>
              <w:spacing w:line="360" w:lineRule="auto"/>
              <w:ind w:firstLine="482"/>
              <w:jc w:val="left"/>
              <w:rPr>
                <w:b/>
                <w:bCs/>
                <w:color w:val="auto"/>
                <w:highlight w:val="none"/>
                <w:lang w:val="zh-CN"/>
              </w:rPr>
            </w:pPr>
            <w:r>
              <w:rPr>
                <w:b/>
                <w:bCs/>
                <w:color w:val="auto"/>
                <w:highlight w:val="none"/>
                <w:lang w:val="zh-CN"/>
              </w:rPr>
              <w:t>（</w:t>
            </w:r>
            <w:r>
              <w:rPr>
                <w:b/>
                <w:bCs/>
                <w:color w:val="auto"/>
                <w:highlight w:val="none"/>
              </w:rPr>
              <w:t>2</w:t>
            </w:r>
            <w:r>
              <w:rPr>
                <w:b/>
                <w:bCs/>
                <w:color w:val="auto"/>
                <w:highlight w:val="none"/>
                <w:lang w:val="zh-CN"/>
              </w:rPr>
              <w:t>）陆生动物</w:t>
            </w:r>
          </w:p>
          <w:p>
            <w:pPr>
              <w:pStyle w:val="36"/>
              <w:spacing w:line="360" w:lineRule="auto"/>
              <w:ind w:firstLine="464"/>
              <w:rPr>
                <w:color w:val="auto"/>
                <w:highlight w:val="none"/>
              </w:rPr>
            </w:pPr>
            <w:r>
              <w:rPr>
                <w:rFonts w:ascii="Times New Roman" w:hAnsi="Times New Roman"/>
                <w:color w:val="auto"/>
                <w:highlight w:val="none"/>
              </w:rPr>
              <w:t>项目所在区域人类活动频繁，经现场调查，区域内存在鸟类以及青蛙、鼠类等小型动物，不存在国家级或省级保护动物。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76" w:hRule="atLeast"/>
          <w:jc w:val="center"/>
        </w:trPr>
        <w:tc>
          <w:tcPr>
            <w:tcW w:w="9071" w:type="dxa"/>
            <w:vAlign w:val="top"/>
          </w:tcPr>
          <w:p>
            <w:pPr>
              <w:spacing w:line="500" w:lineRule="exact"/>
              <w:ind w:firstLine="0" w:firstLineChars="0"/>
              <w:rPr>
                <w:b/>
                <w:bCs/>
                <w:color w:val="auto"/>
                <w:sz w:val="28"/>
                <w:szCs w:val="28"/>
                <w:highlight w:val="none"/>
              </w:rPr>
            </w:pPr>
            <w:r>
              <w:rPr>
                <w:b/>
                <w:bCs/>
                <w:color w:val="auto"/>
                <w:sz w:val="28"/>
                <w:szCs w:val="28"/>
                <w:highlight w:val="none"/>
              </w:rPr>
              <w:t>主要环境保护目标</w:t>
            </w:r>
            <w:r>
              <w:rPr>
                <w:rFonts w:hint="eastAsia"/>
                <w:b/>
                <w:bCs/>
                <w:color w:val="auto"/>
                <w:sz w:val="28"/>
                <w:szCs w:val="28"/>
                <w:highlight w:val="none"/>
              </w:rPr>
              <w:t>（</w:t>
            </w:r>
            <w:r>
              <w:rPr>
                <w:b/>
                <w:bCs/>
                <w:color w:val="auto"/>
                <w:sz w:val="28"/>
                <w:szCs w:val="28"/>
                <w:highlight w:val="none"/>
              </w:rPr>
              <w:t>列出名单及保护级别</w:t>
            </w:r>
            <w:r>
              <w:rPr>
                <w:rFonts w:hint="eastAsia"/>
                <w:b/>
                <w:bCs/>
                <w:color w:val="auto"/>
                <w:sz w:val="28"/>
                <w:szCs w:val="28"/>
                <w:highlight w:val="none"/>
              </w:rPr>
              <w:t>）：</w:t>
            </w:r>
          </w:p>
          <w:p>
            <w:pPr>
              <w:widowControl/>
              <w:spacing w:line="360" w:lineRule="auto"/>
              <w:jc w:val="left"/>
              <w:rPr>
                <w:color w:val="auto"/>
                <w:highlight w:val="none"/>
                <w:lang w:val="zh-CN"/>
              </w:rPr>
            </w:pPr>
            <w:r>
              <w:rPr>
                <w:color w:val="auto"/>
                <w:highlight w:val="none"/>
                <w:lang w:val="zh-CN"/>
              </w:rPr>
              <w:t>本项目位于</w:t>
            </w:r>
            <w:r>
              <w:rPr>
                <w:rFonts w:hint="eastAsia"/>
                <w:color w:val="auto"/>
                <w:highlight w:val="none"/>
              </w:rPr>
              <w:t>湖南省永州市祁阳县潘市镇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color w:val="auto"/>
                <w:highlight w:val="none"/>
                <w:lang w:val="zh-CN"/>
              </w:rPr>
              <w:t>，根据现场实地踏勘结果，结合本项目建设特点、区域环境情况以及</w:t>
            </w:r>
            <w:r>
              <w:rPr>
                <w:rFonts w:hint="eastAsia"/>
                <w:color w:val="auto"/>
                <w:highlight w:val="none"/>
                <w:lang w:val="zh-CN"/>
              </w:rPr>
              <w:t>祁阳县</w:t>
            </w:r>
            <w:r>
              <w:rPr>
                <w:color w:val="auto"/>
                <w:highlight w:val="none"/>
                <w:lang w:val="zh-CN"/>
              </w:rPr>
              <w:t>区环境保护规划和功能区划分要求，其主要环境保护目标见表3-</w:t>
            </w:r>
            <w:r>
              <w:rPr>
                <w:rFonts w:hint="eastAsia"/>
                <w:color w:val="auto"/>
                <w:highlight w:val="none"/>
              </w:rPr>
              <w:t>7</w:t>
            </w:r>
            <w:r>
              <w:rPr>
                <w:color w:val="auto"/>
                <w:highlight w:val="none"/>
                <w:lang w:val="zh-CN"/>
              </w:rPr>
              <w:t>，项目周边环境保护目标图详见附图。</w:t>
            </w:r>
          </w:p>
          <w:p>
            <w:pPr>
              <w:widowControl/>
              <w:spacing w:line="240" w:lineRule="auto"/>
              <w:ind w:firstLine="422"/>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rPr>
              <w:t>3-7</w:t>
            </w:r>
            <w:r>
              <w:rPr>
                <w:b/>
                <w:bCs/>
                <w:color w:val="auto"/>
                <w:sz w:val="21"/>
                <w:szCs w:val="21"/>
                <w:highlight w:val="none"/>
              </w:rPr>
              <w:t xml:space="preserve">   项目主要保护目标及保护级别</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740"/>
              <w:gridCol w:w="1350"/>
              <w:gridCol w:w="960"/>
              <w:gridCol w:w="960"/>
              <w:gridCol w:w="1365"/>
              <w:gridCol w:w="1193"/>
              <w:gridCol w:w="1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环境要素</w:t>
                  </w:r>
                </w:p>
              </w:tc>
              <w:tc>
                <w:tcPr>
                  <w:tcW w:w="740" w:type="dxa"/>
                  <w:vMerge w:val="restart"/>
                  <w:tcBorders>
                    <w:right w:val="single" w:color="auto" w:sz="4" w:space="0"/>
                  </w:tcBorders>
                  <w:vAlign w:val="center"/>
                </w:tcPr>
                <w:p>
                  <w:pPr>
                    <w:snapToGrid w:val="0"/>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位置</w:t>
                  </w:r>
                </w:p>
              </w:tc>
              <w:tc>
                <w:tcPr>
                  <w:tcW w:w="1350" w:type="dxa"/>
                  <w:vMerge w:val="restart"/>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保护目标</w:t>
                  </w:r>
                </w:p>
              </w:tc>
              <w:tc>
                <w:tcPr>
                  <w:tcW w:w="1920" w:type="dxa"/>
                  <w:gridSpan w:val="2"/>
                  <w:tcBorders>
                    <w:left w:val="single" w:color="auto" w:sz="4" w:space="0"/>
                    <w:bottom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坐标</w:t>
                  </w:r>
                </w:p>
              </w:tc>
              <w:tc>
                <w:tcPr>
                  <w:tcW w:w="1365"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功能及规模</w:t>
                  </w:r>
                </w:p>
              </w:tc>
              <w:tc>
                <w:tcPr>
                  <w:tcW w:w="1193"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相对</w:t>
                  </w:r>
                  <w:r>
                    <w:rPr>
                      <w:rFonts w:hint="eastAsia"/>
                      <w:color w:val="auto"/>
                      <w:sz w:val="21"/>
                      <w:szCs w:val="21"/>
                      <w:highlight w:val="none"/>
                    </w:rPr>
                    <w:t>厂界</w:t>
                  </w:r>
                  <w:r>
                    <w:rPr>
                      <w:color w:val="auto"/>
                      <w:sz w:val="21"/>
                      <w:szCs w:val="21"/>
                      <w:highlight w:val="none"/>
                    </w:rPr>
                    <w:t>方位及距离</w:t>
                  </w:r>
                </w:p>
              </w:tc>
              <w:tc>
                <w:tcPr>
                  <w:tcW w:w="1517"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vMerge w:val="continue"/>
                  <w:tcBorders>
                    <w:right w:val="single" w:color="auto" w:sz="4" w:space="0"/>
                  </w:tcBorders>
                  <w:vAlign w:val="center"/>
                </w:tcPr>
                <w:p>
                  <w:pPr>
                    <w:snapToGrid w:val="0"/>
                    <w:spacing w:line="240" w:lineRule="auto"/>
                    <w:ind w:firstLine="0" w:firstLineChars="0"/>
                    <w:jc w:val="center"/>
                    <w:rPr>
                      <w:color w:val="auto"/>
                      <w:sz w:val="21"/>
                      <w:szCs w:val="21"/>
                      <w:highlight w:val="none"/>
                    </w:rPr>
                  </w:pPr>
                </w:p>
              </w:tc>
              <w:tc>
                <w:tcPr>
                  <w:tcW w:w="1350" w:type="dxa"/>
                  <w:vMerge w:val="continue"/>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p>
              </w:tc>
              <w:tc>
                <w:tcPr>
                  <w:tcW w:w="960"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经度</w:t>
                  </w:r>
                </w:p>
              </w:tc>
              <w:tc>
                <w:tcPr>
                  <w:tcW w:w="960" w:type="dxa"/>
                  <w:tcBorders>
                    <w:top w:val="single" w:color="auto" w:sz="4" w:space="0"/>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纬度</w:t>
                  </w:r>
                </w:p>
              </w:tc>
              <w:tc>
                <w:tcPr>
                  <w:tcW w:w="1365" w:type="dxa"/>
                  <w:vMerge w:val="continue"/>
                  <w:vAlign w:val="center"/>
                </w:tcPr>
                <w:p>
                  <w:pPr>
                    <w:snapToGrid w:val="0"/>
                    <w:spacing w:line="240" w:lineRule="auto"/>
                    <w:ind w:firstLine="0" w:firstLineChars="0"/>
                    <w:jc w:val="center"/>
                    <w:rPr>
                      <w:color w:val="auto"/>
                      <w:sz w:val="21"/>
                      <w:szCs w:val="21"/>
                      <w:highlight w:val="none"/>
                    </w:rPr>
                  </w:pPr>
                </w:p>
              </w:tc>
              <w:tc>
                <w:tcPr>
                  <w:tcW w:w="1193" w:type="dxa"/>
                  <w:vMerge w:val="continue"/>
                  <w:vAlign w:val="center"/>
                </w:tcPr>
                <w:p>
                  <w:pPr>
                    <w:snapToGrid w:val="0"/>
                    <w:spacing w:line="240" w:lineRule="auto"/>
                    <w:ind w:firstLine="0" w:firstLineChars="0"/>
                    <w:jc w:val="center"/>
                    <w:rPr>
                      <w:color w:val="auto"/>
                      <w:sz w:val="21"/>
                      <w:szCs w:val="21"/>
                      <w:highlight w:val="none"/>
                    </w:rPr>
                  </w:pP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环境空气</w:t>
                  </w:r>
                </w:p>
              </w:tc>
              <w:tc>
                <w:tcPr>
                  <w:tcW w:w="740" w:type="dxa"/>
                  <w:vMerge w:val="restart"/>
                  <w:tcBorders>
                    <w:right w:val="single" w:color="auto" w:sz="4" w:space="0"/>
                  </w:tcBorders>
                  <w:vAlign w:val="center"/>
                </w:tcPr>
                <w:p>
                  <w:pPr>
                    <w:snapToGrid w:val="0"/>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加压泵站、净水厂</w:t>
                  </w: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rFonts w:hint="eastAsia"/>
                      <w:color w:val="auto"/>
                      <w:sz w:val="21"/>
                      <w:szCs w:val="21"/>
                      <w:highlight w:val="none"/>
                    </w:rPr>
                  </w:pPr>
                  <w:r>
                    <w:rPr>
                      <w:rFonts w:hint="eastAsia"/>
                      <w:color w:val="auto"/>
                      <w:sz w:val="21"/>
                      <w:szCs w:val="21"/>
                      <w:highlight w:val="none"/>
                    </w:rPr>
                    <w:t>泗山塘居民点</w:t>
                  </w:r>
                </w:p>
              </w:tc>
              <w:tc>
                <w:tcPr>
                  <w:tcW w:w="96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112.042884</w:t>
                  </w:r>
                </w:p>
              </w:tc>
              <w:tc>
                <w:tcPr>
                  <w:tcW w:w="960"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26.467027</w:t>
                  </w:r>
                </w:p>
              </w:tc>
              <w:tc>
                <w:tcPr>
                  <w:tcW w:w="1365"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居住（4户、16人）</w:t>
                  </w:r>
                </w:p>
              </w:tc>
              <w:tc>
                <w:tcPr>
                  <w:tcW w:w="1193"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东面190m</w:t>
                  </w:r>
                </w:p>
              </w:tc>
              <w:tc>
                <w:tcPr>
                  <w:tcW w:w="1517"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《环境空气质量标准》(GB3095-2012</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及修改单</w:t>
                  </w:r>
                  <w:r>
                    <w:rPr>
                      <w:rFonts w:ascii="Times New Roman" w:hAnsi="Times New Roman" w:cs="Times New Roman"/>
                      <w:color w:val="auto"/>
                      <w:sz w:val="21"/>
                      <w:szCs w:val="21"/>
                      <w:highlight w:val="none"/>
                    </w:rPr>
                    <w:t>中的二级标</w:t>
                  </w:r>
                  <w:r>
                    <w:rPr>
                      <w:color w:val="auto"/>
                      <w:sz w:val="21"/>
                      <w:szCs w:val="21"/>
                      <w:highlight w:val="none"/>
                    </w:rPr>
                    <w:t>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vMerge w:val="continue"/>
                  <w:tcBorders>
                    <w:right w:val="single" w:color="auto" w:sz="4" w:space="0"/>
                  </w:tcBorders>
                  <w:vAlign w:val="center"/>
                </w:tcPr>
                <w:p>
                  <w:pPr>
                    <w:snapToGrid w:val="0"/>
                    <w:spacing w:line="240" w:lineRule="auto"/>
                    <w:ind w:firstLine="0" w:firstLineChars="0"/>
                    <w:jc w:val="center"/>
                    <w:rPr>
                      <w:color w:val="auto"/>
                      <w:sz w:val="21"/>
                      <w:szCs w:val="21"/>
                      <w:highlight w:val="none"/>
                    </w:rPr>
                  </w:pP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元门口居民点</w:t>
                  </w:r>
                </w:p>
              </w:tc>
              <w:tc>
                <w:tcPr>
                  <w:tcW w:w="96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112.047776</w:t>
                  </w:r>
                </w:p>
              </w:tc>
              <w:tc>
                <w:tcPr>
                  <w:tcW w:w="960"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26.468179</w:t>
                  </w:r>
                </w:p>
              </w:tc>
              <w:tc>
                <w:tcPr>
                  <w:tcW w:w="1365"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居住（10户、40人）</w:t>
                  </w:r>
                </w:p>
              </w:tc>
              <w:tc>
                <w:tcPr>
                  <w:tcW w:w="1193"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东面650m</w:t>
                  </w: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vMerge w:val="continue"/>
                  <w:tcBorders>
                    <w:right w:val="single" w:color="auto" w:sz="4" w:space="0"/>
                  </w:tcBorders>
                  <w:vAlign w:val="center"/>
                </w:tcPr>
                <w:p>
                  <w:pPr>
                    <w:snapToGrid w:val="0"/>
                    <w:spacing w:line="240" w:lineRule="auto"/>
                    <w:ind w:firstLine="0" w:firstLineChars="0"/>
                    <w:jc w:val="center"/>
                    <w:rPr>
                      <w:color w:val="auto"/>
                      <w:sz w:val="21"/>
                      <w:szCs w:val="21"/>
                      <w:highlight w:val="none"/>
                    </w:rPr>
                  </w:pP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谢家冲居民点</w:t>
                  </w:r>
                </w:p>
              </w:tc>
              <w:tc>
                <w:tcPr>
                  <w:tcW w:w="96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112.042709</w:t>
                  </w:r>
                </w:p>
              </w:tc>
              <w:tc>
                <w:tcPr>
                  <w:tcW w:w="960"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26.469860</w:t>
                  </w:r>
                </w:p>
              </w:tc>
              <w:tc>
                <w:tcPr>
                  <w:tcW w:w="1365"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居住</w:t>
                  </w:r>
                  <w:r>
                    <w:rPr>
                      <w:color w:val="auto"/>
                      <w:sz w:val="21"/>
                      <w:szCs w:val="21"/>
                      <w:highlight w:val="none"/>
                    </w:rPr>
                    <w:t>（</w:t>
                  </w:r>
                  <w:r>
                    <w:rPr>
                      <w:rFonts w:hint="eastAsia"/>
                      <w:color w:val="auto"/>
                      <w:sz w:val="21"/>
                      <w:szCs w:val="21"/>
                      <w:highlight w:val="none"/>
                    </w:rPr>
                    <w:t>20</w:t>
                  </w:r>
                  <w:r>
                    <w:rPr>
                      <w:color w:val="auto"/>
                      <w:sz w:val="21"/>
                      <w:szCs w:val="21"/>
                      <w:highlight w:val="none"/>
                    </w:rPr>
                    <w:t>户、</w:t>
                  </w:r>
                  <w:r>
                    <w:rPr>
                      <w:rFonts w:hint="eastAsia"/>
                      <w:color w:val="auto"/>
                      <w:sz w:val="21"/>
                      <w:szCs w:val="21"/>
                      <w:highlight w:val="none"/>
                    </w:rPr>
                    <w:t>80</w:t>
                  </w:r>
                  <w:r>
                    <w:rPr>
                      <w:color w:val="auto"/>
                      <w:sz w:val="21"/>
                      <w:szCs w:val="21"/>
                      <w:highlight w:val="none"/>
                    </w:rPr>
                    <w:t>人）</w:t>
                  </w:r>
                </w:p>
              </w:tc>
              <w:tc>
                <w:tcPr>
                  <w:tcW w:w="1193" w:type="dxa"/>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东北面</w:t>
                  </w:r>
                  <w:r>
                    <w:rPr>
                      <w:rFonts w:hint="eastAsia"/>
                      <w:color w:val="auto"/>
                      <w:sz w:val="21"/>
                      <w:szCs w:val="21"/>
                      <w:highlight w:val="none"/>
                    </w:rPr>
                    <w:t>250</w:t>
                  </w:r>
                  <w:r>
                    <w:rPr>
                      <w:color w:val="auto"/>
                      <w:sz w:val="21"/>
                      <w:szCs w:val="21"/>
                      <w:highlight w:val="none"/>
                    </w:rPr>
                    <w:t>m</w:t>
                  </w: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vMerge w:val="continue"/>
                  <w:tcBorders>
                    <w:right w:val="single" w:color="auto" w:sz="4" w:space="0"/>
                  </w:tcBorders>
                  <w:vAlign w:val="center"/>
                </w:tcPr>
                <w:p>
                  <w:pPr>
                    <w:snapToGrid w:val="0"/>
                    <w:spacing w:line="240" w:lineRule="auto"/>
                    <w:ind w:firstLine="0" w:firstLineChars="0"/>
                    <w:jc w:val="center"/>
                    <w:rPr>
                      <w:color w:val="auto"/>
                      <w:sz w:val="21"/>
                      <w:szCs w:val="21"/>
                      <w:highlight w:val="none"/>
                    </w:rPr>
                  </w:pP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庙门前</w:t>
                  </w:r>
                  <w:r>
                    <w:rPr>
                      <w:color w:val="auto"/>
                      <w:sz w:val="21"/>
                      <w:szCs w:val="21"/>
                      <w:highlight w:val="none"/>
                    </w:rPr>
                    <w:t>居民点</w:t>
                  </w:r>
                </w:p>
                <w:p>
                  <w:pPr>
                    <w:snapToGrid w:val="0"/>
                    <w:spacing w:line="240" w:lineRule="auto"/>
                    <w:ind w:firstLine="0" w:firstLineChars="0"/>
                    <w:jc w:val="center"/>
                    <w:rPr>
                      <w:color w:val="auto"/>
                      <w:sz w:val="21"/>
                      <w:szCs w:val="21"/>
                      <w:highlight w:val="none"/>
                    </w:rPr>
                  </w:pPr>
                </w:p>
              </w:tc>
              <w:tc>
                <w:tcPr>
                  <w:tcW w:w="96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112.039868</w:t>
                  </w:r>
                </w:p>
              </w:tc>
              <w:tc>
                <w:tcPr>
                  <w:tcW w:w="960"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26.471055</w:t>
                  </w:r>
                </w:p>
              </w:tc>
              <w:tc>
                <w:tcPr>
                  <w:tcW w:w="1365"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居住</w:t>
                  </w:r>
                  <w:r>
                    <w:rPr>
                      <w:color w:val="auto"/>
                      <w:sz w:val="21"/>
                      <w:szCs w:val="21"/>
                      <w:highlight w:val="none"/>
                    </w:rPr>
                    <w:t>（</w:t>
                  </w:r>
                  <w:r>
                    <w:rPr>
                      <w:rFonts w:hint="eastAsia"/>
                      <w:color w:val="auto"/>
                      <w:sz w:val="21"/>
                      <w:szCs w:val="21"/>
                      <w:highlight w:val="none"/>
                    </w:rPr>
                    <w:t>15</w:t>
                  </w:r>
                  <w:r>
                    <w:rPr>
                      <w:color w:val="auto"/>
                      <w:sz w:val="21"/>
                      <w:szCs w:val="21"/>
                      <w:highlight w:val="none"/>
                    </w:rPr>
                    <w:t>户、</w:t>
                  </w:r>
                  <w:r>
                    <w:rPr>
                      <w:rFonts w:hint="eastAsia"/>
                      <w:color w:val="auto"/>
                      <w:sz w:val="21"/>
                      <w:szCs w:val="21"/>
                      <w:highlight w:val="none"/>
                    </w:rPr>
                    <w:t>120</w:t>
                  </w:r>
                  <w:r>
                    <w:rPr>
                      <w:color w:val="auto"/>
                      <w:sz w:val="21"/>
                      <w:szCs w:val="21"/>
                      <w:highlight w:val="none"/>
                    </w:rPr>
                    <w:t>人）</w:t>
                  </w:r>
                </w:p>
              </w:tc>
              <w:tc>
                <w:tcPr>
                  <w:tcW w:w="1193"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西</w:t>
                  </w:r>
                  <w:r>
                    <w:rPr>
                      <w:color w:val="auto"/>
                      <w:sz w:val="21"/>
                      <w:szCs w:val="21"/>
                      <w:highlight w:val="none"/>
                    </w:rPr>
                    <w:t>北面</w:t>
                  </w:r>
                  <w:r>
                    <w:rPr>
                      <w:rFonts w:hint="eastAsia"/>
                      <w:color w:val="auto"/>
                      <w:sz w:val="21"/>
                      <w:szCs w:val="21"/>
                      <w:highlight w:val="none"/>
                    </w:rPr>
                    <w:t>270m</w:t>
                  </w: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vMerge w:val="continue"/>
                  <w:tcBorders>
                    <w:right w:val="single" w:color="auto" w:sz="4" w:space="0"/>
                  </w:tcBorders>
                  <w:vAlign w:val="center"/>
                </w:tcPr>
                <w:p>
                  <w:pPr>
                    <w:snapToGrid w:val="0"/>
                    <w:spacing w:line="240" w:lineRule="auto"/>
                    <w:ind w:firstLine="0" w:firstLineChars="0"/>
                    <w:jc w:val="center"/>
                    <w:rPr>
                      <w:color w:val="auto"/>
                      <w:sz w:val="21"/>
                      <w:szCs w:val="21"/>
                      <w:highlight w:val="none"/>
                    </w:rPr>
                  </w:pP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肖家院</w:t>
                  </w:r>
                  <w:r>
                    <w:rPr>
                      <w:color w:val="auto"/>
                      <w:sz w:val="21"/>
                      <w:szCs w:val="21"/>
                      <w:highlight w:val="none"/>
                    </w:rPr>
                    <w:t>居民点</w:t>
                  </w:r>
                </w:p>
              </w:tc>
              <w:tc>
                <w:tcPr>
                  <w:tcW w:w="96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112.033431</w:t>
                  </w:r>
                </w:p>
              </w:tc>
              <w:tc>
                <w:tcPr>
                  <w:tcW w:w="960"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26.474916</w:t>
                  </w:r>
                </w:p>
              </w:tc>
              <w:tc>
                <w:tcPr>
                  <w:tcW w:w="1365"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居住</w:t>
                  </w:r>
                  <w:r>
                    <w:rPr>
                      <w:color w:val="auto"/>
                      <w:sz w:val="21"/>
                      <w:szCs w:val="21"/>
                      <w:highlight w:val="none"/>
                    </w:rPr>
                    <w:t>（</w:t>
                  </w:r>
                  <w:r>
                    <w:rPr>
                      <w:rFonts w:hint="eastAsia"/>
                      <w:color w:val="auto"/>
                      <w:sz w:val="21"/>
                      <w:szCs w:val="21"/>
                      <w:highlight w:val="none"/>
                    </w:rPr>
                    <w:t>30</w:t>
                  </w:r>
                  <w:r>
                    <w:rPr>
                      <w:color w:val="auto"/>
                      <w:sz w:val="21"/>
                      <w:szCs w:val="21"/>
                      <w:highlight w:val="none"/>
                    </w:rPr>
                    <w:t>户、</w:t>
                  </w:r>
                  <w:r>
                    <w:rPr>
                      <w:rFonts w:hint="eastAsia"/>
                      <w:color w:val="auto"/>
                      <w:sz w:val="21"/>
                      <w:szCs w:val="21"/>
                      <w:highlight w:val="none"/>
                    </w:rPr>
                    <w:t>120</w:t>
                  </w:r>
                  <w:r>
                    <w:rPr>
                      <w:color w:val="auto"/>
                      <w:sz w:val="21"/>
                      <w:szCs w:val="21"/>
                      <w:highlight w:val="none"/>
                    </w:rPr>
                    <w:t>人）</w:t>
                  </w:r>
                </w:p>
              </w:tc>
              <w:tc>
                <w:tcPr>
                  <w:tcW w:w="1193"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西</w:t>
                  </w:r>
                  <w:r>
                    <w:rPr>
                      <w:color w:val="auto"/>
                      <w:sz w:val="21"/>
                      <w:szCs w:val="21"/>
                      <w:highlight w:val="none"/>
                    </w:rPr>
                    <w:t>北面</w:t>
                  </w:r>
                  <w:r>
                    <w:rPr>
                      <w:rFonts w:hint="eastAsia"/>
                      <w:color w:val="auto"/>
                      <w:sz w:val="21"/>
                      <w:szCs w:val="21"/>
                      <w:highlight w:val="none"/>
                    </w:rPr>
                    <w:t>920</w:t>
                  </w:r>
                  <w:r>
                    <w:rPr>
                      <w:color w:val="auto"/>
                      <w:sz w:val="21"/>
                      <w:szCs w:val="21"/>
                      <w:highlight w:val="none"/>
                    </w:rPr>
                    <w:t>m</w:t>
                  </w: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vMerge w:val="continue"/>
                  <w:tcBorders>
                    <w:right w:val="single" w:color="auto" w:sz="4" w:space="0"/>
                  </w:tcBorders>
                  <w:vAlign w:val="center"/>
                </w:tcPr>
                <w:p>
                  <w:pPr>
                    <w:snapToGrid w:val="0"/>
                    <w:spacing w:line="240" w:lineRule="auto"/>
                    <w:ind w:firstLine="0" w:firstLineChars="0"/>
                    <w:jc w:val="center"/>
                    <w:rPr>
                      <w:color w:val="auto"/>
                      <w:sz w:val="21"/>
                      <w:szCs w:val="21"/>
                      <w:highlight w:val="none"/>
                    </w:rPr>
                  </w:pP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rFonts w:hint="eastAsia"/>
                      <w:color w:val="auto"/>
                      <w:sz w:val="21"/>
                      <w:szCs w:val="21"/>
                      <w:highlight w:val="none"/>
                    </w:rPr>
                  </w:pPr>
                  <w:r>
                    <w:rPr>
                      <w:rFonts w:hint="eastAsia"/>
                      <w:color w:val="auto"/>
                      <w:sz w:val="21"/>
                      <w:szCs w:val="21"/>
                      <w:highlight w:val="none"/>
                    </w:rPr>
                    <w:t>王家洲居民点</w:t>
                  </w:r>
                </w:p>
              </w:tc>
              <w:tc>
                <w:tcPr>
                  <w:tcW w:w="96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112.039601</w:t>
                  </w:r>
                </w:p>
              </w:tc>
              <w:tc>
                <w:tcPr>
                  <w:tcW w:w="960"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26.463730</w:t>
                  </w:r>
                </w:p>
              </w:tc>
              <w:tc>
                <w:tcPr>
                  <w:tcW w:w="1365"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居住（100户、400人）</w:t>
                  </w:r>
                </w:p>
              </w:tc>
              <w:tc>
                <w:tcPr>
                  <w:tcW w:w="1193" w:type="dxa"/>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南面360m</w:t>
                  </w: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tcBorders>
                    <w:top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地</w:t>
                  </w:r>
                </w:p>
                <w:p>
                  <w:pPr>
                    <w:snapToGrid w:val="0"/>
                    <w:spacing w:line="240" w:lineRule="auto"/>
                    <w:ind w:firstLine="0" w:firstLineChars="0"/>
                    <w:jc w:val="center"/>
                    <w:rPr>
                      <w:color w:val="auto"/>
                      <w:sz w:val="21"/>
                      <w:szCs w:val="21"/>
                      <w:highlight w:val="none"/>
                    </w:rPr>
                  </w:pPr>
                  <w:r>
                    <w:rPr>
                      <w:color w:val="auto"/>
                      <w:sz w:val="21"/>
                      <w:szCs w:val="21"/>
                      <w:highlight w:val="none"/>
                    </w:rPr>
                    <w:t>表</w:t>
                  </w:r>
                </w:p>
                <w:p>
                  <w:pPr>
                    <w:snapToGrid w:val="0"/>
                    <w:spacing w:line="240" w:lineRule="auto"/>
                    <w:ind w:firstLine="0" w:firstLineChars="0"/>
                    <w:jc w:val="center"/>
                    <w:rPr>
                      <w:color w:val="auto"/>
                      <w:sz w:val="21"/>
                      <w:szCs w:val="21"/>
                      <w:highlight w:val="none"/>
                    </w:rPr>
                  </w:pPr>
                  <w:r>
                    <w:rPr>
                      <w:color w:val="auto"/>
                      <w:sz w:val="21"/>
                      <w:szCs w:val="21"/>
                      <w:highlight w:val="none"/>
                    </w:rPr>
                    <w:t>水</w:t>
                  </w:r>
                </w:p>
              </w:tc>
              <w:tc>
                <w:tcPr>
                  <w:tcW w:w="740" w:type="dxa"/>
                  <w:tcBorders>
                    <w:right w:val="single" w:color="auto" w:sz="4" w:space="0"/>
                  </w:tcBorders>
                  <w:vAlign w:val="center"/>
                </w:tcPr>
                <w:p>
                  <w:pPr>
                    <w:pStyle w:val="2"/>
                    <w:snapToGrid w:val="0"/>
                    <w:spacing w:line="240" w:lineRule="auto"/>
                    <w:jc w:val="center"/>
                    <w:rPr>
                      <w:color w:val="auto"/>
                      <w:sz w:val="21"/>
                      <w:szCs w:val="21"/>
                      <w:highlight w:val="none"/>
                    </w:rPr>
                  </w:pPr>
                  <w:r>
                    <w:rPr>
                      <w:rFonts w:hint="eastAsia"/>
                      <w:color w:val="auto"/>
                      <w:sz w:val="21"/>
                      <w:szCs w:val="21"/>
                      <w:highlight w:val="none"/>
                      <w:lang w:val="en-US" w:eastAsia="zh-CN"/>
                    </w:rPr>
                    <w:t>加压泵站、净水厂</w:t>
                  </w:r>
                </w:p>
              </w:tc>
              <w:tc>
                <w:tcPr>
                  <w:tcW w:w="1350" w:type="dxa"/>
                  <w:tcBorders>
                    <w:left w:val="single" w:color="auto" w:sz="4" w:space="0"/>
                    <w:right w:val="single" w:color="auto" w:sz="4" w:space="0"/>
                  </w:tcBorders>
                  <w:vAlign w:val="center"/>
                </w:tcPr>
                <w:p>
                  <w:pPr>
                    <w:pStyle w:val="2"/>
                    <w:snapToGrid w:val="0"/>
                    <w:spacing w:line="240" w:lineRule="auto"/>
                    <w:ind w:firstLine="0" w:firstLineChars="0"/>
                    <w:jc w:val="center"/>
                    <w:rPr>
                      <w:rFonts w:hint="eastAsia"/>
                      <w:color w:val="auto"/>
                      <w:sz w:val="21"/>
                      <w:szCs w:val="21"/>
                      <w:highlight w:val="none"/>
                    </w:rPr>
                  </w:pPr>
                  <w:r>
                    <w:rPr>
                      <w:rFonts w:hint="eastAsia"/>
                      <w:color w:val="auto"/>
                      <w:sz w:val="21"/>
                      <w:szCs w:val="21"/>
                      <w:highlight w:val="none"/>
                    </w:rPr>
                    <w:t>湘江</w:t>
                  </w:r>
                </w:p>
              </w:tc>
              <w:tc>
                <w:tcPr>
                  <w:tcW w:w="960" w:type="dxa"/>
                  <w:tcBorders>
                    <w:left w:val="single" w:color="auto" w:sz="4" w:space="0"/>
                    <w:right w:val="single" w:color="auto" w:sz="4" w:space="0"/>
                  </w:tcBorders>
                  <w:vAlign w:val="center"/>
                </w:tcPr>
                <w:p>
                  <w:pPr>
                    <w:pStyle w:val="2"/>
                    <w:snapToGrid w:val="0"/>
                    <w:spacing w:line="240" w:lineRule="auto"/>
                    <w:jc w:val="center"/>
                    <w:rPr>
                      <w:color w:val="auto"/>
                      <w:sz w:val="21"/>
                      <w:szCs w:val="21"/>
                      <w:highlight w:val="none"/>
                    </w:rPr>
                  </w:pPr>
                  <w:r>
                    <w:rPr>
                      <w:color w:val="auto"/>
                      <w:sz w:val="21"/>
                      <w:szCs w:val="21"/>
                      <w:highlight w:val="none"/>
                    </w:rPr>
                    <w:t>112.040027</w:t>
                  </w:r>
                </w:p>
              </w:tc>
              <w:tc>
                <w:tcPr>
                  <w:tcW w:w="960" w:type="dxa"/>
                  <w:tcBorders>
                    <w:left w:val="single" w:color="auto" w:sz="4" w:space="0"/>
                  </w:tcBorders>
                  <w:vAlign w:val="center"/>
                </w:tcPr>
                <w:p>
                  <w:pPr>
                    <w:pStyle w:val="2"/>
                    <w:snapToGrid w:val="0"/>
                    <w:spacing w:line="240" w:lineRule="auto"/>
                    <w:jc w:val="center"/>
                    <w:rPr>
                      <w:color w:val="auto"/>
                      <w:sz w:val="21"/>
                      <w:szCs w:val="21"/>
                      <w:highlight w:val="none"/>
                    </w:rPr>
                  </w:pPr>
                  <w:r>
                    <w:rPr>
                      <w:color w:val="auto"/>
                      <w:sz w:val="21"/>
                      <w:szCs w:val="21"/>
                      <w:highlight w:val="none"/>
                    </w:rPr>
                    <w:t>26.465688</w:t>
                  </w:r>
                </w:p>
              </w:tc>
              <w:tc>
                <w:tcPr>
                  <w:tcW w:w="1365" w:type="dxa"/>
                  <w:tcBorders>
                    <w:right w:val="single" w:color="auto" w:sz="4" w:space="0"/>
                  </w:tcBorders>
                  <w:vAlign w:val="center"/>
                </w:tcPr>
                <w:p>
                  <w:pPr>
                    <w:pStyle w:val="2"/>
                    <w:snapToGrid w:val="0"/>
                    <w:spacing w:line="240" w:lineRule="auto"/>
                    <w:jc w:val="center"/>
                    <w:rPr>
                      <w:color w:val="auto"/>
                      <w:sz w:val="21"/>
                      <w:szCs w:val="21"/>
                      <w:highlight w:val="none"/>
                    </w:rPr>
                  </w:pPr>
                  <w:r>
                    <w:rPr>
                      <w:rFonts w:hint="eastAsia"/>
                      <w:color w:val="auto"/>
                      <w:sz w:val="21"/>
                      <w:szCs w:val="21"/>
                      <w:highlight w:val="none"/>
                    </w:rPr>
                    <w:t>大河，渔业用水</w:t>
                  </w:r>
                </w:p>
              </w:tc>
              <w:tc>
                <w:tcPr>
                  <w:tcW w:w="1193"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南面30m</w:t>
                  </w:r>
                </w:p>
              </w:tc>
              <w:tc>
                <w:tcPr>
                  <w:tcW w:w="1517" w:type="dxa"/>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《地表水环境质量标准》GB3838-2002</w:t>
                  </w:r>
                </w:p>
                <w:p>
                  <w:pPr>
                    <w:snapToGrid w:val="0"/>
                    <w:spacing w:line="240" w:lineRule="auto"/>
                    <w:ind w:firstLine="0" w:firstLineChars="0"/>
                    <w:jc w:val="center"/>
                    <w:rPr>
                      <w:color w:val="auto"/>
                      <w:sz w:val="21"/>
                      <w:szCs w:val="21"/>
                      <w:highlight w:val="none"/>
                    </w:rPr>
                  </w:pPr>
                  <w:r>
                    <w:rPr>
                      <w:color w:val="auto"/>
                      <w:sz w:val="21"/>
                      <w:szCs w:val="21"/>
                      <w:highlight w:val="none"/>
                    </w:rPr>
                    <w:t>Ⅲ类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tcBorders>
                    <w:top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地下水</w:t>
                  </w:r>
                </w:p>
              </w:tc>
              <w:tc>
                <w:tcPr>
                  <w:tcW w:w="740" w:type="dxa"/>
                  <w:tcBorders>
                    <w:right w:val="single" w:color="auto" w:sz="4" w:space="0"/>
                  </w:tcBorders>
                  <w:vAlign w:val="center"/>
                </w:tcPr>
                <w:p>
                  <w:pPr>
                    <w:pStyle w:val="2"/>
                    <w:snapToGrid w:val="0"/>
                    <w:spacing w:line="240" w:lineRule="auto"/>
                    <w:jc w:val="center"/>
                    <w:rPr>
                      <w:color w:val="auto"/>
                      <w:sz w:val="21"/>
                      <w:szCs w:val="21"/>
                      <w:highlight w:val="none"/>
                      <w:lang w:val="en-US"/>
                    </w:rPr>
                  </w:pPr>
                  <w:r>
                    <w:rPr>
                      <w:rFonts w:hint="eastAsia"/>
                      <w:color w:val="auto"/>
                      <w:sz w:val="21"/>
                      <w:szCs w:val="21"/>
                      <w:highlight w:val="none"/>
                      <w:lang w:val="en-US" w:eastAsia="zh-CN"/>
                    </w:rPr>
                    <w:t>加压泵站、净水厂、供水管网</w:t>
                  </w:r>
                </w:p>
              </w:tc>
              <w:tc>
                <w:tcPr>
                  <w:tcW w:w="1350" w:type="dxa"/>
                  <w:tcBorders>
                    <w:left w:val="single" w:color="auto" w:sz="4" w:space="0"/>
                    <w:right w:val="single" w:color="auto" w:sz="4" w:space="0"/>
                  </w:tcBorders>
                  <w:vAlign w:val="center"/>
                </w:tcPr>
                <w:p>
                  <w:pPr>
                    <w:pStyle w:val="2"/>
                    <w:snapToGrid w:val="0"/>
                    <w:spacing w:line="240" w:lineRule="auto"/>
                    <w:ind w:firstLine="0" w:firstLineChars="0"/>
                    <w:jc w:val="center"/>
                    <w:rPr>
                      <w:rFonts w:hint="eastAsia"/>
                      <w:color w:val="auto"/>
                      <w:sz w:val="21"/>
                      <w:szCs w:val="21"/>
                      <w:highlight w:val="none"/>
                    </w:rPr>
                  </w:pPr>
                  <w:r>
                    <w:rPr>
                      <w:rFonts w:hint="eastAsia"/>
                      <w:color w:val="auto"/>
                      <w:sz w:val="21"/>
                      <w:szCs w:val="21"/>
                      <w:highlight w:val="none"/>
                    </w:rPr>
                    <w:t>项目周边地下水</w:t>
                  </w:r>
                </w:p>
              </w:tc>
              <w:tc>
                <w:tcPr>
                  <w:tcW w:w="960" w:type="dxa"/>
                  <w:tcBorders>
                    <w:left w:val="single" w:color="auto" w:sz="4" w:space="0"/>
                    <w:right w:val="single" w:color="auto" w:sz="4" w:space="0"/>
                  </w:tcBorders>
                  <w:vAlign w:val="center"/>
                </w:tcPr>
                <w:p>
                  <w:pPr>
                    <w:pStyle w:val="2"/>
                    <w:snapToGrid w:val="0"/>
                    <w:spacing w:line="240" w:lineRule="auto"/>
                    <w:jc w:val="center"/>
                    <w:rPr>
                      <w:color w:val="auto"/>
                      <w:sz w:val="21"/>
                      <w:szCs w:val="21"/>
                      <w:highlight w:val="none"/>
                    </w:rPr>
                  </w:pPr>
                  <w:r>
                    <w:rPr>
                      <w:rFonts w:hint="eastAsia"/>
                      <w:color w:val="auto"/>
                      <w:sz w:val="21"/>
                      <w:szCs w:val="21"/>
                      <w:highlight w:val="none"/>
                    </w:rPr>
                    <w:t>/</w:t>
                  </w:r>
                </w:p>
              </w:tc>
              <w:tc>
                <w:tcPr>
                  <w:tcW w:w="960" w:type="dxa"/>
                  <w:tcBorders>
                    <w:left w:val="single" w:color="auto" w:sz="4" w:space="0"/>
                  </w:tcBorders>
                  <w:vAlign w:val="center"/>
                </w:tcPr>
                <w:p>
                  <w:pPr>
                    <w:pStyle w:val="2"/>
                    <w:snapToGrid w:val="0"/>
                    <w:spacing w:line="240" w:lineRule="auto"/>
                    <w:jc w:val="center"/>
                    <w:rPr>
                      <w:color w:val="auto"/>
                      <w:sz w:val="21"/>
                      <w:szCs w:val="21"/>
                      <w:highlight w:val="none"/>
                    </w:rPr>
                  </w:pPr>
                  <w:r>
                    <w:rPr>
                      <w:rFonts w:hint="eastAsia"/>
                      <w:color w:val="auto"/>
                      <w:sz w:val="21"/>
                      <w:szCs w:val="21"/>
                      <w:highlight w:val="none"/>
                    </w:rPr>
                    <w:t>/</w:t>
                  </w:r>
                </w:p>
              </w:tc>
              <w:tc>
                <w:tcPr>
                  <w:tcW w:w="1365" w:type="dxa"/>
                  <w:tcBorders>
                    <w:right w:val="single" w:color="auto" w:sz="4" w:space="0"/>
                  </w:tcBorders>
                  <w:vAlign w:val="center"/>
                </w:tcPr>
                <w:p>
                  <w:pPr>
                    <w:pStyle w:val="2"/>
                    <w:snapToGrid w:val="0"/>
                    <w:spacing w:line="240" w:lineRule="auto"/>
                    <w:jc w:val="center"/>
                    <w:rPr>
                      <w:color w:val="auto"/>
                      <w:sz w:val="21"/>
                      <w:szCs w:val="21"/>
                      <w:highlight w:val="none"/>
                    </w:rPr>
                  </w:pPr>
                  <w:r>
                    <w:rPr>
                      <w:rFonts w:hint="eastAsia"/>
                      <w:color w:val="auto"/>
                      <w:sz w:val="21"/>
                      <w:szCs w:val="21"/>
                      <w:highlight w:val="none"/>
                    </w:rPr>
                    <w:t>/</w:t>
                  </w:r>
                </w:p>
              </w:tc>
              <w:tc>
                <w:tcPr>
                  <w:tcW w:w="1193"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517" w:type="dxa"/>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《地下水质量标准》GB/T14848-2017中的Ⅲ类标准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声环境</w:t>
                  </w:r>
                </w:p>
              </w:tc>
              <w:tc>
                <w:tcPr>
                  <w:tcW w:w="740" w:type="dxa"/>
                  <w:tcBorders>
                    <w:righ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lang w:val="en-US" w:eastAsia="zh-CN"/>
                    </w:rPr>
                    <w:t>加压泵站、净水厂</w:t>
                  </w: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泗山塘居民点</w:t>
                  </w:r>
                </w:p>
                <w:p>
                  <w:pPr>
                    <w:snapToGrid w:val="0"/>
                    <w:spacing w:line="240" w:lineRule="auto"/>
                    <w:ind w:firstLine="0" w:firstLineChars="0"/>
                    <w:jc w:val="center"/>
                    <w:rPr>
                      <w:color w:val="auto"/>
                      <w:sz w:val="21"/>
                      <w:szCs w:val="21"/>
                      <w:highlight w:val="none"/>
                    </w:rPr>
                  </w:pPr>
                </w:p>
              </w:tc>
              <w:tc>
                <w:tcPr>
                  <w:tcW w:w="960" w:type="dxa"/>
                  <w:tcBorders>
                    <w:left w:val="single" w:color="auto" w:sz="4" w:space="0"/>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112.042884</w:t>
                  </w:r>
                </w:p>
              </w:tc>
              <w:tc>
                <w:tcPr>
                  <w:tcW w:w="960"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26.467027</w:t>
                  </w:r>
                </w:p>
              </w:tc>
              <w:tc>
                <w:tcPr>
                  <w:tcW w:w="1365" w:type="dxa"/>
                  <w:tcBorders>
                    <w:righ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居住（4户、16人）</w:t>
                  </w:r>
                </w:p>
              </w:tc>
              <w:tc>
                <w:tcPr>
                  <w:tcW w:w="1193"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东面190m</w:t>
                  </w:r>
                </w:p>
              </w:tc>
              <w:tc>
                <w:tcPr>
                  <w:tcW w:w="1517" w:type="dxa"/>
                  <w:vMerge w:val="restart"/>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《声环境质量标准》GB3096-2008中2类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tcBorders>
                    <w:right w:val="single" w:color="auto" w:sz="4" w:space="0"/>
                  </w:tcBorders>
                  <w:vAlign w:val="center"/>
                </w:tcPr>
                <w:p>
                  <w:pPr>
                    <w:snapToGrid w:val="0"/>
                    <w:spacing w:line="240" w:lineRule="auto"/>
                    <w:ind w:firstLine="0" w:firstLineChars="0"/>
                    <w:jc w:val="center"/>
                    <w:rPr>
                      <w:rFonts w:hint="eastAsia"/>
                      <w:color w:val="FF0000"/>
                      <w:sz w:val="21"/>
                      <w:szCs w:val="21"/>
                      <w:highlight w:val="none"/>
                      <w:u w:val="single"/>
                      <w:lang w:val="en-US" w:eastAsia="zh-CN"/>
                    </w:rPr>
                  </w:pPr>
                  <w:r>
                    <w:rPr>
                      <w:rFonts w:hint="eastAsia"/>
                      <w:color w:val="FF0000"/>
                      <w:sz w:val="21"/>
                      <w:szCs w:val="21"/>
                      <w:highlight w:val="none"/>
                      <w:u w:val="single"/>
                      <w:lang w:val="en-US" w:eastAsia="zh-CN"/>
                    </w:rPr>
                    <w:t>加压泵站</w:t>
                  </w: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color w:val="FF0000"/>
                      <w:sz w:val="21"/>
                      <w:szCs w:val="21"/>
                      <w:highlight w:val="none"/>
                      <w:u w:val="single"/>
                      <w:lang w:val="en-US"/>
                    </w:rPr>
                  </w:pPr>
                  <w:r>
                    <w:rPr>
                      <w:rFonts w:hint="eastAsia"/>
                      <w:color w:val="FF0000"/>
                      <w:sz w:val="21"/>
                      <w:szCs w:val="21"/>
                      <w:highlight w:val="none"/>
                      <w:u w:val="single"/>
                      <w:lang w:val="en-US" w:eastAsia="zh-CN"/>
                    </w:rPr>
                    <w:t>加压泵站四周</w:t>
                  </w:r>
                </w:p>
              </w:tc>
              <w:tc>
                <w:tcPr>
                  <w:tcW w:w="960" w:type="dxa"/>
                  <w:tcBorders>
                    <w:left w:val="single" w:color="auto" w:sz="4" w:space="0"/>
                    <w:right w:val="single" w:color="auto" w:sz="4" w:space="0"/>
                  </w:tcBorders>
                  <w:vAlign w:val="center"/>
                </w:tcPr>
                <w:p>
                  <w:pPr>
                    <w:snapToGrid w:val="0"/>
                    <w:spacing w:line="240" w:lineRule="auto"/>
                    <w:ind w:firstLine="420" w:firstLineChars="200"/>
                    <w:jc w:val="center"/>
                    <w:rPr>
                      <w:rFonts w:hint="eastAsia" w:eastAsia="宋体"/>
                      <w:color w:val="FF0000"/>
                      <w:sz w:val="21"/>
                      <w:szCs w:val="21"/>
                      <w:highlight w:val="none"/>
                      <w:u w:val="single"/>
                      <w:lang w:val="en-US" w:eastAsia="zh-CN"/>
                    </w:rPr>
                  </w:pPr>
                  <w:r>
                    <w:rPr>
                      <w:rFonts w:hint="eastAsia"/>
                      <w:color w:val="FF0000"/>
                      <w:sz w:val="21"/>
                      <w:szCs w:val="21"/>
                      <w:highlight w:val="none"/>
                      <w:u w:val="single"/>
                      <w:lang w:val="en-US" w:eastAsia="zh-CN"/>
                    </w:rPr>
                    <w:t>/</w:t>
                  </w:r>
                </w:p>
              </w:tc>
              <w:tc>
                <w:tcPr>
                  <w:tcW w:w="960" w:type="dxa"/>
                  <w:tcBorders>
                    <w:left w:val="single" w:color="auto" w:sz="4" w:space="0"/>
                  </w:tcBorders>
                  <w:vAlign w:val="center"/>
                </w:tcPr>
                <w:p>
                  <w:pPr>
                    <w:snapToGrid w:val="0"/>
                    <w:spacing w:line="240" w:lineRule="auto"/>
                    <w:ind w:firstLine="420" w:firstLineChars="200"/>
                    <w:jc w:val="center"/>
                    <w:rPr>
                      <w:color w:val="FF0000"/>
                      <w:sz w:val="21"/>
                      <w:szCs w:val="21"/>
                      <w:highlight w:val="none"/>
                      <w:u w:val="single"/>
                    </w:rPr>
                  </w:pPr>
                  <w:r>
                    <w:rPr>
                      <w:rFonts w:hint="eastAsia"/>
                      <w:color w:val="FF0000"/>
                      <w:sz w:val="21"/>
                      <w:szCs w:val="21"/>
                      <w:highlight w:val="none"/>
                      <w:u w:val="single"/>
                      <w:lang w:val="en-US" w:eastAsia="zh-CN"/>
                    </w:rPr>
                    <w:t>/</w:t>
                  </w:r>
                </w:p>
              </w:tc>
              <w:tc>
                <w:tcPr>
                  <w:tcW w:w="1365" w:type="dxa"/>
                  <w:tcBorders>
                    <w:right w:val="single" w:color="auto" w:sz="4" w:space="0"/>
                  </w:tcBorders>
                  <w:vAlign w:val="center"/>
                </w:tcPr>
                <w:p>
                  <w:pPr>
                    <w:snapToGrid w:val="0"/>
                    <w:spacing w:line="240" w:lineRule="auto"/>
                    <w:ind w:firstLine="420" w:firstLineChars="200"/>
                    <w:jc w:val="center"/>
                    <w:rPr>
                      <w:rFonts w:hint="eastAsia"/>
                      <w:color w:val="FF0000"/>
                      <w:sz w:val="21"/>
                      <w:szCs w:val="21"/>
                      <w:highlight w:val="none"/>
                      <w:u w:val="single"/>
                    </w:rPr>
                  </w:pPr>
                  <w:r>
                    <w:rPr>
                      <w:rFonts w:hint="eastAsia"/>
                      <w:color w:val="FF0000"/>
                      <w:sz w:val="21"/>
                      <w:szCs w:val="21"/>
                      <w:highlight w:val="none"/>
                      <w:u w:val="single"/>
                      <w:lang w:val="en-US" w:eastAsia="zh-CN"/>
                    </w:rPr>
                    <w:t>/</w:t>
                  </w:r>
                </w:p>
              </w:tc>
              <w:tc>
                <w:tcPr>
                  <w:tcW w:w="1193" w:type="dxa"/>
                  <w:tcBorders>
                    <w:left w:val="single" w:color="auto" w:sz="4" w:space="0"/>
                  </w:tcBorders>
                  <w:vAlign w:val="center"/>
                </w:tcPr>
                <w:p>
                  <w:pPr>
                    <w:snapToGrid w:val="0"/>
                    <w:spacing w:line="240" w:lineRule="auto"/>
                    <w:ind w:firstLine="0" w:firstLineChars="0"/>
                    <w:jc w:val="center"/>
                    <w:rPr>
                      <w:rFonts w:hint="eastAsia" w:eastAsia="宋体"/>
                      <w:color w:val="FF0000"/>
                      <w:sz w:val="21"/>
                      <w:szCs w:val="21"/>
                      <w:highlight w:val="none"/>
                      <w:u w:val="single"/>
                      <w:lang w:val="en-US" w:eastAsia="zh-CN"/>
                    </w:rPr>
                  </w:pPr>
                  <w:r>
                    <w:rPr>
                      <w:rFonts w:hint="eastAsia"/>
                      <w:color w:val="FF0000"/>
                      <w:sz w:val="21"/>
                      <w:szCs w:val="21"/>
                      <w:highlight w:val="none"/>
                      <w:u w:val="single"/>
                      <w:lang w:val="en-US" w:eastAsia="zh-CN"/>
                    </w:rPr>
                    <w:t>四周200m</w:t>
                  </w: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Merge w:val="continue"/>
                  <w:vAlign w:val="center"/>
                </w:tcPr>
                <w:p>
                  <w:pPr>
                    <w:snapToGrid w:val="0"/>
                    <w:spacing w:line="240" w:lineRule="auto"/>
                    <w:ind w:firstLine="0" w:firstLineChars="0"/>
                    <w:jc w:val="center"/>
                    <w:rPr>
                      <w:color w:val="auto"/>
                      <w:sz w:val="21"/>
                      <w:szCs w:val="21"/>
                      <w:highlight w:val="none"/>
                    </w:rPr>
                  </w:pPr>
                </w:p>
              </w:tc>
              <w:tc>
                <w:tcPr>
                  <w:tcW w:w="740" w:type="dxa"/>
                  <w:tcBorders>
                    <w:right w:val="single" w:color="auto" w:sz="4" w:space="0"/>
                  </w:tcBorders>
                  <w:vAlign w:val="center"/>
                </w:tcPr>
                <w:p>
                  <w:pPr>
                    <w:snapToGrid w:val="0"/>
                    <w:spacing w:line="240" w:lineRule="auto"/>
                    <w:ind w:firstLine="0" w:firstLineChars="0"/>
                    <w:jc w:val="center"/>
                    <w:rPr>
                      <w:rFonts w:hint="eastAsia"/>
                      <w:color w:val="FF0000"/>
                      <w:sz w:val="21"/>
                      <w:szCs w:val="21"/>
                      <w:highlight w:val="none"/>
                      <w:u w:val="single"/>
                      <w:lang w:val="en-US" w:eastAsia="zh-CN"/>
                    </w:rPr>
                  </w:pPr>
                  <w:r>
                    <w:rPr>
                      <w:rFonts w:hint="eastAsia"/>
                      <w:color w:val="FF0000"/>
                      <w:sz w:val="21"/>
                      <w:szCs w:val="21"/>
                      <w:highlight w:val="none"/>
                      <w:u w:val="single"/>
                      <w:lang w:val="en-US" w:eastAsia="zh-CN"/>
                    </w:rPr>
                    <w:t>供水管网</w:t>
                  </w:r>
                </w:p>
              </w:tc>
              <w:tc>
                <w:tcPr>
                  <w:tcW w:w="1350" w:type="dxa"/>
                  <w:tcBorders>
                    <w:left w:val="single" w:color="auto" w:sz="4" w:space="0"/>
                    <w:right w:val="single" w:color="auto" w:sz="4" w:space="0"/>
                  </w:tcBorders>
                  <w:vAlign w:val="center"/>
                </w:tcPr>
                <w:p>
                  <w:pPr>
                    <w:snapToGrid w:val="0"/>
                    <w:spacing w:line="240" w:lineRule="auto"/>
                    <w:ind w:firstLine="0" w:firstLineChars="0"/>
                    <w:jc w:val="center"/>
                    <w:rPr>
                      <w:rFonts w:hint="eastAsia"/>
                      <w:color w:val="FF0000"/>
                      <w:sz w:val="21"/>
                      <w:szCs w:val="21"/>
                      <w:highlight w:val="none"/>
                      <w:u w:val="single"/>
                      <w:lang w:val="en-US" w:eastAsia="zh-CN"/>
                    </w:rPr>
                  </w:pPr>
                  <w:r>
                    <w:rPr>
                      <w:rFonts w:hint="eastAsia"/>
                      <w:color w:val="FF0000"/>
                      <w:sz w:val="21"/>
                      <w:szCs w:val="21"/>
                      <w:highlight w:val="none"/>
                      <w:u w:val="single"/>
                      <w:lang w:val="en-US" w:eastAsia="zh-CN"/>
                    </w:rPr>
                    <w:t>供水管网两侧200m范围居民</w:t>
                  </w:r>
                </w:p>
              </w:tc>
              <w:tc>
                <w:tcPr>
                  <w:tcW w:w="960" w:type="dxa"/>
                  <w:tcBorders>
                    <w:left w:val="single" w:color="auto" w:sz="4" w:space="0"/>
                    <w:right w:val="single" w:color="auto" w:sz="4" w:space="0"/>
                  </w:tcBorders>
                  <w:vAlign w:val="center"/>
                </w:tcPr>
                <w:p>
                  <w:pPr>
                    <w:snapToGrid w:val="0"/>
                    <w:spacing w:line="240" w:lineRule="auto"/>
                    <w:ind w:firstLine="420" w:firstLineChars="200"/>
                    <w:jc w:val="center"/>
                    <w:rPr>
                      <w:color w:val="FF0000"/>
                      <w:sz w:val="21"/>
                      <w:szCs w:val="21"/>
                      <w:highlight w:val="none"/>
                      <w:u w:val="single"/>
                    </w:rPr>
                  </w:pPr>
                  <w:r>
                    <w:rPr>
                      <w:rFonts w:hint="eastAsia"/>
                      <w:color w:val="FF0000"/>
                      <w:sz w:val="21"/>
                      <w:szCs w:val="21"/>
                      <w:highlight w:val="none"/>
                      <w:u w:val="single"/>
                      <w:lang w:val="en-US" w:eastAsia="zh-CN"/>
                    </w:rPr>
                    <w:t>/</w:t>
                  </w:r>
                </w:p>
              </w:tc>
              <w:tc>
                <w:tcPr>
                  <w:tcW w:w="960" w:type="dxa"/>
                  <w:tcBorders>
                    <w:left w:val="single" w:color="auto" w:sz="4" w:space="0"/>
                  </w:tcBorders>
                  <w:vAlign w:val="center"/>
                </w:tcPr>
                <w:p>
                  <w:pPr>
                    <w:snapToGrid w:val="0"/>
                    <w:spacing w:line="240" w:lineRule="auto"/>
                    <w:ind w:firstLine="420" w:firstLineChars="200"/>
                    <w:jc w:val="center"/>
                    <w:rPr>
                      <w:color w:val="FF0000"/>
                      <w:sz w:val="21"/>
                      <w:szCs w:val="21"/>
                      <w:highlight w:val="none"/>
                      <w:u w:val="single"/>
                    </w:rPr>
                  </w:pPr>
                  <w:r>
                    <w:rPr>
                      <w:rFonts w:hint="eastAsia"/>
                      <w:color w:val="FF0000"/>
                      <w:sz w:val="21"/>
                      <w:szCs w:val="21"/>
                      <w:highlight w:val="none"/>
                      <w:u w:val="single"/>
                      <w:lang w:val="en-US" w:eastAsia="zh-CN"/>
                    </w:rPr>
                    <w:t>/</w:t>
                  </w:r>
                </w:p>
              </w:tc>
              <w:tc>
                <w:tcPr>
                  <w:tcW w:w="1365" w:type="dxa"/>
                  <w:tcBorders>
                    <w:right w:val="single" w:color="auto" w:sz="4" w:space="0"/>
                  </w:tcBorders>
                  <w:vAlign w:val="center"/>
                </w:tcPr>
                <w:p>
                  <w:pPr>
                    <w:snapToGrid w:val="0"/>
                    <w:spacing w:line="240" w:lineRule="auto"/>
                    <w:ind w:firstLine="420" w:firstLineChars="200"/>
                    <w:jc w:val="center"/>
                    <w:rPr>
                      <w:rFonts w:hint="eastAsia"/>
                      <w:color w:val="FF0000"/>
                      <w:sz w:val="21"/>
                      <w:szCs w:val="21"/>
                      <w:highlight w:val="none"/>
                      <w:u w:val="single"/>
                    </w:rPr>
                  </w:pPr>
                  <w:r>
                    <w:rPr>
                      <w:rFonts w:hint="eastAsia"/>
                      <w:color w:val="FF0000"/>
                      <w:sz w:val="21"/>
                      <w:szCs w:val="21"/>
                      <w:highlight w:val="none"/>
                      <w:u w:val="single"/>
                      <w:lang w:val="en-US" w:eastAsia="zh-CN"/>
                    </w:rPr>
                    <w:t>/</w:t>
                  </w:r>
                </w:p>
              </w:tc>
              <w:tc>
                <w:tcPr>
                  <w:tcW w:w="1193" w:type="dxa"/>
                  <w:tcBorders>
                    <w:left w:val="single" w:color="auto" w:sz="4" w:space="0"/>
                  </w:tcBorders>
                  <w:vAlign w:val="center"/>
                </w:tcPr>
                <w:p>
                  <w:pPr>
                    <w:snapToGrid w:val="0"/>
                    <w:spacing w:line="240" w:lineRule="auto"/>
                    <w:ind w:firstLine="0" w:firstLineChars="0"/>
                    <w:jc w:val="center"/>
                    <w:rPr>
                      <w:rFonts w:hint="eastAsia" w:eastAsia="宋体"/>
                      <w:color w:val="FF0000"/>
                      <w:sz w:val="21"/>
                      <w:szCs w:val="21"/>
                      <w:highlight w:val="none"/>
                      <w:u w:val="single"/>
                      <w:lang w:val="en-US" w:eastAsia="zh-CN"/>
                    </w:rPr>
                  </w:pPr>
                  <w:r>
                    <w:rPr>
                      <w:rFonts w:hint="eastAsia"/>
                      <w:color w:val="FF0000"/>
                      <w:sz w:val="21"/>
                      <w:szCs w:val="21"/>
                      <w:highlight w:val="none"/>
                      <w:u w:val="single"/>
                      <w:lang w:val="en-US" w:eastAsia="zh-CN"/>
                    </w:rPr>
                    <w:t>两侧200m</w:t>
                  </w:r>
                </w:p>
              </w:tc>
              <w:tc>
                <w:tcPr>
                  <w:tcW w:w="1517" w:type="dxa"/>
                  <w:vMerge w:val="continue"/>
                  <w:vAlign w:val="center"/>
                </w:tcPr>
                <w:p>
                  <w:pPr>
                    <w:snapToGrid w:val="0"/>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702" w:type="dxa"/>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生态</w:t>
                  </w:r>
                </w:p>
                <w:p>
                  <w:pPr>
                    <w:snapToGrid w:val="0"/>
                    <w:spacing w:line="240" w:lineRule="auto"/>
                    <w:ind w:firstLine="0" w:firstLineChars="0"/>
                    <w:jc w:val="center"/>
                    <w:rPr>
                      <w:color w:val="auto"/>
                      <w:sz w:val="21"/>
                      <w:szCs w:val="21"/>
                      <w:highlight w:val="none"/>
                    </w:rPr>
                  </w:pPr>
                  <w:r>
                    <w:rPr>
                      <w:color w:val="auto"/>
                      <w:sz w:val="21"/>
                      <w:szCs w:val="21"/>
                      <w:highlight w:val="none"/>
                    </w:rPr>
                    <w:t>环境</w:t>
                  </w:r>
                </w:p>
              </w:tc>
              <w:tc>
                <w:tcPr>
                  <w:tcW w:w="5375" w:type="dxa"/>
                  <w:gridSpan w:val="5"/>
                  <w:tcBorders>
                    <w:right w:val="single" w:color="auto" w:sz="4" w:space="0"/>
                  </w:tcBorders>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工程区及周边500米范围内的植被、土壤、景观等</w:t>
                  </w:r>
                </w:p>
              </w:tc>
              <w:tc>
                <w:tcPr>
                  <w:tcW w:w="1193" w:type="dxa"/>
                  <w:tcBorders>
                    <w:left w:val="single" w:color="auto" w:sz="4" w:space="0"/>
                  </w:tcBorders>
                  <w:vAlign w:val="center"/>
                </w:tcPr>
                <w:p>
                  <w:pPr>
                    <w:snapToGrid w:val="0"/>
                    <w:spacing w:line="240" w:lineRule="auto"/>
                    <w:ind w:firstLine="0" w:firstLineChars="0"/>
                    <w:jc w:val="center"/>
                    <w:rPr>
                      <w:color w:val="auto"/>
                      <w:sz w:val="21"/>
                      <w:szCs w:val="21"/>
                      <w:highlight w:val="none"/>
                    </w:rPr>
                  </w:pPr>
                  <w:r>
                    <w:rPr>
                      <w:rFonts w:hint="eastAsia"/>
                      <w:color w:val="auto"/>
                      <w:sz w:val="21"/>
                      <w:szCs w:val="21"/>
                      <w:highlight w:val="none"/>
                    </w:rPr>
                    <w:t>厂界外50m范围内无耕地、园地、牧草地、居民、学校等土壤环境敏感目标，</w:t>
                  </w:r>
                  <w:r>
                    <w:rPr>
                      <w:color w:val="auto"/>
                      <w:sz w:val="21"/>
                      <w:szCs w:val="21"/>
                      <w:highlight w:val="none"/>
                    </w:rPr>
                    <w:t>保持水土，维持生态平衡，农业种植等</w:t>
                  </w:r>
                </w:p>
              </w:tc>
              <w:tc>
                <w:tcPr>
                  <w:tcW w:w="1517" w:type="dxa"/>
                  <w:vAlign w:val="center"/>
                </w:tcPr>
                <w:p>
                  <w:pPr>
                    <w:snapToGrid w:val="0"/>
                    <w:spacing w:line="240" w:lineRule="auto"/>
                    <w:ind w:firstLine="0" w:firstLineChars="0"/>
                    <w:jc w:val="center"/>
                    <w:rPr>
                      <w:color w:val="auto"/>
                      <w:sz w:val="21"/>
                      <w:szCs w:val="21"/>
                      <w:highlight w:val="none"/>
                    </w:rPr>
                  </w:pPr>
                  <w:r>
                    <w:rPr>
                      <w:color w:val="auto"/>
                      <w:sz w:val="21"/>
                      <w:szCs w:val="21"/>
                      <w:highlight w:val="none"/>
                    </w:rPr>
                    <w:t>确保工程建设与运行不恶化周边生态环境。</w:t>
                  </w:r>
                </w:p>
              </w:tc>
            </w:tr>
          </w:tbl>
          <w:p>
            <w:pPr>
              <w:spacing w:line="560" w:lineRule="exact"/>
              <w:ind w:firstLine="0" w:firstLineChars="0"/>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left="0" w:leftChars="0" w:firstLine="0" w:firstLineChars="0"/>
              <w:rPr>
                <w:color w:val="auto"/>
                <w:highlight w:val="none"/>
              </w:rPr>
            </w:pPr>
          </w:p>
        </w:tc>
      </w:tr>
    </w:tbl>
    <w:p>
      <w:pPr>
        <w:pStyle w:val="3"/>
        <w:spacing w:before="0" w:after="0" w:line="360" w:lineRule="auto"/>
        <w:ind w:firstLine="0" w:firstLineChars="0"/>
        <w:rPr>
          <w:color w:val="auto"/>
          <w:sz w:val="32"/>
          <w:highlight w:val="none"/>
        </w:rPr>
      </w:pPr>
      <w:bookmarkStart w:id="25" w:name="_Toc107133124"/>
      <w:bookmarkStart w:id="26" w:name="_Toc109699572"/>
      <w:bookmarkStart w:id="27" w:name="_Toc110587902"/>
      <w:bookmarkStart w:id="28" w:name="_Toc167674096"/>
      <w:bookmarkStart w:id="29" w:name="_Toc103347234"/>
      <w:bookmarkStart w:id="30" w:name="_Toc203477671"/>
      <w:bookmarkStart w:id="31" w:name="_Toc167421093"/>
      <w:bookmarkStart w:id="32" w:name="_Toc112820642"/>
      <w:bookmarkStart w:id="33" w:name="_Toc112124829"/>
      <w:bookmarkStart w:id="34" w:name="_Toc165285230"/>
      <w:bookmarkStart w:id="35" w:name="_Toc120584302"/>
      <w:bookmarkStart w:id="36" w:name="_Toc167422969"/>
      <w:bookmarkStart w:id="37" w:name="_Toc112127018"/>
      <w:r>
        <w:rPr>
          <w:rFonts w:eastAsia="黑体"/>
          <w:b w:val="0"/>
          <w:bCs w:val="0"/>
          <w:color w:val="auto"/>
          <w:kern w:val="2"/>
          <w:szCs w:val="32"/>
          <w:highlight w:val="none"/>
        </w:rPr>
        <w:br w:type="page"/>
      </w:r>
      <w:bookmarkStart w:id="38" w:name="_Toc376"/>
      <w:r>
        <w:rPr>
          <w:color w:val="auto"/>
          <w:sz w:val="32"/>
          <w:highlight w:val="none"/>
        </w:rPr>
        <w:t>评价适用标准</w:t>
      </w:r>
      <w:bookmarkEnd w:id="25"/>
      <w:bookmarkEnd w:id="26"/>
      <w:bookmarkEnd w:id="27"/>
      <w:bookmarkEnd w:id="28"/>
      <w:bookmarkEnd w:id="29"/>
      <w:bookmarkEnd w:id="30"/>
      <w:bookmarkEnd w:id="31"/>
      <w:bookmarkEnd w:id="32"/>
      <w:bookmarkEnd w:id="33"/>
      <w:bookmarkEnd w:id="34"/>
      <w:bookmarkEnd w:id="35"/>
      <w:bookmarkEnd w:id="36"/>
      <w:bookmarkEnd w:id="37"/>
      <w:bookmarkEnd w:id="38"/>
    </w:p>
    <w:tbl>
      <w:tblPr>
        <w:tblStyle w:val="26"/>
        <w:tblW w:w="90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6"/>
        <w:gridCol w:w="81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89" w:hRule="atLeast"/>
          <w:jc w:val="center"/>
        </w:trPr>
        <w:tc>
          <w:tcPr>
            <w:tcW w:w="896" w:type="dxa"/>
            <w:vAlign w:val="center"/>
          </w:tcPr>
          <w:p>
            <w:pPr>
              <w:spacing w:line="560" w:lineRule="exact"/>
              <w:ind w:firstLine="0" w:firstLineChars="0"/>
              <w:jc w:val="center"/>
              <w:rPr>
                <w:color w:val="auto"/>
                <w:highlight w:val="none"/>
              </w:rPr>
            </w:pPr>
            <w:r>
              <w:rPr>
                <w:color w:val="auto"/>
                <w:highlight w:val="none"/>
              </w:rPr>
              <w:t>环</w:t>
            </w:r>
          </w:p>
          <w:p>
            <w:pPr>
              <w:spacing w:line="560" w:lineRule="exact"/>
              <w:ind w:firstLine="0" w:firstLineChars="0"/>
              <w:jc w:val="center"/>
              <w:rPr>
                <w:color w:val="auto"/>
                <w:highlight w:val="none"/>
              </w:rPr>
            </w:pPr>
            <w:r>
              <w:rPr>
                <w:color w:val="auto"/>
                <w:highlight w:val="none"/>
              </w:rPr>
              <w:t>境</w:t>
            </w:r>
          </w:p>
          <w:p>
            <w:pPr>
              <w:spacing w:line="560" w:lineRule="exact"/>
              <w:ind w:firstLine="0" w:firstLineChars="0"/>
              <w:jc w:val="center"/>
              <w:rPr>
                <w:color w:val="auto"/>
                <w:highlight w:val="none"/>
              </w:rPr>
            </w:pPr>
            <w:r>
              <w:rPr>
                <w:color w:val="auto"/>
                <w:highlight w:val="none"/>
              </w:rPr>
              <w:t>质</w:t>
            </w:r>
          </w:p>
          <w:p>
            <w:pPr>
              <w:spacing w:line="560" w:lineRule="exact"/>
              <w:ind w:firstLine="0" w:firstLineChars="0"/>
              <w:jc w:val="center"/>
              <w:rPr>
                <w:color w:val="auto"/>
                <w:highlight w:val="none"/>
              </w:rPr>
            </w:pPr>
            <w:r>
              <w:rPr>
                <w:color w:val="auto"/>
                <w:highlight w:val="none"/>
              </w:rPr>
              <w:t>量</w:t>
            </w:r>
          </w:p>
          <w:p>
            <w:pPr>
              <w:spacing w:line="560" w:lineRule="exact"/>
              <w:ind w:firstLine="0" w:firstLineChars="0"/>
              <w:jc w:val="center"/>
              <w:rPr>
                <w:color w:val="auto"/>
                <w:highlight w:val="none"/>
              </w:rPr>
            </w:pPr>
            <w:r>
              <w:rPr>
                <w:color w:val="auto"/>
                <w:highlight w:val="none"/>
              </w:rPr>
              <w:t>标</w:t>
            </w:r>
          </w:p>
          <w:p>
            <w:pPr>
              <w:spacing w:line="560" w:lineRule="exact"/>
              <w:ind w:firstLine="0" w:firstLineChars="0"/>
              <w:jc w:val="center"/>
              <w:rPr>
                <w:color w:val="auto"/>
                <w:highlight w:val="none"/>
              </w:rPr>
            </w:pPr>
            <w:r>
              <w:rPr>
                <w:color w:val="auto"/>
                <w:highlight w:val="none"/>
              </w:rPr>
              <w:t>准</w:t>
            </w:r>
          </w:p>
        </w:tc>
        <w:tc>
          <w:tcPr>
            <w:tcW w:w="8165" w:type="dxa"/>
          </w:tcPr>
          <w:p>
            <w:pPr>
              <w:spacing w:line="360" w:lineRule="auto"/>
              <w:ind w:firstLine="482"/>
              <w:rPr>
                <w:b/>
                <w:bCs/>
                <w:color w:val="auto"/>
                <w:highlight w:val="none"/>
              </w:rPr>
            </w:pPr>
            <w:r>
              <w:rPr>
                <w:b/>
                <w:bCs/>
                <w:color w:val="auto"/>
                <w:highlight w:val="none"/>
              </w:rPr>
              <w:t>（1）空气环境质量</w:t>
            </w:r>
          </w:p>
          <w:p>
            <w:pPr>
              <w:pStyle w:val="36"/>
              <w:spacing w:line="360" w:lineRule="auto"/>
              <w:ind w:firstLine="464"/>
              <w:rPr>
                <w:rFonts w:ascii="Times New Roman" w:hAnsi="Times New Roman"/>
                <w:color w:val="auto"/>
                <w:highlight w:val="none"/>
              </w:rPr>
            </w:pPr>
            <w:r>
              <w:rPr>
                <w:rFonts w:ascii="Times New Roman" w:hAnsi="Times New Roman"/>
                <w:color w:val="auto"/>
                <w:highlight w:val="none"/>
              </w:rPr>
              <w:t>建设项目所在区域环境空气执行《环境空气质量标准》（GB3095-2012）</w:t>
            </w:r>
            <w:r>
              <w:rPr>
                <w:rFonts w:hint="eastAsia" w:ascii="Times New Roman" w:hAnsi="Times New Roman"/>
                <w:color w:val="auto"/>
                <w:highlight w:val="none"/>
              </w:rPr>
              <w:t>及其2018年修改单</w:t>
            </w:r>
            <w:r>
              <w:rPr>
                <w:rFonts w:ascii="Times New Roman" w:hAnsi="Times New Roman"/>
                <w:color w:val="auto"/>
                <w:highlight w:val="none"/>
              </w:rPr>
              <w:t>中二级标准</w:t>
            </w:r>
            <w:r>
              <w:rPr>
                <w:rFonts w:hint="eastAsia" w:ascii="Times New Roman" w:hAnsi="Times New Roman"/>
                <w:color w:val="auto"/>
                <w:highlight w:val="none"/>
                <w:lang w:eastAsia="zh-CN"/>
              </w:rPr>
              <w:t>，</w:t>
            </w:r>
            <w:r>
              <w:rPr>
                <w:rFonts w:hint="eastAsia" w:ascii="Times New Roman" w:hAnsi="Times New Roman" w:cs="Times New Roman"/>
                <w:color w:val="auto"/>
                <w:sz w:val="24"/>
                <w:szCs w:val="24"/>
                <w:highlight w:val="none"/>
                <w:u w:val="single"/>
                <w:lang w:eastAsia="zh-CN"/>
              </w:rPr>
              <w:t>氯化氢参照</w:t>
            </w:r>
            <w:r>
              <w:rPr>
                <w:rFonts w:hint="eastAsia" w:ascii="Times New Roman" w:hAnsi="Times New Roman" w:cs="Times New Roman"/>
                <w:color w:val="auto"/>
                <w:sz w:val="24"/>
                <w:szCs w:val="24"/>
                <w:highlight w:val="none"/>
                <w:u w:val="single"/>
                <w:lang w:val="en-US" w:eastAsia="zh-CN"/>
              </w:rPr>
              <w:t>《环境影响评价技术导则  大气环境》（HJ2.2-2018）附录D空气质量浓度参考限值</w:t>
            </w:r>
            <w:r>
              <w:rPr>
                <w:rFonts w:ascii="Times New Roman" w:hAnsi="Times New Roman"/>
                <w:color w:val="auto"/>
                <w:highlight w:val="none"/>
              </w:rPr>
              <w:t>。标准值见表</w:t>
            </w:r>
            <w:r>
              <w:rPr>
                <w:rFonts w:hint="eastAsia" w:ascii="Times New Roman" w:hAnsi="Times New Roman"/>
                <w:color w:val="auto"/>
                <w:highlight w:val="none"/>
              </w:rPr>
              <w:t>4</w:t>
            </w:r>
            <w:r>
              <w:rPr>
                <w:rFonts w:ascii="Times New Roman" w:hAnsi="Times New Roman"/>
                <w:color w:val="auto"/>
                <w:highlight w:val="none"/>
              </w:rPr>
              <w:t>-1。</w:t>
            </w:r>
          </w:p>
          <w:p>
            <w:pPr>
              <w:spacing w:line="240" w:lineRule="auto"/>
              <w:ind w:firstLine="422"/>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rPr>
              <w:t>4</w:t>
            </w:r>
            <w:r>
              <w:rPr>
                <w:b/>
                <w:bCs/>
                <w:color w:val="auto"/>
                <w:sz w:val="21"/>
                <w:szCs w:val="21"/>
                <w:highlight w:val="none"/>
              </w:rPr>
              <w:t>-1  环境空气二级标准污染物浓度限值（部分项目）   单位：ug/m</w:t>
            </w:r>
            <w:r>
              <w:rPr>
                <w:b/>
                <w:bCs/>
                <w:color w:val="auto"/>
                <w:sz w:val="21"/>
                <w:szCs w:val="21"/>
                <w:highlight w:val="none"/>
                <w:vertAlign w:val="superscript"/>
              </w:rPr>
              <w:t>3</w:t>
            </w:r>
          </w:p>
          <w:tbl>
            <w:tblPr>
              <w:tblStyle w:val="26"/>
              <w:tblW w:w="79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821"/>
              <w:gridCol w:w="1758"/>
              <w:gridCol w:w="1609"/>
              <w:gridCol w:w="2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jc w:val="center"/>
              </w:trPr>
              <w:tc>
                <w:tcPr>
                  <w:tcW w:w="1821" w:type="dxa"/>
                  <w:vAlign w:val="center"/>
                </w:tcPr>
                <w:p>
                  <w:pPr>
                    <w:spacing w:line="240" w:lineRule="auto"/>
                    <w:ind w:firstLine="0" w:firstLineChars="0"/>
                    <w:jc w:val="center"/>
                    <w:rPr>
                      <w:color w:val="auto"/>
                      <w:sz w:val="21"/>
                      <w:szCs w:val="21"/>
                      <w:highlight w:val="none"/>
                    </w:rPr>
                  </w:pPr>
                  <w:r>
                    <w:rPr>
                      <w:color w:val="auto"/>
                      <w:sz w:val="21"/>
                      <w:szCs w:val="21"/>
                      <w:highlight w:val="none"/>
                    </w:rPr>
                    <w:t>污染物名称</w:t>
                  </w: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取值时间</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浓度限值</w:t>
                  </w:r>
                </w:p>
              </w:tc>
              <w:tc>
                <w:tcPr>
                  <w:tcW w:w="2732" w:type="dxa"/>
                  <w:vAlign w:val="center"/>
                </w:tcPr>
                <w:p>
                  <w:pPr>
                    <w:ind w:firstLine="420"/>
                    <w:jc w:val="center"/>
                    <w:rPr>
                      <w:color w:val="auto"/>
                      <w:sz w:val="21"/>
                      <w:szCs w:val="21"/>
                      <w:highlight w:val="none"/>
                    </w:rPr>
                  </w:pPr>
                  <w:r>
                    <w:rPr>
                      <w:color w:val="auto"/>
                      <w:sz w:val="21"/>
                      <w:szCs w:val="21"/>
                      <w:highlight w:val="non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1" w:hRule="atLeast"/>
                <w:jc w:val="center"/>
              </w:trPr>
              <w:tc>
                <w:tcPr>
                  <w:tcW w:w="182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二氧化硫（SO2）</w:t>
                  </w: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24小时平均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150μg/m</w:t>
                  </w:r>
                  <w:r>
                    <w:rPr>
                      <w:color w:val="auto"/>
                      <w:sz w:val="21"/>
                      <w:szCs w:val="21"/>
                      <w:highlight w:val="none"/>
                      <w:vertAlign w:val="superscript"/>
                    </w:rPr>
                    <w:t>3</w:t>
                  </w:r>
                </w:p>
              </w:tc>
              <w:tc>
                <w:tcPr>
                  <w:tcW w:w="2732" w:type="dxa"/>
                  <w:vMerge w:val="restart"/>
                  <w:vAlign w:val="center"/>
                </w:tcPr>
                <w:p>
                  <w:pPr>
                    <w:spacing w:line="240" w:lineRule="auto"/>
                    <w:ind w:firstLine="420"/>
                    <w:jc w:val="center"/>
                    <w:rPr>
                      <w:color w:val="auto"/>
                      <w:sz w:val="21"/>
                      <w:szCs w:val="21"/>
                      <w:highlight w:val="none"/>
                    </w:rPr>
                  </w:pPr>
                  <w:r>
                    <w:rPr>
                      <w:color w:val="auto"/>
                      <w:sz w:val="21"/>
                      <w:szCs w:val="21"/>
                      <w:highlight w:val="none"/>
                    </w:rPr>
                    <w:t>《环境空气质量标准》（GB3095-2012）</w:t>
                  </w:r>
                  <w:r>
                    <w:rPr>
                      <w:rFonts w:hint="eastAsia"/>
                      <w:color w:val="auto"/>
                      <w:sz w:val="21"/>
                      <w:szCs w:val="21"/>
                      <w:highlight w:val="none"/>
                    </w:rPr>
                    <w:t>及其2018年修改单中</w:t>
                  </w:r>
                  <w:r>
                    <w:rPr>
                      <w:color w:val="auto"/>
                      <w:sz w:val="21"/>
                      <w:szCs w:val="21"/>
                      <w:highlight w:val="none"/>
                    </w:rPr>
                    <w:t>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1" w:hRule="atLeast"/>
                <w:jc w:val="center"/>
              </w:trPr>
              <w:tc>
                <w:tcPr>
                  <w:tcW w:w="1821" w:type="dxa"/>
                  <w:vMerge w:val="continue"/>
                  <w:vAlign w:val="center"/>
                </w:tcPr>
                <w:p>
                  <w:pPr>
                    <w:spacing w:line="240" w:lineRule="auto"/>
                    <w:ind w:firstLine="0" w:firstLineChars="0"/>
                    <w:jc w:val="center"/>
                    <w:rPr>
                      <w:color w:val="auto"/>
                      <w:sz w:val="21"/>
                      <w:szCs w:val="21"/>
                      <w:highlight w:val="none"/>
                    </w:rPr>
                  </w:pP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1小时平均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500μg/m</w:t>
                  </w:r>
                  <w:r>
                    <w:rPr>
                      <w:color w:val="auto"/>
                      <w:sz w:val="21"/>
                      <w:szCs w:val="21"/>
                      <w:highlight w:val="none"/>
                      <w:vertAlign w:val="superscript"/>
                    </w:rPr>
                    <w:t>3</w:t>
                  </w:r>
                </w:p>
              </w:tc>
              <w:tc>
                <w:tcPr>
                  <w:tcW w:w="2732"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1" w:hRule="atLeast"/>
                <w:jc w:val="center"/>
              </w:trPr>
              <w:tc>
                <w:tcPr>
                  <w:tcW w:w="182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二氧化氮（NO2）</w:t>
                  </w: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24小时平均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80μg/m</w:t>
                  </w:r>
                  <w:r>
                    <w:rPr>
                      <w:color w:val="auto"/>
                      <w:sz w:val="21"/>
                      <w:szCs w:val="21"/>
                      <w:highlight w:val="none"/>
                      <w:vertAlign w:val="superscript"/>
                    </w:rPr>
                    <w:t>3</w:t>
                  </w:r>
                </w:p>
              </w:tc>
              <w:tc>
                <w:tcPr>
                  <w:tcW w:w="2732"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1" w:hRule="atLeast"/>
                <w:jc w:val="center"/>
              </w:trPr>
              <w:tc>
                <w:tcPr>
                  <w:tcW w:w="1821" w:type="dxa"/>
                  <w:vMerge w:val="continue"/>
                  <w:vAlign w:val="center"/>
                </w:tcPr>
                <w:p>
                  <w:pPr>
                    <w:spacing w:line="240" w:lineRule="auto"/>
                    <w:ind w:firstLine="0" w:firstLineChars="0"/>
                    <w:jc w:val="center"/>
                    <w:rPr>
                      <w:color w:val="auto"/>
                      <w:sz w:val="21"/>
                      <w:szCs w:val="21"/>
                      <w:highlight w:val="none"/>
                    </w:rPr>
                  </w:pP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1小时平均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200μg/m</w:t>
                  </w:r>
                  <w:r>
                    <w:rPr>
                      <w:color w:val="auto"/>
                      <w:sz w:val="21"/>
                      <w:szCs w:val="21"/>
                      <w:highlight w:val="none"/>
                      <w:vertAlign w:val="superscript"/>
                    </w:rPr>
                    <w:t>3</w:t>
                  </w:r>
                </w:p>
              </w:tc>
              <w:tc>
                <w:tcPr>
                  <w:tcW w:w="2732"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31" w:hRule="atLeast"/>
                <w:jc w:val="center"/>
              </w:trPr>
              <w:tc>
                <w:tcPr>
                  <w:tcW w:w="1821" w:type="dxa"/>
                  <w:vAlign w:val="center"/>
                </w:tcPr>
                <w:p>
                  <w:pPr>
                    <w:spacing w:line="240" w:lineRule="auto"/>
                    <w:ind w:firstLine="0" w:firstLineChars="0"/>
                    <w:jc w:val="center"/>
                    <w:rPr>
                      <w:color w:val="auto"/>
                      <w:sz w:val="21"/>
                      <w:szCs w:val="21"/>
                      <w:highlight w:val="none"/>
                    </w:rPr>
                  </w:pPr>
                  <w:r>
                    <w:rPr>
                      <w:color w:val="auto"/>
                      <w:sz w:val="21"/>
                      <w:szCs w:val="21"/>
                      <w:highlight w:val="none"/>
                    </w:rPr>
                    <w:t>PM10</w:t>
                  </w: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24小时平均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150μg/m</w:t>
                  </w:r>
                  <w:r>
                    <w:rPr>
                      <w:color w:val="auto"/>
                      <w:sz w:val="21"/>
                      <w:szCs w:val="21"/>
                      <w:highlight w:val="none"/>
                      <w:vertAlign w:val="superscript"/>
                    </w:rPr>
                    <w:t>3</w:t>
                  </w:r>
                </w:p>
              </w:tc>
              <w:tc>
                <w:tcPr>
                  <w:tcW w:w="2732"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408" w:hRule="atLeast"/>
                <w:jc w:val="center"/>
              </w:trPr>
              <w:tc>
                <w:tcPr>
                  <w:tcW w:w="1821" w:type="dxa"/>
                  <w:vAlign w:val="center"/>
                </w:tcPr>
                <w:p>
                  <w:pPr>
                    <w:spacing w:line="240" w:lineRule="auto"/>
                    <w:ind w:firstLine="0" w:firstLineChars="0"/>
                    <w:jc w:val="center"/>
                    <w:rPr>
                      <w:color w:val="auto"/>
                      <w:sz w:val="21"/>
                      <w:szCs w:val="21"/>
                      <w:highlight w:val="none"/>
                    </w:rPr>
                  </w:pPr>
                  <w:r>
                    <w:rPr>
                      <w:color w:val="auto"/>
                      <w:sz w:val="21"/>
                      <w:szCs w:val="21"/>
                      <w:highlight w:val="none"/>
                    </w:rPr>
                    <w:t>PM2.5</w:t>
                  </w: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24小时平均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75μg/m</w:t>
                  </w:r>
                  <w:r>
                    <w:rPr>
                      <w:color w:val="auto"/>
                      <w:sz w:val="21"/>
                      <w:szCs w:val="21"/>
                      <w:highlight w:val="none"/>
                      <w:vertAlign w:val="superscript"/>
                    </w:rPr>
                    <w:t>3</w:t>
                  </w:r>
                </w:p>
              </w:tc>
              <w:tc>
                <w:tcPr>
                  <w:tcW w:w="2732"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408" w:hRule="atLeast"/>
                <w:jc w:val="center"/>
              </w:trPr>
              <w:tc>
                <w:tcPr>
                  <w:tcW w:w="182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CO</w:t>
                  </w: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24小时平均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4000μg/m</w:t>
                  </w:r>
                  <w:r>
                    <w:rPr>
                      <w:color w:val="auto"/>
                      <w:sz w:val="21"/>
                      <w:szCs w:val="21"/>
                      <w:highlight w:val="none"/>
                      <w:vertAlign w:val="superscript"/>
                    </w:rPr>
                    <w:t>3</w:t>
                  </w:r>
                </w:p>
              </w:tc>
              <w:tc>
                <w:tcPr>
                  <w:tcW w:w="2732"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408" w:hRule="atLeast"/>
                <w:jc w:val="center"/>
              </w:trPr>
              <w:tc>
                <w:tcPr>
                  <w:tcW w:w="1821" w:type="dxa"/>
                  <w:vMerge w:val="continue"/>
                  <w:vAlign w:val="center"/>
                </w:tcPr>
                <w:p>
                  <w:pPr>
                    <w:spacing w:line="240" w:lineRule="auto"/>
                    <w:ind w:firstLine="0" w:firstLineChars="0"/>
                    <w:jc w:val="center"/>
                    <w:rPr>
                      <w:color w:val="auto"/>
                      <w:sz w:val="21"/>
                      <w:szCs w:val="21"/>
                      <w:highlight w:val="none"/>
                    </w:rPr>
                  </w:pP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1小时平均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10000μg/m</w:t>
                  </w:r>
                  <w:r>
                    <w:rPr>
                      <w:color w:val="auto"/>
                      <w:sz w:val="21"/>
                      <w:szCs w:val="21"/>
                      <w:highlight w:val="none"/>
                      <w:vertAlign w:val="superscript"/>
                    </w:rPr>
                    <w:t>3</w:t>
                  </w:r>
                </w:p>
              </w:tc>
              <w:tc>
                <w:tcPr>
                  <w:tcW w:w="2732" w:type="dxa"/>
                  <w:vMerge w:val="continue"/>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555" w:hRule="atLeast"/>
                <w:jc w:val="center"/>
              </w:trPr>
              <w:tc>
                <w:tcPr>
                  <w:tcW w:w="182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O</w:t>
                  </w:r>
                  <w:r>
                    <w:rPr>
                      <w:color w:val="auto"/>
                      <w:sz w:val="21"/>
                      <w:szCs w:val="21"/>
                      <w:highlight w:val="none"/>
                      <w:vertAlign w:val="subscript"/>
                    </w:rPr>
                    <w:t>3</w:t>
                  </w: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日最大8小时平均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160μg/m</w:t>
                  </w:r>
                  <w:r>
                    <w:rPr>
                      <w:color w:val="auto"/>
                      <w:sz w:val="21"/>
                      <w:szCs w:val="21"/>
                      <w:highlight w:val="none"/>
                      <w:vertAlign w:val="superscript"/>
                    </w:rPr>
                    <w:t>3</w:t>
                  </w:r>
                </w:p>
              </w:tc>
              <w:tc>
                <w:tcPr>
                  <w:tcW w:w="2732" w:type="dxa"/>
                  <w:vMerge w:val="continue"/>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438" w:hRule="atLeast"/>
                <w:jc w:val="center"/>
              </w:trPr>
              <w:tc>
                <w:tcPr>
                  <w:tcW w:w="1821" w:type="dxa"/>
                  <w:vMerge w:val="continue"/>
                  <w:vAlign w:val="center"/>
                </w:tcPr>
                <w:p>
                  <w:pPr>
                    <w:spacing w:line="240" w:lineRule="auto"/>
                    <w:ind w:firstLine="0" w:firstLineChars="0"/>
                    <w:jc w:val="center"/>
                    <w:rPr>
                      <w:color w:val="auto"/>
                      <w:sz w:val="21"/>
                      <w:szCs w:val="21"/>
                      <w:highlight w:val="none"/>
                    </w:rPr>
                  </w:pPr>
                </w:p>
              </w:tc>
              <w:tc>
                <w:tcPr>
                  <w:tcW w:w="1758" w:type="dxa"/>
                  <w:vAlign w:val="center"/>
                </w:tcPr>
                <w:p>
                  <w:pPr>
                    <w:spacing w:line="240" w:lineRule="auto"/>
                    <w:ind w:firstLine="0" w:firstLineChars="0"/>
                    <w:jc w:val="center"/>
                    <w:rPr>
                      <w:color w:val="auto"/>
                      <w:sz w:val="21"/>
                      <w:szCs w:val="21"/>
                      <w:highlight w:val="none"/>
                    </w:rPr>
                  </w:pPr>
                  <w:r>
                    <w:rPr>
                      <w:color w:val="auto"/>
                      <w:sz w:val="21"/>
                      <w:szCs w:val="21"/>
                      <w:highlight w:val="none"/>
                    </w:rPr>
                    <w:t>1小时平均</w:t>
                  </w:r>
                </w:p>
              </w:tc>
              <w:tc>
                <w:tcPr>
                  <w:tcW w:w="1609" w:type="dxa"/>
                  <w:vAlign w:val="center"/>
                </w:tcPr>
                <w:p>
                  <w:pPr>
                    <w:spacing w:line="240" w:lineRule="auto"/>
                    <w:ind w:firstLine="0" w:firstLineChars="0"/>
                    <w:jc w:val="center"/>
                    <w:rPr>
                      <w:color w:val="auto"/>
                      <w:sz w:val="21"/>
                      <w:szCs w:val="21"/>
                      <w:highlight w:val="none"/>
                    </w:rPr>
                  </w:pPr>
                  <w:r>
                    <w:rPr>
                      <w:color w:val="auto"/>
                      <w:sz w:val="21"/>
                      <w:szCs w:val="21"/>
                      <w:highlight w:val="none"/>
                    </w:rPr>
                    <w:t>200μg/m</w:t>
                  </w:r>
                  <w:r>
                    <w:rPr>
                      <w:color w:val="auto"/>
                      <w:sz w:val="21"/>
                      <w:szCs w:val="21"/>
                      <w:highlight w:val="none"/>
                      <w:vertAlign w:val="superscript"/>
                    </w:rPr>
                    <w:t>3</w:t>
                  </w:r>
                </w:p>
              </w:tc>
              <w:tc>
                <w:tcPr>
                  <w:tcW w:w="2732" w:type="dxa"/>
                  <w:vMerge w:val="continue"/>
                  <w:vAlign w:val="center"/>
                </w:tcPr>
                <w:p>
                  <w:pPr>
                    <w:jc w:val="cente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438" w:hRule="atLeast"/>
                <w:jc w:val="center"/>
              </w:trPr>
              <w:tc>
                <w:tcPr>
                  <w:tcW w:w="18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lang w:eastAsia="zh-CN"/>
                    </w:rPr>
                    <w:t>氯化氢</w:t>
                  </w:r>
                </w:p>
              </w:tc>
              <w:tc>
                <w:tcPr>
                  <w:tcW w:w="17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1小时平均</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lang w:val="en-US" w:eastAsia="zh-CN"/>
                    </w:rPr>
                    <w:t>50</w:t>
                  </w:r>
                </w:p>
              </w:tc>
              <w:tc>
                <w:tcPr>
                  <w:tcW w:w="273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参照《环境影响评价技术导则  大气环境》（HJ2.2-2018）附录D二甲苯空气质量</w:t>
                  </w:r>
                </w:p>
              </w:tc>
            </w:tr>
          </w:tbl>
          <w:p>
            <w:pPr>
              <w:spacing w:line="360" w:lineRule="auto"/>
              <w:ind w:firstLine="482"/>
              <w:rPr>
                <w:b/>
                <w:bCs/>
                <w:color w:val="auto"/>
                <w:highlight w:val="none"/>
              </w:rPr>
            </w:pPr>
            <w:r>
              <w:rPr>
                <w:b/>
                <w:bCs/>
                <w:color w:val="auto"/>
                <w:highlight w:val="none"/>
              </w:rPr>
              <w:t>（2）水环境质量标准</w:t>
            </w:r>
          </w:p>
          <w:p>
            <w:pPr>
              <w:spacing w:line="360" w:lineRule="auto"/>
              <w:rPr>
                <w:color w:val="auto"/>
                <w:highlight w:val="none"/>
              </w:rPr>
            </w:pPr>
            <w:r>
              <w:rPr>
                <w:color w:val="auto"/>
                <w:highlight w:val="none"/>
              </w:rPr>
              <w:t>地表水环境：根据《湖南省主要地表水系水环境功能区划》(DB43/023-2005)：建设项目</w:t>
            </w:r>
            <w:r>
              <w:rPr>
                <w:rFonts w:hint="eastAsia"/>
                <w:color w:val="auto"/>
                <w:highlight w:val="none"/>
              </w:rPr>
              <w:t>南面湘江“鸭婆洲上端至衡阳交界处（归阳镇）”河段属于</w:t>
            </w:r>
            <w:r>
              <w:rPr>
                <w:rFonts w:hint="eastAsia"/>
                <w:color w:val="auto"/>
                <w:highlight w:val="none"/>
                <w:lang w:val="en-US" w:eastAsia="zh-CN"/>
              </w:rPr>
              <w:t>渔业</w:t>
            </w:r>
            <w:r>
              <w:rPr>
                <w:rFonts w:hint="eastAsia"/>
                <w:color w:val="auto"/>
                <w:highlight w:val="none"/>
              </w:rPr>
              <w:t>用水，</w:t>
            </w:r>
            <w:r>
              <w:rPr>
                <w:color w:val="auto"/>
                <w:highlight w:val="none"/>
              </w:rPr>
              <w:t>执行《地表水环境质量标准》（GB3838-2002）中Ⅲ类标准</w:t>
            </w:r>
            <w:r>
              <w:rPr>
                <w:rFonts w:hint="eastAsia"/>
                <w:color w:val="auto"/>
                <w:highlight w:val="none"/>
              </w:rPr>
              <w:t>。</w:t>
            </w:r>
          </w:p>
          <w:p>
            <w:pPr>
              <w:spacing w:line="240" w:lineRule="auto"/>
              <w:ind w:firstLine="422"/>
              <w:jc w:val="center"/>
              <w:rPr>
                <w:b/>
                <w:bCs/>
                <w:color w:val="auto"/>
                <w:sz w:val="21"/>
                <w:szCs w:val="21"/>
                <w:highlight w:val="none"/>
              </w:rPr>
            </w:pPr>
            <w:r>
              <w:rPr>
                <w:b/>
                <w:bCs/>
                <w:color w:val="auto"/>
                <w:sz w:val="21"/>
                <w:szCs w:val="21"/>
                <w:highlight w:val="none"/>
              </w:rPr>
              <w:t xml:space="preserve"> 表4-2 《地表水环境质量标准》（GB3838-2002）Ⅲ类标准限值 单位：mg/L</w:t>
            </w:r>
          </w:p>
          <w:tbl>
            <w:tblPr>
              <w:tblStyle w:val="26"/>
              <w:tblW w:w="793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69"/>
              <w:gridCol w:w="451"/>
              <w:gridCol w:w="858"/>
              <w:gridCol w:w="752"/>
              <w:gridCol w:w="707"/>
              <w:gridCol w:w="752"/>
              <w:gridCol w:w="857"/>
              <w:gridCol w:w="662"/>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8" w:type="dxa"/>
                  <w:vAlign w:val="center"/>
                </w:tcPr>
                <w:p>
                  <w:pPr>
                    <w:spacing w:line="240" w:lineRule="auto"/>
                    <w:ind w:firstLine="0" w:firstLineChars="0"/>
                    <w:jc w:val="center"/>
                    <w:rPr>
                      <w:color w:val="auto"/>
                      <w:sz w:val="21"/>
                      <w:szCs w:val="21"/>
                      <w:highlight w:val="none"/>
                    </w:rPr>
                  </w:pPr>
                  <w:r>
                    <w:rPr>
                      <w:color w:val="auto"/>
                      <w:sz w:val="21"/>
                      <w:szCs w:val="21"/>
                      <w:highlight w:val="none"/>
                    </w:rPr>
                    <w:t>环境质量标准</w:t>
                  </w:r>
                </w:p>
              </w:tc>
              <w:tc>
                <w:tcPr>
                  <w:tcW w:w="7089" w:type="dxa"/>
                  <w:gridSpan w:val="9"/>
                  <w:vAlign w:val="center"/>
                </w:tcPr>
                <w:p>
                  <w:pPr>
                    <w:spacing w:line="240" w:lineRule="auto"/>
                    <w:ind w:firstLine="0" w:firstLineChars="0"/>
                    <w:jc w:val="center"/>
                    <w:rPr>
                      <w:color w:val="auto"/>
                      <w:sz w:val="21"/>
                      <w:szCs w:val="21"/>
                      <w:highlight w:val="none"/>
                    </w:rPr>
                  </w:pPr>
                  <w:r>
                    <w:rPr>
                      <w:color w:val="auto"/>
                      <w:sz w:val="21"/>
                      <w:szCs w:val="21"/>
                      <w:highlight w:val="none"/>
                    </w:rPr>
                    <w:t>评价因子及标准限值（单位：mg/L）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8"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GB3838-2002Ⅲ类标准</w:t>
                  </w:r>
                </w:p>
              </w:tc>
              <w:tc>
                <w:tcPr>
                  <w:tcW w:w="969" w:type="dxa"/>
                  <w:vAlign w:val="center"/>
                </w:tcPr>
                <w:p>
                  <w:pPr>
                    <w:spacing w:line="240" w:lineRule="auto"/>
                    <w:ind w:firstLine="0" w:firstLineChars="0"/>
                    <w:jc w:val="center"/>
                    <w:rPr>
                      <w:color w:val="auto"/>
                      <w:sz w:val="21"/>
                      <w:szCs w:val="21"/>
                      <w:highlight w:val="none"/>
                    </w:rPr>
                  </w:pPr>
                  <w:r>
                    <w:rPr>
                      <w:color w:val="auto"/>
                      <w:sz w:val="21"/>
                      <w:szCs w:val="21"/>
                      <w:highlight w:val="none"/>
                    </w:rPr>
                    <w:t>水温</w:t>
                  </w:r>
                </w:p>
              </w:tc>
              <w:tc>
                <w:tcPr>
                  <w:tcW w:w="451" w:type="dxa"/>
                  <w:vAlign w:val="center"/>
                </w:tcPr>
                <w:p>
                  <w:pPr>
                    <w:spacing w:line="240" w:lineRule="auto"/>
                    <w:ind w:firstLine="0" w:firstLineChars="0"/>
                    <w:jc w:val="center"/>
                    <w:rPr>
                      <w:color w:val="auto"/>
                      <w:sz w:val="21"/>
                      <w:szCs w:val="21"/>
                      <w:highlight w:val="none"/>
                    </w:rPr>
                  </w:pPr>
                  <w:r>
                    <w:rPr>
                      <w:color w:val="auto"/>
                      <w:sz w:val="21"/>
                      <w:szCs w:val="21"/>
                      <w:highlight w:val="none"/>
                    </w:rPr>
                    <w:t>pH</w:t>
                  </w:r>
                </w:p>
              </w:tc>
              <w:tc>
                <w:tcPr>
                  <w:tcW w:w="858" w:type="dxa"/>
                  <w:vAlign w:val="center"/>
                </w:tcPr>
                <w:p>
                  <w:pPr>
                    <w:spacing w:line="240" w:lineRule="auto"/>
                    <w:ind w:firstLine="0" w:firstLineChars="0"/>
                    <w:jc w:val="center"/>
                    <w:rPr>
                      <w:color w:val="auto"/>
                      <w:sz w:val="21"/>
                      <w:szCs w:val="21"/>
                      <w:highlight w:val="none"/>
                    </w:rPr>
                  </w:pPr>
                  <w:r>
                    <w:rPr>
                      <w:color w:val="auto"/>
                      <w:sz w:val="21"/>
                      <w:szCs w:val="21"/>
                      <w:highlight w:val="none"/>
                    </w:rPr>
                    <w:t>COD</w:t>
                  </w:r>
                </w:p>
              </w:tc>
              <w:tc>
                <w:tcPr>
                  <w:tcW w:w="752" w:type="dxa"/>
                  <w:vAlign w:val="center"/>
                </w:tcPr>
                <w:p>
                  <w:pPr>
                    <w:spacing w:line="240" w:lineRule="auto"/>
                    <w:ind w:firstLine="0" w:firstLineChars="0"/>
                    <w:jc w:val="center"/>
                    <w:rPr>
                      <w:color w:val="auto"/>
                      <w:sz w:val="21"/>
                      <w:szCs w:val="21"/>
                      <w:highlight w:val="none"/>
                    </w:rPr>
                  </w:pPr>
                  <w:r>
                    <w:rPr>
                      <w:color w:val="auto"/>
                      <w:sz w:val="21"/>
                      <w:szCs w:val="21"/>
                      <w:highlight w:val="none"/>
                    </w:rPr>
                    <w:t>TP</w:t>
                  </w:r>
                </w:p>
              </w:tc>
              <w:tc>
                <w:tcPr>
                  <w:tcW w:w="707" w:type="dxa"/>
                  <w:vAlign w:val="center"/>
                </w:tcPr>
                <w:p>
                  <w:pPr>
                    <w:spacing w:line="240" w:lineRule="auto"/>
                    <w:ind w:firstLine="0" w:firstLineChars="0"/>
                    <w:jc w:val="center"/>
                    <w:rPr>
                      <w:color w:val="auto"/>
                      <w:sz w:val="21"/>
                      <w:szCs w:val="21"/>
                      <w:highlight w:val="none"/>
                    </w:rPr>
                  </w:pPr>
                  <w:r>
                    <w:rPr>
                      <w:color w:val="auto"/>
                      <w:sz w:val="21"/>
                      <w:szCs w:val="21"/>
                      <w:highlight w:val="none"/>
                    </w:rPr>
                    <w:t>氨氮</w:t>
                  </w:r>
                </w:p>
              </w:tc>
              <w:tc>
                <w:tcPr>
                  <w:tcW w:w="752" w:type="dxa"/>
                  <w:vAlign w:val="center"/>
                </w:tcPr>
                <w:p>
                  <w:pPr>
                    <w:spacing w:line="240" w:lineRule="auto"/>
                    <w:ind w:firstLine="0" w:firstLineChars="0"/>
                    <w:jc w:val="center"/>
                    <w:rPr>
                      <w:color w:val="auto"/>
                      <w:sz w:val="21"/>
                      <w:szCs w:val="21"/>
                      <w:highlight w:val="none"/>
                    </w:rPr>
                  </w:pPr>
                  <w:r>
                    <w:rPr>
                      <w:color w:val="auto"/>
                      <w:sz w:val="21"/>
                      <w:szCs w:val="21"/>
                      <w:highlight w:val="none"/>
                    </w:rPr>
                    <w:t>BOD5</w:t>
                  </w:r>
                </w:p>
              </w:tc>
              <w:tc>
                <w:tcPr>
                  <w:tcW w:w="857" w:type="dxa"/>
                  <w:vAlign w:val="center"/>
                </w:tcPr>
                <w:p>
                  <w:pPr>
                    <w:spacing w:line="240" w:lineRule="auto"/>
                    <w:ind w:firstLine="0" w:firstLineChars="0"/>
                    <w:jc w:val="center"/>
                    <w:rPr>
                      <w:color w:val="auto"/>
                      <w:sz w:val="21"/>
                      <w:szCs w:val="21"/>
                      <w:highlight w:val="none"/>
                    </w:rPr>
                  </w:pPr>
                  <w:r>
                    <w:rPr>
                      <w:color w:val="auto"/>
                      <w:sz w:val="21"/>
                      <w:szCs w:val="21"/>
                      <w:highlight w:val="none"/>
                    </w:rPr>
                    <w:t>石油类</w:t>
                  </w:r>
                </w:p>
              </w:tc>
              <w:tc>
                <w:tcPr>
                  <w:tcW w:w="662" w:type="dxa"/>
                  <w:vAlign w:val="center"/>
                </w:tcPr>
                <w:p>
                  <w:pPr>
                    <w:spacing w:line="240" w:lineRule="auto"/>
                    <w:ind w:firstLine="0" w:firstLineChars="0"/>
                    <w:jc w:val="center"/>
                    <w:rPr>
                      <w:color w:val="auto"/>
                      <w:sz w:val="21"/>
                      <w:szCs w:val="21"/>
                      <w:highlight w:val="none"/>
                    </w:rPr>
                  </w:pPr>
                  <w:r>
                    <w:rPr>
                      <w:color w:val="auto"/>
                      <w:sz w:val="21"/>
                      <w:szCs w:val="21"/>
                      <w:highlight w:val="none"/>
                    </w:rPr>
                    <w:t>LAS</w:t>
                  </w:r>
                </w:p>
              </w:tc>
              <w:tc>
                <w:tcPr>
                  <w:tcW w:w="1081" w:type="dxa"/>
                  <w:vAlign w:val="center"/>
                </w:tcPr>
                <w:p>
                  <w:pPr>
                    <w:spacing w:line="240" w:lineRule="auto"/>
                    <w:ind w:firstLine="0" w:firstLineChars="0"/>
                    <w:jc w:val="center"/>
                    <w:rPr>
                      <w:color w:val="auto"/>
                      <w:sz w:val="21"/>
                      <w:szCs w:val="21"/>
                      <w:highlight w:val="none"/>
                    </w:rPr>
                  </w:pPr>
                  <w:r>
                    <w:rPr>
                      <w:color w:val="auto"/>
                      <w:sz w:val="21"/>
                      <w:szCs w:val="21"/>
                      <w:highlight w:val="none"/>
                    </w:rPr>
                    <w:t>粪大肠菌群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8" w:type="dxa"/>
                  <w:vMerge w:val="continue"/>
                  <w:vAlign w:val="center"/>
                </w:tcPr>
                <w:p>
                  <w:pPr>
                    <w:spacing w:line="240" w:lineRule="auto"/>
                    <w:ind w:firstLine="0" w:firstLineChars="0"/>
                    <w:jc w:val="center"/>
                    <w:rPr>
                      <w:color w:val="auto"/>
                      <w:sz w:val="21"/>
                      <w:szCs w:val="21"/>
                      <w:highlight w:val="none"/>
                    </w:rPr>
                  </w:pPr>
                </w:p>
              </w:tc>
              <w:tc>
                <w:tcPr>
                  <w:tcW w:w="969" w:type="dxa"/>
                  <w:vAlign w:val="center"/>
                </w:tcPr>
                <w:p>
                  <w:pPr>
                    <w:spacing w:line="240" w:lineRule="auto"/>
                    <w:ind w:firstLine="0" w:firstLineChars="0"/>
                    <w:jc w:val="center"/>
                    <w:rPr>
                      <w:color w:val="auto"/>
                      <w:sz w:val="21"/>
                      <w:szCs w:val="21"/>
                      <w:highlight w:val="none"/>
                    </w:rPr>
                  </w:pPr>
                  <w:r>
                    <w:rPr>
                      <w:color w:val="auto"/>
                      <w:sz w:val="21"/>
                      <w:szCs w:val="21"/>
                      <w:highlight w:val="none"/>
                    </w:rPr>
                    <w:t>人为造成的环境水温变化应限制在：周平均最大温升≤1，周平均最大温降≤2</w:t>
                  </w:r>
                </w:p>
              </w:tc>
              <w:tc>
                <w:tcPr>
                  <w:tcW w:w="451" w:type="dxa"/>
                  <w:vAlign w:val="center"/>
                </w:tcPr>
                <w:p>
                  <w:pPr>
                    <w:spacing w:line="240" w:lineRule="auto"/>
                    <w:ind w:firstLine="0" w:firstLineChars="0"/>
                    <w:jc w:val="center"/>
                    <w:rPr>
                      <w:color w:val="auto"/>
                      <w:sz w:val="21"/>
                      <w:szCs w:val="21"/>
                      <w:highlight w:val="none"/>
                    </w:rPr>
                  </w:pPr>
                  <w:r>
                    <w:rPr>
                      <w:color w:val="auto"/>
                      <w:sz w:val="21"/>
                      <w:szCs w:val="21"/>
                      <w:highlight w:val="none"/>
                    </w:rPr>
                    <w:t>6~9</w:t>
                  </w:r>
                </w:p>
              </w:tc>
              <w:tc>
                <w:tcPr>
                  <w:tcW w:w="858" w:type="dxa"/>
                  <w:vAlign w:val="center"/>
                </w:tcPr>
                <w:p>
                  <w:pPr>
                    <w:spacing w:line="240" w:lineRule="auto"/>
                    <w:ind w:firstLine="0" w:firstLineChars="0"/>
                    <w:jc w:val="center"/>
                    <w:rPr>
                      <w:color w:val="auto"/>
                      <w:sz w:val="21"/>
                      <w:szCs w:val="21"/>
                      <w:highlight w:val="none"/>
                    </w:rPr>
                  </w:pPr>
                  <w:r>
                    <w:rPr>
                      <w:color w:val="auto"/>
                      <w:sz w:val="21"/>
                      <w:szCs w:val="21"/>
                      <w:highlight w:val="none"/>
                    </w:rPr>
                    <w:t>≤20</w:t>
                  </w:r>
                </w:p>
              </w:tc>
              <w:tc>
                <w:tcPr>
                  <w:tcW w:w="752" w:type="dxa"/>
                  <w:vAlign w:val="center"/>
                </w:tcPr>
                <w:p>
                  <w:pPr>
                    <w:spacing w:line="240" w:lineRule="auto"/>
                    <w:ind w:firstLine="0" w:firstLineChars="0"/>
                    <w:jc w:val="center"/>
                    <w:rPr>
                      <w:color w:val="auto"/>
                      <w:sz w:val="21"/>
                      <w:szCs w:val="21"/>
                      <w:highlight w:val="none"/>
                    </w:rPr>
                  </w:pPr>
                  <w:r>
                    <w:rPr>
                      <w:color w:val="auto"/>
                      <w:sz w:val="21"/>
                      <w:szCs w:val="21"/>
                      <w:highlight w:val="none"/>
                    </w:rPr>
                    <w:t>≤0.2</w:t>
                  </w:r>
                </w:p>
              </w:tc>
              <w:tc>
                <w:tcPr>
                  <w:tcW w:w="707"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c>
                <w:tcPr>
                  <w:tcW w:w="752" w:type="dxa"/>
                  <w:vAlign w:val="center"/>
                </w:tcPr>
                <w:p>
                  <w:pPr>
                    <w:spacing w:line="240" w:lineRule="auto"/>
                    <w:ind w:firstLine="0" w:firstLineChars="0"/>
                    <w:jc w:val="center"/>
                    <w:rPr>
                      <w:color w:val="auto"/>
                      <w:sz w:val="21"/>
                      <w:szCs w:val="21"/>
                      <w:highlight w:val="none"/>
                    </w:rPr>
                  </w:pPr>
                  <w:r>
                    <w:rPr>
                      <w:color w:val="auto"/>
                      <w:sz w:val="21"/>
                      <w:szCs w:val="21"/>
                      <w:highlight w:val="none"/>
                    </w:rPr>
                    <w:t>≤4</w:t>
                  </w:r>
                </w:p>
              </w:tc>
              <w:tc>
                <w:tcPr>
                  <w:tcW w:w="857" w:type="dxa"/>
                  <w:vAlign w:val="center"/>
                </w:tcPr>
                <w:p>
                  <w:pPr>
                    <w:spacing w:line="240" w:lineRule="auto"/>
                    <w:ind w:firstLine="0" w:firstLineChars="0"/>
                    <w:jc w:val="center"/>
                    <w:rPr>
                      <w:color w:val="auto"/>
                      <w:sz w:val="21"/>
                      <w:szCs w:val="21"/>
                      <w:highlight w:val="none"/>
                    </w:rPr>
                  </w:pPr>
                  <w:r>
                    <w:rPr>
                      <w:color w:val="auto"/>
                      <w:sz w:val="21"/>
                      <w:szCs w:val="21"/>
                      <w:highlight w:val="none"/>
                    </w:rPr>
                    <w:t>≤0.05</w:t>
                  </w:r>
                </w:p>
              </w:tc>
              <w:tc>
                <w:tcPr>
                  <w:tcW w:w="662" w:type="dxa"/>
                  <w:vAlign w:val="center"/>
                </w:tcPr>
                <w:p>
                  <w:pPr>
                    <w:spacing w:line="240" w:lineRule="auto"/>
                    <w:ind w:firstLine="0" w:firstLineChars="0"/>
                    <w:jc w:val="center"/>
                    <w:rPr>
                      <w:color w:val="auto"/>
                      <w:sz w:val="21"/>
                      <w:szCs w:val="21"/>
                      <w:highlight w:val="none"/>
                    </w:rPr>
                  </w:pPr>
                  <w:r>
                    <w:rPr>
                      <w:color w:val="auto"/>
                      <w:sz w:val="21"/>
                      <w:szCs w:val="21"/>
                      <w:highlight w:val="none"/>
                    </w:rPr>
                    <w:t>≤0.2</w:t>
                  </w:r>
                </w:p>
              </w:tc>
              <w:tc>
                <w:tcPr>
                  <w:tcW w:w="1081" w:type="dxa"/>
                  <w:vAlign w:val="center"/>
                </w:tcPr>
                <w:p>
                  <w:pPr>
                    <w:spacing w:line="240" w:lineRule="auto"/>
                    <w:ind w:firstLine="0" w:firstLineChars="0"/>
                    <w:jc w:val="center"/>
                    <w:rPr>
                      <w:color w:val="auto"/>
                      <w:sz w:val="21"/>
                      <w:szCs w:val="21"/>
                      <w:highlight w:val="none"/>
                    </w:rPr>
                  </w:pPr>
                  <w:r>
                    <w:rPr>
                      <w:color w:val="auto"/>
                      <w:sz w:val="21"/>
                      <w:szCs w:val="21"/>
                      <w:highlight w:val="none"/>
                    </w:rPr>
                    <w:t>≤10000</w:t>
                  </w:r>
                </w:p>
              </w:tc>
            </w:tr>
          </w:tbl>
          <w:p>
            <w:pPr>
              <w:spacing w:line="360" w:lineRule="auto"/>
              <w:ind w:firstLine="482"/>
              <w:rPr>
                <w:b/>
                <w:bCs/>
                <w:color w:val="auto"/>
                <w:highlight w:val="none"/>
              </w:rPr>
            </w:pPr>
            <w:r>
              <w:rPr>
                <w:b/>
                <w:bCs/>
                <w:color w:val="auto"/>
                <w:highlight w:val="none"/>
              </w:rPr>
              <w:t>（3）声环境质量标准</w:t>
            </w:r>
          </w:p>
          <w:p>
            <w:pPr>
              <w:spacing w:line="360" w:lineRule="auto"/>
              <w:rPr>
                <w:color w:val="auto"/>
                <w:highlight w:val="none"/>
              </w:rPr>
            </w:pPr>
            <w:r>
              <w:rPr>
                <w:rFonts w:hint="eastAsia"/>
                <w:color w:val="auto"/>
                <w:highlight w:val="none"/>
              </w:rPr>
              <w:t>建设项目所在区域声环境执行《声环境质量标准》(GB3096-2008)中的2类标准。</w:t>
            </w:r>
          </w:p>
          <w:p>
            <w:pPr>
              <w:spacing w:line="240" w:lineRule="auto"/>
              <w:ind w:firstLine="422"/>
              <w:jc w:val="center"/>
              <w:rPr>
                <w:b/>
                <w:color w:val="auto"/>
                <w:sz w:val="21"/>
                <w:szCs w:val="21"/>
                <w:highlight w:val="none"/>
              </w:rPr>
            </w:pPr>
            <w:r>
              <w:rPr>
                <w:rFonts w:hint="eastAsia"/>
                <w:b/>
                <w:color w:val="auto"/>
                <w:sz w:val="21"/>
                <w:szCs w:val="21"/>
                <w:highlight w:val="none"/>
              </w:rPr>
              <w:t>表 4-3   声环境质量标准限值  单位：dB(A)</w:t>
            </w:r>
          </w:p>
          <w:tbl>
            <w:tblPr>
              <w:tblStyle w:val="26"/>
              <w:tblW w:w="79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2887"/>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110"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功能</w:t>
                  </w:r>
                </w:p>
              </w:tc>
              <w:tc>
                <w:tcPr>
                  <w:tcW w:w="5870"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噪声值 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2110" w:type="dxa"/>
                  <w:vMerge w:val="continue"/>
                  <w:vAlign w:val="center"/>
                </w:tcPr>
                <w:p>
                  <w:pPr>
                    <w:spacing w:line="240" w:lineRule="auto"/>
                    <w:ind w:firstLine="0" w:firstLineChars="0"/>
                    <w:jc w:val="center"/>
                    <w:rPr>
                      <w:color w:val="auto"/>
                      <w:sz w:val="21"/>
                      <w:szCs w:val="21"/>
                      <w:highlight w:val="none"/>
                    </w:rPr>
                  </w:pPr>
                </w:p>
              </w:tc>
              <w:tc>
                <w:tcPr>
                  <w:tcW w:w="2887" w:type="dxa"/>
                  <w:vAlign w:val="center"/>
                </w:tcPr>
                <w:p>
                  <w:pPr>
                    <w:spacing w:line="240" w:lineRule="auto"/>
                    <w:ind w:firstLine="0" w:firstLineChars="0"/>
                    <w:jc w:val="center"/>
                    <w:rPr>
                      <w:color w:val="auto"/>
                      <w:sz w:val="21"/>
                      <w:szCs w:val="21"/>
                      <w:highlight w:val="none"/>
                    </w:rPr>
                  </w:pPr>
                  <w:r>
                    <w:rPr>
                      <w:color w:val="auto"/>
                      <w:sz w:val="21"/>
                      <w:szCs w:val="21"/>
                      <w:highlight w:val="none"/>
                    </w:rPr>
                    <w:t>昼间</w:t>
                  </w:r>
                </w:p>
              </w:tc>
              <w:tc>
                <w:tcPr>
                  <w:tcW w:w="2983" w:type="dxa"/>
                  <w:vAlign w:val="center"/>
                </w:tcPr>
                <w:p>
                  <w:pPr>
                    <w:spacing w:line="240" w:lineRule="auto"/>
                    <w:ind w:firstLine="0" w:firstLineChars="0"/>
                    <w:jc w:val="center"/>
                    <w:rPr>
                      <w:color w:val="auto"/>
                      <w:sz w:val="21"/>
                      <w:szCs w:val="21"/>
                      <w:highlight w:val="none"/>
                    </w:rPr>
                  </w:pPr>
                  <w:r>
                    <w:rPr>
                      <w:color w:val="auto"/>
                      <w:sz w:val="21"/>
                      <w:szCs w:val="21"/>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62" w:hRule="atLeast"/>
                <w:jc w:val="center"/>
              </w:trPr>
              <w:tc>
                <w:tcPr>
                  <w:tcW w:w="211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r>
                    <w:rPr>
                      <w:color w:val="auto"/>
                      <w:sz w:val="21"/>
                      <w:szCs w:val="21"/>
                      <w:highlight w:val="none"/>
                    </w:rPr>
                    <w:t>类</w:t>
                  </w:r>
                </w:p>
              </w:tc>
              <w:tc>
                <w:tcPr>
                  <w:tcW w:w="2887" w:type="dxa"/>
                  <w:vAlign w:val="center"/>
                </w:tcPr>
                <w:p>
                  <w:pPr>
                    <w:spacing w:line="240" w:lineRule="auto"/>
                    <w:ind w:firstLine="0" w:firstLineChars="0"/>
                    <w:jc w:val="center"/>
                    <w:rPr>
                      <w:color w:val="auto"/>
                      <w:sz w:val="21"/>
                      <w:szCs w:val="21"/>
                      <w:highlight w:val="none"/>
                    </w:rPr>
                  </w:pPr>
                  <w:r>
                    <w:rPr>
                      <w:color w:val="auto"/>
                      <w:sz w:val="21"/>
                      <w:szCs w:val="21"/>
                      <w:highlight w:val="none"/>
                    </w:rPr>
                    <w:t>≤6</w:t>
                  </w:r>
                  <w:r>
                    <w:rPr>
                      <w:rFonts w:hint="eastAsia"/>
                      <w:color w:val="auto"/>
                      <w:sz w:val="21"/>
                      <w:szCs w:val="21"/>
                      <w:highlight w:val="none"/>
                    </w:rPr>
                    <w:t>0</w:t>
                  </w:r>
                </w:p>
              </w:tc>
              <w:tc>
                <w:tcPr>
                  <w:tcW w:w="2983" w:type="dxa"/>
                  <w:vAlign w:val="center"/>
                </w:tcPr>
                <w:p>
                  <w:pPr>
                    <w:spacing w:line="240" w:lineRule="auto"/>
                    <w:ind w:firstLine="0" w:firstLineChars="0"/>
                    <w:jc w:val="center"/>
                    <w:rPr>
                      <w:color w:val="auto"/>
                      <w:sz w:val="21"/>
                      <w:szCs w:val="21"/>
                      <w:highlight w:val="none"/>
                    </w:rPr>
                  </w:pPr>
                  <w:r>
                    <w:rPr>
                      <w:color w:val="auto"/>
                      <w:sz w:val="21"/>
                      <w:szCs w:val="21"/>
                      <w:highlight w:val="none"/>
                    </w:rPr>
                    <w:t>≤5</w:t>
                  </w:r>
                  <w:r>
                    <w:rPr>
                      <w:rFonts w:hint="eastAsia"/>
                      <w:color w:val="auto"/>
                      <w:sz w:val="21"/>
                      <w:szCs w:val="21"/>
                      <w:highlight w:val="none"/>
                    </w:rPr>
                    <w:t>0</w:t>
                  </w:r>
                </w:p>
              </w:tc>
            </w:tr>
          </w:tbl>
          <w:p>
            <w:pPr>
              <w:pStyle w:val="38"/>
              <w:spacing w:line="560" w:lineRule="exact"/>
              <w:ind w:firstLine="0" w:firstLineChars="0"/>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3" w:hRule="atLeast"/>
          <w:jc w:val="center"/>
        </w:trPr>
        <w:tc>
          <w:tcPr>
            <w:tcW w:w="896" w:type="dxa"/>
            <w:vAlign w:val="center"/>
          </w:tcPr>
          <w:p>
            <w:pPr>
              <w:spacing w:line="560" w:lineRule="exact"/>
              <w:ind w:firstLine="240" w:firstLineChars="100"/>
              <w:rPr>
                <w:color w:val="auto"/>
                <w:highlight w:val="none"/>
              </w:rPr>
            </w:pPr>
            <w:r>
              <w:rPr>
                <w:color w:val="auto"/>
                <w:highlight w:val="none"/>
              </w:rPr>
              <w:t>污</w:t>
            </w:r>
          </w:p>
          <w:p>
            <w:pPr>
              <w:spacing w:line="560" w:lineRule="exact"/>
              <w:ind w:firstLine="0" w:firstLineChars="0"/>
              <w:jc w:val="center"/>
              <w:rPr>
                <w:color w:val="auto"/>
                <w:highlight w:val="none"/>
              </w:rPr>
            </w:pPr>
            <w:r>
              <w:rPr>
                <w:color w:val="auto"/>
                <w:highlight w:val="none"/>
              </w:rPr>
              <w:t>染</w:t>
            </w:r>
          </w:p>
          <w:p>
            <w:pPr>
              <w:spacing w:line="560" w:lineRule="exact"/>
              <w:ind w:firstLine="0" w:firstLineChars="0"/>
              <w:jc w:val="center"/>
              <w:rPr>
                <w:color w:val="auto"/>
                <w:highlight w:val="none"/>
              </w:rPr>
            </w:pPr>
            <w:r>
              <w:rPr>
                <w:color w:val="auto"/>
                <w:highlight w:val="none"/>
              </w:rPr>
              <w:t>物</w:t>
            </w:r>
          </w:p>
          <w:p>
            <w:pPr>
              <w:spacing w:line="560" w:lineRule="exact"/>
              <w:ind w:firstLine="0" w:firstLineChars="0"/>
              <w:jc w:val="center"/>
              <w:rPr>
                <w:color w:val="auto"/>
                <w:highlight w:val="none"/>
              </w:rPr>
            </w:pPr>
            <w:r>
              <w:rPr>
                <w:color w:val="auto"/>
                <w:highlight w:val="none"/>
              </w:rPr>
              <w:t>排</w:t>
            </w:r>
          </w:p>
          <w:p>
            <w:pPr>
              <w:spacing w:line="560" w:lineRule="exact"/>
              <w:ind w:firstLine="0" w:firstLineChars="0"/>
              <w:jc w:val="center"/>
              <w:rPr>
                <w:color w:val="auto"/>
                <w:highlight w:val="none"/>
              </w:rPr>
            </w:pPr>
            <w:r>
              <w:rPr>
                <w:color w:val="auto"/>
                <w:highlight w:val="none"/>
              </w:rPr>
              <w:t>放</w:t>
            </w:r>
          </w:p>
          <w:p>
            <w:pPr>
              <w:spacing w:line="560" w:lineRule="exact"/>
              <w:ind w:firstLine="0" w:firstLineChars="0"/>
              <w:jc w:val="center"/>
              <w:rPr>
                <w:color w:val="auto"/>
                <w:highlight w:val="none"/>
              </w:rPr>
            </w:pPr>
            <w:r>
              <w:rPr>
                <w:color w:val="auto"/>
                <w:highlight w:val="none"/>
              </w:rPr>
              <w:t>标</w:t>
            </w:r>
          </w:p>
          <w:p>
            <w:pPr>
              <w:spacing w:line="560" w:lineRule="exact"/>
              <w:ind w:firstLine="0" w:firstLineChars="0"/>
              <w:jc w:val="center"/>
              <w:rPr>
                <w:color w:val="auto"/>
                <w:highlight w:val="none"/>
              </w:rPr>
            </w:pPr>
            <w:r>
              <w:rPr>
                <w:color w:val="auto"/>
                <w:highlight w:val="none"/>
              </w:rPr>
              <w:t>准</w:t>
            </w:r>
          </w:p>
          <w:p>
            <w:pPr>
              <w:spacing w:line="560" w:lineRule="exact"/>
              <w:ind w:firstLine="0" w:firstLineChars="0"/>
              <w:jc w:val="center"/>
              <w:rPr>
                <w:color w:val="auto"/>
                <w:highlight w:val="none"/>
              </w:rPr>
            </w:pPr>
          </w:p>
        </w:tc>
        <w:tc>
          <w:tcPr>
            <w:tcW w:w="8165" w:type="dxa"/>
          </w:tcPr>
          <w:p>
            <w:pPr>
              <w:spacing w:line="360" w:lineRule="auto"/>
              <w:ind w:firstLine="482"/>
              <w:rPr>
                <w:b/>
                <w:bCs/>
                <w:color w:val="auto"/>
                <w:highlight w:val="none"/>
              </w:rPr>
            </w:pPr>
            <w:r>
              <w:rPr>
                <w:b/>
                <w:bCs/>
                <w:color w:val="auto"/>
                <w:highlight w:val="none"/>
              </w:rPr>
              <w:t>（1）大气污染物排放标准</w:t>
            </w:r>
          </w:p>
          <w:p>
            <w:pPr>
              <w:spacing w:line="360" w:lineRule="auto"/>
              <w:rPr>
                <w:color w:val="auto"/>
                <w:highlight w:val="none"/>
              </w:rPr>
            </w:pPr>
            <w:r>
              <w:rPr>
                <w:rFonts w:hint="eastAsia"/>
                <w:color w:val="auto"/>
                <w:highlight w:val="none"/>
              </w:rPr>
              <w:t>废气排放执行《大气污染物综合排放标准》（GB16297-1996）表2中二级标准；食堂油烟执行《饮食业油烟排放标准（试行）》GB18483-2001 中的大型标准；</w:t>
            </w:r>
          </w:p>
          <w:p>
            <w:pPr>
              <w:spacing w:line="240" w:lineRule="auto"/>
              <w:ind w:firstLine="422"/>
              <w:jc w:val="center"/>
              <w:rPr>
                <w:b/>
                <w:color w:val="auto"/>
                <w:sz w:val="21"/>
                <w:szCs w:val="21"/>
                <w:highlight w:val="none"/>
              </w:rPr>
            </w:pPr>
            <w:r>
              <w:rPr>
                <w:rFonts w:hint="eastAsia"/>
                <w:b/>
                <w:color w:val="auto"/>
                <w:sz w:val="21"/>
                <w:szCs w:val="21"/>
                <w:highlight w:val="none"/>
              </w:rPr>
              <w:t>表4-4  大气污染物综合排放标准（部分项目）    单位：mg/m</w:t>
            </w:r>
            <w:r>
              <w:rPr>
                <w:rFonts w:hint="eastAsia"/>
                <w:b/>
                <w:color w:val="auto"/>
                <w:sz w:val="21"/>
                <w:szCs w:val="21"/>
                <w:highlight w:val="none"/>
                <w:vertAlign w:val="superscript"/>
              </w:rPr>
              <w:t>3</w:t>
            </w:r>
          </w:p>
          <w:tbl>
            <w:tblPr>
              <w:tblStyle w:val="26"/>
              <w:tblW w:w="80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77"/>
              <w:gridCol w:w="1412"/>
              <w:gridCol w:w="1413"/>
              <w:gridCol w:w="1414"/>
              <w:gridCol w:w="14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91"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名称</w:t>
                  </w:r>
                </w:p>
              </w:tc>
              <w:tc>
                <w:tcPr>
                  <w:tcW w:w="1277"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最高允许排放浓度</w:t>
                  </w:r>
                  <w:r>
                    <w:rPr>
                      <w:color w:val="auto"/>
                      <w:sz w:val="21"/>
                      <w:szCs w:val="21"/>
                      <w:highlight w:val="none"/>
                    </w:rPr>
                    <w:t>mg/m</w:t>
                  </w:r>
                  <w:r>
                    <w:rPr>
                      <w:color w:val="auto"/>
                      <w:sz w:val="21"/>
                      <w:szCs w:val="21"/>
                      <w:highlight w:val="none"/>
                      <w:vertAlign w:val="superscript"/>
                    </w:rPr>
                    <w:t>3</w:t>
                  </w:r>
                </w:p>
              </w:tc>
              <w:tc>
                <w:tcPr>
                  <w:tcW w:w="2825" w:type="dxa"/>
                  <w:gridSpan w:val="2"/>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最高允许排放速率</w:t>
                  </w:r>
                </w:p>
              </w:tc>
              <w:tc>
                <w:tcPr>
                  <w:tcW w:w="2827" w:type="dxa"/>
                  <w:gridSpan w:val="2"/>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无组织排放监控浓度限制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091" w:type="dxa"/>
                  <w:vMerge w:val="continue"/>
                  <w:vAlign w:val="center"/>
                </w:tcPr>
                <w:p>
                  <w:pPr>
                    <w:spacing w:line="240" w:lineRule="auto"/>
                    <w:ind w:firstLine="0" w:firstLineChars="0"/>
                    <w:jc w:val="center"/>
                    <w:rPr>
                      <w:color w:val="auto"/>
                      <w:sz w:val="21"/>
                      <w:szCs w:val="21"/>
                      <w:highlight w:val="none"/>
                    </w:rPr>
                  </w:pPr>
                </w:p>
              </w:tc>
              <w:tc>
                <w:tcPr>
                  <w:tcW w:w="1277" w:type="dxa"/>
                  <w:vMerge w:val="continue"/>
                  <w:vAlign w:val="center"/>
                </w:tcPr>
                <w:p>
                  <w:pPr>
                    <w:spacing w:line="240" w:lineRule="auto"/>
                    <w:ind w:firstLine="0" w:firstLineChars="0"/>
                    <w:jc w:val="center"/>
                    <w:rPr>
                      <w:color w:val="auto"/>
                      <w:sz w:val="21"/>
                      <w:szCs w:val="21"/>
                      <w:highlight w:val="none"/>
                    </w:rPr>
                  </w:pPr>
                </w:p>
              </w:tc>
              <w:tc>
                <w:tcPr>
                  <w:tcW w:w="141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排气筒高度m</w:t>
                  </w:r>
                </w:p>
              </w:tc>
              <w:tc>
                <w:tcPr>
                  <w:tcW w:w="141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二级kg/h</w:t>
                  </w:r>
                </w:p>
              </w:tc>
              <w:tc>
                <w:tcPr>
                  <w:tcW w:w="14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监控点</w:t>
                  </w:r>
                </w:p>
              </w:tc>
              <w:tc>
                <w:tcPr>
                  <w:tcW w:w="141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浓度</w:t>
                  </w:r>
                  <w:r>
                    <w:rPr>
                      <w:color w:val="auto"/>
                      <w:sz w:val="21"/>
                      <w:szCs w:val="21"/>
                      <w:highlight w:val="none"/>
                    </w:rPr>
                    <w:t>mg/m</w:t>
                  </w:r>
                  <w:r>
                    <w:rPr>
                      <w:color w:val="auto"/>
                      <w:sz w:val="21"/>
                      <w:szCs w:val="21"/>
                      <w:highlight w:val="none"/>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0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二氧化硫</w:t>
                  </w:r>
                </w:p>
              </w:tc>
              <w:tc>
                <w:tcPr>
                  <w:tcW w:w="1277" w:type="dxa"/>
                  <w:vAlign w:val="center"/>
                </w:tcPr>
                <w:p>
                  <w:pPr>
                    <w:spacing w:line="240" w:lineRule="auto"/>
                    <w:ind w:firstLine="0" w:firstLineChars="0"/>
                    <w:jc w:val="center"/>
                    <w:rPr>
                      <w:color w:val="auto"/>
                      <w:sz w:val="21"/>
                      <w:szCs w:val="21"/>
                      <w:highlight w:val="none"/>
                    </w:rPr>
                  </w:pPr>
                  <w:r>
                    <w:rPr>
                      <w:color w:val="auto"/>
                      <w:sz w:val="21"/>
                      <w:szCs w:val="21"/>
                      <w:highlight w:val="none"/>
                    </w:rPr>
                    <w:t>550</w:t>
                  </w:r>
                </w:p>
              </w:tc>
              <w:tc>
                <w:tcPr>
                  <w:tcW w:w="1412" w:type="dxa"/>
                  <w:vAlign w:val="center"/>
                </w:tcPr>
                <w:p>
                  <w:pPr>
                    <w:spacing w:line="240" w:lineRule="auto"/>
                    <w:ind w:firstLine="0" w:firstLineChars="0"/>
                    <w:jc w:val="center"/>
                    <w:rPr>
                      <w:color w:val="auto"/>
                      <w:sz w:val="21"/>
                      <w:szCs w:val="21"/>
                      <w:highlight w:val="none"/>
                    </w:rPr>
                  </w:pPr>
                  <w:r>
                    <w:rPr>
                      <w:color w:val="auto"/>
                      <w:sz w:val="21"/>
                      <w:szCs w:val="21"/>
                      <w:highlight w:val="none"/>
                    </w:rPr>
                    <w:t>15</w:t>
                  </w:r>
                </w:p>
              </w:tc>
              <w:tc>
                <w:tcPr>
                  <w:tcW w:w="1413" w:type="dxa"/>
                  <w:vAlign w:val="center"/>
                </w:tcPr>
                <w:p>
                  <w:pPr>
                    <w:spacing w:line="240" w:lineRule="auto"/>
                    <w:ind w:firstLine="0" w:firstLineChars="0"/>
                    <w:jc w:val="center"/>
                    <w:rPr>
                      <w:color w:val="auto"/>
                      <w:sz w:val="21"/>
                      <w:szCs w:val="21"/>
                      <w:highlight w:val="none"/>
                    </w:rPr>
                  </w:pPr>
                  <w:r>
                    <w:rPr>
                      <w:color w:val="auto"/>
                      <w:sz w:val="21"/>
                      <w:szCs w:val="21"/>
                      <w:highlight w:val="none"/>
                    </w:rPr>
                    <w:t>2.6</w:t>
                  </w:r>
                </w:p>
              </w:tc>
              <w:tc>
                <w:tcPr>
                  <w:tcW w:w="1414"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厂界外浓度最高点</w:t>
                  </w:r>
                </w:p>
              </w:tc>
              <w:tc>
                <w:tcPr>
                  <w:tcW w:w="1413" w:type="dxa"/>
                  <w:vAlign w:val="center"/>
                </w:tcPr>
                <w:p>
                  <w:pPr>
                    <w:spacing w:line="240" w:lineRule="auto"/>
                    <w:ind w:firstLine="0" w:firstLineChars="0"/>
                    <w:jc w:val="center"/>
                    <w:rPr>
                      <w:color w:val="auto"/>
                      <w:sz w:val="21"/>
                      <w:szCs w:val="21"/>
                      <w:highlight w:val="none"/>
                    </w:rPr>
                  </w:pPr>
                  <w:r>
                    <w:rPr>
                      <w:color w:val="auto"/>
                      <w:sz w:val="21"/>
                      <w:szCs w:val="21"/>
                      <w:highlight w:val="none"/>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0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氮氧化物</w:t>
                  </w:r>
                </w:p>
              </w:tc>
              <w:tc>
                <w:tcPr>
                  <w:tcW w:w="1277" w:type="dxa"/>
                  <w:vAlign w:val="center"/>
                </w:tcPr>
                <w:p>
                  <w:pPr>
                    <w:spacing w:line="240" w:lineRule="auto"/>
                    <w:ind w:firstLine="0" w:firstLineChars="0"/>
                    <w:jc w:val="center"/>
                    <w:rPr>
                      <w:color w:val="auto"/>
                      <w:sz w:val="21"/>
                      <w:szCs w:val="21"/>
                      <w:highlight w:val="none"/>
                    </w:rPr>
                  </w:pPr>
                  <w:r>
                    <w:rPr>
                      <w:color w:val="auto"/>
                      <w:sz w:val="21"/>
                      <w:szCs w:val="21"/>
                      <w:highlight w:val="none"/>
                    </w:rPr>
                    <w:t>240</w:t>
                  </w:r>
                </w:p>
              </w:tc>
              <w:tc>
                <w:tcPr>
                  <w:tcW w:w="1412" w:type="dxa"/>
                  <w:vAlign w:val="center"/>
                </w:tcPr>
                <w:p>
                  <w:pPr>
                    <w:spacing w:line="240" w:lineRule="auto"/>
                    <w:ind w:firstLine="0" w:firstLineChars="0"/>
                    <w:jc w:val="center"/>
                    <w:rPr>
                      <w:color w:val="auto"/>
                      <w:sz w:val="21"/>
                      <w:szCs w:val="21"/>
                      <w:highlight w:val="none"/>
                    </w:rPr>
                  </w:pPr>
                  <w:r>
                    <w:rPr>
                      <w:color w:val="auto"/>
                      <w:sz w:val="21"/>
                      <w:szCs w:val="21"/>
                      <w:highlight w:val="none"/>
                    </w:rPr>
                    <w:t>15</w:t>
                  </w:r>
                </w:p>
              </w:tc>
              <w:tc>
                <w:tcPr>
                  <w:tcW w:w="1413" w:type="dxa"/>
                  <w:vAlign w:val="center"/>
                </w:tcPr>
                <w:p>
                  <w:pPr>
                    <w:spacing w:line="240" w:lineRule="auto"/>
                    <w:ind w:firstLine="0" w:firstLineChars="0"/>
                    <w:jc w:val="center"/>
                    <w:rPr>
                      <w:color w:val="auto"/>
                      <w:sz w:val="21"/>
                      <w:szCs w:val="21"/>
                      <w:highlight w:val="none"/>
                    </w:rPr>
                  </w:pPr>
                  <w:r>
                    <w:rPr>
                      <w:color w:val="auto"/>
                      <w:sz w:val="21"/>
                      <w:szCs w:val="21"/>
                      <w:highlight w:val="none"/>
                    </w:rPr>
                    <w:t>1.2</w:t>
                  </w:r>
                </w:p>
              </w:tc>
              <w:tc>
                <w:tcPr>
                  <w:tcW w:w="1414" w:type="dxa"/>
                  <w:vMerge w:val="continue"/>
                  <w:vAlign w:val="center"/>
                </w:tcPr>
                <w:p>
                  <w:pPr>
                    <w:spacing w:line="240" w:lineRule="auto"/>
                    <w:ind w:firstLine="0" w:firstLineChars="0"/>
                    <w:jc w:val="center"/>
                    <w:rPr>
                      <w:color w:val="auto"/>
                      <w:sz w:val="21"/>
                      <w:szCs w:val="21"/>
                      <w:highlight w:val="none"/>
                    </w:rPr>
                  </w:pPr>
                </w:p>
              </w:tc>
              <w:tc>
                <w:tcPr>
                  <w:tcW w:w="1413" w:type="dxa"/>
                  <w:vAlign w:val="center"/>
                </w:tcPr>
                <w:p>
                  <w:pPr>
                    <w:spacing w:line="240" w:lineRule="auto"/>
                    <w:ind w:firstLine="0" w:firstLineChars="0"/>
                    <w:jc w:val="center"/>
                    <w:rPr>
                      <w:color w:val="auto"/>
                      <w:sz w:val="21"/>
                      <w:szCs w:val="21"/>
                      <w:highlight w:val="none"/>
                    </w:rPr>
                  </w:pPr>
                  <w:r>
                    <w:rPr>
                      <w:color w:val="auto"/>
                      <w:sz w:val="21"/>
                      <w:szCs w:val="21"/>
                      <w:highlight w:val="none"/>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0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颗粒物</w:t>
                  </w:r>
                </w:p>
              </w:tc>
              <w:tc>
                <w:tcPr>
                  <w:tcW w:w="1277" w:type="dxa"/>
                  <w:vAlign w:val="center"/>
                </w:tcPr>
                <w:p>
                  <w:pPr>
                    <w:spacing w:line="240" w:lineRule="auto"/>
                    <w:ind w:firstLine="0" w:firstLineChars="0"/>
                    <w:jc w:val="center"/>
                    <w:rPr>
                      <w:color w:val="auto"/>
                      <w:sz w:val="21"/>
                      <w:szCs w:val="21"/>
                      <w:highlight w:val="none"/>
                    </w:rPr>
                  </w:pPr>
                  <w:r>
                    <w:rPr>
                      <w:color w:val="auto"/>
                      <w:sz w:val="21"/>
                      <w:szCs w:val="21"/>
                      <w:highlight w:val="none"/>
                    </w:rPr>
                    <w:t>120</w:t>
                  </w:r>
                </w:p>
              </w:tc>
              <w:tc>
                <w:tcPr>
                  <w:tcW w:w="1412" w:type="dxa"/>
                  <w:vAlign w:val="center"/>
                </w:tcPr>
                <w:p>
                  <w:pPr>
                    <w:spacing w:line="240" w:lineRule="auto"/>
                    <w:ind w:firstLine="0" w:firstLineChars="0"/>
                    <w:jc w:val="center"/>
                    <w:rPr>
                      <w:color w:val="auto"/>
                      <w:sz w:val="21"/>
                      <w:szCs w:val="21"/>
                      <w:highlight w:val="none"/>
                    </w:rPr>
                  </w:pPr>
                  <w:r>
                    <w:rPr>
                      <w:color w:val="auto"/>
                      <w:sz w:val="21"/>
                      <w:szCs w:val="21"/>
                      <w:highlight w:val="none"/>
                    </w:rPr>
                    <w:t>15</w:t>
                  </w:r>
                </w:p>
              </w:tc>
              <w:tc>
                <w:tcPr>
                  <w:tcW w:w="1413" w:type="dxa"/>
                  <w:vAlign w:val="center"/>
                </w:tcPr>
                <w:p>
                  <w:pPr>
                    <w:spacing w:line="240" w:lineRule="auto"/>
                    <w:ind w:firstLine="0" w:firstLineChars="0"/>
                    <w:jc w:val="center"/>
                    <w:rPr>
                      <w:color w:val="auto"/>
                      <w:sz w:val="21"/>
                      <w:szCs w:val="21"/>
                      <w:highlight w:val="none"/>
                    </w:rPr>
                  </w:pPr>
                  <w:r>
                    <w:rPr>
                      <w:color w:val="auto"/>
                      <w:sz w:val="21"/>
                      <w:szCs w:val="21"/>
                      <w:highlight w:val="none"/>
                    </w:rPr>
                    <w:t>5.0</w:t>
                  </w:r>
                </w:p>
              </w:tc>
              <w:tc>
                <w:tcPr>
                  <w:tcW w:w="1414" w:type="dxa"/>
                  <w:vMerge w:val="continue"/>
                  <w:vAlign w:val="center"/>
                </w:tcPr>
                <w:p>
                  <w:pPr>
                    <w:spacing w:line="240" w:lineRule="auto"/>
                    <w:ind w:firstLine="0" w:firstLineChars="0"/>
                    <w:jc w:val="center"/>
                    <w:rPr>
                      <w:color w:val="auto"/>
                      <w:sz w:val="21"/>
                      <w:szCs w:val="21"/>
                      <w:highlight w:val="none"/>
                    </w:rPr>
                  </w:pPr>
                </w:p>
              </w:tc>
              <w:tc>
                <w:tcPr>
                  <w:tcW w:w="1413" w:type="dxa"/>
                  <w:vAlign w:val="center"/>
                </w:tcPr>
                <w:p>
                  <w:pPr>
                    <w:spacing w:line="240" w:lineRule="auto"/>
                    <w:ind w:firstLine="0" w:firstLineChars="0"/>
                    <w:jc w:val="center"/>
                    <w:rPr>
                      <w:color w:val="auto"/>
                      <w:sz w:val="21"/>
                      <w:szCs w:val="21"/>
                      <w:highlight w:val="none"/>
                    </w:rPr>
                  </w:pPr>
                  <w:r>
                    <w:rPr>
                      <w:color w:val="auto"/>
                      <w:sz w:val="21"/>
                      <w:szCs w:val="21"/>
                      <w:highlight w:val="none"/>
                    </w:rPr>
                    <w:t>1.0</w:t>
                  </w:r>
                </w:p>
              </w:tc>
            </w:tr>
          </w:tbl>
          <w:p>
            <w:pPr>
              <w:spacing w:line="240" w:lineRule="auto"/>
              <w:ind w:firstLine="422"/>
              <w:jc w:val="center"/>
              <w:rPr>
                <w:b/>
                <w:color w:val="auto"/>
                <w:sz w:val="21"/>
                <w:szCs w:val="21"/>
                <w:highlight w:val="none"/>
              </w:rPr>
            </w:pPr>
            <w:r>
              <w:rPr>
                <w:rFonts w:hint="eastAsia"/>
                <w:b/>
                <w:color w:val="auto"/>
                <w:sz w:val="21"/>
                <w:szCs w:val="21"/>
                <w:highlight w:val="none"/>
              </w:rPr>
              <w:t>表4-5  《饮食业油烟排放标准》（试行）   GB18483-2001</w:t>
            </w:r>
          </w:p>
          <w:tbl>
            <w:tblPr>
              <w:tblStyle w:val="26"/>
              <w:tblW w:w="80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71"/>
              <w:gridCol w:w="3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417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规模</w:t>
                  </w:r>
                </w:p>
              </w:tc>
              <w:tc>
                <w:tcPr>
                  <w:tcW w:w="382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小型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17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最高允许油烟排放浓度(mg/m³)</w:t>
                  </w:r>
                </w:p>
              </w:tc>
              <w:tc>
                <w:tcPr>
                  <w:tcW w:w="382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r>
          </w:tbl>
          <w:p>
            <w:pPr>
              <w:spacing w:line="360" w:lineRule="auto"/>
              <w:ind w:firstLine="482"/>
              <w:rPr>
                <w:b/>
                <w:bCs/>
                <w:color w:val="auto"/>
                <w:highlight w:val="none"/>
              </w:rPr>
            </w:pPr>
            <w:r>
              <w:rPr>
                <w:rFonts w:hint="eastAsia"/>
                <w:b/>
                <w:bCs/>
                <w:color w:val="auto"/>
                <w:highlight w:val="none"/>
              </w:rPr>
              <w:t>（2）水污染物排放标准</w:t>
            </w:r>
          </w:p>
          <w:p>
            <w:pPr>
              <w:spacing w:line="360" w:lineRule="auto"/>
              <w:rPr>
                <w:color w:val="auto"/>
                <w:highlight w:val="none"/>
              </w:rPr>
            </w:pPr>
            <w:r>
              <w:rPr>
                <w:rFonts w:hint="eastAsia"/>
                <w:color w:val="auto"/>
                <w:highlight w:val="none"/>
              </w:rPr>
              <w:t>本项目营运期员工生活污水经地埋式一体化污水处理设施处理达到《污水综合排放标准》（GB8978-1996）表4中一级标准后用于周边林地、农田、菜地施肥及厂区绿化，排放标准详见4-7。</w:t>
            </w:r>
          </w:p>
          <w:p>
            <w:pPr>
              <w:spacing w:line="240" w:lineRule="auto"/>
              <w:ind w:firstLine="422"/>
              <w:jc w:val="center"/>
              <w:rPr>
                <w:b/>
                <w:color w:val="auto"/>
                <w:sz w:val="21"/>
                <w:szCs w:val="21"/>
                <w:highlight w:val="none"/>
              </w:rPr>
            </w:pPr>
            <w:r>
              <w:rPr>
                <w:rFonts w:hint="eastAsia"/>
                <w:b/>
                <w:color w:val="auto"/>
                <w:sz w:val="21"/>
                <w:szCs w:val="21"/>
                <w:highlight w:val="none"/>
              </w:rPr>
              <w:t>表4-6  《污水综合排放标准》（GB8978-1996）  单位：mg/L</w:t>
            </w:r>
          </w:p>
          <w:tbl>
            <w:tblPr>
              <w:tblStyle w:val="26"/>
              <w:tblW w:w="79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1"/>
              <w:gridCol w:w="795"/>
              <w:gridCol w:w="825"/>
              <w:gridCol w:w="795"/>
              <w:gridCol w:w="795"/>
              <w:gridCol w:w="960"/>
              <w:gridCol w:w="975"/>
              <w:gridCol w:w="11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0" w:hRule="atLeast"/>
                <w:jc w:val="center"/>
              </w:trPr>
              <w:tc>
                <w:tcPr>
                  <w:tcW w:w="1661" w:type="dxa"/>
                  <w:tcBorders>
                    <w:top w:val="single" w:color="auto" w:sz="12" w:space="0"/>
                    <w:bottom w:val="single" w:color="auto" w:sz="6" w:space="0"/>
                    <w:tl2br w:val="single" w:color="auto" w:sz="6" w:space="0"/>
                  </w:tcBorders>
                </w:tcPr>
                <w:p>
                  <w:pPr>
                    <w:adjustRightInd w:val="0"/>
                    <w:snapToGrid w:val="0"/>
                    <w:spacing w:line="240" w:lineRule="auto"/>
                    <w:ind w:firstLine="630" w:firstLineChars="300"/>
                    <w:rPr>
                      <w:color w:val="auto"/>
                      <w:sz w:val="21"/>
                      <w:szCs w:val="21"/>
                      <w:highlight w:val="none"/>
                    </w:rPr>
                  </w:pPr>
                  <w:r>
                    <w:rPr>
                      <w:color w:val="auto"/>
                      <w:sz w:val="21"/>
                      <w:szCs w:val="21"/>
                      <w:highlight w:val="none"/>
                    </w:rPr>
                    <w:t>项目</w:t>
                  </w:r>
                </w:p>
                <w:p>
                  <w:pPr>
                    <w:adjustRightInd w:val="0"/>
                    <w:snapToGrid w:val="0"/>
                    <w:spacing w:line="240" w:lineRule="auto"/>
                    <w:ind w:firstLine="0" w:firstLineChars="0"/>
                    <w:rPr>
                      <w:color w:val="auto"/>
                      <w:sz w:val="21"/>
                      <w:szCs w:val="21"/>
                      <w:highlight w:val="none"/>
                    </w:rPr>
                  </w:pPr>
                  <w:r>
                    <w:rPr>
                      <w:color w:val="auto"/>
                      <w:sz w:val="21"/>
                      <w:szCs w:val="21"/>
                      <w:highlight w:val="none"/>
                    </w:rPr>
                    <w:t>标准</w:t>
                  </w:r>
                </w:p>
              </w:tc>
              <w:tc>
                <w:tcPr>
                  <w:tcW w:w="79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pH</w:t>
                  </w:r>
                </w:p>
              </w:tc>
              <w:tc>
                <w:tcPr>
                  <w:tcW w:w="82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COD</w:t>
                  </w:r>
                </w:p>
              </w:tc>
              <w:tc>
                <w:tcPr>
                  <w:tcW w:w="79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tc>
              <w:tc>
                <w:tcPr>
                  <w:tcW w:w="79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SS</w:t>
                  </w:r>
                </w:p>
              </w:tc>
              <w:tc>
                <w:tcPr>
                  <w:tcW w:w="96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NH</w:t>
                  </w:r>
                  <w:r>
                    <w:rPr>
                      <w:color w:val="auto"/>
                      <w:sz w:val="21"/>
                      <w:szCs w:val="21"/>
                      <w:highlight w:val="none"/>
                      <w:vertAlign w:val="subscript"/>
                    </w:rPr>
                    <w:t>3</w:t>
                  </w:r>
                  <w:r>
                    <w:rPr>
                      <w:color w:val="auto"/>
                      <w:sz w:val="21"/>
                      <w:szCs w:val="21"/>
                      <w:highlight w:val="none"/>
                    </w:rPr>
                    <w:t>-N</w:t>
                  </w:r>
                </w:p>
              </w:tc>
              <w:tc>
                <w:tcPr>
                  <w:tcW w:w="975"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石油类</w:t>
                  </w:r>
                </w:p>
              </w:tc>
              <w:tc>
                <w:tcPr>
                  <w:tcW w:w="1154"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动植物油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5" w:hRule="atLeast"/>
                <w:jc w:val="center"/>
              </w:trPr>
              <w:tc>
                <w:tcPr>
                  <w:tcW w:w="166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w:t>
                  </w:r>
                  <w:r>
                    <w:rPr>
                      <w:color w:val="auto"/>
                      <w:sz w:val="21"/>
                      <w:szCs w:val="21"/>
                      <w:highlight w:val="none"/>
                    </w:rPr>
                    <w:t>GB8978-1996</w:t>
                  </w:r>
                  <w:r>
                    <w:rPr>
                      <w:rFonts w:hint="eastAsia"/>
                      <w:color w:val="auto"/>
                      <w:sz w:val="21"/>
                      <w:szCs w:val="21"/>
                      <w:highlight w:val="none"/>
                    </w:rPr>
                    <w:t>）</w:t>
                  </w:r>
                  <w:r>
                    <w:rPr>
                      <w:color w:val="auto"/>
                      <w:sz w:val="21"/>
                      <w:szCs w:val="21"/>
                      <w:highlight w:val="none"/>
                    </w:rPr>
                    <w:t>一级标准</w:t>
                  </w:r>
                </w:p>
              </w:tc>
              <w:tc>
                <w:tcPr>
                  <w:tcW w:w="79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6-9</w:t>
                  </w:r>
                </w:p>
              </w:tc>
              <w:tc>
                <w:tcPr>
                  <w:tcW w:w="82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≤100</w:t>
                  </w:r>
                </w:p>
              </w:tc>
              <w:tc>
                <w:tcPr>
                  <w:tcW w:w="79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≤20</w:t>
                  </w:r>
                </w:p>
              </w:tc>
              <w:tc>
                <w:tcPr>
                  <w:tcW w:w="79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≤70</w:t>
                  </w:r>
                </w:p>
              </w:tc>
              <w:tc>
                <w:tcPr>
                  <w:tcW w:w="96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≤15</w:t>
                  </w:r>
                </w:p>
              </w:tc>
              <w:tc>
                <w:tcPr>
                  <w:tcW w:w="97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≤5</w:t>
                  </w:r>
                </w:p>
              </w:tc>
              <w:tc>
                <w:tcPr>
                  <w:tcW w:w="115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≤10</w:t>
                  </w:r>
                </w:p>
              </w:tc>
            </w:tr>
          </w:tbl>
          <w:p>
            <w:pPr>
              <w:spacing w:line="360" w:lineRule="auto"/>
              <w:ind w:firstLine="482"/>
              <w:rPr>
                <w:b/>
                <w:bCs/>
                <w:color w:val="auto"/>
                <w:highlight w:val="none"/>
              </w:rPr>
            </w:pPr>
            <w:r>
              <w:rPr>
                <w:b/>
                <w:bCs/>
                <w:color w:val="auto"/>
                <w:highlight w:val="none"/>
              </w:rPr>
              <w:t>（3）噪声排放标准</w:t>
            </w:r>
          </w:p>
          <w:p>
            <w:pPr>
              <w:spacing w:line="360" w:lineRule="auto"/>
              <w:rPr>
                <w:color w:val="auto"/>
                <w:highlight w:val="none"/>
              </w:rPr>
            </w:pPr>
            <w:r>
              <w:rPr>
                <w:rFonts w:hint="eastAsia"/>
                <w:color w:val="auto"/>
                <w:highlight w:val="none"/>
              </w:rPr>
              <w:t>施工期噪声执行《建筑施工场界噪声限值》（GB12523-2011）表1中的排放限值；营运期厂界噪声执行《工业企业厂界环境噪声排放标准》（GB12348-2008）中2类标准。</w:t>
            </w:r>
          </w:p>
          <w:p>
            <w:pPr>
              <w:spacing w:line="240" w:lineRule="auto"/>
              <w:ind w:firstLine="422"/>
              <w:jc w:val="center"/>
              <w:rPr>
                <w:b/>
                <w:color w:val="auto"/>
                <w:sz w:val="21"/>
                <w:szCs w:val="21"/>
                <w:highlight w:val="none"/>
              </w:rPr>
            </w:pPr>
            <w:r>
              <w:rPr>
                <w:rFonts w:hint="eastAsia"/>
                <w:b/>
                <w:color w:val="auto"/>
                <w:sz w:val="21"/>
                <w:szCs w:val="21"/>
                <w:highlight w:val="none"/>
              </w:rPr>
              <w:t>表4-7   噪声排放标准限值    单位：dB(A)</w:t>
            </w:r>
          </w:p>
          <w:tbl>
            <w:tblPr>
              <w:tblStyle w:val="26"/>
              <w:tblW w:w="80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1743"/>
              <w:gridCol w:w="1612"/>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298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标准名称</w:t>
                  </w:r>
                </w:p>
              </w:tc>
              <w:tc>
                <w:tcPr>
                  <w:tcW w:w="1743"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排放标准</w:t>
                  </w:r>
                </w:p>
              </w:tc>
              <w:tc>
                <w:tcPr>
                  <w:tcW w:w="1612"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昼间</w:t>
                  </w:r>
                </w:p>
              </w:tc>
              <w:tc>
                <w:tcPr>
                  <w:tcW w:w="1684"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298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《建筑施工场界噪声限值》（GB12523-2011）表1</w:t>
                  </w:r>
                </w:p>
              </w:tc>
              <w:tc>
                <w:tcPr>
                  <w:tcW w:w="1743"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w:t>
                  </w:r>
                </w:p>
              </w:tc>
              <w:tc>
                <w:tcPr>
                  <w:tcW w:w="1612"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70</w:t>
                  </w:r>
                </w:p>
              </w:tc>
              <w:tc>
                <w:tcPr>
                  <w:tcW w:w="1684"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298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《工业企业厂界环境噪声排放标准》（GB12348-2008）</w:t>
                  </w:r>
                </w:p>
              </w:tc>
              <w:tc>
                <w:tcPr>
                  <w:tcW w:w="1743"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2类标准</w:t>
                  </w:r>
                </w:p>
              </w:tc>
              <w:tc>
                <w:tcPr>
                  <w:tcW w:w="1612"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1684"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50</w:t>
                  </w:r>
                </w:p>
              </w:tc>
            </w:tr>
          </w:tbl>
          <w:p>
            <w:pPr>
              <w:spacing w:line="360" w:lineRule="auto"/>
              <w:ind w:firstLine="482"/>
              <w:rPr>
                <w:b/>
                <w:bCs/>
                <w:color w:val="auto"/>
                <w:highlight w:val="none"/>
              </w:rPr>
            </w:pPr>
            <w:r>
              <w:rPr>
                <w:b/>
                <w:bCs/>
                <w:color w:val="auto"/>
                <w:highlight w:val="none"/>
              </w:rPr>
              <w:t>（4）固体废弃物</w:t>
            </w:r>
          </w:p>
          <w:p>
            <w:pPr>
              <w:spacing w:line="360" w:lineRule="auto"/>
              <w:rPr>
                <w:color w:val="auto"/>
                <w:highlight w:val="none"/>
              </w:rPr>
            </w:pPr>
            <w:r>
              <w:rPr>
                <w:rFonts w:hint="eastAsia"/>
                <w:color w:val="auto"/>
                <w:highlight w:val="none"/>
              </w:rPr>
              <w:t>生活垃圾执行《生活垃圾填埋污染控制标准》(GB26889-2008)；一般固体废物执行《一般工业固体废物贮存、处置场污染控制标准》(GB18599-2001)(2013年修改单)；危险固体废物处置执行《危险废物贮存污染控制标准》（GB18597-2001）及2013修改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80" w:hRule="atLeast"/>
          <w:jc w:val="center"/>
        </w:trPr>
        <w:tc>
          <w:tcPr>
            <w:tcW w:w="896" w:type="dxa"/>
            <w:vAlign w:val="center"/>
          </w:tcPr>
          <w:p>
            <w:pPr>
              <w:spacing w:line="560" w:lineRule="exact"/>
              <w:ind w:firstLine="0" w:firstLineChars="0"/>
              <w:jc w:val="center"/>
              <w:rPr>
                <w:color w:val="auto"/>
                <w:highlight w:val="none"/>
              </w:rPr>
            </w:pPr>
            <w:r>
              <w:rPr>
                <w:color w:val="auto"/>
                <w:highlight w:val="none"/>
              </w:rPr>
              <w:t>总</w:t>
            </w:r>
          </w:p>
          <w:p>
            <w:pPr>
              <w:spacing w:line="560" w:lineRule="exact"/>
              <w:ind w:firstLine="0" w:firstLineChars="0"/>
              <w:jc w:val="center"/>
              <w:rPr>
                <w:color w:val="auto"/>
                <w:highlight w:val="none"/>
              </w:rPr>
            </w:pPr>
            <w:r>
              <w:rPr>
                <w:color w:val="auto"/>
                <w:highlight w:val="none"/>
              </w:rPr>
              <w:t>量</w:t>
            </w:r>
          </w:p>
          <w:p>
            <w:pPr>
              <w:spacing w:line="560" w:lineRule="exact"/>
              <w:ind w:firstLine="0" w:firstLineChars="0"/>
              <w:jc w:val="center"/>
              <w:rPr>
                <w:color w:val="auto"/>
                <w:highlight w:val="none"/>
              </w:rPr>
            </w:pPr>
            <w:r>
              <w:rPr>
                <w:color w:val="auto"/>
                <w:highlight w:val="none"/>
              </w:rPr>
              <w:t>控</w:t>
            </w:r>
          </w:p>
          <w:p>
            <w:pPr>
              <w:spacing w:line="560" w:lineRule="exact"/>
              <w:ind w:firstLine="0" w:firstLineChars="0"/>
              <w:jc w:val="center"/>
              <w:rPr>
                <w:color w:val="auto"/>
                <w:highlight w:val="none"/>
              </w:rPr>
            </w:pPr>
            <w:r>
              <w:rPr>
                <w:color w:val="auto"/>
                <w:highlight w:val="none"/>
              </w:rPr>
              <w:t>制</w:t>
            </w:r>
          </w:p>
          <w:p>
            <w:pPr>
              <w:spacing w:line="560" w:lineRule="exact"/>
              <w:ind w:firstLine="0" w:firstLineChars="0"/>
              <w:jc w:val="center"/>
              <w:rPr>
                <w:color w:val="auto"/>
                <w:highlight w:val="none"/>
              </w:rPr>
            </w:pPr>
            <w:r>
              <w:rPr>
                <w:color w:val="auto"/>
                <w:highlight w:val="none"/>
              </w:rPr>
              <w:t>指</w:t>
            </w:r>
          </w:p>
          <w:p>
            <w:pPr>
              <w:spacing w:line="560" w:lineRule="exact"/>
              <w:ind w:firstLine="0" w:firstLineChars="0"/>
              <w:jc w:val="center"/>
              <w:rPr>
                <w:color w:val="auto"/>
                <w:highlight w:val="none"/>
              </w:rPr>
            </w:pPr>
            <w:r>
              <w:rPr>
                <w:color w:val="auto"/>
                <w:highlight w:val="none"/>
              </w:rPr>
              <w:t>标</w:t>
            </w:r>
          </w:p>
        </w:tc>
        <w:tc>
          <w:tcPr>
            <w:tcW w:w="8165" w:type="dxa"/>
          </w:tcPr>
          <w:p>
            <w:pPr>
              <w:spacing w:line="360" w:lineRule="auto"/>
              <w:rPr>
                <w:color w:val="auto"/>
                <w:highlight w:val="none"/>
              </w:rPr>
            </w:pPr>
            <w:r>
              <w:rPr>
                <w:color w:val="auto"/>
                <w:highlight w:val="none"/>
              </w:rPr>
              <w:t>本项目产生的大气污染物主要为</w:t>
            </w:r>
            <w:r>
              <w:rPr>
                <w:rFonts w:hint="eastAsia"/>
                <w:color w:val="auto"/>
                <w:highlight w:val="none"/>
              </w:rPr>
              <w:t>食堂油烟</w:t>
            </w:r>
            <w:r>
              <w:rPr>
                <w:color w:val="auto"/>
                <w:highlight w:val="none"/>
              </w:rPr>
              <w:t>，不涉及气型污染物总量控制指标；生产废水排入澄清池，上清液回流至原水不外排，生活污水经地埋式一体化污水处理设施处理后用于</w:t>
            </w:r>
            <w:r>
              <w:rPr>
                <w:rFonts w:hint="eastAsia"/>
                <w:color w:val="auto"/>
                <w:highlight w:val="none"/>
              </w:rPr>
              <w:t>周边林地、农田、菜地施肥及厂区绿化</w:t>
            </w:r>
            <w:r>
              <w:rPr>
                <w:color w:val="auto"/>
                <w:highlight w:val="none"/>
              </w:rPr>
              <w:t>，因此，本项目不需单独设置总量控制指标。</w:t>
            </w:r>
          </w:p>
        </w:tc>
      </w:tr>
    </w:tbl>
    <w:p>
      <w:pPr>
        <w:pStyle w:val="2"/>
        <w:rPr>
          <w:color w:val="auto"/>
          <w:highlight w:val="none"/>
        </w:rPr>
        <w:sectPr>
          <w:pgSz w:w="11906" w:h="16838"/>
          <w:pgMar w:top="1440" w:right="1800" w:bottom="1440" w:left="1800" w:header="851" w:footer="992" w:gutter="0"/>
          <w:cols w:space="425" w:num="1"/>
          <w:docGrid w:type="lines" w:linePitch="312" w:charSpace="0"/>
        </w:sectPr>
      </w:pPr>
    </w:p>
    <w:p>
      <w:pPr>
        <w:pStyle w:val="3"/>
        <w:spacing w:before="0" w:after="0" w:line="360" w:lineRule="auto"/>
        <w:ind w:firstLine="0" w:firstLineChars="0"/>
        <w:rPr>
          <w:color w:val="auto"/>
          <w:sz w:val="32"/>
          <w:highlight w:val="none"/>
        </w:rPr>
      </w:pPr>
      <w:bookmarkStart w:id="39" w:name="_Toc203477672"/>
      <w:bookmarkStart w:id="40" w:name="_Toc167422970"/>
      <w:bookmarkStart w:id="41" w:name="_Toc13861"/>
      <w:bookmarkStart w:id="42" w:name="_Toc167421094"/>
      <w:bookmarkStart w:id="43" w:name="_Toc167674097"/>
      <w:bookmarkStart w:id="44" w:name="_Toc165285231"/>
      <w:bookmarkStart w:id="45" w:name="_Toc110587904"/>
      <w:bookmarkStart w:id="46" w:name="_Toc103347236"/>
      <w:bookmarkStart w:id="47" w:name="_Toc120584304"/>
      <w:bookmarkStart w:id="48" w:name="_Toc109699574"/>
      <w:bookmarkStart w:id="49" w:name="_Toc112820644"/>
      <w:bookmarkStart w:id="50" w:name="_Toc107133126"/>
      <w:bookmarkStart w:id="51" w:name="_Toc112127020"/>
      <w:bookmarkStart w:id="52" w:name="_Toc112124831"/>
      <w:r>
        <w:rPr>
          <w:color w:val="auto"/>
          <w:sz w:val="32"/>
          <w:highlight w:val="none"/>
        </w:rPr>
        <w:t>建设项目工程分析</w:t>
      </w:r>
      <w:bookmarkEnd w:id="39"/>
      <w:bookmarkEnd w:id="40"/>
      <w:bookmarkEnd w:id="41"/>
      <w:bookmarkEnd w:id="42"/>
      <w:bookmarkEnd w:id="43"/>
      <w:bookmarkEnd w:id="44"/>
    </w:p>
    <w:tbl>
      <w:tblPr>
        <w:tblStyle w:val="26"/>
        <w:tblW w:w="902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2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105" w:hRule="atLeast"/>
          <w:jc w:val="center"/>
        </w:trPr>
        <w:tc>
          <w:tcPr>
            <w:tcW w:w="9027" w:type="dxa"/>
          </w:tcPr>
          <w:p>
            <w:pPr>
              <w:pStyle w:val="13"/>
              <w:tabs>
                <w:tab w:val="left" w:pos="6946"/>
              </w:tabs>
              <w:spacing w:line="500" w:lineRule="exact"/>
              <w:ind w:firstLine="0" w:firstLineChars="0"/>
              <w:rPr>
                <w:rFonts w:ascii="Times New Roman" w:eastAsia="黑体"/>
                <w:color w:val="auto"/>
                <w:kern w:val="2"/>
                <w:sz w:val="30"/>
                <w:szCs w:val="30"/>
                <w:highlight w:val="none"/>
              </w:rPr>
            </w:pPr>
            <w:r>
              <w:rPr>
                <w:rFonts w:ascii="Times New Roman"/>
                <w:b/>
                <w:color w:val="auto"/>
                <w:kern w:val="2"/>
                <w:szCs w:val="28"/>
                <w:highlight w:val="none"/>
              </w:rPr>
              <w:t>工艺流程简述（图示）（G：废气，W：废水，S：固废，N：噪声）</w:t>
            </w:r>
          </w:p>
          <w:p>
            <w:pPr>
              <w:pStyle w:val="13"/>
              <w:tabs>
                <w:tab w:val="left" w:pos="6946"/>
              </w:tabs>
              <w:spacing w:line="500" w:lineRule="exact"/>
              <w:ind w:firstLine="0" w:firstLineChars="0"/>
              <w:rPr>
                <w:rFonts w:ascii="Times New Roman"/>
                <w:b/>
                <w:color w:val="auto"/>
                <w:kern w:val="2"/>
                <w:szCs w:val="28"/>
                <w:highlight w:val="none"/>
              </w:rPr>
            </w:pPr>
            <w:r>
              <w:rPr>
                <w:rFonts w:hint="eastAsia" w:ascii="Times New Roman"/>
                <w:b/>
                <w:color w:val="auto"/>
                <w:kern w:val="2"/>
                <w:szCs w:val="28"/>
                <w:highlight w:val="none"/>
              </w:rPr>
              <w:t>1、施工期工艺流程及产污节点图：</w:t>
            </w:r>
          </w:p>
          <w:p>
            <w:pPr>
              <w:spacing w:line="360" w:lineRule="auto"/>
              <w:ind w:firstLine="482"/>
              <w:jc w:val="left"/>
              <w:rPr>
                <w:b/>
                <w:bCs/>
                <w:color w:val="auto"/>
                <w:szCs w:val="21"/>
                <w:highlight w:val="none"/>
              </w:rPr>
            </w:pPr>
            <w:r>
              <w:rPr>
                <w:rFonts w:hint="eastAsia"/>
                <w:b/>
                <w:bCs/>
                <w:color w:val="auto"/>
                <w:szCs w:val="21"/>
                <w:highlight w:val="none"/>
              </w:rPr>
              <w:t>（1）取水泵房、净水厂</w:t>
            </w:r>
            <w:r>
              <w:rPr>
                <w:rFonts w:hint="eastAsia"/>
                <w:b/>
                <w:bCs/>
                <w:color w:val="auto"/>
                <w:szCs w:val="21"/>
                <w:highlight w:val="none"/>
                <w:lang w:eastAsia="zh-CN"/>
              </w:rPr>
              <w:t>、</w:t>
            </w:r>
            <w:r>
              <w:rPr>
                <w:rFonts w:hint="eastAsia"/>
                <w:b/>
                <w:bCs/>
                <w:color w:val="auto"/>
                <w:szCs w:val="21"/>
                <w:highlight w:val="none"/>
                <w:lang w:val="en-US" w:eastAsia="zh-CN"/>
              </w:rPr>
              <w:t>加压泵房</w:t>
            </w:r>
            <w:r>
              <w:rPr>
                <w:rFonts w:hint="eastAsia"/>
                <w:b/>
                <w:bCs/>
                <w:color w:val="auto"/>
                <w:szCs w:val="21"/>
                <w:highlight w:val="none"/>
              </w:rPr>
              <w:t>施工工艺流程及产污节点图</w:t>
            </w:r>
          </w:p>
          <w:p>
            <w:pPr>
              <w:spacing w:line="240" w:lineRule="auto"/>
              <w:ind w:firstLine="0" w:firstLineChars="0"/>
              <w:jc w:val="center"/>
              <w:rPr>
                <w:b/>
                <w:bCs/>
                <w:color w:val="auto"/>
                <w:highlight w:val="none"/>
              </w:rPr>
            </w:pPr>
            <w:r>
              <w:rPr>
                <w:color w:val="auto"/>
                <w:highlight w:val="none"/>
              </w:rPr>
              <w:object>
                <v:shape id="_x0000_i1025" o:spt="75" type="#_x0000_t75" style="height:162.5pt;width:439.2pt;" o:ole="t" filled="f" o:preferrelative="t" stroked="f" coordsize="21600,21600">
                  <v:path/>
                  <v:fill on="f" focussize="0,0"/>
                  <v:stroke on="f" joinstyle="miter"/>
                  <v:imagedata r:id="rId13" o:title=""/>
                  <o:lock v:ext="edit" aspectratio="f"/>
                  <w10:wrap type="none"/>
                  <w10:anchorlock/>
                </v:shape>
                <o:OLEObject Type="Embed" ProgID="Visio.Drawing.11" ShapeID="_x0000_i1025" DrawAspect="Content" ObjectID="_1468075725" r:id="rId12">
                  <o:LockedField>false</o:LockedField>
                </o:OLEObject>
              </w:object>
            </w:r>
            <w:r>
              <w:rPr>
                <w:rFonts w:hint="eastAsia"/>
                <w:b/>
                <w:bCs/>
                <w:color w:val="auto"/>
                <w:highlight w:val="none"/>
              </w:rPr>
              <w:t>图5-1 取水泵房、净水厂</w:t>
            </w:r>
            <w:r>
              <w:rPr>
                <w:rFonts w:hint="eastAsia"/>
                <w:b/>
                <w:bCs/>
                <w:color w:val="auto"/>
                <w:highlight w:val="none"/>
                <w:lang w:eastAsia="zh-CN"/>
              </w:rPr>
              <w:t>、</w:t>
            </w:r>
            <w:r>
              <w:rPr>
                <w:rFonts w:hint="eastAsia"/>
                <w:b/>
                <w:bCs/>
                <w:color w:val="auto"/>
                <w:highlight w:val="none"/>
                <w:lang w:val="en-US" w:eastAsia="zh-CN"/>
              </w:rPr>
              <w:t>加压泵房</w:t>
            </w:r>
            <w:r>
              <w:rPr>
                <w:rFonts w:hint="eastAsia"/>
                <w:b/>
                <w:bCs/>
                <w:color w:val="auto"/>
                <w:highlight w:val="none"/>
              </w:rPr>
              <w:t>施工工艺流程及产污节点图</w:t>
            </w:r>
          </w:p>
          <w:p>
            <w:pPr>
              <w:pStyle w:val="2"/>
              <w:rPr>
                <w:b/>
                <w:bCs/>
                <w:color w:val="auto"/>
                <w:highlight w:val="none"/>
              </w:rPr>
            </w:pPr>
            <w:r>
              <w:rPr>
                <w:rFonts w:hint="eastAsia"/>
                <w:b/>
                <w:bCs/>
                <w:color w:val="auto"/>
                <w:highlight w:val="none"/>
              </w:rPr>
              <w:t>取水泵房、净水厂</w:t>
            </w:r>
            <w:r>
              <w:rPr>
                <w:rFonts w:hint="eastAsia"/>
                <w:b/>
                <w:bCs/>
                <w:color w:val="auto"/>
                <w:highlight w:val="none"/>
                <w:lang w:eastAsia="zh-CN"/>
              </w:rPr>
              <w:t>、</w:t>
            </w:r>
            <w:r>
              <w:rPr>
                <w:rFonts w:hint="eastAsia"/>
                <w:b/>
                <w:bCs/>
                <w:color w:val="auto"/>
                <w:highlight w:val="none"/>
                <w:lang w:val="en-US" w:eastAsia="zh-CN"/>
              </w:rPr>
              <w:t>加压泵房</w:t>
            </w:r>
            <w:r>
              <w:rPr>
                <w:rFonts w:hint="eastAsia"/>
                <w:b/>
                <w:bCs/>
                <w:color w:val="auto"/>
                <w:highlight w:val="none"/>
              </w:rPr>
              <w:t>施工期工艺流程简介</w:t>
            </w:r>
          </w:p>
          <w:p>
            <w:pPr>
              <w:spacing w:line="360" w:lineRule="auto"/>
              <w:jc w:val="left"/>
              <w:rPr>
                <w:color w:val="auto"/>
                <w:szCs w:val="21"/>
                <w:highlight w:val="none"/>
              </w:rPr>
            </w:pPr>
            <w:r>
              <w:rPr>
                <w:rFonts w:hint="eastAsia"/>
                <w:color w:val="auto"/>
                <w:szCs w:val="21"/>
                <w:highlight w:val="none"/>
              </w:rPr>
              <w:t>取水泵站、净水厂</w:t>
            </w:r>
            <w:r>
              <w:rPr>
                <w:rFonts w:hint="eastAsia"/>
                <w:color w:val="auto"/>
                <w:szCs w:val="21"/>
                <w:highlight w:val="none"/>
                <w:lang w:eastAsia="zh-CN"/>
              </w:rPr>
              <w:t>、</w:t>
            </w:r>
            <w:r>
              <w:rPr>
                <w:rFonts w:hint="eastAsia"/>
                <w:color w:val="auto"/>
                <w:szCs w:val="21"/>
                <w:highlight w:val="none"/>
                <w:lang w:val="en-US" w:eastAsia="zh-CN"/>
              </w:rPr>
              <w:t>加压泵房</w:t>
            </w:r>
            <w:r>
              <w:rPr>
                <w:rFonts w:hint="eastAsia"/>
                <w:color w:val="auto"/>
                <w:szCs w:val="21"/>
                <w:highlight w:val="none"/>
              </w:rPr>
              <w:t>施工过程中，先是进行场地平整，再进</w:t>
            </w:r>
            <w:r>
              <w:rPr>
                <w:rFonts w:hint="eastAsia"/>
                <w:color w:val="auto"/>
                <w:szCs w:val="21"/>
                <w:highlight w:val="none"/>
                <w:lang w:val="en-US" w:eastAsia="zh-CN"/>
              </w:rPr>
              <w:t>行</w:t>
            </w:r>
            <w:r>
              <w:rPr>
                <w:rFonts w:hint="eastAsia"/>
                <w:color w:val="auto"/>
                <w:szCs w:val="21"/>
                <w:highlight w:val="none"/>
              </w:rPr>
              <w:t>泵房、净水厂、综合楼等主体工程的建设。施工过程中铲车、挖机等施工机械产生的噪声以及场地平整和主体工程建设产生扬尘、生态破坏和水土流失。项目施工过程采用商品混凝土，不在场区设置混凝土拌合站，</w:t>
            </w:r>
            <w:r>
              <w:rPr>
                <w:rFonts w:hint="eastAsia"/>
                <w:color w:val="auto"/>
                <w:szCs w:val="21"/>
                <w:highlight w:val="none"/>
                <w:lang w:val="zh-CN"/>
              </w:rPr>
              <w:t>项目建设地内不建设大型的原料场，只设置小面积的临时原料堆场。</w:t>
            </w:r>
          </w:p>
          <w:p>
            <w:pPr>
              <w:pStyle w:val="2"/>
              <w:spacing w:line="360" w:lineRule="auto"/>
              <w:jc w:val="center"/>
              <w:rPr>
                <w:b/>
                <w:bCs/>
                <w:color w:val="auto"/>
                <w:highlight w:val="none"/>
              </w:rPr>
            </w:pPr>
            <w:r>
              <w:rPr>
                <w:color w:val="auto"/>
                <w:highlight w:val="none"/>
              </w:rPr>
              <w:drawing>
                <wp:inline distT="0" distB="0" distL="114300" distR="114300">
                  <wp:extent cx="5573395" cy="1502410"/>
                  <wp:effectExtent l="0" t="0" r="8255" b="254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14"/>
                          <a:stretch>
                            <a:fillRect/>
                          </a:stretch>
                        </pic:blipFill>
                        <pic:spPr>
                          <a:xfrm>
                            <a:off x="0" y="0"/>
                            <a:ext cx="5573395" cy="1502410"/>
                          </a:xfrm>
                          <a:prstGeom prst="rect">
                            <a:avLst/>
                          </a:prstGeom>
                          <a:noFill/>
                          <a:ln w="9525">
                            <a:noFill/>
                          </a:ln>
                        </pic:spPr>
                      </pic:pic>
                    </a:graphicData>
                  </a:graphic>
                </wp:inline>
              </w:drawing>
            </w:r>
            <w:r>
              <w:rPr>
                <w:rFonts w:hint="eastAsia"/>
                <w:color w:val="auto"/>
                <w:highlight w:val="none"/>
              </w:rPr>
              <w:t xml:space="preserve">     </w:t>
            </w:r>
          </w:p>
          <w:p>
            <w:pPr>
              <w:spacing w:line="240" w:lineRule="auto"/>
              <w:ind w:firstLine="0" w:firstLineChars="0"/>
              <w:jc w:val="center"/>
              <w:rPr>
                <w:b/>
                <w:bCs/>
                <w:color w:val="auto"/>
                <w:highlight w:val="none"/>
              </w:rPr>
            </w:pPr>
            <w:r>
              <w:rPr>
                <w:rFonts w:hint="eastAsia"/>
                <w:b/>
                <w:bCs/>
                <w:color w:val="auto"/>
                <w:highlight w:val="none"/>
              </w:rPr>
              <w:t>图5-2 管网工程施工工艺流程及产污节点图</w:t>
            </w:r>
          </w:p>
          <w:p>
            <w:pPr>
              <w:spacing w:line="360" w:lineRule="auto"/>
              <w:ind w:firstLine="482"/>
              <w:jc w:val="left"/>
              <w:rPr>
                <w:color w:val="auto"/>
                <w:highlight w:val="none"/>
              </w:rPr>
            </w:pPr>
            <w:r>
              <w:rPr>
                <w:rFonts w:hint="eastAsia"/>
                <w:b/>
                <w:bCs/>
                <w:color w:val="auto"/>
                <w:highlight w:val="none"/>
              </w:rPr>
              <w:t xml:space="preserve"> </w:t>
            </w:r>
            <w:r>
              <w:rPr>
                <w:rFonts w:hint="eastAsia"/>
                <w:color w:val="auto"/>
                <w:highlight w:val="none"/>
              </w:rPr>
              <w:t>污水处理厂管网施工期工艺流程简介：</w:t>
            </w:r>
          </w:p>
          <w:p>
            <w:pPr>
              <w:spacing w:line="360" w:lineRule="auto"/>
              <w:jc w:val="left"/>
              <w:rPr>
                <w:color w:val="auto"/>
                <w:highlight w:val="none"/>
              </w:rPr>
            </w:pPr>
            <w:r>
              <w:rPr>
                <w:rFonts w:hint="eastAsia"/>
                <w:color w:val="auto"/>
                <w:highlight w:val="none"/>
              </w:rPr>
              <w:t>1）管道开挖</w:t>
            </w:r>
          </w:p>
          <w:p>
            <w:pPr>
              <w:spacing w:line="360" w:lineRule="auto"/>
              <w:jc w:val="left"/>
              <w:rPr>
                <w:color w:val="auto"/>
                <w:highlight w:val="none"/>
              </w:rPr>
            </w:pPr>
            <w:r>
              <w:rPr>
                <w:rFonts w:hint="eastAsia"/>
                <w:color w:val="auto"/>
                <w:highlight w:val="none"/>
              </w:rPr>
              <w:t>由于供水管线长，管线工程地质条件复杂，沟槽开挖难易程度不均，供水管线沟槽开挖的一般断面见图5-3。</w:t>
            </w:r>
          </w:p>
          <w:p>
            <w:pPr>
              <w:pStyle w:val="2"/>
              <w:rPr>
                <w:color w:val="auto"/>
                <w:highlight w:val="none"/>
              </w:rPr>
            </w:pPr>
            <w:r>
              <w:rPr>
                <w:color w:val="auto"/>
                <w:highlight w:val="none"/>
              </w:rPr>
              <w:drawing>
                <wp:anchor distT="0" distB="0" distL="114300" distR="114300" simplePos="0" relativeHeight="251658240" behindDoc="0" locked="0" layoutInCell="1" allowOverlap="1">
                  <wp:simplePos x="0" y="0"/>
                  <wp:positionH relativeFrom="column">
                    <wp:posOffset>727075</wp:posOffset>
                  </wp:positionH>
                  <wp:positionV relativeFrom="paragraph">
                    <wp:posOffset>135890</wp:posOffset>
                  </wp:positionV>
                  <wp:extent cx="4124325" cy="2289175"/>
                  <wp:effectExtent l="0" t="0" r="9525" b="15875"/>
                  <wp:wrapNone/>
                  <wp:docPr id="31" name="图片 25" descr="QQ截图未命名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descr="QQ截图未命名5"/>
                          <pic:cNvPicPr>
                            <a:picLocks noChangeAspect="1"/>
                          </pic:cNvPicPr>
                        </pic:nvPicPr>
                        <pic:blipFill>
                          <a:blip r:embed="rId15"/>
                          <a:stretch>
                            <a:fillRect/>
                          </a:stretch>
                        </pic:blipFill>
                        <pic:spPr>
                          <a:xfrm>
                            <a:off x="0" y="0"/>
                            <a:ext cx="4124325" cy="2289175"/>
                          </a:xfrm>
                          <a:prstGeom prst="rect">
                            <a:avLst/>
                          </a:prstGeom>
                          <a:noFill/>
                          <a:ln w="9525">
                            <a:noFill/>
                          </a:ln>
                        </pic:spPr>
                      </pic:pic>
                    </a:graphicData>
                  </a:graphic>
                </wp:anchor>
              </w:drawing>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ind w:firstLine="2891" w:firstLineChars="1200"/>
              <w:jc w:val="left"/>
              <w:rPr>
                <w:b/>
                <w:bCs/>
                <w:color w:val="auto"/>
                <w:highlight w:val="none"/>
              </w:rPr>
            </w:pPr>
          </w:p>
          <w:p>
            <w:pPr>
              <w:spacing w:line="360" w:lineRule="auto"/>
              <w:ind w:firstLine="2891" w:firstLineChars="1200"/>
              <w:jc w:val="left"/>
              <w:rPr>
                <w:b/>
                <w:bCs/>
                <w:color w:val="auto"/>
                <w:highlight w:val="none"/>
              </w:rPr>
            </w:pPr>
            <w:r>
              <w:rPr>
                <w:rFonts w:hint="eastAsia"/>
                <w:b/>
                <w:bCs/>
                <w:color w:val="auto"/>
                <w:highlight w:val="none"/>
              </w:rPr>
              <w:t>图5-3  供水管线沟槽开挖断面图</w:t>
            </w:r>
          </w:p>
          <w:p>
            <w:pPr>
              <w:spacing w:line="360" w:lineRule="auto"/>
              <w:jc w:val="left"/>
              <w:rPr>
                <w:rFonts w:hint="eastAsia" w:eastAsia="宋体"/>
                <w:color w:val="FF0000"/>
                <w:highlight w:val="none"/>
                <w:u w:val="single"/>
                <w:lang w:eastAsia="zh-CN"/>
              </w:rPr>
            </w:pPr>
            <w:r>
              <w:rPr>
                <w:rFonts w:hint="eastAsia"/>
                <w:color w:val="FF0000"/>
                <w:highlight w:val="none"/>
                <w:u w:val="single"/>
                <w:lang w:eastAsia="zh-CN"/>
              </w:rPr>
              <w:t>本项目供水管线沿道路铺设，施工方式采用挖机</w:t>
            </w:r>
            <w:r>
              <w:rPr>
                <w:rFonts w:hint="eastAsia"/>
                <w:color w:val="FF0000"/>
                <w:highlight w:val="none"/>
                <w:u w:val="single"/>
              </w:rPr>
              <w:t>在乡村公路一侧开挖至管道埋深，用钢板铺垫开挖管沟，便于人员和车辆通行，然后进行另一侧管沟开挖，当开挖至管道埋深时，将管道置于沟内，最后将开挖的土石等回填至管沟和恢复机耕道原有特性，同时进行护基和完善排水设施，确保路基稳定和管道安全</w:t>
            </w:r>
            <w:r>
              <w:rPr>
                <w:rFonts w:hint="eastAsia"/>
                <w:color w:val="FF0000"/>
                <w:highlight w:val="none"/>
                <w:u w:val="single"/>
                <w:lang w:eastAsia="zh-CN"/>
              </w:rPr>
              <w:t>。</w:t>
            </w:r>
          </w:p>
          <w:p>
            <w:pPr>
              <w:spacing w:line="360" w:lineRule="auto"/>
              <w:jc w:val="left"/>
              <w:rPr>
                <w:color w:val="auto"/>
                <w:highlight w:val="none"/>
              </w:rPr>
            </w:pPr>
            <w:r>
              <w:rPr>
                <w:rFonts w:hint="eastAsia"/>
                <w:color w:val="auto"/>
                <w:highlight w:val="none"/>
              </w:rPr>
              <w:t>2）管道安装</w:t>
            </w:r>
          </w:p>
          <w:p>
            <w:pPr>
              <w:spacing w:line="360" w:lineRule="auto"/>
              <w:jc w:val="center"/>
              <w:rPr>
                <w:b/>
                <w:bCs/>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86360</wp:posOffset>
                  </wp:positionV>
                  <wp:extent cx="5334000" cy="1771650"/>
                  <wp:effectExtent l="0" t="0" r="0" b="0"/>
                  <wp:wrapSquare wrapText="bothSides"/>
                  <wp:docPr id="32" name="图片 26" descr="QQ截图未命名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descr="QQ截图未命名6"/>
                          <pic:cNvPicPr>
                            <a:picLocks noChangeAspect="1"/>
                          </pic:cNvPicPr>
                        </pic:nvPicPr>
                        <pic:blipFill>
                          <a:blip r:embed="rId16"/>
                          <a:stretch>
                            <a:fillRect/>
                          </a:stretch>
                        </pic:blipFill>
                        <pic:spPr>
                          <a:xfrm>
                            <a:off x="0" y="0"/>
                            <a:ext cx="5334000" cy="1771650"/>
                          </a:xfrm>
                          <a:prstGeom prst="rect">
                            <a:avLst/>
                          </a:prstGeom>
                          <a:noFill/>
                          <a:ln w="9525">
                            <a:noFill/>
                          </a:ln>
                        </pic:spPr>
                      </pic:pic>
                    </a:graphicData>
                  </a:graphic>
                </wp:anchor>
              </w:drawing>
            </w:r>
            <w:r>
              <w:rPr>
                <w:rFonts w:hint="eastAsia"/>
                <w:b/>
                <w:bCs/>
                <w:color w:val="auto"/>
                <w:highlight w:val="none"/>
              </w:rPr>
              <w:t>图5-4  管道安装工艺流程见图</w:t>
            </w:r>
          </w:p>
          <w:p>
            <w:pPr>
              <w:spacing w:line="360" w:lineRule="auto"/>
              <w:jc w:val="left"/>
              <w:rPr>
                <w:color w:val="auto"/>
                <w:highlight w:val="none"/>
              </w:rPr>
            </w:pPr>
            <w:r>
              <w:rPr>
                <w:rFonts w:hint="eastAsia"/>
                <w:color w:val="auto"/>
                <w:highlight w:val="none"/>
              </w:rPr>
              <w:t>3）沟槽土方回填</w:t>
            </w:r>
          </w:p>
          <w:p>
            <w:pPr>
              <w:spacing w:line="360" w:lineRule="auto"/>
              <w:jc w:val="left"/>
              <w:rPr>
                <w:color w:val="auto"/>
                <w:highlight w:val="none"/>
              </w:rPr>
            </w:pPr>
            <w:r>
              <w:rPr>
                <w:rFonts w:hint="eastAsia"/>
                <w:color w:val="auto"/>
                <w:highlight w:val="none"/>
              </w:rPr>
              <w:t>供水管线闭水试验合格后，即可回填沟槽土方。</w:t>
            </w:r>
          </w:p>
          <w:p>
            <w:pPr>
              <w:spacing w:line="360" w:lineRule="auto"/>
              <w:jc w:val="left"/>
              <w:rPr>
                <w:color w:val="auto"/>
                <w:highlight w:val="none"/>
              </w:rPr>
            </w:pPr>
            <w:r>
              <w:rPr>
                <w:rFonts w:hint="eastAsia"/>
                <w:color w:val="auto"/>
                <w:highlight w:val="none"/>
              </w:rPr>
              <w:t>沟槽回填时采用人工和机械回填，填方时应从场地最低处开始，有坑应先填，再水平分层整片回填碾压（或夯实）。管道两侧回填土压实度达到底90%以上，管顶0.5m 以内不宜用机械碾压，管顶0.5m以上回填土压实度应达到85%。</w:t>
            </w:r>
          </w:p>
          <w:p>
            <w:pPr>
              <w:spacing w:line="360" w:lineRule="auto"/>
              <w:jc w:val="left"/>
              <w:rPr>
                <w:color w:val="auto"/>
                <w:highlight w:val="none"/>
              </w:rPr>
            </w:pPr>
            <w:r>
              <w:rPr>
                <w:rFonts w:hint="eastAsia"/>
                <w:color w:val="auto"/>
                <w:highlight w:val="none"/>
              </w:rPr>
              <w:t>在地下水位较浅区域填土时，应设排水沟和集水井将水位降低，再回填干土，沟槽内不得回填淤泥土，若沟槽内有淤泥，应将淤泥清除干净，然后换填干土。石质沟槽回填，不得回填石质土，应换填粘土。</w:t>
            </w:r>
          </w:p>
          <w:p>
            <w:pPr>
              <w:spacing w:line="360" w:lineRule="auto"/>
              <w:jc w:val="left"/>
              <w:rPr>
                <w:color w:val="auto"/>
                <w:highlight w:val="none"/>
              </w:rPr>
            </w:pPr>
            <w:r>
              <w:rPr>
                <w:rFonts w:hint="eastAsia"/>
                <w:color w:val="auto"/>
                <w:highlight w:val="none"/>
              </w:rPr>
              <w:t>●余土外运处理</w:t>
            </w:r>
          </w:p>
          <w:p>
            <w:pPr>
              <w:spacing w:line="360" w:lineRule="auto"/>
              <w:jc w:val="left"/>
              <w:rPr>
                <w:color w:val="auto"/>
                <w:highlight w:val="none"/>
              </w:rPr>
            </w:pPr>
            <w:r>
              <w:rPr>
                <w:rFonts w:hint="eastAsia"/>
                <w:color w:val="auto"/>
                <w:highlight w:val="none"/>
              </w:rPr>
              <w:t>输入管线回填完后，剩余部分弃土必须外运处理。应用装载机将土装上自卸汽车，委托渣土公司进行调运。</w:t>
            </w:r>
          </w:p>
          <w:p>
            <w:pPr>
              <w:spacing w:line="360" w:lineRule="auto"/>
              <w:ind w:firstLine="482"/>
              <w:jc w:val="left"/>
              <w:rPr>
                <w:b/>
                <w:bCs/>
                <w:color w:val="auto"/>
                <w:szCs w:val="21"/>
                <w:highlight w:val="none"/>
              </w:rPr>
            </w:pPr>
            <w:r>
              <w:rPr>
                <w:rFonts w:hint="eastAsia"/>
                <w:b/>
                <w:bCs/>
                <w:color w:val="auto"/>
                <w:szCs w:val="21"/>
                <w:highlight w:val="none"/>
              </w:rPr>
              <w:t>说明：</w:t>
            </w:r>
          </w:p>
          <w:p>
            <w:pPr>
              <w:spacing w:line="360" w:lineRule="auto"/>
              <w:jc w:val="left"/>
              <w:rPr>
                <w:color w:val="auto"/>
                <w:szCs w:val="21"/>
                <w:highlight w:val="none"/>
              </w:rPr>
            </w:pPr>
            <w:r>
              <w:rPr>
                <w:rFonts w:hint="eastAsia"/>
                <w:color w:val="auto"/>
                <w:szCs w:val="21"/>
                <w:highlight w:val="none"/>
              </w:rPr>
              <w:t>①采用开槽法施工，沟槽开挖与支护等应严格按《给水排水管道工程施工及验收规范》（GB50268-2008）有关规定执行。</w:t>
            </w:r>
          </w:p>
          <w:p>
            <w:pPr>
              <w:spacing w:line="360" w:lineRule="auto"/>
              <w:jc w:val="left"/>
              <w:rPr>
                <w:color w:val="auto"/>
                <w:szCs w:val="21"/>
                <w:highlight w:val="none"/>
              </w:rPr>
            </w:pPr>
            <w:r>
              <w:rPr>
                <w:rFonts w:hint="eastAsia"/>
                <w:color w:val="auto"/>
                <w:szCs w:val="21"/>
                <w:highlight w:val="none"/>
              </w:rPr>
              <w:t>②在农田中开挖管道沟槽时，应将农田表层耕作土剥离并予以保存，管道敷设完毕后将表层耕作土复原。</w:t>
            </w:r>
          </w:p>
          <w:p>
            <w:pPr>
              <w:spacing w:line="360" w:lineRule="auto"/>
              <w:jc w:val="left"/>
              <w:rPr>
                <w:color w:val="auto"/>
                <w:szCs w:val="21"/>
                <w:highlight w:val="none"/>
              </w:rPr>
            </w:pPr>
            <w:r>
              <w:rPr>
                <w:rFonts w:hint="eastAsia"/>
                <w:color w:val="auto"/>
                <w:szCs w:val="21"/>
                <w:highlight w:val="none"/>
              </w:rPr>
              <w:t>③管道应根据施工组织设计分段施工，管材应沿管线敷设方向排列在沟槽边；对连接安装间隔时间较长及每次工程收工，管口部位应进行封闭保护。管道验收前须进行水压试验，运行前需进行管道冲洗。</w:t>
            </w:r>
          </w:p>
          <w:p>
            <w:pPr>
              <w:pStyle w:val="13"/>
              <w:tabs>
                <w:tab w:val="left" w:pos="6946"/>
              </w:tabs>
              <w:spacing w:line="500" w:lineRule="exact"/>
              <w:ind w:firstLine="0" w:firstLineChars="0"/>
              <w:rPr>
                <w:rFonts w:ascii="Times New Roman"/>
                <w:b/>
                <w:color w:val="auto"/>
                <w:kern w:val="2"/>
                <w:szCs w:val="28"/>
                <w:highlight w:val="none"/>
              </w:rPr>
            </w:pPr>
            <w:r>
              <w:rPr>
                <w:rFonts w:hint="eastAsia" w:ascii="Times New Roman"/>
                <w:b/>
                <w:color w:val="auto"/>
                <w:kern w:val="2"/>
                <w:szCs w:val="28"/>
                <w:highlight w:val="none"/>
              </w:rPr>
              <w:t>2、营运期工艺流程及产污节点图：</w:t>
            </w:r>
          </w:p>
          <w:p>
            <w:pPr>
              <w:pStyle w:val="2"/>
              <w:spacing w:line="360" w:lineRule="auto"/>
              <w:rPr>
                <w:b/>
                <w:bCs/>
                <w:color w:val="auto"/>
                <w:highlight w:val="none"/>
              </w:rPr>
            </w:pPr>
          </w:p>
          <w:p>
            <w:pPr>
              <w:pStyle w:val="2"/>
              <w:spacing w:line="360" w:lineRule="auto"/>
              <w:jc w:val="center"/>
              <w:rPr>
                <w:b/>
                <w:bCs/>
                <w:color w:val="auto"/>
                <w:highlight w:val="none"/>
              </w:rPr>
            </w:pPr>
            <w:r>
              <w:rPr>
                <w:rFonts w:hint="eastAsia"/>
                <w:b/>
                <w:bCs/>
                <w:color w:val="auto"/>
                <w:highlight w:val="none"/>
              </w:rPr>
              <w:object>
                <v:shape id="_x0000_i1026" o:spt="75" type="#_x0000_t75" style="height:498pt;width:284.25pt;" o:ole="t" filled="f" o:preferrelative="t" stroked="f" coordsize="21600,21600">
                  <v:path/>
                  <v:fill on="f" focussize="0,0"/>
                  <v:stroke on="f"/>
                  <v:imagedata r:id="rId18" o:title=""/>
                  <o:lock v:ext="edit" aspectratio="f"/>
                  <w10:wrap type="none"/>
                  <w10:anchorlock/>
                </v:shape>
                <o:OLEObject Type="Embed" ProgID="Visio.Drawing.11" ShapeID="_x0000_i1026" DrawAspect="Content" ObjectID="_1468075726" r:id="rId17">
                  <o:LockedField>false</o:LockedField>
                </o:OLEObject>
              </w:object>
            </w:r>
          </w:p>
          <w:p>
            <w:pPr>
              <w:pStyle w:val="2"/>
              <w:spacing w:line="360" w:lineRule="auto"/>
              <w:jc w:val="center"/>
              <w:rPr>
                <w:b/>
                <w:bCs/>
                <w:color w:val="auto"/>
                <w:highlight w:val="none"/>
              </w:rPr>
            </w:pPr>
            <w:r>
              <w:rPr>
                <w:rFonts w:hint="eastAsia"/>
                <w:b/>
                <w:bCs/>
                <w:color w:val="auto"/>
                <w:highlight w:val="none"/>
              </w:rPr>
              <w:t>图5-5  自来水厂工艺流程及产污节点图</w:t>
            </w:r>
          </w:p>
          <w:p>
            <w:pPr>
              <w:pStyle w:val="2"/>
              <w:spacing w:line="360" w:lineRule="auto"/>
              <w:ind w:firstLine="482" w:firstLineChars="200"/>
              <w:rPr>
                <w:b/>
                <w:bCs/>
                <w:color w:val="auto"/>
                <w:highlight w:val="none"/>
              </w:rPr>
            </w:pPr>
            <w:r>
              <w:rPr>
                <w:rFonts w:hint="eastAsia"/>
                <w:b/>
                <w:bCs/>
                <w:color w:val="auto"/>
                <w:highlight w:val="none"/>
              </w:rPr>
              <w:t>自来水厂工艺流程说明：</w:t>
            </w:r>
          </w:p>
          <w:p>
            <w:pPr>
              <w:spacing w:line="360" w:lineRule="auto"/>
              <w:jc w:val="left"/>
              <w:rPr>
                <w:color w:val="auto"/>
                <w:szCs w:val="21"/>
                <w:highlight w:val="none"/>
              </w:rPr>
            </w:pPr>
            <w:r>
              <w:rPr>
                <w:rFonts w:hint="eastAsia"/>
                <w:color w:val="auto"/>
                <w:szCs w:val="21"/>
                <w:highlight w:val="none"/>
              </w:rPr>
              <w:t>来自于湘江的原水经取水泵房提升后，进入净水厂配水井，对原水进行预处理，拦截较大的漂浮物、杂质等再进入絮凝平流沉淀池，絮凝平流沉淀池前设置一个机械搅拌，加入明矾进行搅拌混合后流入絮凝沉淀池，在絮凝池与来明矾絮凝剂充分反应，经充分反应后在沉淀池形成大颗粒絮体并沉淀，从水中分离出来，达到净化源水的目的，为了进一步去除水中的微絮凝体和微生物残留物，原水经沉淀后进入</w:t>
            </w:r>
            <w:r>
              <w:rPr>
                <w:rFonts w:hint="eastAsia"/>
                <w:color w:val="auto"/>
                <w:szCs w:val="21"/>
                <w:highlight w:val="none"/>
                <w:lang w:val="zh-CN"/>
              </w:rPr>
              <w:t>气水反冲洗砂滤池</w:t>
            </w:r>
            <w:r>
              <w:rPr>
                <w:rFonts w:hint="eastAsia"/>
                <w:color w:val="auto"/>
                <w:szCs w:val="21"/>
                <w:highlight w:val="none"/>
              </w:rPr>
              <w:t>再次过滤处理，使水质指标进一步提高，滤池运行一段时间后，需要进行反冲洗以去除滤料上富集的颗粒物从而达到洁净滤料以提高过滤速度和出水水质，经处理后的水进入清水池加氯消毒后向用户供水。考虑供水管延伸较长，为保持管网末端所需水压，项目在管网中间设加压泵房，并补充氯。</w:t>
            </w:r>
          </w:p>
          <w:p>
            <w:pPr>
              <w:spacing w:line="360" w:lineRule="auto"/>
              <w:jc w:val="left"/>
              <w:rPr>
                <w:color w:val="auto"/>
                <w:szCs w:val="21"/>
                <w:highlight w:val="none"/>
              </w:rPr>
            </w:pPr>
            <w:r>
              <w:rPr>
                <w:rFonts w:hint="eastAsia"/>
                <w:color w:val="auto"/>
                <w:szCs w:val="21"/>
                <w:highlight w:val="none"/>
              </w:rPr>
              <w:t>净水厂沉淀池产生的排泥废水和滤池反冲洗废水排入厂区内排泥池处理，处理后上清液泵入回用水池作为原水回用，池底污泥定期由排泥泵抽入板框压滤机进行脱水（脱水后泥饼含固率≥60％），脱水后污泥统一收集运至祁阳县污泥集中处置中心处置。</w:t>
            </w:r>
          </w:p>
          <w:p>
            <w:pPr>
              <w:spacing w:line="360" w:lineRule="auto"/>
              <w:jc w:val="left"/>
              <w:rPr>
                <w:color w:val="auto"/>
                <w:szCs w:val="21"/>
                <w:highlight w:val="none"/>
              </w:rPr>
            </w:pPr>
            <w:r>
              <w:rPr>
                <w:rFonts w:hint="eastAsia"/>
                <w:color w:val="auto"/>
                <w:szCs w:val="21"/>
                <w:highlight w:val="none"/>
              </w:rPr>
              <w:t>消毒工艺：本项目拟采用盐酸（31%）与亚氯酸钠反应来制成二氧化氯，反应方程式如下：</w:t>
            </w:r>
          </w:p>
          <w:p>
            <w:pPr>
              <w:pStyle w:val="2"/>
              <w:spacing w:line="360" w:lineRule="auto"/>
              <w:ind w:firstLine="480" w:firstLineChars="200"/>
              <w:jc w:val="center"/>
              <w:rPr>
                <w:color w:val="auto"/>
                <w:highlight w:val="none"/>
              </w:rPr>
            </w:pPr>
            <w:r>
              <w:rPr>
                <w:rFonts w:hint="eastAsia"/>
                <w:color w:val="auto"/>
                <w:highlight w:val="none"/>
              </w:rPr>
              <w:t>5NaClO</w:t>
            </w:r>
            <w:r>
              <w:rPr>
                <w:rFonts w:hint="eastAsia"/>
                <w:color w:val="auto"/>
                <w:highlight w:val="none"/>
                <w:vertAlign w:val="subscript"/>
              </w:rPr>
              <w:t>2</w:t>
            </w:r>
            <w:r>
              <w:rPr>
                <w:rFonts w:hint="eastAsia"/>
                <w:color w:val="auto"/>
                <w:highlight w:val="none"/>
              </w:rPr>
              <w:t>+4HCl=4ClO</w:t>
            </w:r>
            <w:r>
              <w:rPr>
                <w:rFonts w:hint="eastAsia"/>
                <w:color w:val="auto"/>
                <w:highlight w:val="none"/>
                <w:vertAlign w:val="subscript"/>
              </w:rPr>
              <w:t>2</w:t>
            </w:r>
            <w:r>
              <w:rPr>
                <w:rFonts w:hint="eastAsia"/>
                <w:color w:val="auto"/>
                <w:highlight w:val="none"/>
              </w:rPr>
              <w:t>+5NaCl+2H</w:t>
            </w:r>
            <w:r>
              <w:rPr>
                <w:rFonts w:hint="eastAsia"/>
                <w:color w:val="auto"/>
                <w:highlight w:val="none"/>
                <w:vertAlign w:val="subscript"/>
              </w:rPr>
              <w:t>2</w:t>
            </w:r>
            <w:r>
              <w:rPr>
                <w:rFonts w:hint="eastAsia"/>
                <w:color w:val="auto"/>
                <w:highlight w:val="none"/>
              </w:rPr>
              <w:t>O</w:t>
            </w:r>
          </w:p>
          <w:p>
            <w:pPr>
              <w:spacing w:line="360" w:lineRule="auto"/>
              <w:jc w:val="left"/>
              <w:rPr>
                <w:rFonts w:hint="eastAsia"/>
                <w:color w:val="auto"/>
                <w:szCs w:val="21"/>
                <w:highlight w:val="none"/>
              </w:rPr>
            </w:pPr>
            <w:r>
              <w:rPr>
                <w:rFonts w:hint="eastAsia"/>
                <w:color w:val="auto"/>
                <w:szCs w:val="21"/>
                <w:highlight w:val="none"/>
              </w:rPr>
              <w:t>使用盐酸（31%）与亚氯酸钠反应来制成二氧化氯的工艺简单，设备容易操作且设备维护的费用低，产生物中二氧化氯的纯度高。</w:t>
            </w:r>
          </w:p>
          <w:p>
            <w:pPr>
              <w:spacing w:line="360" w:lineRule="auto"/>
              <w:jc w:val="left"/>
              <w:rPr>
                <w:rFonts w:hint="eastAsia" w:ascii="Times New Roman" w:hAnsi="Times New Roman" w:eastAsia="宋体" w:cs="Times New Roman"/>
                <w:color w:val="FF0000"/>
                <w:szCs w:val="21"/>
                <w:highlight w:val="none"/>
                <w:u w:val="single"/>
                <w:lang w:eastAsia="zh-CN"/>
              </w:rPr>
            </w:pPr>
            <w:r>
              <w:rPr>
                <w:rFonts w:hint="eastAsia" w:ascii="Times New Roman" w:hAnsi="Times New Roman" w:eastAsia="宋体" w:cs="Times New Roman"/>
                <w:color w:val="FF0000"/>
                <w:szCs w:val="21"/>
                <w:highlight w:val="none"/>
                <w:u w:val="single"/>
                <w:lang w:eastAsia="zh-CN"/>
              </w:rPr>
              <w:t>化验室：祁阳县城乡供水一体化（二期）工程建好好，营运期净水厂将对出水水质作检测，检测指标包括余氯、色度、浊度、异臭味等。</w:t>
            </w:r>
          </w:p>
          <w:p>
            <w:pPr>
              <w:spacing w:line="360" w:lineRule="auto"/>
              <w:ind w:firstLine="0" w:firstLineChars="0"/>
              <w:jc w:val="left"/>
              <w:rPr>
                <w:b/>
                <w:color w:val="auto"/>
                <w:highlight w:val="none"/>
              </w:rPr>
            </w:pPr>
            <w:r>
              <w:rPr>
                <w:rFonts w:hint="eastAsia"/>
                <w:b/>
                <w:color w:val="auto"/>
                <w:highlight w:val="none"/>
              </w:rPr>
              <w:t>1、施工期</w:t>
            </w:r>
            <w:r>
              <w:rPr>
                <w:b/>
                <w:bCs/>
                <w:color w:val="auto"/>
                <w:highlight w:val="none"/>
              </w:rPr>
              <w:t>主要污染工序</w:t>
            </w:r>
            <w:r>
              <w:rPr>
                <w:rFonts w:hint="eastAsia"/>
                <w:b/>
                <w:bCs/>
                <w:color w:val="auto"/>
                <w:highlight w:val="none"/>
              </w:rPr>
              <w:t>及主要污染物</w:t>
            </w:r>
          </w:p>
          <w:p>
            <w:pPr>
              <w:pStyle w:val="2"/>
              <w:spacing w:line="360" w:lineRule="auto"/>
              <w:ind w:firstLine="482" w:firstLineChars="200"/>
              <w:rPr>
                <w:b/>
                <w:bCs/>
                <w:color w:val="auto"/>
                <w:highlight w:val="none"/>
              </w:rPr>
            </w:pPr>
            <w:r>
              <w:rPr>
                <w:rFonts w:hint="eastAsia"/>
                <w:b/>
                <w:bCs/>
                <w:color w:val="auto"/>
                <w:highlight w:val="none"/>
              </w:rPr>
              <w:t>（1）</w:t>
            </w:r>
            <w:r>
              <w:rPr>
                <w:rFonts w:hint="eastAsia"/>
                <w:b/>
                <w:bCs/>
                <w:color w:val="auto"/>
                <w:highlight w:val="none"/>
                <w:u w:val="single"/>
                <w:lang w:val="en-US" w:eastAsia="zh-CN"/>
              </w:rPr>
              <w:t>取水泵房、</w:t>
            </w:r>
            <w:r>
              <w:rPr>
                <w:rFonts w:hint="eastAsia"/>
                <w:b/>
                <w:bCs/>
                <w:color w:val="auto"/>
                <w:highlight w:val="none"/>
                <w:u w:val="single"/>
              </w:rPr>
              <w:t>净水厂工程</w:t>
            </w:r>
            <w:r>
              <w:rPr>
                <w:rFonts w:hint="eastAsia"/>
                <w:b/>
                <w:bCs/>
                <w:color w:val="auto"/>
                <w:highlight w:val="none"/>
                <w:u w:val="single"/>
                <w:lang w:eastAsia="zh-CN"/>
              </w:rPr>
              <w:t>、</w:t>
            </w:r>
            <w:r>
              <w:rPr>
                <w:rFonts w:hint="eastAsia"/>
                <w:b/>
                <w:bCs/>
                <w:color w:val="auto"/>
                <w:highlight w:val="none"/>
                <w:u w:val="single"/>
                <w:lang w:val="en-US" w:eastAsia="zh-CN"/>
              </w:rPr>
              <w:t>加压泵房</w:t>
            </w:r>
            <w:r>
              <w:rPr>
                <w:rFonts w:hint="eastAsia"/>
                <w:b/>
                <w:bCs/>
                <w:color w:val="auto"/>
                <w:highlight w:val="none"/>
              </w:rPr>
              <w:t>施工污染源</w:t>
            </w:r>
          </w:p>
          <w:p>
            <w:pPr>
              <w:spacing w:line="360" w:lineRule="auto"/>
              <w:jc w:val="left"/>
              <w:rPr>
                <w:color w:val="auto"/>
                <w:szCs w:val="21"/>
                <w:highlight w:val="none"/>
              </w:rPr>
            </w:pPr>
            <w:r>
              <w:rPr>
                <w:rFonts w:hint="eastAsia"/>
                <w:color w:val="auto"/>
                <w:szCs w:val="21"/>
                <w:highlight w:val="none"/>
              </w:rPr>
              <w:t>项目取水工程包括取水头部及自流管、取水泵房、原水输水管线。头部采用岸边预制，当构件达到设计强度后再岸边吊装到设计位置进行安装就位。取水头部宜在常水位时进行吊装施工。取水泵房筒体采用沉井法施工，沉井按排水自重下沉设计。</w:t>
            </w:r>
          </w:p>
          <w:p>
            <w:pPr>
              <w:spacing w:line="360" w:lineRule="auto"/>
              <w:jc w:val="left"/>
              <w:rPr>
                <w:color w:val="auto"/>
                <w:szCs w:val="21"/>
                <w:highlight w:val="none"/>
              </w:rPr>
            </w:pPr>
            <w:r>
              <w:rPr>
                <w:rFonts w:hint="eastAsia"/>
                <w:color w:val="auto"/>
                <w:szCs w:val="21"/>
                <w:highlight w:val="none"/>
              </w:rPr>
              <w:t>净水厂的絮凝平流沉淀池、气水反冲洗砂滤池、清水池等采用现浇钢筋砼结构，加氯加药间、综合楼、门卫室等采用砌体外均采用钢筋砼框架结构。</w:t>
            </w:r>
          </w:p>
          <w:p>
            <w:pPr>
              <w:spacing w:line="360" w:lineRule="auto"/>
              <w:jc w:val="left"/>
              <w:rPr>
                <w:rFonts w:hint="eastAsia"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szCs w:val="21"/>
                <w:highlight w:val="none"/>
                <w:lang w:val="en-US" w:eastAsia="zh-CN"/>
              </w:rPr>
              <w:t>加压泵站采取</w:t>
            </w:r>
            <w:r>
              <w:rPr>
                <w:rFonts w:hint="eastAsia" w:ascii="Times New Roman" w:hAnsi="Times New Roman" w:cs="Times New Roman"/>
                <w:b w:val="0"/>
                <w:bCs w:val="0"/>
                <w:color w:val="auto"/>
                <w:szCs w:val="21"/>
                <w:highlight w:val="none"/>
              </w:rPr>
              <w:t>钢筋砼框架结构</w:t>
            </w:r>
            <w:r>
              <w:rPr>
                <w:rFonts w:hint="eastAsia" w:ascii="Times New Roman" w:hAnsi="Times New Roman" w:cs="Times New Roman"/>
                <w:b w:val="0"/>
                <w:bCs w:val="0"/>
                <w:color w:val="auto"/>
                <w:szCs w:val="21"/>
                <w:highlight w:val="none"/>
                <w:lang w:eastAsia="zh-CN"/>
              </w:rPr>
              <w:t>。</w:t>
            </w:r>
          </w:p>
          <w:p>
            <w:pPr>
              <w:spacing w:line="360" w:lineRule="auto"/>
              <w:ind w:firstLine="482"/>
              <w:jc w:val="left"/>
              <w:rPr>
                <w:b/>
                <w:bCs/>
                <w:color w:val="auto"/>
                <w:szCs w:val="21"/>
                <w:highlight w:val="none"/>
              </w:rPr>
            </w:pPr>
            <w:r>
              <w:rPr>
                <w:rFonts w:hint="eastAsia"/>
                <w:b/>
                <w:bCs/>
                <w:color w:val="auto"/>
                <w:szCs w:val="21"/>
                <w:highlight w:val="none"/>
              </w:rPr>
              <w:t>①废气污染源</w:t>
            </w:r>
          </w:p>
          <w:p>
            <w:pPr>
              <w:spacing w:line="360" w:lineRule="auto"/>
              <w:jc w:val="left"/>
              <w:rPr>
                <w:color w:val="auto"/>
                <w:szCs w:val="21"/>
                <w:highlight w:val="none"/>
              </w:rPr>
            </w:pPr>
            <w:r>
              <w:rPr>
                <w:rFonts w:hint="eastAsia"/>
                <w:color w:val="auto"/>
                <w:szCs w:val="21"/>
                <w:highlight w:val="none"/>
              </w:rPr>
              <w:t>施工期的大气污染源主要是施工机械、运输车辆等废气和施工扬尘等。</w:t>
            </w:r>
          </w:p>
          <w:p>
            <w:pPr>
              <w:spacing w:line="360" w:lineRule="auto"/>
              <w:jc w:val="left"/>
              <w:rPr>
                <w:color w:val="auto"/>
                <w:szCs w:val="21"/>
                <w:highlight w:val="none"/>
              </w:rPr>
            </w:pPr>
            <w:r>
              <w:rPr>
                <w:rFonts w:hint="eastAsia"/>
                <w:color w:val="auto"/>
                <w:szCs w:val="21"/>
                <w:highlight w:val="none"/>
              </w:rPr>
              <w:t xml:space="preserve">施工机械、运输车辆废气产生量较少，施工机械和建筑材料运输车辆一般都以柴油为燃料。由柴油燃烧产生的尾气中主要含有颗粒物和碳氢化合物，对环境造成污染。 </w:t>
            </w:r>
          </w:p>
          <w:p>
            <w:pPr>
              <w:spacing w:line="360" w:lineRule="auto"/>
              <w:jc w:val="left"/>
              <w:rPr>
                <w:color w:val="auto"/>
                <w:szCs w:val="21"/>
                <w:highlight w:val="none"/>
              </w:rPr>
            </w:pPr>
            <w:r>
              <w:rPr>
                <w:rFonts w:hint="eastAsia"/>
                <w:color w:val="auto"/>
                <w:szCs w:val="21"/>
                <w:highlight w:val="none"/>
              </w:rPr>
              <w:t>施工车辆尾气主要污染因子有CO、THC和NOx，一般大型车辆尾气污染物排放量为：CO5.25g/辆·km，THC：20.8g/辆·km，NOx：10.44g/辆·km。施工扬尘主要有施工车辆行驶过程中扬起的灰尘、渣土等装卸时产生的扬尘及裸露地面因风蚀而产生的扬尘。这些扬尘的产生与地面干燥程度和风速大小有关，地面越干燥，风速越大，产生扬尘越大。据类比资料显示，在路旁和装卸处下风向5～10m处，TSP浓度可达1000～2000mg/m</w:t>
            </w:r>
            <w:r>
              <w:rPr>
                <w:rFonts w:hint="eastAsia"/>
                <w:color w:val="auto"/>
                <w:szCs w:val="21"/>
                <w:highlight w:val="none"/>
                <w:vertAlign w:val="superscript"/>
              </w:rPr>
              <w:t>3</w:t>
            </w:r>
            <w:r>
              <w:rPr>
                <w:rFonts w:hint="eastAsia"/>
                <w:color w:val="auto"/>
                <w:szCs w:val="21"/>
                <w:highlight w:val="none"/>
              </w:rPr>
              <w:t xml:space="preserve">。 </w:t>
            </w:r>
          </w:p>
          <w:p>
            <w:pPr>
              <w:pStyle w:val="2"/>
              <w:spacing w:line="360" w:lineRule="auto"/>
              <w:ind w:firstLine="482" w:firstLineChars="200"/>
              <w:rPr>
                <w:b/>
                <w:bCs/>
                <w:color w:val="auto"/>
                <w:szCs w:val="21"/>
                <w:highlight w:val="none"/>
              </w:rPr>
            </w:pPr>
            <w:r>
              <w:rPr>
                <w:rFonts w:hint="eastAsia"/>
                <w:b/>
                <w:bCs/>
                <w:color w:val="auto"/>
                <w:szCs w:val="21"/>
                <w:highlight w:val="none"/>
              </w:rPr>
              <w:t>②废水污染源</w:t>
            </w:r>
          </w:p>
          <w:p>
            <w:pPr>
              <w:spacing w:line="360" w:lineRule="auto"/>
              <w:jc w:val="left"/>
              <w:rPr>
                <w:color w:val="auto"/>
                <w:szCs w:val="21"/>
                <w:highlight w:val="none"/>
              </w:rPr>
            </w:pPr>
            <w:r>
              <w:rPr>
                <w:rFonts w:hint="eastAsia"/>
                <w:color w:val="auto"/>
                <w:szCs w:val="21"/>
                <w:highlight w:val="none"/>
              </w:rPr>
              <w:t>本项目不设施工营地施工人员均为镇区附近居民，在家食宿，施工期不产生生活污水。根据调查，本项目建设地和管网铺设区域地下水位一般在5m一下，项目开挖基本不会产生地下水，项目施工废水主要为基坑开挖、设备清洗废水、施工场所初期雨水、地面硬化养护废水等，主要污染物为悬浮物和石油类，局类比调查，施工废水中SS的浓度约为3000-4500mg/L，石油类的浓度约为8-10mg/L。</w:t>
            </w:r>
          </w:p>
          <w:p>
            <w:pPr>
              <w:pStyle w:val="2"/>
              <w:spacing w:line="360" w:lineRule="auto"/>
              <w:ind w:firstLine="482" w:firstLineChars="200"/>
              <w:rPr>
                <w:b/>
                <w:bCs/>
                <w:color w:val="auto"/>
                <w:szCs w:val="21"/>
                <w:highlight w:val="none"/>
              </w:rPr>
            </w:pPr>
            <w:r>
              <w:rPr>
                <w:rFonts w:hint="eastAsia"/>
                <w:b/>
                <w:bCs/>
                <w:color w:val="auto"/>
                <w:szCs w:val="21"/>
                <w:highlight w:val="none"/>
              </w:rPr>
              <w:t>③噪声污染源</w:t>
            </w:r>
          </w:p>
          <w:p>
            <w:pPr>
              <w:pStyle w:val="2"/>
              <w:spacing w:line="360" w:lineRule="auto"/>
              <w:ind w:firstLine="480" w:firstLineChars="200"/>
              <w:rPr>
                <w:color w:val="auto"/>
                <w:szCs w:val="21"/>
                <w:highlight w:val="none"/>
              </w:rPr>
            </w:pPr>
            <w:r>
              <w:rPr>
                <w:rFonts w:hint="eastAsia"/>
                <w:color w:val="auto"/>
                <w:szCs w:val="21"/>
                <w:highlight w:val="none"/>
              </w:rPr>
              <w:t>施工期噪声主要来自施工场地和材料制备点的施工机械运行，主要有推土机、挖 掘机、风镐、空压机和运输车辆等。噪声值约为87~98dB。施工机械噪声级类比情况 见表5-1。</w:t>
            </w:r>
          </w:p>
          <w:p>
            <w:pPr>
              <w:spacing w:line="240" w:lineRule="auto"/>
              <w:ind w:firstLine="422"/>
              <w:jc w:val="center"/>
              <w:rPr>
                <w:b/>
                <w:bCs/>
                <w:color w:val="auto"/>
                <w:sz w:val="21"/>
                <w:szCs w:val="21"/>
                <w:highlight w:val="none"/>
              </w:rPr>
            </w:pPr>
            <w:r>
              <w:rPr>
                <w:b/>
                <w:bCs/>
                <w:color w:val="auto"/>
                <w:sz w:val="21"/>
                <w:szCs w:val="21"/>
                <w:highlight w:val="none"/>
              </w:rPr>
              <w:t>表5-1  施工机械噪声值</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393"/>
              <w:gridCol w:w="2662"/>
              <w:gridCol w:w="2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序号</w:t>
                  </w:r>
                </w:p>
              </w:tc>
              <w:tc>
                <w:tcPr>
                  <w:tcW w:w="2393"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机械、车辆类型</w:t>
                  </w:r>
                </w:p>
              </w:tc>
              <w:tc>
                <w:tcPr>
                  <w:tcW w:w="2662"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测点位置（m）</w:t>
                  </w:r>
                </w:p>
              </w:tc>
              <w:tc>
                <w:tcPr>
                  <w:tcW w:w="2197" w:type="dxa"/>
                  <w:vAlign w:val="center"/>
                </w:tcPr>
                <w:p>
                  <w:pPr>
                    <w:spacing w:line="240" w:lineRule="auto"/>
                    <w:ind w:firstLine="0" w:firstLineChars="0"/>
                    <w:rPr>
                      <w:color w:val="auto"/>
                      <w:sz w:val="21"/>
                      <w:szCs w:val="21"/>
                      <w:highlight w:val="none"/>
                    </w:rPr>
                  </w:pPr>
                  <w:r>
                    <w:rPr>
                      <w:rFonts w:hint="eastAsia"/>
                      <w:color w:val="auto"/>
                      <w:sz w:val="21"/>
                      <w:szCs w:val="21"/>
                      <w:highlight w:val="none"/>
                    </w:rPr>
                    <w:t>噪声值（db（A））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1</w:t>
                  </w:r>
                </w:p>
              </w:tc>
              <w:tc>
                <w:tcPr>
                  <w:tcW w:w="2393"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挖掘机</w:t>
                  </w:r>
                </w:p>
              </w:tc>
              <w:tc>
                <w:tcPr>
                  <w:tcW w:w="2662"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5</w:t>
                  </w:r>
                </w:p>
              </w:tc>
              <w:tc>
                <w:tcPr>
                  <w:tcW w:w="2197"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2</w:t>
                  </w:r>
                </w:p>
              </w:tc>
              <w:tc>
                <w:tcPr>
                  <w:tcW w:w="2393"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推土机</w:t>
                  </w:r>
                </w:p>
              </w:tc>
              <w:tc>
                <w:tcPr>
                  <w:tcW w:w="2662"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5</w:t>
                  </w:r>
                </w:p>
              </w:tc>
              <w:tc>
                <w:tcPr>
                  <w:tcW w:w="2197"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3</w:t>
                  </w:r>
                </w:p>
              </w:tc>
              <w:tc>
                <w:tcPr>
                  <w:tcW w:w="2393"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载重汽车</w:t>
                  </w:r>
                </w:p>
              </w:tc>
              <w:tc>
                <w:tcPr>
                  <w:tcW w:w="2662"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5</w:t>
                  </w:r>
                </w:p>
              </w:tc>
              <w:tc>
                <w:tcPr>
                  <w:tcW w:w="2197"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4</w:t>
                  </w:r>
                </w:p>
              </w:tc>
              <w:tc>
                <w:tcPr>
                  <w:tcW w:w="2393"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起重机</w:t>
                  </w:r>
                </w:p>
              </w:tc>
              <w:tc>
                <w:tcPr>
                  <w:tcW w:w="2662"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5</w:t>
                  </w:r>
                </w:p>
              </w:tc>
              <w:tc>
                <w:tcPr>
                  <w:tcW w:w="2197"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5</w:t>
                  </w:r>
                </w:p>
              </w:tc>
              <w:tc>
                <w:tcPr>
                  <w:tcW w:w="2393"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冲击式钻机</w:t>
                  </w:r>
                </w:p>
              </w:tc>
              <w:tc>
                <w:tcPr>
                  <w:tcW w:w="2662"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1</w:t>
                  </w:r>
                </w:p>
              </w:tc>
              <w:tc>
                <w:tcPr>
                  <w:tcW w:w="2197"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35"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6</w:t>
                  </w:r>
                </w:p>
              </w:tc>
              <w:tc>
                <w:tcPr>
                  <w:tcW w:w="2393"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柴电发电机组</w:t>
                  </w:r>
                </w:p>
              </w:tc>
              <w:tc>
                <w:tcPr>
                  <w:tcW w:w="2662"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1</w:t>
                  </w:r>
                </w:p>
              </w:tc>
              <w:tc>
                <w:tcPr>
                  <w:tcW w:w="2197" w:type="dxa"/>
                  <w:vAlign w:val="center"/>
                </w:tcPr>
                <w:p>
                  <w:pPr>
                    <w:spacing w:line="240" w:lineRule="auto"/>
                    <w:ind w:firstLine="420"/>
                    <w:jc w:val="center"/>
                    <w:rPr>
                      <w:color w:val="auto"/>
                      <w:sz w:val="21"/>
                      <w:szCs w:val="21"/>
                      <w:highlight w:val="none"/>
                    </w:rPr>
                  </w:pPr>
                  <w:r>
                    <w:rPr>
                      <w:rFonts w:hint="eastAsia"/>
                      <w:color w:val="auto"/>
                      <w:sz w:val="21"/>
                      <w:szCs w:val="21"/>
                      <w:highlight w:val="none"/>
                    </w:rPr>
                    <w:t>98</w:t>
                  </w:r>
                </w:p>
              </w:tc>
            </w:tr>
          </w:tbl>
          <w:p>
            <w:pPr>
              <w:pStyle w:val="2"/>
              <w:spacing w:line="360" w:lineRule="auto"/>
              <w:ind w:firstLine="482" w:firstLineChars="200"/>
              <w:rPr>
                <w:b/>
                <w:bCs/>
                <w:color w:val="auto"/>
                <w:szCs w:val="21"/>
                <w:highlight w:val="none"/>
              </w:rPr>
            </w:pPr>
            <w:r>
              <w:rPr>
                <w:rFonts w:hint="eastAsia"/>
                <w:b/>
                <w:bCs/>
                <w:color w:val="auto"/>
                <w:szCs w:val="21"/>
                <w:highlight w:val="none"/>
              </w:rPr>
              <w:t>④固废污染源</w:t>
            </w:r>
          </w:p>
          <w:p>
            <w:pPr>
              <w:pStyle w:val="2"/>
              <w:spacing w:line="360" w:lineRule="auto"/>
              <w:ind w:firstLine="480" w:firstLineChars="200"/>
              <w:rPr>
                <w:color w:val="auto"/>
                <w:szCs w:val="21"/>
                <w:highlight w:val="none"/>
              </w:rPr>
            </w:pPr>
            <w:r>
              <w:rPr>
                <w:rFonts w:hint="eastAsia"/>
                <w:color w:val="auto"/>
                <w:szCs w:val="21"/>
                <w:highlight w:val="none"/>
              </w:rPr>
              <w:t>项目施工期固废为弃土、建筑垃圾、生活垃圾等固体废物。</w:t>
            </w:r>
          </w:p>
          <w:p>
            <w:pPr>
              <w:pStyle w:val="2"/>
              <w:spacing w:line="360" w:lineRule="auto"/>
              <w:ind w:firstLine="482" w:firstLineChars="200"/>
              <w:rPr>
                <w:b/>
                <w:bCs/>
                <w:color w:val="auto"/>
                <w:szCs w:val="21"/>
                <w:highlight w:val="none"/>
              </w:rPr>
            </w:pPr>
            <w:r>
              <w:rPr>
                <w:rFonts w:hint="eastAsia"/>
                <w:b/>
                <w:bCs/>
                <w:color w:val="auto"/>
                <w:szCs w:val="21"/>
                <w:highlight w:val="none"/>
              </w:rPr>
              <w:t>1）开挖土石方</w:t>
            </w:r>
          </w:p>
          <w:p>
            <w:pPr>
              <w:pStyle w:val="2"/>
              <w:spacing w:line="360" w:lineRule="auto"/>
              <w:ind w:firstLine="480" w:firstLineChars="200"/>
              <w:rPr>
                <w:color w:val="auto"/>
                <w:szCs w:val="21"/>
                <w:highlight w:val="none"/>
              </w:rPr>
            </w:pPr>
            <w:r>
              <w:rPr>
                <w:rFonts w:hint="eastAsia"/>
                <w:color w:val="auto"/>
                <w:szCs w:val="21"/>
                <w:highlight w:val="none"/>
              </w:rPr>
              <w:t>净水厂地势较高，需要一定量的土石方，进行场地平整等作业。根据《祁阳县城乡供水一体化（二期）工程可行研究报告》估算施工过程中挖方量约134160m</w:t>
            </w:r>
            <w:r>
              <w:rPr>
                <w:rFonts w:hint="eastAsia"/>
                <w:color w:val="auto"/>
                <w:szCs w:val="21"/>
                <w:highlight w:val="none"/>
                <w:vertAlign w:val="superscript"/>
              </w:rPr>
              <w:t>3</w:t>
            </w:r>
            <w:r>
              <w:rPr>
                <w:rFonts w:hint="eastAsia"/>
                <w:color w:val="auto"/>
                <w:szCs w:val="21"/>
                <w:highlight w:val="none"/>
              </w:rPr>
              <w:t>左右，填方量约为110560m</w:t>
            </w:r>
            <w:r>
              <w:rPr>
                <w:rFonts w:hint="eastAsia"/>
                <w:color w:val="auto"/>
                <w:szCs w:val="21"/>
                <w:highlight w:val="none"/>
                <w:vertAlign w:val="superscript"/>
              </w:rPr>
              <w:t>3</w:t>
            </w:r>
            <w:r>
              <w:rPr>
                <w:rFonts w:hint="eastAsia"/>
                <w:color w:val="auto"/>
                <w:szCs w:val="21"/>
                <w:highlight w:val="none"/>
              </w:rPr>
              <w:t>，挖方回用于填方，废弃土石方产生量为23600m</w:t>
            </w:r>
            <w:r>
              <w:rPr>
                <w:rFonts w:hint="eastAsia"/>
                <w:color w:val="auto"/>
                <w:szCs w:val="21"/>
                <w:highlight w:val="none"/>
                <w:vertAlign w:val="superscript"/>
              </w:rPr>
              <w:t>3</w:t>
            </w:r>
            <w:r>
              <w:rPr>
                <w:rFonts w:hint="eastAsia"/>
                <w:color w:val="auto"/>
                <w:szCs w:val="21"/>
                <w:highlight w:val="none"/>
              </w:rPr>
              <w:t>，由建设单位委托专业渣土公司运输至其它建设用地做填方，因此本项目不设弃渣场。</w:t>
            </w:r>
          </w:p>
          <w:p>
            <w:pPr>
              <w:pStyle w:val="2"/>
              <w:spacing w:line="360" w:lineRule="auto"/>
              <w:ind w:firstLine="482" w:firstLineChars="200"/>
              <w:rPr>
                <w:b/>
                <w:bCs/>
                <w:color w:val="auto"/>
                <w:szCs w:val="21"/>
                <w:highlight w:val="none"/>
              </w:rPr>
            </w:pPr>
            <w:r>
              <w:rPr>
                <w:rFonts w:hint="eastAsia"/>
                <w:b/>
                <w:bCs/>
                <w:color w:val="auto"/>
                <w:szCs w:val="21"/>
                <w:highlight w:val="none"/>
              </w:rPr>
              <w:t>2）建筑垃圾</w:t>
            </w:r>
          </w:p>
          <w:p>
            <w:pPr>
              <w:pStyle w:val="2"/>
              <w:spacing w:line="360" w:lineRule="auto"/>
              <w:ind w:firstLine="480" w:firstLineChars="200"/>
              <w:rPr>
                <w:color w:val="auto"/>
                <w:szCs w:val="21"/>
                <w:highlight w:val="none"/>
              </w:rPr>
            </w:pPr>
            <w:r>
              <w:rPr>
                <w:rFonts w:hint="eastAsia"/>
                <w:color w:val="auto"/>
                <w:szCs w:val="21"/>
                <w:highlight w:val="none"/>
              </w:rPr>
              <w:t>施工建筑垃圾产生量约2t，产生的建筑垃圾部分是建筑模块、建筑材料下脚料、 断残钢筋头、破钢管、包装带等，经分类处理，部分回收利用，其他由施工方统一清运至祁阳县城建部门指定地点。</w:t>
            </w:r>
          </w:p>
          <w:p>
            <w:pPr>
              <w:pStyle w:val="2"/>
              <w:spacing w:line="360" w:lineRule="auto"/>
              <w:ind w:firstLine="482" w:firstLineChars="200"/>
              <w:rPr>
                <w:b/>
                <w:bCs/>
                <w:color w:val="auto"/>
                <w:szCs w:val="21"/>
                <w:highlight w:val="none"/>
              </w:rPr>
            </w:pPr>
            <w:r>
              <w:rPr>
                <w:rFonts w:hint="eastAsia"/>
                <w:b/>
                <w:bCs/>
                <w:color w:val="auto"/>
                <w:szCs w:val="21"/>
                <w:highlight w:val="none"/>
              </w:rPr>
              <w:t>3）生活垃圾</w:t>
            </w:r>
          </w:p>
          <w:p>
            <w:pPr>
              <w:pStyle w:val="2"/>
              <w:spacing w:line="360" w:lineRule="auto"/>
              <w:ind w:firstLine="480" w:firstLineChars="200"/>
              <w:rPr>
                <w:color w:val="auto"/>
                <w:szCs w:val="21"/>
                <w:highlight w:val="none"/>
              </w:rPr>
            </w:pPr>
            <w:r>
              <w:rPr>
                <w:rFonts w:hint="eastAsia"/>
                <w:color w:val="auto"/>
                <w:szCs w:val="21"/>
                <w:highlight w:val="none"/>
              </w:rPr>
              <w:t>施工人员为50人，均不在厂区食宿，生活垃圾以0.2kg/cap·d计，产生量约为10 kg/d；统一收集后，委托乡镇环卫部门处理。</w:t>
            </w:r>
          </w:p>
          <w:p>
            <w:pPr>
              <w:pStyle w:val="2"/>
              <w:spacing w:line="360" w:lineRule="auto"/>
              <w:ind w:firstLine="482" w:firstLineChars="200"/>
              <w:rPr>
                <w:b/>
                <w:bCs/>
                <w:color w:val="auto"/>
                <w:highlight w:val="none"/>
              </w:rPr>
            </w:pPr>
            <w:r>
              <w:rPr>
                <w:rFonts w:hint="eastAsia"/>
                <w:b/>
                <w:bCs/>
                <w:color w:val="auto"/>
                <w:highlight w:val="none"/>
              </w:rPr>
              <w:t>（2）管网工程施工期污染源分析</w:t>
            </w:r>
          </w:p>
          <w:p>
            <w:pPr>
              <w:pStyle w:val="2"/>
              <w:spacing w:line="360" w:lineRule="auto"/>
              <w:ind w:firstLine="482" w:firstLineChars="200"/>
              <w:rPr>
                <w:b/>
                <w:bCs/>
                <w:color w:val="auto"/>
                <w:szCs w:val="21"/>
                <w:highlight w:val="none"/>
              </w:rPr>
            </w:pPr>
            <w:r>
              <w:rPr>
                <w:rFonts w:hint="eastAsia"/>
                <w:b/>
                <w:bCs/>
                <w:color w:val="auto"/>
                <w:szCs w:val="21"/>
                <w:highlight w:val="none"/>
              </w:rPr>
              <w:t>①废水污染源</w:t>
            </w:r>
          </w:p>
          <w:p>
            <w:pPr>
              <w:pStyle w:val="2"/>
              <w:spacing w:line="360" w:lineRule="auto"/>
              <w:ind w:firstLine="480" w:firstLineChars="200"/>
              <w:rPr>
                <w:color w:val="auto"/>
                <w:szCs w:val="21"/>
                <w:highlight w:val="none"/>
              </w:rPr>
            </w:pPr>
            <w:r>
              <w:rPr>
                <w:rFonts w:hint="eastAsia"/>
                <w:color w:val="auto"/>
                <w:szCs w:val="21"/>
                <w:highlight w:val="none"/>
              </w:rPr>
              <w:t>管线施工为分段式施工，作业区域采取围挡措施，尽量减少管道施工时开挖土层、 临时堆土经雨水冲刷产生的泥浆水。施工人员的生活污水主要污染物为COD</w:t>
            </w:r>
            <w:r>
              <w:rPr>
                <w:rFonts w:hint="eastAsia"/>
                <w:color w:val="auto"/>
                <w:szCs w:val="21"/>
                <w:highlight w:val="none"/>
                <w:lang w:val="en-US" w:eastAsia="zh-CN"/>
              </w:rPr>
              <w:t>cr</w:t>
            </w:r>
            <w:r>
              <w:rPr>
                <w:rFonts w:hint="eastAsia"/>
                <w:color w:val="auto"/>
                <w:szCs w:val="21"/>
                <w:highlight w:val="none"/>
              </w:rPr>
              <w:t>、BOD</w:t>
            </w:r>
            <w:r>
              <w:rPr>
                <w:rFonts w:hint="eastAsia"/>
                <w:color w:val="auto"/>
                <w:szCs w:val="21"/>
                <w:highlight w:val="none"/>
                <w:vertAlign w:val="subscript"/>
              </w:rPr>
              <w:t>5</w:t>
            </w:r>
            <w:r>
              <w:rPr>
                <w:rFonts w:hint="eastAsia"/>
                <w:color w:val="auto"/>
                <w:szCs w:val="21"/>
                <w:highlight w:val="none"/>
              </w:rPr>
              <w:t xml:space="preserve"> 和氨氮。管线施工为分段式施工不设集中施工营地，施工人员产生的生活污水依托管线附近周边民房配套的污水处理设施进行处理。 </w:t>
            </w:r>
          </w:p>
          <w:p>
            <w:pPr>
              <w:pStyle w:val="2"/>
              <w:spacing w:line="360" w:lineRule="auto"/>
              <w:ind w:firstLine="482" w:firstLineChars="200"/>
              <w:rPr>
                <w:b/>
                <w:bCs/>
                <w:color w:val="auto"/>
                <w:szCs w:val="21"/>
                <w:highlight w:val="none"/>
              </w:rPr>
            </w:pPr>
            <w:r>
              <w:rPr>
                <w:rFonts w:hint="eastAsia"/>
                <w:b/>
                <w:bCs/>
                <w:color w:val="auto"/>
                <w:szCs w:val="21"/>
                <w:highlight w:val="none"/>
              </w:rPr>
              <w:t>②废气污染源</w:t>
            </w:r>
          </w:p>
          <w:p>
            <w:pPr>
              <w:widowControl/>
              <w:spacing w:line="360" w:lineRule="auto"/>
              <w:ind w:firstLine="480" w:firstLineChars="200"/>
              <w:jc w:val="left"/>
              <w:rPr>
                <w:rFonts w:hint="default" w:ascii="Times New Roman" w:hAnsi="Times New Roman" w:cs="Times New Roman"/>
                <w:b/>
                <w:color w:val="FF0000"/>
                <w:sz w:val="24"/>
                <w:highlight w:val="none"/>
                <w:u w:val="single"/>
              </w:rPr>
            </w:pPr>
            <w:r>
              <w:rPr>
                <w:rFonts w:hint="eastAsia"/>
                <w:color w:val="auto"/>
                <w:szCs w:val="21"/>
                <w:highlight w:val="none"/>
              </w:rPr>
              <w:t>施工期的大气污染源主要是施工机械、运输车辆等废气</w:t>
            </w:r>
            <w:r>
              <w:rPr>
                <w:rFonts w:hint="eastAsia"/>
                <w:color w:val="auto"/>
                <w:szCs w:val="21"/>
                <w:highlight w:val="none"/>
                <w:lang w:eastAsia="zh-CN"/>
              </w:rPr>
              <w:t>、</w:t>
            </w:r>
            <w:r>
              <w:rPr>
                <w:rFonts w:hint="eastAsia"/>
                <w:color w:val="FF0000"/>
                <w:szCs w:val="21"/>
                <w:highlight w:val="none"/>
                <w:u w:val="single"/>
                <w:lang w:eastAsia="zh-CN"/>
              </w:rPr>
              <w:t>施工场地平整、</w:t>
            </w:r>
            <w:r>
              <w:rPr>
                <w:rFonts w:hint="eastAsia"/>
                <w:color w:val="FF0000"/>
                <w:szCs w:val="21"/>
                <w:highlight w:val="none"/>
                <w:u w:val="single"/>
              </w:rPr>
              <w:t>管沟开挖和回填、材料运输等</w:t>
            </w:r>
            <w:r>
              <w:rPr>
                <w:rFonts w:hint="eastAsia"/>
                <w:color w:val="FF0000"/>
                <w:szCs w:val="21"/>
                <w:highlight w:val="none"/>
                <w:u w:val="single"/>
                <w:lang w:eastAsia="zh-CN"/>
              </w:rPr>
              <w:t>工序产生的</w:t>
            </w:r>
            <w:r>
              <w:rPr>
                <w:rFonts w:hint="eastAsia"/>
                <w:color w:val="FF0000"/>
                <w:szCs w:val="21"/>
                <w:highlight w:val="none"/>
                <w:u w:val="single"/>
              </w:rPr>
              <w:t>扬尘等</w:t>
            </w:r>
            <w:r>
              <w:rPr>
                <w:rFonts w:hint="eastAsia"/>
                <w:color w:val="FF0000"/>
                <w:szCs w:val="21"/>
                <w:highlight w:val="none"/>
                <w:u w:val="single"/>
                <w:lang w:eastAsia="zh-CN"/>
              </w:rPr>
              <w:t>以及管道进行焊接产生焊接烟气</w:t>
            </w:r>
            <w:r>
              <w:rPr>
                <w:rFonts w:hint="eastAsia"/>
                <w:color w:val="FF0000"/>
                <w:szCs w:val="21"/>
                <w:highlight w:val="none"/>
                <w:u w:val="single"/>
              </w:rPr>
              <w:t>。</w:t>
            </w:r>
            <w:r>
              <w:rPr>
                <w:rFonts w:hint="eastAsia"/>
                <w:color w:val="auto"/>
                <w:szCs w:val="21"/>
                <w:highlight w:val="none"/>
              </w:rPr>
              <w:t xml:space="preserve"> 施工机械、运输车辆废气产生量较少，施工机械和建筑材料运输车辆一般都以柴油为燃料。由柴油燃烧产生的尾气中主要含有颗粒物和碳氢化合物，对环境造成污染。施工车辆尾气主要污染因子有CO、THC和NOx，一般大型车辆尾气污染物排放量为：CO：5.25g/辆·km，THC：20.8g/辆·km，NOx：10.44g/辆·km。施工扬尘主要有</w:t>
            </w:r>
            <w:r>
              <w:rPr>
                <w:rFonts w:hint="eastAsia"/>
                <w:color w:val="FF0000"/>
                <w:szCs w:val="21"/>
                <w:highlight w:val="none"/>
                <w:u w:val="single"/>
                <w:lang w:eastAsia="zh-CN"/>
              </w:rPr>
              <w:t>施工场地平整、</w:t>
            </w:r>
            <w:r>
              <w:rPr>
                <w:rFonts w:hint="eastAsia"/>
                <w:color w:val="FF0000"/>
                <w:szCs w:val="21"/>
                <w:highlight w:val="none"/>
                <w:u w:val="single"/>
              </w:rPr>
              <w:t>管沟开挖和回填、材料运输</w:t>
            </w:r>
            <w:r>
              <w:rPr>
                <w:rFonts w:hint="eastAsia"/>
                <w:color w:val="auto"/>
                <w:szCs w:val="21"/>
                <w:highlight w:val="none"/>
              </w:rPr>
              <w:t>施工车辆行驶过程中扬起的灰尘、渣土等装卸时产生的扬尘及裸露地面因风蚀而产生的扬尘。这些扬尘的产生与地面干燥程度和风速大小有关，地面越干燥，风速越大，产生扬尘越大。据类比资料显示，在路旁和装卸处下风向5～10m 处，TSP 浓度可达 1000～2000mg/m</w:t>
            </w:r>
            <w:r>
              <w:rPr>
                <w:rFonts w:hint="eastAsia"/>
                <w:color w:val="auto"/>
                <w:szCs w:val="21"/>
                <w:highlight w:val="none"/>
                <w:vertAlign w:val="superscript"/>
              </w:rPr>
              <w:t>3</w:t>
            </w:r>
            <w:r>
              <w:rPr>
                <w:rFonts w:hint="eastAsia"/>
                <w:color w:val="auto"/>
                <w:szCs w:val="21"/>
                <w:highlight w:val="none"/>
              </w:rPr>
              <w:t>。</w:t>
            </w:r>
            <w:r>
              <w:rPr>
                <w:rFonts w:hint="default" w:ascii="Times New Roman" w:hAnsi="Times New Roman" w:cs="Times New Roman"/>
                <w:color w:val="FF0000"/>
                <w:sz w:val="24"/>
                <w:highlight w:val="none"/>
                <w:u w:val="single"/>
              </w:rPr>
              <w:t>项目</w:t>
            </w:r>
            <w:r>
              <w:rPr>
                <w:rFonts w:hint="eastAsia" w:cs="Times New Roman"/>
                <w:color w:val="FF0000"/>
                <w:sz w:val="24"/>
                <w:highlight w:val="none"/>
                <w:u w:val="single"/>
                <w:lang w:eastAsia="zh-CN"/>
              </w:rPr>
              <w:t>管道</w:t>
            </w:r>
            <w:r>
              <w:rPr>
                <w:rFonts w:hint="default" w:ascii="Times New Roman" w:hAnsi="Times New Roman" w:cs="Times New Roman"/>
                <w:color w:val="FF0000"/>
                <w:sz w:val="24"/>
                <w:highlight w:val="none"/>
                <w:u w:val="single"/>
              </w:rPr>
              <w:t>焊接过程将产生少量焊尘废气，主要由焊条在焊接高温下产生的，属于无组织排放。</w:t>
            </w:r>
          </w:p>
          <w:p>
            <w:pPr>
              <w:pStyle w:val="2"/>
              <w:spacing w:line="360" w:lineRule="auto"/>
              <w:ind w:firstLine="482" w:firstLineChars="200"/>
              <w:rPr>
                <w:b/>
                <w:bCs/>
                <w:color w:val="auto"/>
                <w:szCs w:val="21"/>
                <w:highlight w:val="none"/>
              </w:rPr>
            </w:pPr>
            <w:r>
              <w:rPr>
                <w:rFonts w:hint="eastAsia"/>
                <w:b/>
                <w:bCs/>
                <w:color w:val="auto"/>
                <w:szCs w:val="21"/>
                <w:highlight w:val="none"/>
              </w:rPr>
              <w:t xml:space="preserve">③噪声污染源 </w:t>
            </w:r>
          </w:p>
          <w:p>
            <w:pPr>
              <w:pStyle w:val="2"/>
              <w:spacing w:line="360" w:lineRule="auto"/>
              <w:ind w:firstLine="480" w:firstLineChars="200"/>
              <w:rPr>
                <w:color w:val="auto"/>
                <w:szCs w:val="21"/>
                <w:highlight w:val="none"/>
              </w:rPr>
            </w:pPr>
            <w:r>
              <w:rPr>
                <w:rFonts w:hint="eastAsia"/>
                <w:color w:val="auto"/>
                <w:szCs w:val="21"/>
                <w:highlight w:val="none"/>
              </w:rPr>
              <w:t>管</w:t>
            </w:r>
            <w:r>
              <w:rPr>
                <w:rFonts w:hint="eastAsia"/>
                <w:color w:val="auto"/>
                <w:szCs w:val="21"/>
                <w:highlight w:val="none"/>
                <w:lang w:eastAsia="zh-CN"/>
              </w:rPr>
              <w:t>网</w:t>
            </w:r>
            <w:r>
              <w:rPr>
                <w:rFonts w:hint="eastAsia"/>
                <w:color w:val="auto"/>
                <w:szCs w:val="21"/>
                <w:highlight w:val="none"/>
              </w:rPr>
              <w:t>施工噪声类型主要是路面破碎机、切割机、小型挖掘机、柴油发电机等设备运行时产生的设备噪声和运输车辆产生的交通噪声，根据同类工程类比调查，噪声值在 84-98dB（A）。施工机械噪声级类比情况见表5-2。管网建设工程地点比较分散，且施工机械产生的噪声是无规律的，所以噪声影响面比较广。</w:t>
            </w:r>
          </w:p>
          <w:p>
            <w:pPr>
              <w:spacing w:line="240" w:lineRule="auto"/>
              <w:ind w:firstLine="422"/>
              <w:jc w:val="center"/>
              <w:rPr>
                <w:rFonts w:hint="eastAsia"/>
                <w:b/>
                <w:bCs/>
                <w:color w:val="auto"/>
                <w:sz w:val="21"/>
                <w:szCs w:val="21"/>
                <w:highlight w:val="none"/>
              </w:rPr>
            </w:pPr>
          </w:p>
          <w:p>
            <w:pPr>
              <w:spacing w:line="240" w:lineRule="auto"/>
              <w:ind w:firstLine="422"/>
              <w:jc w:val="center"/>
              <w:rPr>
                <w:rFonts w:hint="eastAsia"/>
                <w:b/>
                <w:bCs/>
                <w:color w:val="auto"/>
                <w:sz w:val="21"/>
                <w:szCs w:val="21"/>
                <w:highlight w:val="none"/>
              </w:rPr>
            </w:pPr>
          </w:p>
          <w:p>
            <w:pPr>
              <w:spacing w:line="240" w:lineRule="auto"/>
              <w:ind w:firstLine="422"/>
              <w:jc w:val="center"/>
              <w:rPr>
                <w:b/>
                <w:bCs/>
                <w:color w:val="auto"/>
                <w:sz w:val="21"/>
                <w:szCs w:val="21"/>
                <w:highlight w:val="none"/>
              </w:rPr>
            </w:pPr>
            <w:r>
              <w:rPr>
                <w:rFonts w:hint="eastAsia"/>
                <w:b/>
                <w:bCs/>
                <w:color w:val="auto"/>
                <w:sz w:val="21"/>
                <w:szCs w:val="21"/>
                <w:highlight w:val="none"/>
              </w:rPr>
              <w:t>表5-2  施工机械噪声值</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364"/>
              <w:gridCol w:w="2572"/>
              <w:gridCol w:w="2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序号</w:t>
                  </w:r>
                </w:p>
              </w:tc>
              <w:tc>
                <w:tcPr>
                  <w:tcW w:w="236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机械、车辆类型</w:t>
                  </w:r>
                </w:p>
              </w:tc>
              <w:tc>
                <w:tcPr>
                  <w:tcW w:w="257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测点位置（m）</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噪声值（db（A））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236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小型挖掘机</w:t>
                  </w:r>
                </w:p>
              </w:tc>
              <w:tc>
                <w:tcPr>
                  <w:tcW w:w="257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236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柴油发电机组</w:t>
                  </w:r>
                </w:p>
              </w:tc>
              <w:tc>
                <w:tcPr>
                  <w:tcW w:w="257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236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路面破碎机</w:t>
                  </w:r>
                </w:p>
              </w:tc>
              <w:tc>
                <w:tcPr>
                  <w:tcW w:w="257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236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切割机</w:t>
                  </w:r>
                </w:p>
              </w:tc>
              <w:tc>
                <w:tcPr>
                  <w:tcW w:w="257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236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电动振捣器</w:t>
                  </w:r>
                </w:p>
              </w:tc>
              <w:tc>
                <w:tcPr>
                  <w:tcW w:w="257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219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98</w:t>
                  </w:r>
                </w:p>
              </w:tc>
            </w:tr>
          </w:tbl>
          <w:p>
            <w:pPr>
              <w:pStyle w:val="2"/>
              <w:spacing w:line="360" w:lineRule="auto"/>
              <w:ind w:firstLine="482" w:firstLineChars="200"/>
              <w:rPr>
                <w:b/>
                <w:bCs/>
                <w:color w:val="auto"/>
                <w:szCs w:val="21"/>
                <w:highlight w:val="none"/>
              </w:rPr>
            </w:pPr>
            <w:r>
              <w:rPr>
                <w:rFonts w:hint="eastAsia"/>
                <w:b/>
                <w:bCs/>
                <w:color w:val="auto"/>
                <w:szCs w:val="21"/>
                <w:highlight w:val="none"/>
              </w:rPr>
              <w:t>④固废污染源</w:t>
            </w:r>
          </w:p>
          <w:p>
            <w:pPr>
              <w:pStyle w:val="2"/>
              <w:spacing w:line="360" w:lineRule="auto"/>
              <w:ind w:firstLine="480" w:firstLineChars="200"/>
              <w:rPr>
                <w:rFonts w:hint="eastAsia" w:eastAsia="宋体"/>
                <w:color w:val="FF0000"/>
                <w:szCs w:val="21"/>
                <w:highlight w:val="none"/>
                <w:u w:val="single"/>
                <w:vertAlign w:val="baseline"/>
                <w:lang w:eastAsia="zh-CN"/>
              </w:rPr>
            </w:pPr>
            <w:r>
              <w:rPr>
                <w:rFonts w:hint="eastAsia"/>
                <w:color w:val="auto"/>
                <w:szCs w:val="21"/>
                <w:highlight w:val="none"/>
              </w:rPr>
              <w:t>根据建设方提供的资料，管槽开挖过程中的</w:t>
            </w:r>
            <w:r>
              <w:rPr>
                <w:rFonts w:hint="eastAsia"/>
                <w:color w:val="auto"/>
                <w:szCs w:val="21"/>
                <w:highlight w:val="none"/>
                <w:lang w:eastAsia="zh-CN"/>
              </w:rPr>
              <w:t>会</w:t>
            </w:r>
            <w:r>
              <w:rPr>
                <w:rFonts w:hint="eastAsia"/>
                <w:color w:val="FF0000"/>
                <w:szCs w:val="21"/>
                <w:highlight w:val="none"/>
                <w:u w:val="single"/>
                <w:lang w:eastAsia="zh-CN"/>
              </w:rPr>
              <w:t>产生约</w:t>
            </w:r>
            <w:r>
              <w:rPr>
                <w:rFonts w:hint="eastAsia"/>
                <w:color w:val="FF0000"/>
                <w:szCs w:val="21"/>
                <w:highlight w:val="none"/>
                <w:u w:val="single"/>
                <w:lang w:val="en-US" w:eastAsia="zh-CN"/>
              </w:rPr>
              <w:t>3万m</w:t>
            </w:r>
            <w:r>
              <w:rPr>
                <w:rFonts w:hint="eastAsia"/>
                <w:color w:val="FF0000"/>
                <w:szCs w:val="21"/>
                <w:highlight w:val="none"/>
                <w:u w:val="single"/>
                <w:vertAlign w:val="superscript"/>
                <w:lang w:val="en-US" w:eastAsia="zh-CN"/>
              </w:rPr>
              <w:t>3</w:t>
            </w:r>
            <w:r>
              <w:rPr>
                <w:rFonts w:hint="eastAsia"/>
                <w:color w:val="FF0000"/>
                <w:szCs w:val="21"/>
                <w:highlight w:val="none"/>
                <w:u w:val="single"/>
                <w:vertAlign w:val="superscript"/>
              </w:rPr>
              <w:t xml:space="preserve"> </w:t>
            </w:r>
            <w:r>
              <w:rPr>
                <w:rFonts w:hint="eastAsia"/>
                <w:color w:val="FF0000"/>
                <w:szCs w:val="21"/>
                <w:highlight w:val="none"/>
                <w:u w:val="single"/>
                <w:vertAlign w:val="baseline"/>
                <w:lang w:eastAsia="zh-CN"/>
              </w:rPr>
              <w:t>弃土，委托</w:t>
            </w:r>
            <w:r>
              <w:rPr>
                <w:rFonts w:hint="eastAsia"/>
                <w:color w:val="FF0000"/>
                <w:szCs w:val="21"/>
                <w:highlight w:val="none"/>
                <w:u w:val="single"/>
              </w:rPr>
              <w:t>委托专业渣土公司运输至其它建设用地做填方</w:t>
            </w:r>
            <w:r>
              <w:rPr>
                <w:rFonts w:hint="eastAsia"/>
                <w:color w:val="FF0000"/>
                <w:szCs w:val="21"/>
                <w:highlight w:val="none"/>
                <w:u w:val="single"/>
                <w:lang w:eastAsia="zh-CN"/>
              </w:rPr>
              <w:t>。</w:t>
            </w:r>
          </w:p>
          <w:p>
            <w:pPr>
              <w:pStyle w:val="2"/>
              <w:spacing w:line="360" w:lineRule="auto"/>
              <w:ind w:firstLine="480" w:firstLineChars="200"/>
              <w:rPr>
                <w:rFonts w:hint="eastAsia"/>
                <w:color w:val="auto"/>
                <w:szCs w:val="21"/>
                <w:highlight w:val="none"/>
              </w:rPr>
            </w:pPr>
            <w:r>
              <w:rPr>
                <w:rFonts w:hint="eastAsia"/>
                <w:color w:val="auto"/>
                <w:szCs w:val="21"/>
                <w:highlight w:val="none"/>
              </w:rPr>
              <w:t xml:space="preserve">因此项目施工期固体废物主要为施工人员生活垃圾，生活垃圾统一收集后交环卫部门 统一清运。 </w:t>
            </w:r>
          </w:p>
          <w:p>
            <w:pPr>
              <w:pStyle w:val="2"/>
              <w:spacing w:line="360" w:lineRule="auto"/>
              <w:ind w:firstLine="482" w:firstLineChars="200"/>
              <w:rPr>
                <w:rFonts w:hint="eastAsia" w:ascii="Times New Roman" w:hAnsi="Times New Roman" w:eastAsia="宋体" w:cs="Times New Roman"/>
                <w:b/>
                <w:bCs/>
                <w:color w:val="FF0000"/>
                <w:szCs w:val="21"/>
                <w:highlight w:val="none"/>
                <w:u w:val="single"/>
                <w:lang w:eastAsia="zh-CN"/>
              </w:rPr>
            </w:pPr>
            <w:r>
              <w:rPr>
                <w:rFonts w:hint="eastAsia" w:ascii="Times New Roman" w:hAnsi="Times New Roman" w:eastAsia="宋体" w:cs="Times New Roman"/>
                <w:b/>
                <w:bCs/>
                <w:color w:val="FF0000"/>
                <w:szCs w:val="21"/>
                <w:highlight w:val="none"/>
                <w:u w:val="single"/>
                <w:lang w:eastAsia="zh-CN"/>
              </w:rPr>
              <w:t>（</w:t>
            </w:r>
            <w:r>
              <w:rPr>
                <w:rFonts w:hint="eastAsia" w:ascii="Times New Roman" w:hAnsi="Times New Roman" w:eastAsia="宋体" w:cs="Times New Roman"/>
                <w:b/>
                <w:bCs/>
                <w:color w:val="FF0000"/>
                <w:szCs w:val="21"/>
                <w:highlight w:val="none"/>
                <w:u w:val="single"/>
                <w:lang w:val="en-US" w:eastAsia="zh-CN"/>
              </w:rPr>
              <w:t>3</w:t>
            </w:r>
            <w:r>
              <w:rPr>
                <w:rFonts w:hint="eastAsia" w:ascii="Times New Roman" w:hAnsi="Times New Roman" w:eastAsia="宋体" w:cs="Times New Roman"/>
                <w:b/>
                <w:bCs/>
                <w:color w:val="FF0000"/>
                <w:szCs w:val="21"/>
                <w:highlight w:val="none"/>
                <w:u w:val="single"/>
                <w:lang w:eastAsia="zh-CN"/>
              </w:rPr>
              <w:t>）施工期生态环境</w:t>
            </w:r>
          </w:p>
          <w:p>
            <w:pPr>
              <w:spacing w:line="360" w:lineRule="auto"/>
              <w:ind w:firstLine="482" w:firstLineChars="200"/>
              <w:rPr>
                <w:rFonts w:hint="eastAsia"/>
                <w:b/>
                <w:color w:val="FF0000"/>
                <w:sz w:val="24"/>
                <w:highlight w:val="none"/>
                <w:u w:val="single"/>
              </w:rPr>
            </w:pPr>
            <w:r>
              <w:rPr>
                <w:rFonts w:hint="eastAsia"/>
                <w:b/>
                <w:color w:val="FF0000"/>
                <w:sz w:val="24"/>
                <w:highlight w:val="none"/>
                <w:u w:val="single"/>
              </w:rPr>
              <w:t>（1）水土流失</w:t>
            </w:r>
          </w:p>
          <w:p>
            <w:pPr>
              <w:spacing w:line="360" w:lineRule="auto"/>
              <w:ind w:firstLine="480" w:firstLineChars="200"/>
              <w:rPr>
                <w:color w:val="FF0000"/>
                <w:sz w:val="24"/>
                <w:highlight w:val="none"/>
                <w:u w:val="single"/>
              </w:rPr>
            </w:pPr>
            <w:r>
              <w:rPr>
                <w:color w:val="FF0000"/>
                <w:sz w:val="24"/>
                <w:highlight w:val="none"/>
                <w:u w:val="single"/>
              </w:rPr>
              <w:t>项目建设过程中，将破坏土地构型，植被被破坏，雨水侵蚀致使土壤流失，土层变薄，土壤发生层次缺失，导致表土裸露，局部蓄水固土的功能将丧失，从而导致水土流失。</w:t>
            </w:r>
          </w:p>
          <w:p>
            <w:pPr>
              <w:spacing w:line="360" w:lineRule="auto"/>
              <w:ind w:firstLine="480" w:firstLineChars="200"/>
              <w:rPr>
                <w:color w:val="FF0000"/>
                <w:sz w:val="24"/>
                <w:highlight w:val="none"/>
                <w:u w:val="single"/>
              </w:rPr>
            </w:pPr>
            <w:r>
              <w:rPr>
                <w:color w:val="FF0000"/>
                <w:sz w:val="24"/>
                <w:highlight w:val="none"/>
                <w:u w:val="single"/>
              </w:rPr>
              <w:t>水土流失是指土壤在降水侵蚀力作用下的分散、迁移和沉积的过程。影响水土流失的因素较多，主要包括降雨、土壤、植被、地形地貌以及工程施工等因素。就本项目而言，影响施工期水土流失的主要因素是降雨和工程施工。</w:t>
            </w:r>
          </w:p>
          <w:p>
            <w:pPr>
              <w:spacing w:line="360" w:lineRule="auto"/>
              <w:ind w:firstLine="482" w:firstLineChars="200"/>
              <w:rPr>
                <w:b/>
                <w:color w:val="FF0000"/>
                <w:sz w:val="24"/>
                <w:highlight w:val="none"/>
                <w:u w:val="single"/>
              </w:rPr>
            </w:pPr>
            <w:r>
              <w:rPr>
                <w:rFonts w:hAnsi="宋体"/>
                <w:b/>
                <w:color w:val="FF0000"/>
                <w:sz w:val="24"/>
                <w:highlight w:val="none"/>
                <w:u w:val="single"/>
              </w:rPr>
              <w:t>①</w:t>
            </w:r>
            <w:r>
              <w:rPr>
                <w:b/>
                <w:color w:val="FF0000"/>
                <w:sz w:val="24"/>
                <w:highlight w:val="none"/>
                <w:u w:val="single"/>
              </w:rPr>
              <w:t>降雨因素</w:t>
            </w:r>
            <w:r>
              <w:rPr>
                <w:rFonts w:hint="eastAsia"/>
                <w:b/>
                <w:color w:val="FF0000"/>
                <w:sz w:val="24"/>
                <w:highlight w:val="none"/>
                <w:u w:val="single"/>
                <w:lang w:eastAsia="zh-CN"/>
              </w:rPr>
              <w:t>：</w:t>
            </w:r>
            <w:r>
              <w:rPr>
                <w:color w:val="FF0000"/>
                <w:sz w:val="24"/>
                <w:highlight w:val="none"/>
                <w:u w:val="single"/>
              </w:rPr>
              <w:t>降雨是发生水土流失的最直接最重要的自然因素。降雨对裸露地表的影响表现在两个方面：一是雨滴对裸露地表的直接冲溅作用，二是雨水汇集形成地表径流的冲刷作用。这种作用在暴雨时表现得更为集中和剧烈，往往引起较大强度的水土流失。</w:t>
            </w:r>
            <w:r>
              <w:rPr>
                <w:rFonts w:hint="eastAsia"/>
                <w:color w:val="FF0000"/>
                <w:sz w:val="24"/>
                <w:highlight w:val="none"/>
                <w:u w:val="single"/>
                <w:lang w:eastAsia="zh-CN"/>
              </w:rPr>
              <w:t>永州</w:t>
            </w:r>
            <w:r>
              <w:rPr>
                <w:color w:val="FF0000"/>
                <w:sz w:val="24"/>
                <w:highlight w:val="none"/>
                <w:u w:val="single"/>
              </w:rPr>
              <w:t>市雨季充沛，雨季集中在4-6月份，降雨量大、暴雨日多(即降雨强度大)是造成水土流失的最直接的作用因素。因此，本项目的施工（尤其是在雨季）不可避免的会面临水土流失问题。</w:t>
            </w:r>
          </w:p>
          <w:p>
            <w:pPr>
              <w:spacing w:line="360" w:lineRule="auto"/>
              <w:ind w:firstLine="482" w:firstLineChars="200"/>
              <w:rPr>
                <w:rFonts w:hint="eastAsia"/>
                <w:color w:val="FF0000"/>
                <w:sz w:val="24"/>
                <w:highlight w:val="none"/>
                <w:u w:val="single"/>
              </w:rPr>
            </w:pPr>
            <w:r>
              <w:rPr>
                <w:rFonts w:hAnsi="宋体"/>
                <w:b/>
                <w:color w:val="FF0000"/>
                <w:sz w:val="24"/>
                <w:highlight w:val="none"/>
                <w:u w:val="single"/>
              </w:rPr>
              <w:t>②</w:t>
            </w:r>
            <w:r>
              <w:rPr>
                <w:b/>
                <w:color w:val="FF0000"/>
                <w:sz w:val="24"/>
                <w:highlight w:val="none"/>
                <w:u w:val="single"/>
              </w:rPr>
              <w:t>工程因素：</w:t>
            </w:r>
            <w:r>
              <w:rPr>
                <w:color w:val="FF0000"/>
                <w:sz w:val="24"/>
                <w:highlight w:val="none"/>
                <w:u w:val="single"/>
              </w:rPr>
              <w:t>工程因素主要指人类的各项开发建设活动，它通过影响引起水土流失的各项自然因素而起作用，是促进水土流失加剧的重要因素。区域开发建设改变区域地形地貌、破坏植被、改变土壤的理化性质，从而加剧水土流失的发生。就本建设项目而言，在正常的降雨条件下，工程施工是导致水土流失发生、发展并加剧的根源。据估算，经扰动的土壤其侵蚀模数比未经扰动的土壤约可加大10倍。若施工期不采取水土保持措施，造成的水土流失将非常严重。因此，项目挖、填土施工时，应尽量避开雨季。</w:t>
            </w:r>
          </w:p>
          <w:p>
            <w:pPr>
              <w:spacing w:line="360" w:lineRule="auto"/>
              <w:ind w:firstLine="482" w:firstLineChars="200"/>
              <w:rPr>
                <w:rFonts w:hint="eastAsia"/>
                <w:b/>
                <w:color w:val="FF0000"/>
                <w:sz w:val="24"/>
                <w:highlight w:val="none"/>
                <w:u w:val="single"/>
              </w:rPr>
            </w:pPr>
            <w:r>
              <w:rPr>
                <w:rFonts w:hint="eastAsia"/>
                <w:b/>
                <w:color w:val="FF0000"/>
                <w:sz w:val="24"/>
                <w:highlight w:val="none"/>
                <w:u w:val="single"/>
              </w:rPr>
              <w:t>（2）植被、土壤</w:t>
            </w:r>
          </w:p>
          <w:p>
            <w:pPr>
              <w:spacing w:line="360" w:lineRule="auto"/>
              <w:ind w:firstLine="480" w:firstLineChars="200"/>
              <w:rPr>
                <w:rFonts w:hint="default"/>
                <w:color w:val="FF0000"/>
                <w:highlight w:val="none"/>
                <w:u w:val="single"/>
                <w:lang w:val="en-US" w:eastAsia="zh-CN"/>
              </w:rPr>
            </w:pPr>
            <w:r>
              <w:rPr>
                <w:color w:val="FF0000"/>
                <w:sz w:val="24"/>
                <w:highlight w:val="none"/>
                <w:u w:val="single"/>
              </w:rPr>
              <w:t>施工期对生态环境的影响主要破坏地表植被和土壤结构，改变地形地貌及自然景观，使区域植被覆盖度和植物多样性下降、自然景观破碎化、生态系统的结构和功能下降</w:t>
            </w:r>
            <w:r>
              <w:rPr>
                <w:rFonts w:hint="eastAsia"/>
                <w:color w:val="FF0000"/>
                <w:sz w:val="24"/>
                <w:highlight w:val="none"/>
                <w:u w:val="single"/>
              </w:rPr>
              <w:t>，</w:t>
            </w:r>
            <w:r>
              <w:rPr>
                <w:color w:val="FF0000"/>
                <w:sz w:val="24"/>
                <w:highlight w:val="none"/>
                <w:u w:val="single"/>
              </w:rPr>
              <w:t>施工扬尘覆盖在植物叶片上，</w:t>
            </w:r>
            <w:r>
              <w:rPr>
                <w:rFonts w:hint="eastAsia"/>
                <w:color w:val="FF0000"/>
                <w:sz w:val="24"/>
                <w:highlight w:val="none"/>
                <w:u w:val="single"/>
              </w:rPr>
              <w:t>降低植物的光合与呼吸作用，</w:t>
            </w:r>
            <w:r>
              <w:rPr>
                <w:color w:val="FF0000"/>
                <w:sz w:val="24"/>
                <w:highlight w:val="none"/>
                <w:u w:val="single"/>
              </w:rPr>
              <w:t>影响</w:t>
            </w:r>
            <w:r>
              <w:rPr>
                <w:rFonts w:hint="eastAsia"/>
                <w:color w:val="FF0000"/>
                <w:sz w:val="24"/>
                <w:highlight w:val="none"/>
                <w:u w:val="single"/>
              </w:rPr>
              <w:t>植物</w:t>
            </w:r>
            <w:r>
              <w:rPr>
                <w:color w:val="FF0000"/>
                <w:sz w:val="24"/>
                <w:highlight w:val="none"/>
                <w:u w:val="single"/>
              </w:rPr>
              <w:t>生长发育</w:t>
            </w:r>
            <w:r>
              <w:rPr>
                <w:rFonts w:hint="eastAsia"/>
                <w:color w:val="FF0000"/>
                <w:sz w:val="24"/>
                <w:highlight w:val="none"/>
                <w:u w:val="single"/>
              </w:rPr>
              <w:t>，施工对植被的破坏，使部分灌丛、草丛中的动物（鸟、兽）栖息环境被破坏。</w:t>
            </w:r>
          </w:p>
          <w:p>
            <w:pPr>
              <w:spacing w:line="360" w:lineRule="auto"/>
              <w:ind w:firstLine="0" w:firstLineChars="0"/>
              <w:jc w:val="left"/>
              <w:rPr>
                <w:b/>
                <w:color w:val="auto"/>
                <w:highlight w:val="none"/>
              </w:rPr>
            </w:pPr>
            <w:r>
              <w:rPr>
                <w:rFonts w:hint="eastAsia"/>
                <w:b/>
                <w:color w:val="auto"/>
                <w:highlight w:val="none"/>
              </w:rPr>
              <w:t>2、营运期期</w:t>
            </w:r>
            <w:r>
              <w:rPr>
                <w:b/>
                <w:bCs/>
                <w:color w:val="auto"/>
                <w:highlight w:val="none"/>
              </w:rPr>
              <w:t>主要污染工序</w:t>
            </w:r>
            <w:r>
              <w:rPr>
                <w:rFonts w:hint="eastAsia"/>
                <w:b/>
                <w:bCs/>
                <w:color w:val="auto"/>
                <w:highlight w:val="none"/>
              </w:rPr>
              <w:t>及主要污染物</w:t>
            </w:r>
          </w:p>
          <w:p>
            <w:pPr>
              <w:spacing w:line="360" w:lineRule="auto"/>
              <w:ind w:firstLine="482"/>
              <w:jc w:val="left"/>
              <w:rPr>
                <w:b/>
                <w:color w:val="auto"/>
                <w:highlight w:val="none"/>
              </w:rPr>
            </w:pPr>
            <w:r>
              <w:rPr>
                <w:rFonts w:hint="eastAsia"/>
                <w:b/>
                <w:color w:val="auto"/>
                <w:highlight w:val="none"/>
              </w:rPr>
              <w:t>2.1废气</w:t>
            </w:r>
          </w:p>
          <w:p>
            <w:pPr>
              <w:pStyle w:val="2"/>
              <w:spacing w:line="360" w:lineRule="auto"/>
              <w:ind w:firstLine="480" w:firstLineChars="200"/>
              <w:rPr>
                <w:color w:val="auto"/>
                <w:szCs w:val="21"/>
                <w:highlight w:val="none"/>
                <w:u w:val="none"/>
              </w:rPr>
            </w:pPr>
            <w:r>
              <w:rPr>
                <w:rFonts w:hint="eastAsia"/>
                <w:color w:val="auto"/>
                <w:szCs w:val="21"/>
                <w:highlight w:val="none"/>
              </w:rPr>
              <w:t>项目营运期产生的主要大气污染物为非正常工况下的二氧化氯泄漏废气</w:t>
            </w:r>
            <w:r>
              <w:rPr>
                <w:rFonts w:hint="eastAsia"/>
                <w:color w:val="auto"/>
                <w:szCs w:val="21"/>
                <w:highlight w:val="none"/>
                <w:lang w:eastAsia="zh-CN"/>
              </w:rPr>
              <w:t>、</w:t>
            </w:r>
            <w:r>
              <w:rPr>
                <w:rFonts w:hint="eastAsia"/>
                <w:color w:val="auto"/>
                <w:szCs w:val="21"/>
                <w:highlight w:val="none"/>
                <w:u w:val="none"/>
                <w:lang w:val="en-US" w:eastAsia="zh-CN"/>
              </w:rPr>
              <w:t>盐酸废气以及</w:t>
            </w:r>
            <w:r>
              <w:rPr>
                <w:rFonts w:hint="eastAsia"/>
                <w:color w:val="auto"/>
                <w:szCs w:val="21"/>
                <w:highlight w:val="none"/>
              </w:rPr>
              <w:t>食堂油烟</w:t>
            </w:r>
            <w:r>
              <w:rPr>
                <w:rFonts w:hint="eastAsia"/>
                <w:color w:val="auto"/>
                <w:szCs w:val="21"/>
                <w:highlight w:val="none"/>
                <w:u w:val="none"/>
              </w:rPr>
              <w:t>。</w:t>
            </w:r>
          </w:p>
          <w:p>
            <w:pPr>
              <w:pStyle w:val="2"/>
              <w:spacing w:line="360" w:lineRule="auto"/>
              <w:ind w:firstLine="482" w:firstLineChars="200"/>
              <w:rPr>
                <w:b/>
                <w:bCs/>
                <w:color w:val="auto"/>
                <w:szCs w:val="21"/>
                <w:highlight w:val="none"/>
              </w:rPr>
            </w:pPr>
            <w:r>
              <w:rPr>
                <w:rFonts w:hint="eastAsia"/>
                <w:b/>
                <w:bCs/>
                <w:color w:val="auto"/>
                <w:szCs w:val="21"/>
                <w:highlight w:val="none"/>
              </w:rPr>
              <w:t>（1）二氧化氯泄漏废气（非正常工况）</w:t>
            </w:r>
          </w:p>
          <w:p>
            <w:pPr>
              <w:pStyle w:val="2"/>
              <w:spacing w:line="360" w:lineRule="auto"/>
              <w:ind w:firstLine="480" w:firstLineChars="200"/>
              <w:rPr>
                <w:color w:val="auto"/>
                <w:szCs w:val="21"/>
                <w:highlight w:val="none"/>
              </w:rPr>
            </w:pPr>
            <w:r>
              <w:rPr>
                <w:rFonts w:hint="eastAsia"/>
                <w:color w:val="auto"/>
                <w:szCs w:val="21"/>
                <w:highlight w:val="none"/>
              </w:rPr>
              <w:t>水厂在正常生产过程中不会排放生产废气，其可能排放的废气主要为用于消毒的ClO</w:t>
            </w:r>
            <w:r>
              <w:rPr>
                <w:rFonts w:hint="eastAsia"/>
                <w:color w:val="auto"/>
                <w:szCs w:val="21"/>
                <w:highlight w:val="none"/>
                <w:vertAlign w:val="subscript"/>
              </w:rPr>
              <w:t>2</w:t>
            </w:r>
            <w:r>
              <w:rPr>
                <w:rFonts w:hint="eastAsia"/>
                <w:color w:val="auto"/>
                <w:szCs w:val="21"/>
                <w:highlight w:val="none"/>
              </w:rPr>
              <w:t>的事故性排放；当制取设备产生故障或阀门、管道锈蚀情况下溢漏或析出的ClO</w:t>
            </w:r>
            <w:r>
              <w:rPr>
                <w:rFonts w:hint="eastAsia"/>
                <w:color w:val="auto"/>
                <w:szCs w:val="21"/>
                <w:highlight w:val="none"/>
                <w:vertAlign w:val="subscript"/>
              </w:rPr>
              <w:t>2</w:t>
            </w:r>
            <w:r>
              <w:rPr>
                <w:rFonts w:hint="eastAsia"/>
                <w:color w:val="auto"/>
                <w:szCs w:val="21"/>
                <w:highlight w:val="none"/>
              </w:rPr>
              <w:t>废气才会对局部空气环境产生一定影响。为保证安全，项目加氯加药间设置了漏氯报警器和快速冲洗装置等。一旦发生事故性泄漏，漏氯报警系统即会自动报警(报警浓度为1ppm(0.3158mg/Nm</w:t>
            </w:r>
            <w:r>
              <w:rPr>
                <w:rFonts w:hint="eastAsia"/>
                <w:color w:val="auto"/>
                <w:szCs w:val="21"/>
                <w:highlight w:val="none"/>
                <w:vertAlign w:val="superscript"/>
              </w:rPr>
              <w:t>3</w:t>
            </w:r>
            <w:r>
              <w:rPr>
                <w:rFonts w:hint="eastAsia"/>
                <w:color w:val="auto"/>
                <w:szCs w:val="21"/>
                <w:highlight w:val="none"/>
              </w:rPr>
              <w:t>)，同时漏氯吸收处理装置会自动运行，将泄漏的氯气进行收集和吸收处理。</w:t>
            </w:r>
          </w:p>
          <w:p>
            <w:pPr>
              <w:pStyle w:val="2"/>
              <w:spacing w:line="360" w:lineRule="auto"/>
              <w:ind w:firstLine="482" w:firstLineChars="200"/>
              <w:rPr>
                <w:rFonts w:hint="eastAsia" w:eastAsia="宋体"/>
                <w:b/>
                <w:bCs/>
                <w:color w:val="auto"/>
                <w:szCs w:val="21"/>
                <w:highlight w:val="none"/>
                <w:lang w:val="en-US" w:eastAsia="zh-CN"/>
              </w:rPr>
            </w:pPr>
            <w:r>
              <w:rPr>
                <w:rFonts w:hint="eastAsia"/>
                <w:b/>
                <w:bCs/>
                <w:color w:val="auto"/>
                <w:szCs w:val="21"/>
                <w:highlight w:val="none"/>
                <w:lang w:val="en-US" w:eastAsia="zh-CN"/>
              </w:rPr>
              <w:t>（2）盐酸废气</w:t>
            </w:r>
          </w:p>
          <w:p>
            <w:pPr>
              <w:pStyle w:val="2"/>
              <w:spacing w:line="360" w:lineRule="auto"/>
              <w:ind w:firstLine="48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盐酸在常温、常压下易挥发，本项目盐酸使用量为69.5t/a，储罐贮存，在贮存、使用过程中会挥发无组织排放HCL气体，该类废气排放量很小，通过类比调查，项目盐酸产生的无组织排放量一般为盐酸物料的百万分之一，根据计算本项目无组织排放HCL气体为69.1kg/a。</w:t>
            </w:r>
          </w:p>
          <w:p>
            <w:pPr>
              <w:pStyle w:val="2"/>
              <w:spacing w:line="360" w:lineRule="auto"/>
              <w:ind w:firstLine="482" w:firstLineChars="200"/>
              <w:rPr>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3</w:t>
            </w:r>
            <w:r>
              <w:rPr>
                <w:rFonts w:hint="eastAsia"/>
                <w:b/>
                <w:bCs/>
                <w:color w:val="auto"/>
                <w:szCs w:val="21"/>
                <w:highlight w:val="none"/>
              </w:rPr>
              <w:t>）食堂油烟</w:t>
            </w:r>
          </w:p>
          <w:p>
            <w:pPr>
              <w:pStyle w:val="2"/>
              <w:spacing w:line="360" w:lineRule="auto"/>
              <w:ind w:firstLine="480" w:firstLineChars="200"/>
              <w:rPr>
                <w:color w:val="auto"/>
                <w:szCs w:val="21"/>
                <w:highlight w:val="none"/>
              </w:rPr>
            </w:pPr>
            <w:r>
              <w:rPr>
                <w:rFonts w:hint="eastAsia"/>
                <w:color w:val="auto"/>
                <w:szCs w:val="21"/>
                <w:highlight w:val="none"/>
              </w:rPr>
              <w:t>油烟废气指食物烹饪和食品加工过程中挥发的油脂、有机质及热氧化和热裂解产生的混合物，其含有食用油及食品在高温下的挥发物、食用油和食品因氧化、裂解、水解而聚合形成的醛类、酮类以及多环芳烃等，成分非常复杂，并伴有刺鼻的味道。</w:t>
            </w:r>
          </w:p>
          <w:p>
            <w:pPr>
              <w:pStyle w:val="2"/>
              <w:spacing w:line="360" w:lineRule="auto"/>
              <w:ind w:firstLine="480" w:firstLineChars="200"/>
              <w:rPr>
                <w:rFonts w:hint="eastAsia"/>
                <w:color w:val="auto"/>
                <w:szCs w:val="21"/>
                <w:highlight w:val="none"/>
              </w:rPr>
            </w:pPr>
            <w:r>
              <w:rPr>
                <w:rFonts w:hint="eastAsia"/>
                <w:color w:val="auto"/>
                <w:szCs w:val="21"/>
                <w:highlight w:val="none"/>
              </w:rPr>
              <w:t>根据建设方提供的资料，本项目营运后，约30人在厂区食堂就餐（提供两餐），职工食堂设置1个灶头，灶头总风量为1000m</w:t>
            </w:r>
            <w:r>
              <w:rPr>
                <w:rFonts w:hint="eastAsia"/>
                <w:color w:val="auto"/>
                <w:szCs w:val="21"/>
                <w:highlight w:val="none"/>
                <w:vertAlign w:val="superscript"/>
              </w:rPr>
              <w:t>3</w:t>
            </w:r>
            <w:r>
              <w:rPr>
                <w:rFonts w:hint="eastAsia"/>
                <w:color w:val="auto"/>
                <w:szCs w:val="21"/>
                <w:highlight w:val="none"/>
              </w:rPr>
              <w:t>/h，每天使用约4小时，以液化气为燃料。液化气属于清洁能源，产生的油烟废气污染物很少。据统计，目前居民人均食用油日用量约20g/人</w:t>
            </w:r>
            <w:r>
              <w:rPr>
                <w:rFonts w:hint="eastAsia"/>
                <w:color w:val="auto"/>
                <w:szCs w:val="21"/>
                <w:highlight w:val="none"/>
                <w:cs/>
              </w:rPr>
              <w:t>•</w:t>
            </w:r>
            <w:r>
              <w:rPr>
                <w:rFonts w:hint="eastAsia"/>
                <w:color w:val="auto"/>
                <w:szCs w:val="21"/>
                <w:highlight w:val="none"/>
              </w:rPr>
              <w:t>d，每天耗油量为600g，一般油烟挥发量占总耗油量的3%，则油烟产生量为18g/d，6.57kg/a，油烟产生浓度为4.5mg/m</w:t>
            </w:r>
            <w:r>
              <w:rPr>
                <w:rFonts w:hint="eastAsia"/>
                <w:color w:val="auto"/>
                <w:szCs w:val="21"/>
                <w:highlight w:val="none"/>
                <w:vertAlign w:val="superscript"/>
              </w:rPr>
              <w:t>3</w:t>
            </w:r>
            <w:r>
              <w:rPr>
                <w:rFonts w:hint="eastAsia"/>
                <w:color w:val="auto"/>
                <w:szCs w:val="21"/>
                <w:highlight w:val="none"/>
              </w:rPr>
              <w:t>，食堂油烟经油烟净化器处理（处理效率不低于60%），处理后浓度为1.1mg/m</w:t>
            </w:r>
            <w:r>
              <w:rPr>
                <w:rFonts w:hint="eastAsia"/>
                <w:color w:val="auto"/>
                <w:szCs w:val="21"/>
                <w:highlight w:val="none"/>
                <w:vertAlign w:val="superscript"/>
              </w:rPr>
              <w:t>3</w:t>
            </w:r>
            <w:r>
              <w:rPr>
                <w:rFonts w:hint="eastAsia"/>
                <w:color w:val="auto"/>
                <w:szCs w:val="21"/>
                <w:highlight w:val="none"/>
              </w:rPr>
              <w:t>＜2.0mg/m</w:t>
            </w:r>
            <w:r>
              <w:rPr>
                <w:rFonts w:hint="eastAsia"/>
                <w:color w:val="auto"/>
                <w:szCs w:val="21"/>
                <w:highlight w:val="none"/>
                <w:vertAlign w:val="superscript"/>
              </w:rPr>
              <w:t>3</w:t>
            </w:r>
            <w:r>
              <w:rPr>
                <w:rFonts w:hint="eastAsia"/>
                <w:color w:val="auto"/>
                <w:szCs w:val="21"/>
                <w:highlight w:val="none"/>
              </w:rPr>
              <w:t>，处理后的排放量为1.825kg/a，满足《饮食业油烟排放标准（试行》（GB18483-2001）排放要求，对周围空气的影响较小。</w:t>
            </w:r>
          </w:p>
          <w:p>
            <w:pPr>
              <w:spacing w:line="360" w:lineRule="auto"/>
              <w:ind w:firstLine="482"/>
              <w:jc w:val="left"/>
              <w:rPr>
                <w:b/>
                <w:color w:val="auto"/>
                <w:highlight w:val="none"/>
              </w:rPr>
            </w:pPr>
            <w:r>
              <w:rPr>
                <w:rFonts w:hint="eastAsia"/>
                <w:b/>
                <w:color w:val="auto"/>
                <w:highlight w:val="none"/>
              </w:rPr>
              <w:t>2.2废水</w:t>
            </w:r>
          </w:p>
          <w:p>
            <w:pPr>
              <w:spacing w:line="360" w:lineRule="auto"/>
              <w:rPr>
                <w:color w:val="auto"/>
                <w:szCs w:val="21"/>
                <w:highlight w:val="none"/>
              </w:rPr>
            </w:pPr>
            <w:r>
              <w:rPr>
                <w:rFonts w:hint="eastAsia"/>
                <w:color w:val="auto"/>
                <w:szCs w:val="21"/>
                <w:highlight w:val="none"/>
              </w:rPr>
              <w:t>本项目营运期净水厂自身产生的废水主要为水厂的员工生活污水、反冲洗废水</w:t>
            </w:r>
            <w:r>
              <w:rPr>
                <w:rFonts w:hint="eastAsia"/>
                <w:color w:val="auto"/>
                <w:szCs w:val="21"/>
                <w:highlight w:val="none"/>
                <w:lang w:eastAsia="zh-CN"/>
              </w:rPr>
              <w:t>、</w:t>
            </w:r>
            <w:r>
              <w:rPr>
                <w:rFonts w:hint="eastAsia"/>
                <w:color w:val="auto"/>
                <w:szCs w:val="21"/>
                <w:highlight w:val="none"/>
              </w:rPr>
              <w:t>排泥水</w:t>
            </w:r>
            <w:r>
              <w:rPr>
                <w:rFonts w:hint="eastAsia"/>
                <w:color w:val="auto"/>
                <w:szCs w:val="21"/>
                <w:highlight w:val="none"/>
                <w:lang w:val="en-US" w:eastAsia="zh-CN"/>
              </w:rPr>
              <w:t>以及化验室废水</w:t>
            </w:r>
            <w:r>
              <w:rPr>
                <w:rFonts w:hint="eastAsia"/>
                <w:color w:val="auto"/>
                <w:szCs w:val="21"/>
                <w:highlight w:val="none"/>
              </w:rPr>
              <w:t>；</w:t>
            </w:r>
          </w:p>
          <w:p>
            <w:pPr>
              <w:pStyle w:val="2"/>
              <w:spacing w:line="360" w:lineRule="auto"/>
              <w:ind w:firstLine="482" w:firstLineChars="200"/>
              <w:rPr>
                <w:b/>
                <w:bCs/>
                <w:color w:val="auto"/>
                <w:szCs w:val="21"/>
                <w:highlight w:val="none"/>
              </w:rPr>
            </w:pPr>
            <w:r>
              <w:rPr>
                <w:rFonts w:hint="eastAsia"/>
                <w:b/>
                <w:bCs/>
                <w:color w:val="auto"/>
                <w:szCs w:val="21"/>
                <w:highlight w:val="none"/>
              </w:rPr>
              <w:t>（1）自来水厂员工生活污水</w:t>
            </w:r>
          </w:p>
          <w:p>
            <w:pPr>
              <w:pStyle w:val="2"/>
              <w:spacing w:line="360" w:lineRule="auto"/>
              <w:ind w:firstLine="480" w:firstLineChars="200"/>
              <w:rPr>
                <w:color w:val="auto"/>
                <w:szCs w:val="21"/>
                <w:highlight w:val="none"/>
              </w:rPr>
            </w:pPr>
            <w:r>
              <w:rPr>
                <w:rFonts w:hint="eastAsia"/>
                <w:color w:val="auto"/>
                <w:szCs w:val="21"/>
                <w:highlight w:val="none"/>
              </w:rPr>
              <w:t>本项目营运期员工为30人（包含取水泵站工作人员），员工均在公司内食宿。项目职工生活用水量参照《湖南省地方标准用水定额》(DB43/T388-2014)用水参数，用水定额为住宿员工用水量按145L/d•人计，非住宿员工用水量以45L/d•人计，则营运期生活用水量为4.350t/d，年工作365天计，则年用水1587.75t/a。生活污水的产生量以用水量的85%计，则生活污水的产生量为3.697m</w:t>
            </w:r>
            <w:r>
              <w:rPr>
                <w:rFonts w:hint="eastAsia"/>
                <w:color w:val="auto"/>
                <w:szCs w:val="21"/>
                <w:highlight w:val="none"/>
                <w:vertAlign w:val="superscript"/>
              </w:rPr>
              <w:t>3</w:t>
            </w:r>
            <w:r>
              <w:rPr>
                <w:rFonts w:hint="eastAsia"/>
                <w:color w:val="auto"/>
                <w:szCs w:val="21"/>
                <w:highlight w:val="none"/>
              </w:rPr>
              <w:t>/d、1349.59m</w:t>
            </w:r>
            <w:r>
              <w:rPr>
                <w:rFonts w:hint="eastAsia"/>
                <w:color w:val="auto"/>
                <w:szCs w:val="21"/>
                <w:highlight w:val="none"/>
                <w:vertAlign w:val="superscript"/>
              </w:rPr>
              <w:t>3</w:t>
            </w:r>
            <w:r>
              <w:rPr>
                <w:rFonts w:hint="eastAsia"/>
                <w:color w:val="auto"/>
                <w:szCs w:val="21"/>
                <w:highlight w:val="none"/>
              </w:rPr>
              <w:t>/a。主要污染因子为COD、BOD5、SS、NH3-N、动植物油。食堂废水经隔油后同其它生活污水排入地埋式一体化污水处理设施，经地埋式一体化污水处理设施处理后用于周边林地、农田、菜地施肥及厂区绿化。</w:t>
            </w:r>
          </w:p>
          <w:p>
            <w:pPr>
              <w:pStyle w:val="2"/>
              <w:spacing w:line="360" w:lineRule="auto"/>
              <w:ind w:firstLine="480" w:firstLineChars="200"/>
              <w:rPr>
                <w:color w:val="auto"/>
                <w:szCs w:val="21"/>
                <w:highlight w:val="none"/>
              </w:rPr>
            </w:pPr>
            <w:r>
              <w:rPr>
                <w:rFonts w:hint="eastAsia"/>
                <w:color w:val="auto"/>
                <w:szCs w:val="21"/>
                <w:highlight w:val="none"/>
              </w:rPr>
              <w:t>水厂生活污水各污染物产生情况见下表。</w:t>
            </w:r>
          </w:p>
          <w:p>
            <w:pPr>
              <w:spacing w:line="240" w:lineRule="auto"/>
              <w:ind w:firstLine="422"/>
              <w:jc w:val="center"/>
              <w:rPr>
                <w:b/>
                <w:color w:val="auto"/>
                <w:kern w:val="0"/>
                <w:sz w:val="21"/>
                <w:szCs w:val="21"/>
                <w:highlight w:val="none"/>
              </w:rPr>
            </w:pPr>
            <w:r>
              <w:rPr>
                <w:b/>
                <w:color w:val="auto"/>
                <w:kern w:val="0"/>
                <w:sz w:val="21"/>
                <w:szCs w:val="21"/>
                <w:highlight w:val="none"/>
              </w:rPr>
              <w:t>表5-3 项目生活污水产生情况</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76"/>
              <w:gridCol w:w="976"/>
              <w:gridCol w:w="976"/>
              <w:gridCol w:w="976"/>
              <w:gridCol w:w="976"/>
              <w:gridCol w:w="977"/>
              <w:gridCol w:w="977"/>
              <w:gridCol w:w="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6"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污染源</w:t>
                  </w:r>
                </w:p>
              </w:tc>
              <w:tc>
                <w:tcPr>
                  <w:tcW w:w="976"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废水量</w:t>
                  </w:r>
                </w:p>
              </w:tc>
              <w:tc>
                <w:tcPr>
                  <w:tcW w:w="976" w:type="dxa"/>
                  <w:vMerge w:val="restart"/>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污染因子</w:t>
                  </w:r>
                </w:p>
              </w:tc>
              <w:tc>
                <w:tcPr>
                  <w:tcW w:w="976"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产生浓度</w:t>
                  </w:r>
                </w:p>
              </w:tc>
              <w:tc>
                <w:tcPr>
                  <w:tcW w:w="976"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产生量</w:t>
                  </w:r>
                </w:p>
              </w:tc>
              <w:tc>
                <w:tcPr>
                  <w:tcW w:w="976" w:type="dxa"/>
                  <w:vMerge w:val="restart"/>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治理措施</w:t>
                  </w:r>
                </w:p>
              </w:tc>
              <w:tc>
                <w:tcPr>
                  <w:tcW w:w="977"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排放浓度</w:t>
                  </w:r>
                </w:p>
              </w:tc>
              <w:tc>
                <w:tcPr>
                  <w:tcW w:w="977"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排放量</w:t>
                  </w:r>
                </w:p>
              </w:tc>
              <w:tc>
                <w:tcPr>
                  <w:tcW w:w="977" w:type="dxa"/>
                  <w:vMerge w:val="restart"/>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（GB8978-1996）表4中一级标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6"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名称</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(m</w:t>
                  </w:r>
                  <w:r>
                    <w:rPr>
                      <w:color w:val="auto"/>
                      <w:sz w:val="21"/>
                      <w:szCs w:val="21"/>
                      <w:highlight w:val="none"/>
                      <w:vertAlign w:val="superscript"/>
                      <w:lang w:val="en-GB"/>
                    </w:rPr>
                    <w:t>3</w:t>
                  </w:r>
                  <w:r>
                    <w:rPr>
                      <w:color w:val="auto"/>
                      <w:sz w:val="21"/>
                      <w:szCs w:val="21"/>
                      <w:highlight w:val="none"/>
                      <w:lang w:val="en-GB"/>
                    </w:rPr>
                    <w:t>/a)</w:t>
                  </w: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(mg/l)</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(t/a)</w:t>
                  </w: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(mg/l)</w:t>
                  </w: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(t/a)</w:t>
                  </w:r>
                </w:p>
              </w:tc>
              <w:tc>
                <w:tcPr>
                  <w:tcW w:w="977" w:type="dxa"/>
                  <w:vMerge w:val="continue"/>
                  <w:vAlign w:val="center"/>
                </w:tcPr>
                <w:p>
                  <w:pPr>
                    <w:spacing w:line="240" w:lineRule="auto"/>
                    <w:ind w:firstLine="0" w:firstLineChars="0"/>
                    <w:jc w:val="center"/>
                    <w:rPr>
                      <w:color w:val="auto"/>
                      <w:sz w:val="21"/>
                      <w:szCs w:val="21"/>
                      <w:highlight w:val="none"/>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6" w:type="dxa"/>
                  <w:vMerge w:val="restart"/>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厂区员工生活污水</w:t>
                  </w:r>
                </w:p>
              </w:tc>
              <w:tc>
                <w:tcPr>
                  <w:tcW w:w="976" w:type="dxa"/>
                  <w:vMerge w:val="restart"/>
                  <w:vAlign w:val="center"/>
                </w:tcPr>
                <w:p>
                  <w:pPr>
                    <w:spacing w:line="240" w:lineRule="auto"/>
                    <w:ind w:firstLine="0" w:firstLineChars="0"/>
                    <w:jc w:val="center"/>
                    <w:rPr>
                      <w:color w:val="auto"/>
                      <w:sz w:val="21"/>
                      <w:szCs w:val="21"/>
                      <w:highlight w:val="none"/>
                      <w:lang w:val="en-GB"/>
                    </w:rPr>
                  </w:pPr>
                  <w:r>
                    <w:rPr>
                      <w:color w:val="auto"/>
                      <w:sz w:val="21"/>
                      <w:szCs w:val="21"/>
                      <w:highlight w:val="none"/>
                    </w:rPr>
                    <w:t>1349.59</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COD</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250</w:t>
                  </w:r>
                </w:p>
              </w:tc>
              <w:tc>
                <w:tcPr>
                  <w:tcW w:w="976" w:type="dxa"/>
                  <w:vAlign w:val="center"/>
                </w:tcPr>
                <w:p>
                  <w:pPr>
                    <w:spacing w:line="240" w:lineRule="auto"/>
                    <w:ind w:firstLine="0" w:firstLineChars="0"/>
                    <w:jc w:val="center"/>
                    <w:rPr>
                      <w:color w:val="auto"/>
                      <w:sz w:val="21"/>
                      <w:szCs w:val="21"/>
                      <w:highlight w:val="none"/>
                    </w:rPr>
                  </w:pPr>
                  <w:r>
                    <w:rPr>
                      <w:color w:val="auto"/>
                      <w:sz w:val="21"/>
                      <w:szCs w:val="21"/>
                      <w:highlight w:val="none"/>
                    </w:rPr>
                    <w:t>0.337</w:t>
                  </w:r>
                </w:p>
              </w:tc>
              <w:tc>
                <w:tcPr>
                  <w:tcW w:w="976" w:type="dxa"/>
                  <w:vMerge w:val="restart"/>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地埋式一体化污水处理设施</w:t>
                  </w: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90</w:t>
                  </w:r>
                </w:p>
              </w:tc>
              <w:tc>
                <w:tcPr>
                  <w:tcW w:w="977" w:type="dxa"/>
                  <w:vAlign w:val="center"/>
                </w:tcPr>
                <w:p>
                  <w:pPr>
                    <w:spacing w:line="240" w:lineRule="auto"/>
                    <w:ind w:firstLine="0" w:firstLineChars="0"/>
                    <w:jc w:val="center"/>
                    <w:rPr>
                      <w:color w:val="auto"/>
                      <w:sz w:val="21"/>
                      <w:szCs w:val="21"/>
                      <w:highlight w:val="none"/>
                    </w:rPr>
                  </w:pPr>
                  <w:r>
                    <w:rPr>
                      <w:color w:val="auto"/>
                      <w:sz w:val="21"/>
                      <w:szCs w:val="21"/>
                      <w:highlight w:val="none"/>
                    </w:rPr>
                    <w:t>0.121</w:t>
                  </w: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BOD</w:t>
                  </w:r>
                  <w:r>
                    <w:rPr>
                      <w:color w:val="auto"/>
                      <w:sz w:val="21"/>
                      <w:szCs w:val="21"/>
                      <w:highlight w:val="none"/>
                      <w:vertAlign w:val="subscript"/>
                      <w:lang w:val="en-GB"/>
                    </w:rPr>
                    <w:t>5</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130</w:t>
                  </w:r>
                </w:p>
              </w:tc>
              <w:tc>
                <w:tcPr>
                  <w:tcW w:w="976" w:type="dxa"/>
                  <w:vAlign w:val="center"/>
                </w:tcPr>
                <w:p>
                  <w:pPr>
                    <w:spacing w:line="240" w:lineRule="auto"/>
                    <w:ind w:firstLine="0" w:firstLineChars="0"/>
                    <w:jc w:val="center"/>
                    <w:rPr>
                      <w:color w:val="auto"/>
                      <w:sz w:val="21"/>
                      <w:szCs w:val="21"/>
                      <w:highlight w:val="none"/>
                    </w:rPr>
                  </w:pPr>
                  <w:r>
                    <w:rPr>
                      <w:color w:val="auto"/>
                      <w:sz w:val="21"/>
                      <w:szCs w:val="21"/>
                      <w:highlight w:val="none"/>
                    </w:rPr>
                    <w:t>0.175</w:t>
                  </w: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15</w:t>
                  </w:r>
                </w:p>
              </w:tc>
              <w:tc>
                <w:tcPr>
                  <w:tcW w:w="977" w:type="dxa"/>
                  <w:vAlign w:val="center"/>
                </w:tcPr>
                <w:p>
                  <w:pPr>
                    <w:spacing w:line="240" w:lineRule="auto"/>
                    <w:ind w:firstLine="0" w:firstLineChars="0"/>
                    <w:jc w:val="center"/>
                    <w:rPr>
                      <w:color w:val="auto"/>
                      <w:sz w:val="21"/>
                      <w:szCs w:val="21"/>
                      <w:highlight w:val="none"/>
                    </w:rPr>
                  </w:pPr>
                  <w:r>
                    <w:rPr>
                      <w:color w:val="auto"/>
                      <w:sz w:val="21"/>
                      <w:szCs w:val="21"/>
                      <w:highlight w:val="none"/>
                    </w:rPr>
                    <w:t>0.020</w:t>
                  </w: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SS</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220</w:t>
                  </w:r>
                </w:p>
              </w:tc>
              <w:tc>
                <w:tcPr>
                  <w:tcW w:w="976" w:type="dxa"/>
                  <w:vAlign w:val="center"/>
                </w:tcPr>
                <w:p>
                  <w:pPr>
                    <w:spacing w:line="240" w:lineRule="auto"/>
                    <w:ind w:firstLine="0" w:firstLineChars="0"/>
                    <w:jc w:val="center"/>
                    <w:rPr>
                      <w:color w:val="auto"/>
                      <w:sz w:val="21"/>
                      <w:szCs w:val="21"/>
                      <w:highlight w:val="none"/>
                    </w:rPr>
                  </w:pPr>
                  <w:r>
                    <w:rPr>
                      <w:color w:val="auto"/>
                      <w:sz w:val="21"/>
                      <w:szCs w:val="21"/>
                      <w:highlight w:val="none"/>
                    </w:rPr>
                    <w:t>0.297</w:t>
                  </w: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50</w:t>
                  </w:r>
                </w:p>
              </w:tc>
              <w:tc>
                <w:tcPr>
                  <w:tcW w:w="977" w:type="dxa"/>
                  <w:vAlign w:val="center"/>
                </w:tcPr>
                <w:p>
                  <w:pPr>
                    <w:spacing w:line="240" w:lineRule="auto"/>
                    <w:ind w:firstLine="0" w:firstLineChars="0"/>
                    <w:jc w:val="center"/>
                    <w:rPr>
                      <w:color w:val="auto"/>
                      <w:sz w:val="21"/>
                      <w:szCs w:val="21"/>
                      <w:highlight w:val="none"/>
                    </w:rPr>
                  </w:pPr>
                  <w:r>
                    <w:rPr>
                      <w:color w:val="auto"/>
                      <w:sz w:val="21"/>
                      <w:szCs w:val="21"/>
                      <w:highlight w:val="none"/>
                    </w:rPr>
                    <w:t>0.067</w:t>
                  </w: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氨氮</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30</w:t>
                  </w:r>
                </w:p>
              </w:tc>
              <w:tc>
                <w:tcPr>
                  <w:tcW w:w="976" w:type="dxa"/>
                  <w:vAlign w:val="center"/>
                </w:tcPr>
                <w:p>
                  <w:pPr>
                    <w:spacing w:line="240" w:lineRule="auto"/>
                    <w:ind w:firstLine="0" w:firstLineChars="0"/>
                    <w:jc w:val="center"/>
                    <w:rPr>
                      <w:color w:val="auto"/>
                      <w:sz w:val="21"/>
                      <w:szCs w:val="21"/>
                      <w:highlight w:val="none"/>
                    </w:rPr>
                  </w:pPr>
                  <w:r>
                    <w:rPr>
                      <w:color w:val="auto"/>
                      <w:sz w:val="21"/>
                      <w:szCs w:val="21"/>
                      <w:highlight w:val="none"/>
                    </w:rPr>
                    <w:t>0.040</w:t>
                  </w: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10</w:t>
                  </w:r>
                </w:p>
              </w:tc>
              <w:tc>
                <w:tcPr>
                  <w:tcW w:w="977" w:type="dxa"/>
                  <w:vAlign w:val="center"/>
                </w:tcPr>
                <w:p>
                  <w:pPr>
                    <w:spacing w:line="240" w:lineRule="auto"/>
                    <w:ind w:firstLine="0" w:firstLineChars="0"/>
                    <w:jc w:val="center"/>
                    <w:rPr>
                      <w:color w:val="auto"/>
                      <w:sz w:val="21"/>
                      <w:szCs w:val="21"/>
                      <w:highlight w:val="none"/>
                    </w:rPr>
                  </w:pPr>
                  <w:r>
                    <w:rPr>
                      <w:color w:val="auto"/>
                      <w:sz w:val="21"/>
                      <w:szCs w:val="21"/>
                      <w:highlight w:val="none"/>
                    </w:rPr>
                    <w:t>0.013</w:t>
                  </w: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6" w:type="dxa"/>
                  <w:vAlign w:val="center"/>
                </w:tcPr>
                <w:p>
                  <w:pPr>
                    <w:spacing w:line="240" w:lineRule="auto"/>
                    <w:ind w:firstLine="0" w:firstLineChars="0"/>
                    <w:jc w:val="center"/>
                    <w:rPr>
                      <w:color w:val="auto"/>
                      <w:sz w:val="21"/>
                      <w:szCs w:val="21"/>
                      <w:highlight w:val="none"/>
                      <w:lang w:val="en-GB"/>
                    </w:rPr>
                  </w:pPr>
                  <w:r>
                    <w:rPr>
                      <w:rFonts w:hint="eastAsia"/>
                      <w:color w:val="auto"/>
                      <w:sz w:val="21"/>
                      <w:szCs w:val="21"/>
                      <w:highlight w:val="none"/>
                      <w:lang w:val="en-GB"/>
                    </w:rPr>
                    <w:t>动植物油</w:t>
                  </w:r>
                </w:p>
              </w:tc>
              <w:tc>
                <w:tcPr>
                  <w:tcW w:w="976"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10</w:t>
                  </w:r>
                </w:p>
              </w:tc>
              <w:tc>
                <w:tcPr>
                  <w:tcW w:w="976" w:type="dxa"/>
                  <w:vAlign w:val="center"/>
                </w:tcPr>
                <w:p>
                  <w:pPr>
                    <w:spacing w:line="240" w:lineRule="auto"/>
                    <w:ind w:firstLine="0" w:firstLineChars="0"/>
                    <w:jc w:val="center"/>
                    <w:rPr>
                      <w:color w:val="auto"/>
                      <w:sz w:val="21"/>
                      <w:szCs w:val="21"/>
                      <w:highlight w:val="none"/>
                    </w:rPr>
                  </w:pPr>
                  <w:r>
                    <w:rPr>
                      <w:color w:val="auto"/>
                      <w:sz w:val="21"/>
                      <w:szCs w:val="21"/>
                      <w:highlight w:val="none"/>
                    </w:rPr>
                    <w:t>0.013</w:t>
                  </w:r>
                </w:p>
              </w:tc>
              <w:tc>
                <w:tcPr>
                  <w:tcW w:w="976" w:type="dxa"/>
                  <w:vMerge w:val="continue"/>
                  <w:vAlign w:val="center"/>
                </w:tcPr>
                <w:p>
                  <w:pPr>
                    <w:spacing w:line="240" w:lineRule="auto"/>
                    <w:ind w:firstLine="0" w:firstLineChars="0"/>
                    <w:jc w:val="center"/>
                    <w:rPr>
                      <w:color w:val="auto"/>
                      <w:sz w:val="21"/>
                      <w:szCs w:val="21"/>
                      <w:highlight w:val="none"/>
                      <w:lang w:val="en-GB"/>
                    </w:rPr>
                  </w:pP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5</w:t>
                  </w:r>
                </w:p>
              </w:tc>
              <w:tc>
                <w:tcPr>
                  <w:tcW w:w="977" w:type="dxa"/>
                  <w:vAlign w:val="center"/>
                </w:tcPr>
                <w:p>
                  <w:pPr>
                    <w:spacing w:line="240" w:lineRule="auto"/>
                    <w:ind w:firstLine="0" w:firstLineChars="0"/>
                    <w:jc w:val="center"/>
                    <w:rPr>
                      <w:color w:val="auto"/>
                      <w:sz w:val="21"/>
                      <w:szCs w:val="21"/>
                      <w:highlight w:val="none"/>
                    </w:rPr>
                  </w:pPr>
                  <w:r>
                    <w:rPr>
                      <w:color w:val="auto"/>
                      <w:sz w:val="21"/>
                      <w:szCs w:val="21"/>
                      <w:highlight w:val="none"/>
                    </w:rPr>
                    <w:t>0.007</w:t>
                  </w:r>
                </w:p>
              </w:tc>
              <w:tc>
                <w:tcPr>
                  <w:tcW w:w="977" w:type="dxa"/>
                  <w:vAlign w:val="center"/>
                </w:tcPr>
                <w:p>
                  <w:pPr>
                    <w:spacing w:line="240" w:lineRule="auto"/>
                    <w:ind w:firstLine="0" w:firstLineChars="0"/>
                    <w:jc w:val="center"/>
                    <w:rPr>
                      <w:color w:val="auto"/>
                      <w:sz w:val="21"/>
                      <w:szCs w:val="21"/>
                      <w:highlight w:val="none"/>
                      <w:lang w:val="en-GB"/>
                    </w:rPr>
                  </w:pPr>
                  <w:r>
                    <w:rPr>
                      <w:color w:val="auto"/>
                      <w:sz w:val="21"/>
                      <w:szCs w:val="21"/>
                      <w:highlight w:val="none"/>
                      <w:lang w:val="en-GB"/>
                    </w:rPr>
                    <w:t>10</w:t>
                  </w:r>
                </w:p>
              </w:tc>
            </w:tr>
          </w:tbl>
          <w:p>
            <w:pPr>
              <w:pStyle w:val="2"/>
              <w:spacing w:line="360" w:lineRule="auto"/>
              <w:ind w:firstLine="482" w:firstLineChars="200"/>
              <w:rPr>
                <w:b/>
                <w:bCs/>
                <w:color w:val="auto"/>
                <w:szCs w:val="21"/>
                <w:highlight w:val="none"/>
              </w:rPr>
            </w:pPr>
            <w:r>
              <w:rPr>
                <w:rFonts w:hint="eastAsia"/>
                <w:b/>
                <w:bCs/>
                <w:color w:val="auto"/>
                <w:szCs w:val="21"/>
                <w:highlight w:val="none"/>
              </w:rPr>
              <w:t>（2）反冲洗废水</w:t>
            </w:r>
          </w:p>
          <w:p>
            <w:pPr>
              <w:pStyle w:val="2"/>
              <w:spacing w:line="360" w:lineRule="auto"/>
              <w:ind w:firstLine="480" w:firstLineChars="200"/>
              <w:rPr>
                <w:color w:val="auto"/>
                <w:highlight w:val="none"/>
              </w:rPr>
            </w:pPr>
            <w:r>
              <w:rPr>
                <w:rFonts w:hint="eastAsia"/>
                <w:color w:val="auto"/>
                <w:highlight w:val="none"/>
              </w:rPr>
              <w:t>水厂在运行过程中，滤池需要定期进行反冲洗，经查询相关资料，反冲洗水量约为制水量的1.5%，因此本项目反冲洗废水量约为900m</w:t>
            </w:r>
            <w:r>
              <w:rPr>
                <w:rFonts w:hint="eastAsia"/>
                <w:color w:val="auto"/>
                <w:highlight w:val="none"/>
                <w:vertAlign w:val="superscript"/>
              </w:rPr>
              <w:t>3</w:t>
            </w:r>
            <w:r>
              <w:rPr>
                <w:rFonts w:hint="eastAsia"/>
                <w:color w:val="auto"/>
                <w:highlight w:val="none"/>
              </w:rPr>
              <w:t>/d，</w:t>
            </w:r>
            <w:r>
              <w:rPr>
                <w:color w:val="auto"/>
                <w:highlight w:val="none"/>
              </w:rPr>
              <w:t>根据设计资料，该部分反冲洗水经排水池收集后送至</w:t>
            </w:r>
            <w:r>
              <w:rPr>
                <w:rFonts w:hint="eastAsia"/>
                <w:color w:val="auto"/>
                <w:highlight w:val="none"/>
              </w:rPr>
              <w:t>机械搅拌池</w:t>
            </w:r>
            <w:r>
              <w:rPr>
                <w:color w:val="auto"/>
                <w:highlight w:val="none"/>
              </w:rPr>
              <w:t>回用，不外排。</w:t>
            </w:r>
          </w:p>
          <w:p>
            <w:pPr>
              <w:pStyle w:val="2"/>
              <w:spacing w:line="360" w:lineRule="auto"/>
              <w:ind w:firstLine="482" w:firstLineChars="200"/>
              <w:rPr>
                <w:b/>
                <w:bCs/>
                <w:color w:val="auto"/>
                <w:szCs w:val="21"/>
                <w:highlight w:val="none"/>
              </w:rPr>
            </w:pPr>
            <w:r>
              <w:rPr>
                <w:rFonts w:hint="eastAsia"/>
                <w:b/>
                <w:bCs/>
                <w:color w:val="auto"/>
                <w:szCs w:val="21"/>
                <w:highlight w:val="none"/>
              </w:rPr>
              <w:t>（3）排泥水</w:t>
            </w:r>
          </w:p>
          <w:p>
            <w:pPr>
              <w:pStyle w:val="2"/>
              <w:spacing w:line="360" w:lineRule="auto"/>
              <w:ind w:firstLine="480" w:firstLineChars="200"/>
              <w:rPr>
                <w:color w:val="auto"/>
                <w:highlight w:val="none"/>
              </w:rPr>
            </w:pPr>
            <w:r>
              <w:rPr>
                <w:rFonts w:hint="eastAsia"/>
                <w:color w:val="auto"/>
                <w:highlight w:val="none"/>
              </w:rPr>
              <w:t>本项目净水厂的生产废水主要为排泥废水，包括沉淀池排泥水和反冲洗泥水。</w:t>
            </w:r>
          </w:p>
          <w:p>
            <w:pPr>
              <w:pStyle w:val="2"/>
              <w:spacing w:line="360" w:lineRule="auto"/>
              <w:ind w:firstLine="480" w:firstLineChars="200"/>
              <w:rPr>
                <w:color w:val="auto"/>
                <w:highlight w:val="none"/>
              </w:rPr>
            </w:pPr>
            <w:r>
              <w:rPr>
                <w:rFonts w:hint="eastAsia"/>
                <w:color w:val="auto"/>
                <w:highlight w:val="none"/>
              </w:rPr>
              <w:t>根据《第一次全国污染物普查工业污染源产排污系数手册》4610自来水生产及供应行业，净水厂供水量为60000m</w:t>
            </w:r>
            <w:r>
              <w:rPr>
                <w:rFonts w:hint="eastAsia"/>
                <w:color w:val="auto"/>
                <w:highlight w:val="none"/>
                <w:vertAlign w:val="superscript"/>
              </w:rPr>
              <w:t>3</w:t>
            </w:r>
            <w:r>
              <w:rPr>
                <w:rFonts w:hint="eastAsia"/>
                <w:color w:val="auto"/>
                <w:highlight w:val="none"/>
              </w:rPr>
              <w:t>/d，净水厂废水排放系数为0.04吨/吨-产品，COD的排放系数为3.783克/吨-产品。因此，此项目的排泥水产量为2400m</w:t>
            </w:r>
            <w:r>
              <w:rPr>
                <w:rFonts w:hint="eastAsia"/>
                <w:color w:val="auto"/>
                <w:highlight w:val="none"/>
                <w:vertAlign w:val="superscript"/>
              </w:rPr>
              <w:t>3</w:t>
            </w:r>
            <w:r>
              <w:rPr>
                <w:rFonts w:hint="eastAsia"/>
                <w:color w:val="auto"/>
                <w:highlight w:val="none"/>
              </w:rPr>
              <w:t>/d，COD总产生量为226.98kg/d。环评建议将排泥废水排入澄清池，上清液回流至原水，污泥排入污泥浓缩池，上清液回流至澄清池，污泥经脱水后外运至祁阳县污泥集中处置中心处置。</w:t>
            </w:r>
          </w:p>
          <w:p>
            <w:pPr>
              <w:pStyle w:val="2"/>
              <w:spacing w:line="360" w:lineRule="auto"/>
              <w:ind w:firstLine="482" w:firstLineChars="200"/>
              <w:rPr>
                <w:rFonts w:hint="eastAsia"/>
                <w:b/>
                <w:bCs/>
                <w:color w:val="auto"/>
                <w:szCs w:val="21"/>
                <w:highlight w:val="none"/>
                <w:lang w:val="en-US" w:eastAsia="zh-CN"/>
              </w:rPr>
            </w:pPr>
            <w:r>
              <w:rPr>
                <w:rFonts w:hint="eastAsia"/>
                <w:b/>
                <w:bCs/>
                <w:color w:val="auto"/>
                <w:szCs w:val="21"/>
                <w:highlight w:val="none"/>
                <w:lang w:val="en-US" w:eastAsia="zh-CN"/>
              </w:rPr>
              <w:t>（4）化验室废水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lang w:val="en-US"/>
              </w:rPr>
            </w:pPr>
            <w:r>
              <w:rPr>
                <w:rFonts w:hint="eastAsia"/>
                <w:color w:val="auto"/>
                <w:highlight w:val="none"/>
                <w:lang w:val="en-US" w:eastAsia="zh-CN"/>
              </w:rPr>
              <w:t>项目净水厂设化验室，营运期需对</w:t>
            </w:r>
            <w:r>
              <w:rPr>
                <w:rFonts w:hint="eastAsia"/>
                <w:color w:val="auto"/>
                <w:highlight w:val="none"/>
              </w:rPr>
              <w:t>对浄水水质常规因子</w:t>
            </w:r>
            <w:r>
              <w:rPr>
                <w:rFonts w:hint="eastAsia"/>
                <w:color w:val="auto"/>
                <w:highlight w:val="none"/>
                <w:lang w:eastAsia="zh-CN"/>
              </w:rPr>
              <w:t>（</w:t>
            </w:r>
            <w:r>
              <w:rPr>
                <w:rFonts w:hint="eastAsia"/>
                <w:color w:val="auto"/>
                <w:highlight w:val="none"/>
              </w:rPr>
              <w:t>有色度、浑浊度、臭味、肉眼可见度、细菌总数、总大肠菌群、pH、总碱度和余氯</w:t>
            </w:r>
            <w:r>
              <w:rPr>
                <w:rFonts w:hint="eastAsia"/>
                <w:color w:val="auto"/>
                <w:highlight w:val="none"/>
                <w:lang w:eastAsia="zh-CN"/>
              </w:rPr>
              <w:t>）</w:t>
            </w:r>
            <w:r>
              <w:rPr>
                <w:rFonts w:hint="eastAsia"/>
                <w:color w:val="auto"/>
                <w:highlight w:val="none"/>
              </w:rPr>
              <w:t>进行化验，化验室有少量化验废水产生，废水量约</w:t>
            </w:r>
            <w:r>
              <w:rPr>
                <w:rFonts w:hint="eastAsia"/>
                <w:color w:val="auto"/>
                <w:highlight w:val="none"/>
                <w:lang w:val="en-US" w:eastAsia="zh-CN"/>
              </w:rPr>
              <w:t>0.1</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highlight w:val="none"/>
                <w:lang w:val="en-US" w:eastAsia="zh-CN"/>
              </w:rPr>
              <w:t>项目</w:t>
            </w:r>
            <w:r>
              <w:rPr>
                <w:rFonts w:hint="eastAsia"/>
                <w:color w:val="auto"/>
                <w:highlight w:val="none"/>
              </w:rPr>
              <w:t>化验废水中主要污染因子为</w:t>
            </w:r>
            <w:r>
              <w:rPr>
                <w:rFonts w:hint="eastAsia"/>
                <w:color w:val="auto"/>
                <w:highlight w:val="none"/>
                <w:lang w:val="en-US" w:eastAsia="zh-CN"/>
              </w:rPr>
              <w:t>少量的酸</w:t>
            </w:r>
            <w:r>
              <w:rPr>
                <w:rFonts w:hint="eastAsia"/>
                <w:color w:val="auto"/>
                <w:highlight w:val="none"/>
              </w:rPr>
              <w:t>，</w:t>
            </w:r>
            <w:r>
              <w:rPr>
                <w:rFonts w:hint="eastAsia"/>
                <w:color w:val="auto"/>
                <w:highlight w:val="none"/>
                <w:lang w:val="zh-CN" w:eastAsia="zh-CN"/>
              </w:rPr>
              <w:t>经收集后进中和池内采取中和处理法进行处理，用碱中和至pH中性后再排入</w:t>
            </w:r>
            <w:r>
              <w:rPr>
                <w:rFonts w:hint="eastAsia"/>
                <w:color w:val="auto"/>
                <w:highlight w:val="none"/>
                <w:lang w:val="en-US" w:eastAsia="zh-CN"/>
              </w:rPr>
              <w:t>厂区排污管道同生活污水处理。</w:t>
            </w:r>
          </w:p>
          <w:p>
            <w:pPr>
              <w:pStyle w:val="2"/>
              <w:spacing w:line="360" w:lineRule="auto"/>
              <w:ind w:firstLine="482" w:firstLineChars="200"/>
              <w:rPr>
                <w:b/>
                <w:bCs/>
                <w:color w:val="auto"/>
                <w:szCs w:val="21"/>
                <w:highlight w:val="none"/>
              </w:rPr>
            </w:pPr>
            <w:r>
              <w:rPr>
                <w:rFonts w:hint="eastAsia"/>
                <w:b/>
                <w:bCs/>
                <w:color w:val="auto"/>
                <w:szCs w:val="21"/>
                <w:highlight w:val="none"/>
              </w:rPr>
              <w:t>2.3噪声</w:t>
            </w:r>
          </w:p>
          <w:p>
            <w:pPr>
              <w:pStyle w:val="2"/>
              <w:spacing w:line="360" w:lineRule="auto"/>
              <w:ind w:firstLine="480" w:firstLineChars="200"/>
              <w:rPr>
                <w:color w:val="auto"/>
                <w:highlight w:val="none"/>
              </w:rPr>
            </w:pPr>
            <w:r>
              <w:rPr>
                <w:rFonts w:hint="eastAsia"/>
                <w:color w:val="auto"/>
                <w:highlight w:val="none"/>
              </w:rPr>
              <w:t>本项目主要噪声产生源为轴流风机、回转式格栅除污机、搅拌机、次氯酸钠发生器、水泵、潜水排污泵等设备运行时产生的机械噪声</w:t>
            </w:r>
            <w:r>
              <w:rPr>
                <w:rFonts w:hint="eastAsia"/>
                <w:color w:val="auto"/>
                <w:highlight w:val="none"/>
                <w:lang w:val="zh-CN"/>
              </w:rPr>
              <w:t>。噪声源强一般为</w:t>
            </w:r>
            <w:r>
              <w:rPr>
                <w:rFonts w:hint="eastAsia"/>
                <w:color w:val="auto"/>
                <w:highlight w:val="none"/>
              </w:rPr>
              <w:t>70</w:t>
            </w:r>
            <w:r>
              <w:rPr>
                <w:rFonts w:hint="eastAsia"/>
                <w:color w:val="auto"/>
                <w:highlight w:val="none"/>
                <w:lang w:val="zh-CN"/>
              </w:rPr>
              <w:t>～</w:t>
            </w:r>
            <w:r>
              <w:rPr>
                <w:rFonts w:hint="eastAsia"/>
                <w:color w:val="auto"/>
                <w:highlight w:val="none"/>
              </w:rPr>
              <w:t>90</w:t>
            </w:r>
            <w:r>
              <w:rPr>
                <w:rFonts w:hint="eastAsia"/>
                <w:color w:val="auto"/>
                <w:highlight w:val="none"/>
                <w:lang w:val="zh-CN"/>
              </w:rPr>
              <w:t>dB（A），各噪声源的排放特征及处置措施见表</w:t>
            </w:r>
            <w:r>
              <w:rPr>
                <w:rFonts w:hint="eastAsia"/>
                <w:color w:val="auto"/>
                <w:highlight w:val="none"/>
              </w:rPr>
              <w:t>5-4</w:t>
            </w:r>
            <w:r>
              <w:rPr>
                <w:rFonts w:hint="eastAsia"/>
                <w:color w:val="auto"/>
                <w:highlight w:val="none"/>
                <w:lang w:val="zh-CN"/>
              </w:rPr>
              <w:t>。</w:t>
            </w:r>
          </w:p>
          <w:p>
            <w:pPr>
              <w:pStyle w:val="2"/>
              <w:spacing w:line="240" w:lineRule="auto"/>
              <w:ind w:firstLine="422" w:firstLineChars="200"/>
              <w:jc w:val="center"/>
              <w:rPr>
                <w:b/>
                <w:color w:val="auto"/>
                <w:sz w:val="21"/>
                <w:szCs w:val="21"/>
                <w:highlight w:val="none"/>
              </w:rPr>
            </w:pPr>
            <w:r>
              <w:rPr>
                <w:b/>
                <w:color w:val="auto"/>
                <w:sz w:val="21"/>
                <w:szCs w:val="21"/>
                <w:highlight w:val="none"/>
              </w:rPr>
              <w:t>表</w:t>
            </w:r>
            <w:r>
              <w:rPr>
                <w:rFonts w:hint="eastAsia"/>
                <w:b/>
                <w:color w:val="auto"/>
                <w:sz w:val="21"/>
                <w:szCs w:val="21"/>
                <w:highlight w:val="none"/>
              </w:rPr>
              <w:t xml:space="preserve">5-4 </w:t>
            </w:r>
            <w:r>
              <w:rPr>
                <w:b/>
                <w:color w:val="auto"/>
                <w:sz w:val="21"/>
                <w:szCs w:val="21"/>
                <w:highlight w:val="none"/>
              </w:rPr>
              <w:t xml:space="preserve"> 主要设备噪声源强一览表（噪声源外1米处）</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776"/>
              <w:gridCol w:w="2459"/>
              <w:gridCol w:w="26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1" w:type="dxa"/>
                  <w:vAlign w:val="center"/>
                </w:tcPr>
                <w:p>
                  <w:pPr>
                    <w:spacing w:line="240" w:lineRule="auto"/>
                    <w:ind w:firstLine="0" w:firstLineChars="0"/>
                    <w:jc w:val="center"/>
                    <w:rPr>
                      <w:color w:val="auto"/>
                      <w:sz w:val="21"/>
                      <w:szCs w:val="21"/>
                      <w:highlight w:val="none"/>
                    </w:rPr>
                  </w:pPr>
                  <w:r>
                    <w:rPr>
                      <w:color w:val="auto"/>
                      <w:sz w:val="21"/>
                      <w:szCs w:val="21"/>
                      <w:highlight w:val="none"/>
                    </w:rPr>
                    <w:t>序号</w:t>
                  </w:r>
                </w:p>
              </w:tc>
              <w:tc>
                <w:tcPr>
                  <w:tcW w:w="2776" w:type="dxa"/>
                  <w:vAlign w:val="center"/>
                </w:tcPr>
                <w:p>
                  <w:pPr>
                    <w:spacing w:line="240" w:lineRule="auto"/>
                    <w:ind w:firstLine="0" w:firstLineChars="0"/>
                    <w:jc w:val="center"/>
                    <w:rPr>
                      <w:color w:val="auto"/>
                      <w:sz w:val="21"/>
                      <w:szCs w:val="21"/>
                      <w:highlight w:val="none"/>
                    </w:rPr>
                  </w:pPr>
                  <w:r>
                    <w:rPr>
                      <w:color w:val="auto"/>
                      <w:sz w:val="21"/>
                      <w:szCs w:val="21"/>
                      <w:highlight w:val="none"/>
                    </w:rPr>
                    <w:t>设备</w:t>
                  </w:r>
                </w:p>
              </w:tc>
              <w:tc>
                <w:tcPr>
                  <w:tcW w:w="2459" w:type="dxa"/>
                  <w:vAlign w:val="center"/>
                </w:tcPr>
                <w:p>
                  <w:pPr>
                    <w:spacing w:line="240" w:lineRule="auto"/>
                    <w:ind w:firstLine="0" w:firstLineChars="0"/>
                    <w:jc w:val="center"/>
                    <w:rPr>
                      <w:color w:val="auto"/>
                      <w:sz w:val="21"/>
                      <w:szCs w:val="21"/>
                      <w:highlight w:val="none"/>
                    </w:rPr>
                  </w:pPr>
                  <w:r>
                    <w:rPr>
                      <w:color w:val="auto"/>
                      <w:sz w:val="21"/>
                      <w:szCs w:val="21"/>
                      <w:highlight w:val="none"/>
                    </w:rPr>
                    <w:t>噪声源强（dB(A)）</w:t>
                  </w:r>
                </w:p>
              </w:tc>
              <w:tc>
                <w:tcPr>
                  <w:tcW w:w="266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277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245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65~70</w:t>
                  </w:r>
                </w:p>
              </w:tc>
              <w:tc>
                <w:tcPr>
                  <w:tcW w:w="2661" w:type="dxa"/>
                  <w:vMerge w:val="restart"/>
                  <w:vAlign w:val="center"/>
                </w:tcPr>
                <w:p>
                  <w:pPr>
                    <w:spacing w:line="240" w:lineRule="auto"/>
                    <w:ind w:firstLine="0" w:firstLineChars="0"/>
                    <w:jc w:val="center"/>
                    <w:rPr>
                      <w:color w:val="auto"/>
                      <w:sz w:val="21"/>
                      <w:szCs w:val="21"/>
                      <w:highlight w:val="none"/>
                    </w:rPr>
                  </w:pPr>
                </w:p>
                <w:p>
                  <w:pPr>
                    <w:spacing w:line="240" w:lineRule="auto"/>
                    <w:ind w:firstLine="0" w:firstLineChars="0"/>
                    <w:jc w:val="center"/>
                    <w:rPr>
                      <w:color w:val="auto"/>
                      <w:sz w:val="21"/>
                      <w:szCs w:val="21"/>
                      <w:highlight w:val="none"/>
                    </w:rPr>
                  </w:pPr>
                  <w:r>
                    <w:rPr>
                      <w:rFonts w:hint="eastAsia"/>
                      <w:color w:val="auto"/>
                      <w:sz w:val="21"/>
                      <w:szCs w:val="21"/>
                      <w:highlight w:val="none"/>
                    </w:rPr>
                    <w:t>基础减振，并加装隔声罩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277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2459" w:type="dxa"/>
                  <w:vAlign w:val="center"/>
                </w:tcPr>
                <w:p>
                  <w:pPr>
                    <w:spacing w:line="240" w:lineRule="auto"/>
                    <w:ind w:firstLine="0" w:firstLineChars="0"/>
                    <w:jc w:val="center"/>
                    <w:rPr>
                      <w:color w:val="auto"/>
                      <w:sz w:val="21"/>
                      <w:szCs w:val="21"/>
                      <w:highlight w:val="none"/>
                    </w:rPr>
                  </w:pPr>
                  <w:r>
                    <w:rPr>
                      <w:color w:val="auto"/>
                      <w:sz w:val="21"/>
                      <w:szCs w:val="21"/>
                      <w:highlight w:val="none"/>
                    </w:rPr>
                    <w:t>75-85</w:t>
                  </w:r>
                </w:p>
              </w:tc>
              <w:tc>
                <w:tcPr>
                  <w:tcW w:w="2661" w:type="dxa"/>
                  <w:vMerge w:val="continue"/>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277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回转式格栅除污机</w:t>
                  </w:r>
                </w:p>
              </w:tc>
              <w:tc>
                <w:tcPr>
                  <w:tcW w:w="245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75~85</w:t>
                  </w:r>
                </w:p>
              </w:tc>
              <w:tc>
                <w:tcPr>
                  <w:tcW w:w="2661"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w:t>
                  </w:r>
                </w:p>
              </w:tc>
              <w:tc>
                <w:tcPr>
                  <w:tcW w:w="277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搅拌机</w:t>
                  </w:r>
                </w:p>
              </w:tc>
              <w:tc>
                <w:tcPr>
                  <w:tcW w:w="2459" w:type="dxa"/>
                  <w:vAlign w:val="center"/>
                </w:tcPr>
                <w:p>
                  <w:pPr>
                    <w:spacing w:line="240" w:lineRule="auto"/>
                    <w:ind w:firstLine="0" w:firstLineChars="0"/>
                    <w:jc w:val="center"/>
                    <w:rPr>
                      <w:color w:val="auto"/>
                      <w:sz w:val="21"/>
                      <w:szCs w:val="21"/>
                      <w:highlight w:val="none"/>
                    </w:rPr>
                  </w:pPr>
                  <w:r>
                    <w:rPr>
                      <w:color w:val="auto"/>
                      <w:sz w:val="21"/>
                      <w:szCs w:val="21"/>
                      <w:highlight w:val="none"/>
                    </w:rPr>
                    <w:t>70-</w:t>
                  </w:r>
                  <w:r>
                    <w:rPr>
                      <w:rFonts w:hint="eastAsia"/>
                      <w:color w:val="auto"/>
                      <w:sz w:val="21"/>
                      <w:szCs w:val="21"/>
                      <w:highlight w:val="none"/>
                    </w:rPr>
                    <w:t>85</w:t>
                  </w:r>
                </w:p>
              </w:tc>
              <w:tc>
                <w:tcPr>
                  <w:tcW w:w="2661" w:type="dxa"/>
                  <w:vMerge w:val="continue"/>
                  <w:vAlign w:val="center"/>
                </w:tcPr>
                <w:p>
                  <w:pPr>
                    <w:spacing w:line="240" w:lineRule="auto"/>
                    <w:ind w:firstLine="42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277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水泵、潜水排污泵</w:t>
                  </w:r>
                </w:p>
              </w:tc>
              <w:tc>
                <w:tcPr>
                  <w:tcW w:w="2459" w:type="dxa"/>
                  <w:vAlign w:val="center"/>
                </w:tcPr>
                <w:p>
                  <w:pPr>
                    <w:spacing w:line="240" w:lineRule="auto"/>
                    <w:ind w:firstLine="0" w:firstLineChars="0"/>
                    <w:jc w:val="center"/>
                    <w:rPr>
                      <w:color w:val="auto"/>
                      <w:sz w:val="21"/>
                      <w:szCs w:val="21"/>
                      <w:highlight w:val="none"/>
                    </w:rPr>
                  </w:pPr>
                  <w:r>
                    <w:rPr>
                      <w:color w:val="auto"/>
                      <w:sz w:val="21"/>
                      <w:szCs w:val="21"/>
                      <w:highlight w:val="none"/>
                    </w:rPr>
                    <w:t>75-</w:t>
                  </w:r>
                  <w:r>
                    <w:rPr>
                      <w:rFonts w:hint="eastAsia"/>
                      <w:color w:val="auto"/>
                      <w:sz w:val="21"/>
                      <w:szCs w:val="21"/>
                      <w:highlight w:val="none"/>
                    </w:rPr>
                    <w:t>90</w:t>
                  </w:r>
                </w:p>
              </w:tc>
              <w:tc>
                <w:tcPr>
                  <w:tcW w:w="2661" w:type="dxa"/>
                  <w:vMerge w:val="continue"/>
                  <w:vAlign w:val="center"/>
                </w:tcPr>
                <w:p>
                  <w:pPr>
                    <w:spacing w:line="240" w:lineRule="auto"/>
                    <w:ind w:firstLine="420"/>
                    <w:jc w:val="center"/>
                    <w:rPr>
                      <w:color w:val="auto"/>
                      <w:sz w:val="21"/>
                      <w:szCs w:val="21"/>
                      <w:highlight w:val="none"/>
                    </w:rPr>
                  </w:pPr>
                </w:p>
              </w:tc>
            </w:tr>
          </w:tbl>
          <w:p>
            <w:pPr>
              <w:pStyle w:val="2"/>
              <w:spacing w:line="360" w:lineRule="auto"/>
              <w:ind w:firstLine="482" w:firstLineChars="200"/>
              <w:rPr>
                <w:b/>
                <w:bCs/>
                <w:color w:val="auto"/>
                <w:szCs w:val="21"/>
                <w:highlight w:val="none"/>
              </w:rPr>
            </w:pPr>
            <w:r>
              <w:rPr>
                <w:rFonts w:hint="eastAsia"/>
                <w:b/>
                <w:bCs/>
                <w:color w:val="auto"/>
                <w:szCs w:val="21"/>
                <w:highlight w:val="none"/>
              </w:rPr>
              <w:t>2.4、固体废物</w:t>
            </w:r>
          </w:p>
          <w:p>
            <w:pPr>
              <w:pStyle w:val="2"/>
              <w:spacing w:line="360" w:lineRule="auto"/>
              <w:ind w:firstLine="480" w:firstLineChars="200"/>
              <w:rPr>
                <w:color w:val="auto"/>
                <w:highlight w:val="none"/>
              </w:rPr>
            </w:pPr>
            <w:r>
              <w:rPr>
                <w:rFonts w:hint="eastAsia"/>
                <w:color w:val="auto"/>
                <w:highlight w:val="none"/>
              </w:rPr>
              <w:t>本项目固体废物</w:t>
            </w:r>
            <w:r>
              <w:rPr>
                <w:rFonts w:hint="eastAsia"/>
                <w:color w:val="auto"/>
                <w:highlight w:val="none"/>
                <w:lang w:val="zh-CN"/>
              </w:rPr>
              <w:t>主要有自来水厂运行产生的污泥、废润滑油以及厂区产生的员工生活垃圾。</w:t>
            </w:r>
          </w:p>
          <w:p>
            <w:pPr>
              <w:pStyle w:val="2"/>
              <w:spacing w:line="360" w:lineRule="auto"/>
              <w:ind w:firstLine="482" w:firstLineChars="200"/>
              <w:rPr>
                <w:b/>
                <w:bCs/>
                <w:color w:val="auto"/>
                <w:highlight w:val="none"/>
              </w:rPr>
            </w:pPr>
            <w:r>
              <w:rPr>
                <w:rFonts w:hint="eastAsia"/>
                <w:b/>
                <w:bCs/>
                <w:color w:val="auto"/>
                <w:highlight w:val="none"/>
              </w:rPr>
              <w:t>（1）污泥</w:t>
            </w:r>
          </w:p>
          <w:p>
            <w:pPr>
              <w:pStyle w:val="2"/>
              <w:spacing w:line="360" w:lineRule="auto"/>
              <w:ind w:firstLine="480" w:firstLineChars="200"/>
              <w:rPr>
                <w:color w:val="auto"/>
                <w:highlight w:val="none"/>
              </w:rPr>
            </w:pPr>
            <w:r>
              <w:rPr>
                <w:rFonts w:hint="eastAsia"/>
                <w:color w:val="auto"/>
                <w:highlight w:val="none"/>
              </w:rPr>
              <w:t xml:space="preserve">水厂污泥主要含泥沙，水厂产生的污泥属于一般工业固体废物。根据《室外给水设计规范（GB50013-2006）》，干泥量估算采用如下公式： </w:t>
            </w:r>
          </w:p>
          <w:p>
            <w:pPr>
              <w:pStyle w:val="2"/>
              <w:spacing w:line="360" w:lineRule="auto"/>
              <w:ind w:firstLine="480" w:firstLineChars="200"/>
              <w:rPr>
                <w:color w:val="auto"/>
                <w:highlight w:val="none"/>
              </w:rPr>
            </w:pPr>
            <w:r>
              <w:rPr>
                <w:rFonts w:hint="eastAsia"/>
                <w:color w:val="auto"/>
                <w:highlight w:val="none"/>
              </w:rPr>
              <w:t>S=（K1C0+K2D）×Q×10-6</w:t>
            </w:r>
          </w:p>
          <w:p>
            <w:pPr>
              <w:pStyle w:val="2"/>
              <w:spacing w:line="360" w:lineRule="auto"/>
              <w:ind w:firstLine="480" w:firstLineChars="200"/>
              <w:rPr>
                <w:color w:val="auto"/>
                <w:highlight w:val="none"/>
              </w:rPr>
            </w:pPr>
            <w:r>
              <w:rPr>
                <w:rFonts w:hint="eastAsia"/>
                <w:color w:val="auto"/>
                <w:highlight w:val="none"/>
              </w:rPr>
              <w:t>其中：C0——原水浊度设计取值（NTU），取100；</w:t>
            </w:r>
          </w:p>
          <w:p>
            <w:pPr>
              <w:pStyle w:val="2"/>
              <w:spacing w:line="360" w:lineRule="auto"/>
              <w:ind w:firstLine="480" w:firstLineChars="200"/>
              <w:rPr>
                <w:color w:val="auto"/>
                <w:highlight w:val="none"/>
              </w:rPr>
            </w:pPr>
            <w:r>
              <w:rPr>
                <w:rFonts w:hint="eastAsia"/>
                <w:color w:val="auto"/>
                <w:highlight w:val="none"/>
              </w:rPr>
              <w:t xml:space="preserve">K1——原水浊度单位NTU与悬浮物SS单位mg/L的换算系数，应经过实测确定；取1.2； </w:t>
            </w:r>
          </w:p>
          <w:p>
            <w:pPr>
              <w:pStyle w:val="2"/>
              <w:spacing w:line="360" w:lineRule="auto"/>
              <w:ind w:firstLine="480" w:firstLineChars="200"/>
              <w:rPr>
                <w:color w:val="auto"/>
                <w:highlight w:val="none"/>
              </w:rPr>
            </w:pPr>
            <w:r>
              <w:rPr>
                <w:rFonts w:hint="eastAsia"/>
                <w:color w:val="auto"/>
                <w:highlight w:val="none"/>
              </w:rPr>
              <w:t xml:space="preserve">D——药剂投加量（mg/L），取20； </w:t>
            </w:r>
          </w:p>
          <w:p>
            <w:pPr>
              <w:pStyle w:val="2"/>
              <w:spacing w:line="360" w:lineRule="auto"/>
              <w:ind w:firstLine="480" w:firstLineChars="200"/>
              <w:rPr>
                <w:color w:val="auto"/>
                <w:highlight w:val="none"/>
              </w:rPr>
            </w:pPr>
            <w:r>
              <w:rPr>
                <w:rFonts w:hint="eastAsia"/>
                <w:color w:val="auto"/>
                <w:highlight w:val="none"/>
              </w:rPr>
              <w:t xml:space="preserve">K2——药剂转化成泥量的系数；取1.53； </w:t>
            </w:r>
          </w:p>
          <w:p>
            <w:pPr>
              <w:pStyle w:val="2"/>
              <w:spacing w:line="360" w:lineRule="auto"/>
              <w:ind w:firstLine="480" w:firstLineChars="200"/>
              <w:rPr>
                <w:color w:val="auto"/>
                <w:highlight w:val="none"/>
              </w:rPr>
            </w:pPr>
            <w:r>
              <w:rPr>
                <w:rFonts w:hint="eastAsia"/>
                <w:color w:val="auto"/>
                <w:highlight w:val="none"/>
              </w:rPr>
              <w:t>Q——原水流量（m</w:t>
            </w:r>
            <w:r>
              <w:rPr>
                <w:rFonts w:hint="eastAsia"/>
                <w:color w:val="auto"/>
                <w:highlight w:val="none"/>
                <w:vertAlign w:val="superscript"/>
              </w:rPr>
              <w:t>3</w:t>
            </w:r>
            <w:r>
              <w:rPr>
                <w:rFonts w:hint="eastAsia"/>
                <w:color w:val="auto"/>
                <w:highlight w:val="none"/>
              </w:rPr>
              <w:t xml:space="preserve">/d），取41000； </w:t>
            </w:r>
          </w:p>
          <w:p>
            <w:pPr>
              <w:pStyle w:val="2"/>
              <w:spacing w:line="360" w:lineRule="auto"/>
              <w:ind w:firstLine="480" w:firstLineChars="200"/>
              <w:rPr>
                <w:color w:val="auto"/>
                <w:highlight w:val="none"/>
              </w:rPr>
            </w:pPr>
            <w:r>
              <w:rPr>
                <w:rFonts w:hint="eastAsia"/>
                <w:color w:val="auto"/>
                <w:highlight w:val="none"/>
              </w:rPr>
              <w:t xml:space="preserve">S——干泥量（t/d）。 </w:t>
            </w:r>
          </w:p>
          <w:p>
            <w:pPr>
              <w:pStyle w:val="2"/>
              <w:spacing w:line="360" w:lineRule="auto"/>
              <w:ind w:firstLine="480" w:firstLineChars="200"/>
              <w:rPr>
                <w:color w:val="auto"/>
                <w:highlight w:val="none"/>
              </w:rPr>
            </w:pPr>
            <w:r>
              <w:rPr>
                <w:rFonts w:hint="eastAsia"/>
                <w:color w:val="auto"/>
                <w:highlight w:val="none"/>
              </w:rPr>
              <w:t>根据以上公式确定水厂干泥量约为9.035t/d（3297.775t/a）。污泥主要是泥沙性质的物质，不具有危险特性，考虑目前祁阳垃圾填埋场已满负荷，祁阳规划建设祁阳县污泥集中处置中心，因此，近期：污泥经脱水后外运至祁阳海螺水泥厂同生活垃圾焚烧处理，远期：污泥经脱水后外运至祁阳县污泥集中处置中心处置。</w:t>
            </w:r>
          </w:p>
          <w:p>
            <w:pPr>
              <w:pStyle w:val="2"/>
              <w:spacing w:line="360" w:lineRule="auto"/>
              <w:ind w:firstLine="482" w:firstLineChars="200"/>
              <w:rPr>
                <w:b/>
                <w:bCs/>
                <w:color w:val="auto"/>
                <w:highlight w:val="none"/>
              </w:rPr>
            </w:pPr>
            <w:r>
              <w:rPr>
                <w:rFonts w:hint="eastAsia"/>
                <w:b/>
                <w:bCs/>
                <w:color w:val="auto"/>
                <w:highlight w:val="none"/>
              </w:rPr>
              <w:t>（2）废润滑油</w:t>
            </w:r>
          </w:p>
          <w:p>
            <w:pPr>
              <w:pStyle w:val="2"/>
              <w:spacing w:line="360" w:lineRule="auto"/>
              <w:ind w:firstLine="480" w:firstLineChars="200"/>
              <w:rPr>
                <w:color w:val="auto"/>
                <w:highlight w:val="none"/>
              </w:rPr>
            </w:pPr>
            <w:r>
              <w:rPr>
                <w:rFonts w:hint="eastAsia"/>
                <w:color w:val="auto"/>
                <w:highlight w:val="none"/>
              </w:rPr>
              <w:t>取水泵站</w:t>
            </w:r>
            <w:r>
              <w:rPr>
                <w:rFonts w:hint="eastAsia"/>
                <w:color w:val="auto"/>
                <w:highlight w:val="none"/>
                <w:lang w:eastAsia="zh-CN"/>
              </w:rPr>
              <w:t>、</w:t>
            </w:r>
            <w:r>
              <w:rPr>
                <w:rFonts w:hint="eastAsia"/>
                <w:color w:val="auto"/>
                <w:highlight w:val="none"/>
                <w:lang w:val="en-US" w:eastAsia="zh-CN"/>
              </w:rPr>
              <w:t>净水厂和加压泵站</w:t>
            </w:r>
            <w:r>
              <w:rPr>
                <w:rFonts w:hint="eastAsia"/>
                <w:color w:val="auto"/>
                <w:highlight w:val="none"/>
              </w:rPr>
              <w:t>中水泵在运行过程中，轴承中的润滑脂会透过密封圈少量泄漏，进入下方集油坑，每年约产生0.005t的废润滑油，</w:t>
            </w:r>
            <w:r>
              <w:rPr>
                <w:color w:val="auto"/>
                <w:highlight w:val="none"/>
              </w:rPr>
              <w:t xml:space="preserve">根据查询《国家危险废物名录》（2016年），废油属于HW08废矿物油与含矿物油废物，危规号为900-214-08，经专门的收集桶收集后放置在危废暂存间中暂存，须按危险废物管理有关规定送至有资质的单位进行无害化处理。 </w:t>
            </w:r>
          </w:p>
          <w:p>
            <w:pPr>
              <w:pStyle w:val="2"/>
              <w:spacing w:line="360" w:lineRule="auto"/>
              <w:ind w:firstLine="482" w:firstLineChars="200"/>
              <w:rPr>
                <w:b/>
                <w:bCs/>
                <w:color w:val="auto"/>
                <w:highlight w:val="none"/>
              </w:rPr>
            </w:pPr>
            <w:r>
              <w:rPr>
                <w:rFonts w:hint="eastAsia"/>
                <w:b/>
                <w:bCs/>
                <w:color w:val="auto"/>
                <w:highlight w:val="none"/>
              </w:rPr>
              <w:t>（3）生活垃圾</w:t>
            </w:r>
          </w:p>
          <w:p>
            <w:pPr>
              <w:pStyle w:val="2"/>
              <w:spacing w:line="360" w:lineRule="auto"/>
              <w:ind w:firstLine="480" w:firstLineChars="200"/>
              <w:rPr>
                <w:color w:val="auto"/>
                <w:highlight w:val="none"/>
              </w:rPr>
            </w:pPr>
            <w:r>
              <w:rPr>
                <w:rFonts w:hint="eastAsia"/>
                <w:color w:val="auto"/>
                <w:highlight w:val="none"/>
              </w:rPr>
              <w:t>本项目营运期取水泵站值班人员和净水厂员工人数为30人，年工作365天，平均每人每天生活垃圾产生量约0.5kg，则项目取水泵站生活垃圾产生量为15kg/d（5.475t/a）。取水泵站和净水厂的生活垃圾应定期清理，委托当地乡镇环卫部门进行清运处理。</w:t>
            </w:r>
          </w:p>
          <w:p>
            <w:pPr>
              <w:pStyle w:val="2"/>
              <w:spacing w:line="240" w:lineRule="auto"/>
              <w:ind w:firstLine="422" w:firstLineChars="200"/>
              <w:jc w:val="center"/>
              <w:rPr>
                <w:rFonts w:hint="eastAsia"/>
                <w:b/>
                <w:bCs/>
                <w:color w:val="auto"/>
                <w:sz w:val="21"/>
                <w:szCs w:val="21"/>
                <w:highlight w:val="none"/>
              </w:rPr>
            </w:pPr>
          </w:p>
          <w:p>
            <w:pPr>
              <w:pStyle w:val="2"/>
              <w:spacing w:line="240" w:lineRule="auto"/>
              <w:ind w:firstLine="422" w:firstLineChars="200"/>
              <w:jc w:val="center"/>
              <w:rPr>
                <w:rFonts w:hint="eastAsia"/>
                <w:b/>
                <w:bCs/>
                <w:color w:val="auto"/>
                <w:sz w:val="21"/>
                <w:szCs w:val="21"/>
                <w:highlight w:val="none"/>
              </w:rPr>
            </w:pPr>
          </w:p>
          <w:p>
            <w:pPr>
              <w:pStyle w:val="2"/>
              <w:spacing w:line="240" w:lineRule="auto"/>
              <w:ind w:firstLine="422" w:firstLineChars="200"/>
              <w:jc w:val="center"/>
              <w:rPr>
                <w:rFonts w:hint="eastAsia"/>
                <w:b/>
                <w:bCs/>
                <w:color w:val="auto"/>
                <w:sz w:val="21"/>
                <w:szCs w:val="21"/>
                <w:highlight w:val="none"/>
              </w:rPr>
            </w:pPr>
          </w:p>
          <w:p>
            <w:pPr>
              <w:pStyle w:val="2"/>
              <w:spacing w:line="240" w:lineRule="auto"/>
              <w:ind w:firstLine="422" w:firstLineChars="200"/>
              <w:jc w:val="center"/>
              <w:rPr>
                <w:b/>
                <w:bCs/>
                <w:color w:val="auto"/>
                <w:sz w:val="21"/>
                <w:szCs w:val="21"/>
                <w:highlight w:val="none"/>
              </w:rPr>
            </w:pPr>
            <w:r>
              <w:rPr>
                <w:rFonts w:hint="eastAsia"/>
                <w:b/>
                <w:bCs/>
                <w:color w:val="auto"/>
                <w:sz w:val="21"/>
                <w:szCs w:val="21"/>
                <w:highlight w:val="none"/>
              </w:rPr>
              <w:t>表5-5   项目固体废物排放情况及污染控制措施一览表</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93"/>
              <w:gridCol w:w="1616"/>
              <w:gridCol w:w="1217"/>
              <w:gridCol w:w="3131"/>
              <w:gridCol w:w="9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07" w:type="dxa"/>
                  <w:tcBorders>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序号</w:t>
                  </w:r>
                </w:p>
              </w:tc>
              <w:tc>
                <w:tcPr>
                  <w:tcW w:w="1293"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排放源</w:t>
                  </w:r>
                </w:p>
              </w:tc>
              <w:tc>
                <w:tcPr>
                  <w:tcW w:w="1616"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污染物名称</w:t>
                  </w:r>
                </w:p>
              </w:tc>
              <w:tc>
                <w:tcPr>
                  <w:tcW w:w="1217"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产生量(t/a)</w:t>
                  </w:r>
                </w:p>
              </w:tc>
              <w:tc>
                <w:tcPr>
                  <w:tcW w:w="3131"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处理措施</w:t>
                  </w:r>
                </w:p>
              </w:tc>
              <w:tc>
                <w:tcPr>
                  <w:tcW w:w="923" w:type="dxa"/>
                  <w:tcBorders>
                    <w:left w:val="single" w:color="auto" w:sz="4" w:space="0"/>
                    <w:bottom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07" w:type="dxa"/>
                  <w:tcBorders>
                    <w:top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w:t>
                  </w:r>
                </w:p>
              </w:tc>
              <w:tc>
                <w:tcPr>
                  <w:tcW w:w="12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净水厂</w:t>
                  </w:r>
                </w:p>
              </w:tc>
              <w:tc>
                <w:tcPr>
                  <w:tcW w:w="16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污泥</w:t>
                  </w:r>
                </w:p>
              </w:tc>
              <w:tc>
                <w:tcPr>
                  <w:tcW w:w="1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297.775t/a</w:t>
                  </w:r>
                </w:p>
              </w:tc>
              <w:tc>
                <w:tcPr>
                  <w:tcW w:w="313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近期：污泥经脱水后外运至祁阳海螺水泥厂同生活垃圾焚烧处理，远期：污泥经脱水后外运至祁阳县污泥集中处置中心处置。</w:t>
                  </w:r>
                </w:p>
              </w:tc>
              <w:tc>
                <w:tcPr>
                  <w:tcW w:w="923" w:type="dxa"/>
                  <w:tcBorders>
                    <w:top w:val="single" w:color="auto" w:sz="4" w:space="0"/>
                    <w:left w:val="single" w:color="auto" w:sz="4" w:space="0"/>
                    <w:bottom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一般固废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07" w:type="dxa"/>
                  <w:tcBorders>
                    <w:top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2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取水泵站、净水厂和加压泵</w:t>
                  </w:r>
                  <w:r>
                    <w:rPr>
                      <w:rFonts w:hint="eastAsia"/>
                      <w:color w:val="auto"/>
                      <w:sz w:val="21"/>
                      <w:szCs w:val="21"/>
                      <w:highlight w:val="none"/>
                      <w:lang w:val="en-US" w:eastAsia="zh-CN"/>
                    </w:rPr>
                    <w:t>站</w:t>
                  </w:r>
                </w:p>
              </w:tc>
              <w:tc>
                <w:tcPr>
                  <w:tcW w:w="16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废润滑油</w:t>
                  </w:r>
                </w:p>
              </w:tc>
              <w:tc>
                <w:tcPr>
                  <w:tcW w:w="12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0.005t/a</w:t>
                  </w:r>
                </w:p>
              </w:tc>
              <w:tc>
                <w:tcPr>
                  <w:tcW w:w="313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lang w:val="zh-CN"/>
                    </w:rPr>
                    <w:t>按危险废物管理有关规定送至有资质的单位进行无害化处理</w:t>
                  </w:r>
                </w:p>
              </w:tc>
              <w:tc>
                <w:tcPr>
                  <w:tcW w:w="923" w:type="dxa"/>
                  <w:tcBorders>
                    <w:top w:val="single" w:color="auto" w:sz="4" w:space="0"/>
                    <w:left w:val="single" w:color="auto" w:sz="4" w:space="0"/>
                    <w:bottom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危险废物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07" w:type="dxa"/>
                  <w:tcBorders>
                    <w:top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293"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取水泵站、净水厂</w:t>
                  </w:r>
                </w:p>
              </w:tc>
              <w:tc>
                <w:tcPr>
                  <w:tcW w:w="1616"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生活垃圾</w:t>
                  </w:r>
                </w:p>
              </w:tc>
              <w:tc>
                <w:tcPr>
                  <w:tcW w:w="1217"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5.475t/a</w:t>
                  </w:r>
                </w:p>
              </w:tc>
              <w:tc>
                <w:tcPr>
                  <w:tcW w:w="3131"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委托当地乡镇环卫部门进行清运处理</w:t>
                  </w:r>
                </w:p>
              </w:tc>
              <w:tc>
                <w:tcPr>
                  <w:tcW w:w="923" w:type="dxa"/>
                  <w:tcBorders>
                    <w:top w:val="single" w:color="auto" w:sz="4" w:space="0"/>
                    <w:left w:val="single" w:color="auto" w:sz="4" w:space="0"/>
                  </w:tcBorders>
                  <w:tcMar>
                    <w:top w:w="0" w:type="dxa"/>
                    <w:left w:w="0" w:type="dxa"/>
                    <w:bottom w:w="0" w:type="dxa"/>
                    <w:right w:w="0"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生活垃圾</w:t>
                  </w:r>
                </w:p>
              </w:tc>
            </w:tr>
          </w:tbl>
          <w:p>
            <w:pPr>
              <w:ind w:firstLine="422"/>
              <w:rPr>
                <w:b/>
                <w:color w:val="auto"/>
                <w:sz w:val="21"/>
                <w:szCs w:val="21"/>
                <w:highlight w:val="none"/>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ind w:firstLine="422"/>
              <w:jc w:val="center"/>
              <w:rPr>
                <w:rFonts w:hint="eastAsia"/>
                <w:b/>
                <w:color w:val="auto"/>
                <w:sz w:val="21"/>
                <w:szCs w:val="21"/>
                <w:highlight w:val="none"/>
                <w:lang w:eastAsia="zh-CN"/>
              </w:rPr>
            </w:pPr>
          </w:p>
          <w:p>
            <w:pPr>
              <w:pStyle w:val="2"/>
              <w:spacing w:line="360" w:lineRule="auto"/>
              <w:rPr>
                <w:color w:val="auto"/>
                <w:highlight w:val="none"/>
              </w:rPr>
            </w:pPr>
          </w:p>
        </w:tc>
      </w:tr>
    </w:tbl>
    <w:p>
      <w:pPr>
        <w:pStyle w:val="3"/>
        <w:spacing w:before="0" w:after="0" w:line="240" w:lineRule="auto"/>
        <w:ind w:firstLine="0" w:firstLineChars="0"/>
        <w:rPr>
          <w:color w:val="auto"/>
          <w:sz w:val="32"/>
          <w:highlight w:val="none"/>
        </w:rPr>
      </w:pPr>
      <w:bookmarkStart w:id="53" w:name="_Toc167674098"/>
      <w:bookmarkStart w:id="54" w:name="_Toc203477673"/>
      <w:bookmarkStart w:id="55" w:name="_Toc167421095"/>
      <w:bookmarkStart w:id="56" w:name="_Toc165285232"/>
      <w:bookmarkStart w:id="57" w:name="_Toc167422971"/>
      <w:r>
        <w:rPr>
          <w:rFonts w:eastAsia="黑体"/>
          <w:b w:val="0"/>
          <w:bCs w:val="0"/>
          <w:color w:val="auto"/>
          <w:kern w:val="2"/>
          <w:szCs w:val="32"/>
          <w:highlight w:val="none"/>
        </w:rPr>
        <w:br w:type="page"/>
      </w:r>
      <w:bookmarkStart w:id="58" w:name="_Toc23889"/>
      <w:r>
        <w:rPr>
          <w:color w:val="auto"/>
          <w:sz w:val="32"/>
          <w:highlight w:val="none"/>
        </w:rPr>
        <w:t>项目主要污染物产生及预计排放情况</w:t>
      </w:r>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Style w:val="26"/>
        <w:tblW w:w="894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
        <w:gridCol w:w="1440"/>
        <w:gridCol w:w="1935"/>
        <w:gridCol w:w="2099"/>
        <w:gridCol w:w="24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3" w:hRule="atLeast"/>
          <w:jc w:val="center"/>
        </w:trPr>
        <w:tc>
          <w:tcPr>
            <w:tcW w:w="1012" w:type="dxa"/>
            <w:tcBorders>
              <w:tl2br w:val="single" w:color="auto" w:sz="6" w:space="0"/>
            </w:tcBorders>
            <w:vAlign w:val="center"/>
          </w:tcPr>
          <w:p>
            <w:pPr>
              <w:spacing w:line="240" w:lineRule="auto"/>
              <w:ind w:firstLine="0" w:firstLineChars="0"/>
              <w:jc w:val="center"/>
              <w:rPr>
                <w:color w:val="auto"/>
                <w:sz w:val="21"/>
                <w:szCs w:val="21"/>
                <w:highlight w:val="none"/>
              </w:rPr>
            </w:pPr>
            <w:r>
              <w:rPr>
                <w:color w:val="auto"/>
                <w:sz w:val="21"/>
                <w:szCs w:val="21"/>
                <w:highlight w:val="none"/>
              </w:rPr>
              <w:t>内容</w:t>
            </w:r>
          </w:p>
          <w:p>
            <w:pPr>
              <w:spacing w:line="240" w:lineRule="auto"/>
              <w:ind w:firstLine="0" w:firstLineChars="0"/>
              <w:rPr>
                <w:color w:val="auto"/>
                <w:sz w:val="21"/>
                <w:szCs w:val="21"/>
                <w:highlight w:val="none"/>
              </w:rPr>
            </w:pPr>
            <w:r>
              <w:rPr>
                <w:color w:val="auto"/>
                <w:sz w:val="21"/>
                <w:szCs w:val="21"/>
                <w:highlight w:val="none"/>
              </w:rPr>
              <w:t>类型</w:t>
            </w:r>
          </w:p>
        </w:tc>
        <w:tc>
          <w:tcPr>
            <w:tcW w:w="1440" w:type="dxa"/>
            <w:vAlign w:val="center"/>
          </w:tcPr>
          <w:p>
            <w:pPr>
              <w:spacing w:line="240" w:lineRule="auto"/>
              <w:ind w:firstLine="0" w:firstLineChars="0"/>
              <w:jc w:val="center"/>
              <w:rPr>
                <w:color w:val="auto"/>
                <w:sz w:val="21"/>
                <w:szCs w:val="21"/>
                <w:highlight w:val="none"/>
              </w:rPr>
            </w:pPr>
            <w:r>
              <w:rPr>
                <w:color w:val="auto"/>
                <w:sz w:val="21"/>
                <w:szCs w:val="21"/>
                <w:highlight w:val="none"/>
              </w:rPr>
              <w:t>排放源</w:t>
            </w:r>
          </w:p>
        </w:tc>
        <w:tc>
          <w:tcPr>
            <w:tcW w:w="1935" w:type="dxa"/>
            <w:vAlign w:val="center"/>
          </w:tcPr>
          <w:p>
            <w:pPr>
              <w:spacing w:line="240" w:lineRule="auto"/>
              <w:ind w:firstLine="0" w:firstLineChars="0"/>
              <w:jc w:val="center"/>
              <w:rPr>
                <w:color w:val="auto"/>
                <w:sz w:val="21"/>
                <w:szCs w:val="21"/>
                <w:highlight w:val="none"/>
              </w:rPr>
            </w:pPr>
            <w:r>
              <w:rPr>
                <w:color w:val="auto"/>
                <w:sz w:val="21"/>
                <w:szCs w:val="21"/>
                <w:highlight w:val="none"/>
              </w:rPr>
              <w:t>污染物名称</w:t>
            </w:r>
          </w:p>
        </w:tc>
        <w:tc>
          <w:tcPr>
            <w:tcW w:w="2099" w:type="dxa"/>
            <w:vAlign w:val="center"/>
          </w:tcPr>
          <w:p>
            <w:pPr>
              <w:spacing w:line="240" w:lineRule="auto"/>
              <w:ind w:firstLine="0" w:firstLineChars="0"/>
              <w:jc w:val="center"/>
              <w:rPr>
                <w:color w:val="auto"/>
                <w:sz w:val="21"/>
                <w:szCs w:val="21"/>
                <w:highlight w:val="none"/>
              </w:rPr>
            </w:pPr>
            <w:r>
              <w:rPr>
                <w:color w:val="auto"/>
                <w:sz w:val="21"/>
                <w:szCs w:val="21"/>
                <w:highlight w:val="none"/>
              </w:rPr>
              <w:t>处理前产生浓度</w:t>
            </w:r>
          </w:p>
          <w:p>
            <w:pPr>
              <w:spacing w:line="240" w:lineRule="auto"/>
              <w:ind w:firstLine="0" w:firstLineChars="0"/>
              <w:jc w:val="center"/>
              <w:rPr>
                <w:color w:val="auto"/>
                <w:sz w:val="21"/>
                <w:szCs w:val="21"/>
                <w:highlight w:val="none"/>
              </w:rPr>
            </w:pPr>
            <w:r>
              <w:rPr>
                <w:color w:val="auto"/>
                <w:sz w:val="21"/>
                <w:szCs w:val="21"/>
                <w:highlight w:val="none"/>
              </w:rPr>
              <w:t>及产生量(单位)</w:t>
            </w:r>
          </w:p>
        </w:tc>
        <w:tc>
          <w:tcPr>
            <w:tcW w:w="2461" w:type="dxa"/>
            <w:vAlign w:val="center"/>
          </w:tcPr>
          <w:p>
            <w:pPr>
              <w:spacing w:line="240" w:lineRule="auto"/>
              <w:ind w:firstLine="0" w:firstLineChars="0"/>
              <w:jc w:val="center"/>
              <w:rPr>
                <w:color w:val="auto"/>
                <w:sz w:val="21"/>
                <w:szCs w:val="21"/>
                <w:highlight w:val="none"/>
              </w:rPr>
            </w:pPr>
            <w:r>
              <w:rPr>
                <w:color w:val="auto"/>
                <w:sz w:val="21"/>
                <w:szCs w:val="21"/>
                <w:highlight w:val="none"/>
              </w:rPr>
              <w:t>排放浓度</w:t>
            </w:r>
          </w:p>
          <w:p>
            <w:pPr>
              <w:spacing w:line="240" w:lineRule="auto"/>
              <w:ind w:firstLine="0" w:firstLineChars="0"/>
              <w:jc w:val="center"/>
              <w:rPr>
                <w:color w:val="auto"/>
                <w:sz w:val="21"/>
                <w:szCs w:val="21"/>
                <w:highlight w:val="none"/>
              </w:rPr>
            </w:pPr>
            <w:r>
              <w:rPr>
                <w:color w:val="auto"/>
                <w:sz w:val="21"/>
                <w:szCs w:val="21"/>
                <w:highlight w:val="none"/>
              </w:rPr>
              <w:t>及排放量(单位)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大气污</w:t>
            </w:r>
          </w:p>
          <w:p>
            <w:pPr>
              <w:spacing w:line="240" w:lineRule="auto"/>
              <w:ind w:firstLine="0" w:firstLineChars="0"/>
              <w:jc w:val="center"/>
              <w:rPr>
                <w:color w:val="auto"/>
                <w:sz w:val="21"/>
                <w:szCs w:val="21"/>
                <w:highlight w:val="none"/>
              </w:rPr>
            </w:pPr>
            <w:r>
              <w:rPr>
                <w:color w:val="auto"/>
                <w:sz w:val="21"/>
                <w:szCs w:val="21"/>
                <w:highlight w:val="none"/>
              </w:rPr>
              <w:t>染物</w:t>
            </w:r>
          </w:p>
        </w:tc>
        <w:tc>
          <w:tcPr>
            <w:tcW w:w="144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加氯加药间</w:t>
            </w:r>
          </w:p>
        </w:tc>
        <w:tc>
          <w:tcPr>
            <w:tcW w:w="19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二氧化氯泄漏废气</w:t>
            </w:r>
          </w:p>
        </w:tc>
        <w:tc>
          <w:tcPr>
            <w:tcW w:w="209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少量</w:t>
            </w:r>
          </w:p>
        </w:tc>
        <w:tc>
          <w:tcPr>
            <w:tcW w:w="246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少量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盐酸废气</w:t>
            </w:r>
          </w:p>
        </w:tc>
        <w:tc>
          <w:tcPr>
            <w:tcW w:w="1935" w:type="dxa"/>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lang w:val="en-US" w:eastAsia="zh-CN"/>
              </w:rPr>
              <w:t>HCL</w:t>
            </w:r>
          </w:p>
        </w:tc>
        <w:tc>
          <w:tcPr>
            <w:tcW w:w="2099" w:type="dxa"/>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lang w:val="en-US" w:eastAsia="zh-CN"/>
              </w:rPr>
              <w:t>无组织排放，</w:t>
            </w:r>
            <w:r>
              <w:rPr>
                <w:rFonts w:hint="eastAsia"/>
                <w:color w:val="auto"/>
                <w:sz w:val="21"/>
                <w:szCs w:val="21"/>
                <w:highlight w:val="none"/>
              </w:rPr>
              <w:t>69.1kg/a</w:t>
            </w:r>
          </w:p>
        </w:tc>
        <w:tc>
          <w:tcPr>
            <w:tcW w:w="2461" w:type="dxa"/>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lang w:val="en-US" w:eastAsia="zh-CN"/>
              </w:rPr>
              <w:t>无组织排放，</w:t>
            </w:r>
            <w:r>
              <w:rPr>
                <w:rFonts w:hint="eastAsia"/>
                <w:color w:val="auto"/>
                <w:sz w:val="21"/>
                <w:szCs w:val="21"/>
                <w:highlight w:val="none"/>
              </w:rPr>
              <w:t>69.1kg/a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食堂油烟</w:t>
            </w:r>
          </w:p>
        </w:tc>
        <w:tc>
          <w:tcPr>
            <w:tcW w:w="19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油烟</w:t>
            </w:r>
          </w:p>
        </w:tc>
        <w:tc>
          <w:tcPr>
            <w:tcW w:w="209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6.57</w:t>
            </w:r>
            <w:r>
              <w:rPr>
                <w:color w:val="auto"/>
                <w:sz w:val="21"/>
                <w:szCs w:val="21"/>
                <w:highlight w:val="none"/>
              </w:rPr>
              <w:t>kg/a</w:t>
            </w:r>
            <w:r>
              <w:rPr>
                <w:rFonts w:hint="eastAsia"/>
                <w:color w:val="auto"/>
                <w:sz w:val="21"/>
                <w:szCs w:val="21"/>
                <w:highlight w:val="none"/>
              </w:rPr>
              <w:t>、4.5mg/m</w:t>
            </w:r>
            <w:r>
              <w:rPr>
                <w:rFonts w:hint="eastAsia"/>
                <w:color w:val="auto"/>
                <w:sz w:val="21"/>
                <w:szCs w:val="21"/>
                <w:highlight w:val="none"/>
                <w:vertAlign w:val="superscript"/>
              </w:rPr>
              <w:t>3</w:t>
            </w:r>
          </w:p>
        </w:tc>
        <w:tc>
          <w:tcPr>
            <w:tcW w:w="246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1.825</w:t>
            </w:r>
            <w:r>
              <w:rPr>
                <w:color w:val="auto"/>
                <w:sz w:val="21"/>
                <w:szCs w:val="21"/>
                <w:highlight w:val="none"/>
              </w:rPr>
              <w:t>kg/</w:t>
            </w:r>
            <w:r>
              <w:rPr>
                <w:rFonts w:hint="eastAsia"/>
                <w:color w:val="auto"/>
                <w:sz w:val="21"/>
                <w:szCs w:val="21"/>
                <w:highlight w:val="none"/>
              </w:rPr>
              <w:t>a、1.1mg/m</w:t>
            </w:r>
            <w:r>
              <w:rPr>
                <w:rFonts w:hint="eastAsia"/>
                <w:color w:val="auto"/>
                <w:sz w:val="21"/>
                <w:szCs w:val="21"/>
                <w:highlight w:val="none"/>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水污染物</w:t>
            </w:r>
          </w:p>
        </w:tc>
        <w:tc>
          <w:tcPr>
            <w:tcW w:w="1440" w:type="dxa"/>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化验室废水（0.1t/a）</w:t>
            </w:r>
          </w:p>
        </w:tc>
        <w:tc>
          <w:tcPr>
            <w:tcW w:w="1935" w:type="dxa"/>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PH</w:t>
            </w:r>
          </w:p>
        </w:tc>
        <w:tc>
          <w:tcPr>
            <w:tcW w:w="2099" w:type="dxa"/>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w:t>
            </w:r>
          </w:p>
        </w:tc>
        <w:tc>
          <w:tcPr>
            <w:tcW w:w="2461" w:type="dxa"/>
            <w:vAlign w:val="center"/>
          </w:tcPr>
          <w:p>
            <w:pPr>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Merge w:val="restart"/>
            <w:vAlign w:val="center"/>
          </w:tcPr>
          <w:p>
            <w:pPr>
              <w:spacing w:line="240" w:lineRule="auto"/>
              <w:ind w:firstLine="0" w:firstLineChars="0"/>
              <w:rPr>
                <w:color w:val="auto"/>
                <w:sz w:val="21"/>
                <w:szCs w:val="21"/>
                <w:highlight w:val="none"/>
              </w:rPr>
            </w:pPr>
            <w:r>
              <w:rPr>
                <w:color w:val="auto"/>
                <w:sz w:val="21"/>
                <w:szCs w:val="21"/>
                <w:highlight w:val="none"/>
              </w:rPr>
              <w:t>净水厂生活污水</w:t>
            </w:r>
          </w:p>
          <w:p>
            <w:pPr>
              <w:pStyle w:val="2"/>
              <w:spacing w:line="240" w:lineRule="auto"/>
              <w:rPr>
                <w:color w:val="auto"/>
                <w:highlight w:val="none"/>
              </w:rPr>
            </w:pPr>
            <w:r>
              <w:rPr>
                <w:color w:val="auto"/>
                <w:sz w:val="21"/>
                <w:szCs w:val="21"/>
                <w:highlight w:val="none"/>
              </w:rPr>
              <w:t>（1349.59</w:t>
            </w:r>
            <w:r>
              <w:rPr>
                <w:rFonts w:hint="eastAsia"/>
                <w:color w:val="auto"/>
                <w:sz w:val="21"/>
                <w:szCs w:val="21"/>
                <w:highlight w:val="none"/>
                <w:lang w:val="en-US" w:eastAsia="zh-CN"/>
              </w:rPr>
              <w:t>t/a</w:t>
            </w:r>
            <w:r>
              <w:rPr>
                <w:color w:val="auto"/>
                <w:sz w:val="21"/>
                <w:szCs w:val="21"/>
                <w:highlight w:val="none"/>
              </w:rPr>
              <w:t>）</w:t>
            </w:r>
          </w:p>
        </w:tc>
        <w:tc>
          <w:tcPr>
            <w:tcW w:w="1935" w:type="dxa"/>
            <w:vAlign w:val="center"/>
          </w:tcPr>
          <w:p>
            <w:pPr>
              <w:spacing w:line="240" w:lineRule="auto"/>
              <w:ind w:firstLine="0" w:firstLineChars="0"/>
              <w:jc w:val="center"/>
              <w:rPr>
                <w:color w:val="auto"/>
                <w:sz w:val="21"/>
                <w:szCs w:val="21"/>
                <w:highlight w:val="none"/>
              </w:rPr>
            </w:pPr>
            <w:r>
              <w:rPr>
                <w:color w:val="auto"/>
                <w:sz w:val="21"/>
                <w:szCs w:val="21"/>
                <w:highlight w:val="none"/>
                <w:lang w:val="en-GB"/>
              </w:rPr>
              <w:t>COD</w:t>
            </w:r>
          </w:p>
        </w:tc>
        <w:tc>
          <w:tcPr>
            <w:tcW w:w="2099" w:type="dxa"/>
            <w:vAlign w:val="center"/>
          </w:tcPr>
          <w:p>
            <w:pPr>
              <w:spacing w:line="240" w:lineRule="auto"/>
              <w:ind w:firstLine="0" w:firstLineChars="0"/>
              <w:jc w:val="center"/>
              <w:rPr>
                <w:color w:val="auto"/>
                <w:sz w:val="21"/>
                <w:szCs w:val="21"/>
                <w:highlight w:val="none"/>
              </w:rPr>
            </w:pPr>
            <w:r>
              <w:rPr>
                <w:color w:val="auto"/>
                <w:sz w:val="21"/>
                <w:szCs w:val="21"/>
                <w:highlight w:val="none"/>
              </w:rPr>
              <w:t>250mg/L；</w:t>
            </w:r>
            <w:r>
              <w:rPr>
                <w:color w:val="auto"/>
                <w:kern w:val="0"/>
                <w:sz w:val="21"/>
                <w:szCs w:val="21"/>
                <w:highlight w:val="none"/>
              </w:rPr>
              <w:t>0.337</w:t>
            </w:r>
            <w:r>
              <w:rPr>
                <w:color w:val="auto"/>
                <w:sz w:val="21"/>
                <w:szCs w:val="21"/>
                <w:highlight w:val="none"/>
              </w:rPr>
              <w:t>t/a</w:t>
            </w:r>
          </w:p>
        </w:tc>
        <w:tc>
          <w:tcPr>
            <w:tcW w:w="2461" w:type="dxa"/>
            <w:vAlign w:val="center"/>
          </w:tcPr>
          <w:p>
            <w:pPr>
              <w:spacing w:line="240" w:lineRule="auto"/>
              <w:ind w:firstLine="0" w:firstLineChars="0"/>
              <w:jc w:val="center"/>
              <w:rPr>
                <w:color w:val="auto"/>
                <w:sz w:val="21"/>
                <w:szCs w:val="21"/>
                <w:highlight w:val="none"/>
              </w:rPr>
            </w:pPr>
            <w:r>
              <w:rPr>
                <w:color w:val="auto"/>
                <w:sz w:val="21"/>
                <w:szCs w:val="21"/>
                <w:highlight w:val="none"/>
              </w:rPr>
              <w:t>90mg/L；</w:t>
            </w:r>
            <w:r>
              <w:rPr>
                <w:color w:val="auto"/>
                <w:kern w:val="0"/>
                <w:sz w:val="21"/>
                <w:szCs w:val="21"/>
                <w:highlight w:val="none"/>
              </w:rPr>
              <w:t>0.121</w:t>
            </w:r>
            <w:r>
              <w:rPr>
                <w:color w:val="auto"/>
                <w:sz w:val="21"/>
                <w:szCs w:val="21"/>
                <w:highlight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Merge w:val="continue"/>
            <w:vAlign w:val="center"/>
          </w:tcPr>
          <w:p>
            <w:pPr>
              <w:spacing w:line="240" w:lineRule="auto"/>
              <w:ind w:firstLine="0" w:firstLineChars="0"/>
              <w:jc w:val="center"/>
              <w:rPr>
                <w:color w:val="auto"/>
                <w:sz w:val="21"/>
                <w:szCs w:val="21"/>
                <w:highlight w:val="none"/>
              </w:rPr>
            </w:pPr>
          </w:p>
        </w:tc>
        <w:tc>
          <w:tcPr>
            <w:tcW w:w="1935" w:type="dxa"/>
            <w:vAlign w:val="center"/>
          </w:tcPr>
          <w:p>
            <w:pPr>
              <w:spacing w:line="240" w:lineRule="auto"/>
              <w:ind w:firstLine="0" w:firstLineChars="0"/>
              <w:jc w:val="center"/>
              <w:rPr>
                <w:color w:val="auto"/>
                <w:sz w:val="21"/>
                <w:szCs w:val="21"/>
                <w:highlight w:val="none"/>
              </w:rPr>
            </w:pPr>
            <w:r>
              <w:rPr>
                <w:color w:val="auto"/>
                <w:sz w:val="21"/>
                <w:szCs w:val="21"/>
                <w:highlight w:val="none"/>
                <w:lang w:val="en-GB"/>
              </w:rPr>
              <w:t>BOD</w:t>
            </w:r>
            <w:r>
              <w:rPr>
                <w:color w:val="auto"/>
                <w:sz w:val="21"/>
                <w:szCs w:val="21"/>
                <w:highlight w:val="none"/>
                <w:vertAlign w:val="subscript"/>
                <w:lang w:val="en-GB"/>
              </w:rPr>
              <w:t>5</w:t>
            </w:r>
          </w:p>
        </w:tc>
        <w:tc>
          <w:tcPr>
            <w:tcW w:w="2099" w:type="dxa"/>
            <w:vAlign w:val="center"/>
          </w:tcPr>
          <w:p>
            <w:pPr>
              <w:spacing w:line="240" w:lineRule="auto"/>
              <w:ind w:firstLine="0" w:firstLineChars="0"/>
              <w:jc w:val="center"/>
              <w:rPr>
                <w:color w:val="auto"/>
                <w:sz w:val="21"/>
                <w:szCs w:val="21"/>
                <w:highlight w:val="none"/>
              </w:rPr>
            </w:pPr>
            <w:r>
              <w:rPr>
                <w:color w:val="auto"/>
                <w:sz w:val="21"/>
                <w:szCs w:val="21"/>
                <w:highlight w:val="none"/>
              </w:rPr>
              <w:t>130mg/L；0.175t/a</w:t>
            </w:r>
          </w:p>
        </w:tc>
        <w:tc>
          <w:tcPr>
            <w:tcW w:w="2461" w:type="dxa"/>
            <w:vAlign w:val="center"/>
          </w:tcPr>
          <w:p>
            <w:pPr>
              <w:spacing w:line="240" w:lineRule="auto"/>
              <w:ind w:firstLine="0" w:firstLineChars="0"/>
              <w:jc w:val="center"/>
              <w:rPr>
                <w:color w:val="auto"/>
                <w:sz w:val="21"/>
                <w:szCs w:val="21"/>
                <w:highlight w:val="none"/>
              </w:rPr>
            </w:pPr>
            <w:r>
              <w:rPr>
                <w:color w:val="auto"/>
                <w:sz w:val="21"/>
                <w:szCs w:val="21"/>
                <w:highlight w:val="none"/>
              </w:rPr>
              <w:t>15mg/L；0.020t/a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Merge w:val="continue"/>
            <w:vAlign w:val="center"/>
          </w:tcPr>
          <w:p>
            <w:pPr>
              <w:spacing w:line="240" w:lineRule="auto"/>
              <w:ind w:firstLine="0" w:firstLineChars="0"/>
              <w:jc w:val="center"/>
              <w:rPr>
                <w:color w:val="auto"/>
                <w:sz w:val="21"/>
                <w:szCs w:val="21"/>
                <w:highlight w:val="none"/>
              </w:rPr>
            </w:pPr>
          </w:p>
        </w:tc>
        <w:tc>
          <w:tcPr>
            <w:tcW w:w="1935" w:type="dxa"/>
            <w:vAlign w:val="center"/>
          </w:tcPr>
          <w:p>
            <w:pPr>
              <w:spacing w:line="240" w:lineRule="auto"/>
              <w:ind w:firstLine="0" w:firstLineChars="0"/>
              <w:jc w:val="center"/>
              <w:rPr>
                <w:color w:val="auto"/>
                <w:sz w:val="21"/>
                <w:szCs w:val="21"/>
                <w:highlight w:val="none"/>
              </w:rPr>
            </w:pPr>
            <w:r>
              <w:rPr>
                <w:color w:val="auto"/>
                <w:sz w:val="21"/>
                <w:szCs w:val="21"/>
                <w:highlight w:val="none"/>
                <w:lang w:val="en-GB"/>
              </w:rPr>
              <w:t>SS</w:t>
            </w:r>
          </w:p>
        </w:tc>
        <w:tc>
          <w:tcPr>
            <w:tcW w:w="2099" w:type="dxa"/>
            <w:vAlign w:val="center"/>
          </w:tcPr>
          <w:p>
            <w:pPr>
              <w:spacing w:line="240" w:lineRule="auto"/>
              <w:ind w:firstLine="0" w:firstLineChars="0"/>
              <w:jc w:val="center"/>
              <w:rPr>
                <w:color w:val="auto"/>
                <w:sz w:val="21"/>
                <w:szCs w:val="21"/>
                <w:highlight w:val="none"/>
              </w:rPr>
            </w:pPr>
            <w:r>
              <w:rPr>
                <w:color w:val="auto"/>
                <w:sz w:val="21"/>
                <w:szCs w:val="21"/>
                <w:highlight w:val="none"/>
              </w:rPr>
              <w:t>220mg/L；0.297t/a</w:t>
            </w:r>
          </w:p>
        </w:tc>
        <w:tc>
          <w:tcPr>
            <w:tcW w:w="2461" w:type="dxa"/>
            <w:vAlign w:val="center"/>
          </w:tcPr>
          <w:p>
            <w:pPr>
              <w:spacing w:line="240" w:lineRule="auto"/>
              <w:ind w:firstLine="0" w:firstLineChars="0"/>
              <w:jc w:val="center"/>
              <w:rPr>
                <w:color w:val="auto"/>
                <w:sz w:val="21"/>
                <w:szCs w:val="21"/>
                <w:highlight w:val="none"/>
              </w:rPr>
            </w:pPr>
            <w:r>
              <w:rPr>
                <w:color w:val="auto"/>
                <w:sz w:val="21"/>
                <w:szCs w:val="21"/>
                <w:highlight w:val="none"/>
              </w:rPr>
              <w:t>50mg/L；0.067t/a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Merge w:val="continue"/>
            <w:vAlign w:val="center"/>
          </w:tcPr>
          <w:p>
            <w:pPr>
              <w:spacing w:line="240" w:lineRule="auto"/>
              <w:ind w:firstLine="0" w:firstLineChars="0"/>
              <w:jc w:val="center"/>
              <w:rPr>
                <w:color w:val="auto"/>
                <w:sz w:val="21"/>
                <w:szCs w:val="21"/>
                <w:highlight w:val="none"/>
              </w:rPr>
            </w:pPr>
          </w:p>
        </w:tc>
        <w:tc>
          <w:tcPr>
            <w:tcW w:w="1935" w:type="dxa"/>
            <w:vAlign w:val="center"/>
          </w:tcPr>
          <w:p>
            <w:pPr>
              <w:spacing w:line="240" w:lineRule="auto"/>
              <w:ind w:firstLine="0" w:firstLineChars="0"/>
              <w:jc w:val="center"/>
              <w:rPr>
                <w:color w:val="auto"/>
                <w:sz w:val="21"/>
                <w:szCs w:val="21"/>
                <w:highlight w:val="none"/>
              </w:rPr>
            </w:pPr>
            <w:r>
              <w:rPr>
                <w:color w:val="auto"/>
                <w:sz w:val="21"/>
                <w:szCs w:val="21"/>
                <w:highlight w:val="none"/>
                <w:lang w:val="en-GB"/>
              </w:rPr>
              <w:t>氨氮</w:t>
            </w:r>
          </w:p>
        </w:tc>
        <w:tc>
          <w:tcPr>
            <w:tcW w:w="2099" w:type="dxa"/>
            <w:vAlign w:val="center"/>
          </w:tcPr>
          <w:p>
            <w:pPr>
              <w:spacing w:line="240" w:lineRule="auto"/>
              <w:ind w:firstLine="0" w:firstLineChars="0"/>
              <w:jc w:val="center"/>
              <w:rPr>
                <w:color w:val="auto"/>
                <w:sz w:val="21"/>
                <w:szCs w:val="21"/>
                <w:highlight w:val="none"/>
              </w:rPr>
            </w:pPr>
            <w:r>
              <w:rPr>
                <w:color w:val="auto"/>
                <w:sz w:val="21"/>
                <w:szCs w:val="21"/>
                <w:highlight w:val="none"/>
              </w:rPr>
              <w:t>30mg/L；</w:t>
            </w:r>
            <w:r>
              <w:rPr>
                <w:color w:val="auto"/>
                <w:kern w:val="0"/>
                <w:sz w:val="21"/>
                <w:szCs w:val="21"/>
                <w:highlight w:val="none"/>
              </w:rPr>
              <w:t>0.040</w:t>
            </w:r>
            <w:r>
              <w:rPr>
                <w:color w:val="auto"/>
                <w:sz w:val="21"/>
                <w:szCs w:val="21"/>
                <w:highlight w:val="none"/>
              </w:rPr>
              <w:t>t/a</w:t>
            </w:r>
          </w:p>
        </w:tc>
        <w:tc>
          <w:tcPr>
            <w:tcW w:w="2461" w:type="dxa"/>
            <w:vAlign w:val="center"/>
          </w:tcPr>
          <w:p>
            <w:pPr>
              <w:spacing w:line="240" w:lineRule="auto"/>
              <w:ind w:firstLine="0" w:firstLineChars="0"/>
              <w:jc w:val="center"/>
              <w:rPr>
                <w:color w:val="auto"/>
                <w:sz w:val="21"/>
                <w:szCs w:val="21"/>
                <w:highlight w:val="none"/>
              </w:rPr>
            </w:pPr>
            <w:r>
              <w:rPr>
                <w:color w:val="auto"/>
                <w:sz w:val="21"/>
                <w:szCs w:val="21"/>
                <w:highlight w:val="none"/>
              </w:rPr>
              <w:t>10mg/L；</w:t>
            </w:r>
            <w:r>
              <w:rPr>
                <w:color w:val="auto"/>
                <w:kern w:val="0"/>
                <w:sz w:val="21"/>
                <w:szCs w:val="21"/>
                <w:highlight w:val="none"/>
              </w:rPr>
              <w:t>0.013</w:t>
            </w:r>
            <w:r>
              <w:rPr>
                <w:color w:val="auto"/>
                <w:sz w:val="21"/>
                <w:szCs w:val="21"/>
                <w:highlight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tcBorders>
              <w:bottom w:val="single" w:color="auto" w:sz="4" w:space="0"/>
            </w:tcBorders>
            <w:vAlign w:val="center"/>
          </w:tcPr>
          <w:p>
            <w:pPr>
              <w:spacing w:line="240" w:lineRule="auto"/>
              <w:ind w:firstLine="0" w:firstLineChars="0"/>
              <w:jc w:val="center"/>
              <w:rPr>
                <w:color w:val="auto"/>
                <w:sz w:val="21"/>
                <w:szCs w:val="21"/>
                <w:highlight w:val="none"/>
              </w:rPr>
            </w:pPr>
          </w:p>
        </w:tc>
        <w:tc>
          <w:tcPr>
            <w:tcW w:w="1440" w:type="dxa"/>
            <w:vMerge w:val="continue"/>
            <w:tcBorders>
              <w:bottom w:val="single" w:color="auto" w:sz="4" w:space="0"/>
            </w:tcBorders>
            <w:vAlign w:val="center"/>
          </w:tcPr>
          <w:p>
            <w:pPr>
              <w:spacing w:line="240" w:lineRule="auto"/>
              <w:ind w:firstLine="0" w:firstLineChars="0"/>
              <w:jc w:val="center"/>
              <w:rPr>
                <w:color w:val="auto"/>
                <w:sz w:val="21"/>
                <w:szCs w:val="21"/>
                <w:highlight w:val="none"/>
              </w:rPr>
            </w:pPr>
          </w:p>
        </w:tc>
        <w:tc>
          <w:tcPr>
            <w:tcW w:w="1935" w:type="dxa"/>
            <w:vAlign w:val="center"/>
          </w:tcPr>
          <w:p>
            <w:pPr>
              <w:spacing w:line="240" w:lineRule="auto"/>
              <w:ind w:firstLine="0" w:firstLineChars="0"/>
              <w:jc w:val="center"/>
              <w:rPr>
                <w:color w:val="auto"/>
                <w:sz w:val="21"/>
                <w:szCs w:val="21"/>
                <w:highlight w:val="none"/>
              </w:rPr>
            </w:pPr>
            <w:r>
              <w:rPr>
                <w:color w:val="auto"/>
                <w:sz w:val="21"/>
                <w:szCs w:val="21"/>
                <w:highlight w:val="none"/>
                <w:lang w:val="en-GB"/>
              </w:rPr>
              <w:t>动植物油</w:t>
            </w:r>
          </w:p>
        </w:tc>
        <w:tc>
          <w:tcPr>
            <w:tcW w:w="2099" w:type="dxa"/>
            <w:vAlign w:val="center"/>
          </w:tcPr>
          <w:p>
            <w:pPr>
              <w:spacing w:line="240" w:lineRule="auto"/>
              <w:ind w:firstLine="0" w:firstLineChars="0"/>
              <w:jc w:val="center"/>
              <w:rPr>
                <w:color w:val="auto"/>
                <w:sz w:val="21"/>
                <w:szCs w:val="21"/>
                <w:highlight w:val="none"/>
              </w:rPr>
            </w:pPr>
            <w:r>
              <w:rPr>
                <w:color w:val="auto"/>
                <w:sz w:val="21"/>
                <w:szCs w:val="21"/>
                <w:highlight w:val="none"/>
              </w:rPr>
              <w:t>10mg/L；0.013t/a</w:t>
            </w:r>
          </w:p>
        </w:tc>
        <w:tc>
          <w:tcPr>
            <w:tcW w:w="2461" w:type="dxa"/>
            <w:vAlign w:val="center"/>
          </w:tcPr>
          <w:p>
            <w:pPr>
              <w:spacing w:line="240" w:lineRule="auto"/>
              <w:ind w:firstLine="0" w:firstLineChars="0"/>
              <w:jc w:val="center"/>
              <w:rPr>
                <w:color w:val="auto"/>
                <w:sz w:val="21"/>
                <w:szCs w:val="21"/>
                <w:highlight w:val="none"/>
              </w:rPr>
            </w:pPr>
            <w:r>
              <w:rPr>
                <w:color w:val="auto"/>
                <w:sz w:val="21"/>
                <w:szCs w:val="21"/>
                <w:highlight w:val="none"/>
              </w:rPr>
              <w:t>5mg/L；</w:t>
            </w:r>
            <w:r>
              <w:rPr>
                <w:color w:val="auto"/>
                <w:kern w:val="0"/>
                <w:sz w:val="21"/>
                <w:szCs w:val="21"/>
                <w:highlight w:val="none"/>
              </w:rPr>
              <w:t>0.007</w:t>
            </w:r>
            <w:r>
              <w:rPr>
                <w:color w:val="auto"/>
                <w:sz w:val="21"/>
                <w:szCs w:val="21"/>
                <w:highlight w:val="none"/>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restart"/>
            <w:tcBorders>
              <w:top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固体废物</w:t>
            </w:r>
          </w:p>
        </w:tc>
        <w:tc>
          <w:tcPr>
            <w:tcW w:w="1440" w:type="dxa"/>
            <w:tcBorders>
              <w:top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净水厂</w:t>
            </w:r>
          </w:p>
        </w:tc>
        <w:tc>
          <w:tcPr>
            <w:tcW w:w="19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污泥</w:t>
            </w:r>
          </w:p>
        </w:tc>
        <w:tc>
          <w:tcPr>
            <w:tcW w:w="209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297.775t/a</w:t>
            </w:r>
          </w:p>
        </w:tc>
        <w:tc>
          <w:tcPr>
            <w:tcW w:w="246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近期：污泥经脱水后外运至祁阳海螺水泥厂同生活垃圾焚烧处理，远期：污泥经脱水后外运至祁阳县污泥集中处置中心处置。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rPr>
              <w:t>取水泵站</w:t>
            </w:r>
            <w:r>
              <w:rPr>
                <w:rFonts w:hint="eastAsia"/>
                <w:color w:val="auto"/>
                <w:sz w:val="21"/>
                <w:szCs w:val="21"/>
                <w:highlight w:val="none"/>
                <w:lang w:eastAsia="zh-CN"/>
              </w:rPr>
              <w:t>、</w:t>
            </w:r>
            <w:r>
              <w:rPr>
                <w:rFonts w:hint="eastAsia"/>
                <w:color w:val="auto"/>
                <w:sz w:val="21"/>
                <w:szCs w:val="21"/>
                <w:highlight w:val="none"/>
              </w:rPr>
              <w:t>净水厂</w:t>
            </w:r>
            <w:r>
              <w:rPr>
                <w:rFonts w:hint="eastAsia"/>
                <w:color w:val="auto"/>
                <w:sz w:val="21"/>
                <w:szCs w:val="21"/>
                <w:highlight w:val="none"/>
                <w:lang w:eastAsia="zh-CN"/>
              </w:rPr>
              <w:t>、</w:t>
            </w:r>
            <w:r>
              <w:rPr>
                <w:rFonts w:hint="eastAsia"/>
                <w:color w:val="auto"/>
                <w:sz w:val="21"/>
                <w:szCs w:val="21"/>
                <w:highlight w:val="none"/>
                <w:lang w:val="en-US" w:eastAsia="zh-CN"/>
              </w:rPr>
              <w:t>加压泵站</w:t>
            </w:r>
          </w:p>
        </w:tc>
        <w:tc>
          <w:tcPr>
            <w:tcW w:w="19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废润滑油</w:t>
            </w:r>
          </w:p>
        </w:tc>
        <w:tc>
          <w:tcPr>
            <w:tcW w:w="209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0.005t/a</w:t>
            </w:r>
          </w:p>
        </w:tc>
        <w:tc>
          <w:tcPr>
            <w:tcW w:w="2461"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lang w:val="zh-CN"/>
              </w:rPr>
              <w:t>按危险废物管理有关规定送至有资质的单位进行无害化处理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Merge w:val="continue"/>
            <w:vAlign w:val="center"/>
          </w:tcPr>
          <w:p>
            <w:pPr>
              <w:spacing w:line="240" w:lineRule="auto"/>
              <w:ind w:firstLine="0" w:firstLineChars="0"/>
              <w:jc w:val="center"/>
              <w:rPr>
                <w:color w:val="auto"/>
                <w:sz w:val="21"/>
                <w:szCs w:val="21"/>
                <w:highlight w:val="none"/>
              </w:rPr>
            </w:pPr>
          </w:p>
        </w:tc>
        <w:tc>
          <w:tcPr>
            <w:tcW w:w="144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取水泵站、净水厂</w:t>
            </w:r>
          </w:p>
        </w:tc>
        <w:tc>
          <w:tcPr>
            <w:tcW w:w="19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生活垃圾</w:t>
            </w:r>
          </w:p>
        </w:tc>
        <w:tc>
          <w:tcPr>
            <w:tcW w:w="2099" w:type="dxa"/>
            <w:vAlign w:val="center"/>
          </w:tcPr>
          <w:p>
            <w:pPr>
              <w:spacing w:line="240" w:lineRule="auto"/>
              <w:ind w:firstLine="0" w:firstLineChars="0"/>
              <w:jc w:val="center"/>
              <w:rPr>
                <w:rFonts w:ascii="TimesNewRomanPSMT" w:hAnsi="TimesNewRomanPSMT" w:cs="TimesNewRomanPSMT"/>
                <w:color w:val="auto"/>
                <w:kern w:val="0"/>
                <w:sz w:val="21"/>
                <w:szCs w:val="21"/>
                <w:highlight w:val="none"/>
                <w:lang w:bidi="ar"/>
              </w:rPr>
            </w:pPr>
            <w:r>
              <w:rPr>
                <w:rFonts w:hint="eastAsia"/>
                <w:color w:val="auto"/>
                <w:sz w:val="21"/>
                <w:szCs w:val="21"/>
                <w:highlight w:val="none"/>
              </w:rPr>
              <w:t>5.475t/a</w:t>
            </w:r>
          </w:p>
        </w:tc>
        <w:tc>
          <w:tcPr>
            <w:tcW w:w="2461" w:type="dxa"/>
            <w:vAlign w:val="center"/>
          </w:tcPr>
          <w:p>
            <w:pPr>
              <w:spacing w:line="240" w:lineRule="auto"/>
              <w:ind w:firstLine="0" w:firstLineChars="0"/>
              <w:jc w:val="center"/>
              <w:rPr>
                <w:rFonts w:ascii="TimesNewRomanPSMT" w:hAnsi="TimesNewRomanPSMT" w:eastAsia="TimesNewRomanPSMT" w:cs="TimesNewRomanPSMT"/>
                <w:color w:val="auto"/>
                <w:kern w:val="0"/>
                <w:sz w:val="21"/>
                <w:szCs w:val="21"/>
                <w:highlight w:val="none"/>
                <w:lang w:bidi="ar"/>
              </w:rPr>
            </w:pPr>
            <w:r>
              <w:rPr>
                <w:rFonts w:hint="eastAsia"/>
                <w:color w:val="auto"/>
                <w:sz w:val="21"/>
                <w:szCs w:val="21"/>
                <w:highlight w:val="none"/>
              </w:rPr>
              <w:t>委托当地乡镇环卫部门进行清运处理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012" w:type="dxa"/>
            <w:vAlign w:val="center"/>
          </w:tcPr>
          <w:p>
            <w:pPr>
              <w:spacing w:line="240" w:lineRule="auto"/>
              <w:ind w:firstLine="0" w:firstLineChars="0"/>
              <w:jc w:val="center"/>
              <w:rPr>
                <w:color w:val="auto"/>
                <w:sz w:val="21"/>
                <w:szCs w:val="21"/>
                <w:highlight w:val="none"/>
              </w:rPr>
            </w:pPr>
            <w:r>
              <w:rPr>
                <w:color w:val="auto"/>
                <w:sz w:val="21"/>
                <w:szCs w:val="21"/>
                <w:highlight w:val="none"/>
              </w:rPr>
              <w:t>噪声</w:t>
            </w:r>
          </w:p>
        </w:tc>
        <w:tc>
          <w:tcPr>
            <w:tcW w:w="144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取水泵、自来水厂运行</w:t>
            </w:r>
          </w:p>
        </w:tc>
        <w:tc>
          <w:tcPr>
            <w:tcW w:w="1935" w:type="dxa"/>
            <w:vAlign w:val="center"/>
          </w:tcPr>
          <w:p>
            <w:pPr>
              <w:spacing w:line="240" w:lineRule="auto"/>
              <w:ind w:firstLine="0" w:firstLineChars="0"/>
              <w:jc w:val="center"/>
              <w:rPr>
                <w:bCs/>
                <w:color w:val="auto"/>
                <w:sz w:val="21"/>
                <w:szCs w:val="21"/>
                <w:highlight w:val="none"/>
              </w:rPr>
            </w:pPr>
            <w:r>
              <w:rPr>
                <w:rFonts w:hint="eastAsia"/>
                <w:bCs/>
                <w:color w:val="auto"/>
                <w:sz w:val="21"/>
                <w:szCs w:val="21"/>
                <w:highlight w:val="none"/>
              </w:rPr>
              <w:t>轴流风机、回转式格栅除污机、搅拌机、次氯酸钠发生器、水泵、潜水排污泵等设备运行时产生的机械噪声</w:t>
            </w:r>
          </w:p>
        </w:tc>
        <w:tc>
          <w:tcPr>
            <w:tcW w:w="2099" w:type="dxa"/>
            <w:vAlign w:val="center"/>
          </w:tcPr>
          <w:p>
            <w:pPr>
              <w:tabs>
                <w:tab w:val="left" w:pos="2115"/>
              </w:tabs>
              <w:spacing w:line="240" w:lineRule="auto"/>
              <w:ind w:firstLine="0" w:firstLineChars="0"/>
              <w:jc w:val="center"/>
              <w:rPr>
                <w:bCs/>
                <w:color w:val="auto"/>
                <w:sz w:val="21"/>
                <w:szCs w:val="21"/>
                <w:highlight w:val="none"/>
              </w:rPr>
            </w:pPr>
            <w:r>
              <w:rPr>
                <w:bCs/>
                <w:color w:val="auto"/>
                <w:sz w:val="21"/>
                <w:szCs w:val="21"/>
                <w:highlight w:val="none"/>
              </w:rPr>
              <w:t>75～</w:t>
            </w:r>
            <w:r>
              <w:rPr>
                <w:rFonts w:hint="eastAsia"/>
                <w:bCs/>
                <w:color w:val="auto"/>
                <w:sz w:val="21"/>
                <w:szCs w:val="21"/>
                <w:highlight w:val="none"/>
              </w:rPr>
              <w:t>9</w:t>
            </w:r>
            <w:r>
              <w:rPr>
                <w:bCs/>
                <w:color w:val="auto"/>
                <w:sz w:val="21"/>
                <w:szCs w:val="21"/>
                <w:highlight w:val="none"/>
              </w:rPr>
              <w:t>0dB</w:t>
            </w:r>
          </w:p>
        </w:tc>
        <w:tc>
          <w:tcPr>
            <w:tcW w:w="2461" w:type="dxa"/>
            <w:vAlign w:val="center"/>
          </w:tcPr>
          <w:p>
            <w:pPr>
              <w:spacing w:line="240" w:lineRule="auto"/>
              <w:ind w:firstLine="0" w:firstLineChars="0"/>
              <w:jc w:val="center"/>
              <w:rPr>
                <w:color w:val="auto"/>
                <w:sz w:val="21"/>
                <w:szCs w:val="21"/>
                <w:highlight w:val="none"/>
              </w:rPr>
            </w:pPr>
            <w:r>
              <w:rPr>
                <w:color w:val="auto"/>
                <w:highlight w:val="none"/>
              </w:rPr>
              <w:t>达标排放</w:t>
            </w:r>
            <w:r>
              <w:rPr>
                <w:rFonts w:hint="eastAsia"/>
                <w:color w:val="auto"/>
                <w:highlight w:val="none"/>
              </w:rPr>
              <w:t>，</w:t>
            </w:r>
            <w:r>
              <w:rPr>
                <w:color w:val="auto"/>
                <w:sz w:val="21"/>
                <w:szCs w:val="21"/>
                <w:highlight w:val="none"/>
              </w:rPr>
              <w:t>昼≤60dB(A)</w:t>
            </w:r>
          </w:p>
          <w:p>
            <w:pPr>
              <w:tabs>
                <w:tab w:val="left" w:pos="2115"/>
              </w:tabs>
              <w:spacing w:line="240" w:lineRule="auto"/>
              <w:ind w:firstLine="0" w:firstLineChars="0"/>
              <w:jc w:val="center"/>
              <w:rPr>
                <w:bCs/>
                <w:color w:val="auto"/>
                <w:sz w:val="21"/>
                <w:szCs w:val="21"/>
                <w:highlight w:val="none"/>
              </w:rPr>
            </w:pPr>
            <w:r>
              <w:rPr>
                <w:color w:val="auto"/>
                <w:sz w:val="21"/>
                <w:szCs w:val="21"/>
                <w:highlight w:val="none"/>
              </w:rPr>
              <w:t>夜≤50dB(A)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2" w:hRule="atLeast"/>
          <w:jc w:val="center"/>
        </w:trPr>
        <w:tc>
          <w:tcPr>
            <w:tcW w:w="8947" w:type="dxa"/>
            <w:gridSpan w:val="5"/>
            <w:vAlign w:val="center"/>
          </w:tcPr>
          <w:p>
            <w:pPr>
              <w:spacing w:line="240" w:lineRule="auto"/>
              <w:ind w:firstLine="0" w:firstLineChars="0"/>
              <w:rPr>
                <w:b/>
                <w:color w:val="auto"/>
                <w:szCs w:val="21"/>
                <w:highlight w:val="none"/>
              </w:rPr>
            </w:pPr>
            <w:r>
              <w:rPr>
                <w:b/>
                <w:color w:val="auto"/>
                <w:szCs w:val="21"/>
                <w:highlight w:val="none"/>
              </w:rPr>
              <w:t>主要生态影响：</w:t>
            </w:r>
          </w:p>
          <w:p>
            <w:pPr>
              <w:spacing w:line="240" w:lineRule="auto"/>
              <w:ind w:firstLine="411" w:firstLineChars="196"/>
              <w:rPr>
                <w:bCs/>
                <w:color w:val="auto"/>
                <w:highlight w:val="none"/>
              </w:rPr>
            </w:pPr>
            <w:r>
              <w:rPr>
                <w:rFonts w:hint="eastAsia"/>
                <w:color w:val="auto"/>
                <w:sz w:val="21"/>
                <w:szCs w:val="21"/>
                <w:highlight w:val="none"/>
              </w:rPr>
              <w:t>项目建设主要是影响农作物植被和城乡绿化树种、灌草，这些植物在项目为常见物种，建设 仅占用了这些物种部分植株个体及生境，影响较小。项目区域陆生动物主要以蛙类、雀形目鸟类 和鼠类为主。受现有人为活动影响，区域野生动物分布本身较少，且对人为活动有较强适应能力， 项目建设不会对野生动物造成不利影响。在施工场地平整、基础及管线开挖过程中，会造成植被 破坏、地面裸露，造成水土流失。此外，管线施工期间，挖出的土方主要堆在沟的两边，土层较 松散，在雨季时易产生水土流失现象。因此施工时要在作业区域设置挡土板或挡土墙围挡，并设 置临时沉砂池，必要时采取覆盖措施，尽量减缓施工引起的水土流失影响。</w:t>
            </w:r>
          </w:p>
        </w:tc>
      </w:tr>
    </w:tbl>
    <w:p>
      <w:pPr>
        <w:rPr>
          <w:color w:val="auto"/>
          <w:highlight w:val="none"/>
        </w:rPr>
        <w:sectPr>
          <w:pgSz w:w="11906" w:h="16838"/>
          <w:pgMar w:top="1440" w:right="1800" w:bottom="1440" w:left="1800" w:header="851" w:footer="992" w:gutter="0"/>
          <w:cols w:space="425" w:num="1"/>
          <w:docGrid w:type="lines" w:linePitch="312" w:charSpace="0"/>
        </w:sectPr>
      </w:pPr>
    </w:p>
    <w:p>
      <w:pPr>
        <w:pStyle w:val="3"/>
        <w:spacing w:before="0" w:after="0" w:line="240" w:lineRule="auto"/>
        <w:ind w:firstLine="0" w:firstLineChars="0"/>
        <w:rPr>
          <w:color w:val="auto"/>
          <w:sz w:val="32"/>
          <w:szCs w:val="32"/>
          <w:highlight w:val="none"/>
        </w:rPr>
      </w:pPr>
      <w:bookmarkStart w:id="59" w:name="_Toc16615"/>
      <w:bookmarkStart w:id="60" w:name="_Toc426134157"/>
      <w:r>
        <w:rPr>
          <w:color w:val="auto"/>
          <w:sz w:val="32"/>
          <w:szCs w:val="32"/>
          <w:highlight w:val="none"/>
        </w:rPr>
        <w:t>环境影响分析</w:t>
      </w:r>
      <w:bookmarkEnd w:id="59"/>
      <w:bookmarkEnd w:id="60"/>
    </w:p>
    <w:tbl>
      <w:tblPr>
        <w:tblStyle w:val="26"/>
        <w:tblW w:w="916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9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Ex>
        <w:trPr>
          <w:trHeight w:val="11959" w:hRule="atLeast"/>
          <w:jc w:val="center"/>
        </w:trPr>
        <w:tc>
          <w:tcPr>
            <w:tcW w:w="9166" w:type="dxa"/>
          </w:tcPr>
          <w:p>
            <w:pPr>
              <w:spacing w:line="360" w:lineRule="auto"/>
              <w:ind w:firstLine="0" w:firstLineChars="0"/>
              <w:rPr>
                <w:b/>
                <w:bCs/>
                <w:color w:val="auto"/>
                <w:highlight w:val="none"/>
              </w:rPr>
            </w:pPr>
            <w:r>
              <w:rPr>
                <w:rFonts w:hint="eastAsia"/>
                <w:b/>
                <w:bCs/>
                <w:color w:val="auto"/>
                <w:highlight w:val="none"/>
              </w:rPr>
              <w:t>1、</w:t>
            </w:r>
            <w:r>
              <w:rPr>
                <w:b/>
                <w:bCs/>
                <w:color w:val="auto"/>
                <w:highlight w:val="none"/>
              </w:rPr>
              <w:t>施工期环境影响分析</w:t>
            </w:r>
          </w:p>
          <w:p>
            <w:pPr>
              <w:spacing w:line="360" w:lineRule="auto"/>
              <w:ind w:firstLine="482"/>
              <w:rPr>
                <w:b/>
                <w:bCs/>
                <w:color w:val="auto"/>
                <w:highlight w:val="none"/>
              </w:rPr>
            </w:pPr>
            <w:r>
              <w:rPr>
                <w:b/>
                <w:bCs/>
                <w:color w:val="auto"/>
                <w:highlight w:val="none"/>
              </w:rPr>
              <w:t>1.1施工期大气环境影响分析</w:t>
            </w:r>
          </w:p>
          <w:p>
            <w:pPr>
              <w:spacing w:line="360" w:lineRule="auto"/>
              <w:jc w:val="left"/>
              <w:rPr>
                <w:color w:val="auto"/>
                <w:szCs w:val="21"/>
                <w:highlight w:val="none"/>
              </w:rPr>
            </w:pPr>
            <w:r>
              <w:rPr>
                <w:rFonts w:hint="eastAsia"/>
                <w:color w:val="auto"/>
                <w:szCs w:val="21"/>
                <w:highlight w:val="none"/>
              </w:rPr>
              <w:t xml:space="preserve">水厂及配套供水管网施工期的大气污染源主要是施工机械、运输车辆等废气和施 工扬尘等。 </w:t>
            </w:r>
          </w:p>
          <w:p>
            <w:pPr>
              <w:spacing w:line="360" w:lineRule="auto"/>
              <w:jc w:val="left"/>
              <w:rPr>
                <w:color w:val="auto"/>
                <w:szCs w:val="21"/>
                <w:highlight w:val="none"/>
              </w:rPr>
            </w:pPr>
            <w:r>
              <w:rPr>
                <w:rFonts w:hint="eastAsia"/>
                <w:color w:val="auto"/>
                <w:szCs w:val="21"/>
                <w:highlight w:val="none"/>
              </w:rPr>
              <w:t>施工机械、运输车辆废气产生量较少，施工机械和建筑材料运输车辆一般都以柴 油为燃料。由柴油燃烧产生的尾气中主要含有颗粒物和碳氢化合物，对环境造成污染。 施工车辆尾气主要污染因子有CO、THC和NOx，一般大型车辆尾气污染物排放量为：CO： 5.25g/辆·km，THC：20.8g/辆·km，NOx：10.44g/辆·km。</w:t>
            </w:r>
          </w:p>
          <w:p>
            <w:pPr>
              <w:spacing w:line="360" w:lineRule="auto"/>
              <w:jc w:val="left"/>
              <w:rPr>
                <w:color w:val="auto"/>
                <w:szCs w:val="21"/>
                <w:highlight w:val="none"/>
              </w:rPr>
            </w:pPr>
            <w:r>
              <w:rPr>
                <w:rFonts w:hint="eastAsia"/>
                <w:color w:val="auto"/>
                <w:szCs w:val="21"/>
                <w:highlight w:val="none"/>
              </w:rPr>
              <w:t xml:space="preserve"> 在施工期产生的扬尘按起尘的原因可分为风力起尘和动力起尘，其中风力起尘主 要是由于露天堆放的建材（如黄沙、水泥等）及裸露的施工区表层浮尘因天气干燥及 大风，产生风尘扬尘；而动力起尘，主要是在建材的装卸、搅拌过程中，由于外力而 产生的尘粒再悬浮而造成，其中施工及装卸车辆造成的扬尘最为严重。 </w:t>
            </w:r>
          </w:p>
          <w:p>
            <w:pPr>
              <w:spacing w:line="360" w:lineRule="auto"/>
              <w:jc w:val="left"/>
              <w:rPr>
                <w:color w:val="auto"/>
                <w:szCs w:val="21"/>
                <w:highlight w:val="none"/>
              </w:rPr>
            </w:pPr>
            <w:r>
              <w:rPr>
                <w:rFonts w:hint="eastAsia"/>
                <w:color w:val="auto"/>
                <w:szCs w:val="21"/>
                <w:highlight w:val="none"/>
              </w:rPr>
              <w:t xml:space="preserve">工程施工期间，开挖的泥土通常堆放在施工现场，施工扬尘将使附近的建筑物、 植物等蒙上尘土，对周边环境空气质量造成影响；阴雨天气，由于雨水的冲刷以及车辆的辗压，使施工现场变得泥泞，行路困难。管网工程施工时，采用开槽方法施工，必然在地面堆积大量回填土，其在施工现场一般要堆积数天，当其风干时可在起动风速下形成扬尘，将对沿线居民造成不利影响。 </w:t>
            </w:r>
          </w:p>
          <w:p>
            <w:pPr>
              <w:spacing w:line="360" w:lineRule="auto"/>
              <w:jc w:val="left"/>
              <w:rPr>
                <w:color w:val="auto"/>
                <w:szCs w:val="21"/>
                <w:highlight w:val="none"/>
              </w:rPr>
            </w:pPr>
            <w:r>
              <w:rPr>
                <w:rFonts w:hint="eastAsia"/>
                <w:color w:val="auto"/>
                <w:szCs w:val="21"/>
                <w:highlight w:val="none"/>
              </w:rPr>
              <w:t>本项目在挖掘过程以及施工建设期间，不可避免地会产生一些地面扬尘，这些扬 尘尽管是短期行为，但会对附近区域带来不利的影响。根据现场踏勘及搜集资料，本项目周边主要居民点为东面190m泗山塘居民点、</w:t>
            </w:r>
            <w:r>
              <w:rPr>
                <w:color w:val="auto"/>
                <w:szCs w:val="21"/>
                <w:highlight w:val="none"/>
              </w:rPr>
              <w:t>东北面</w:t>
            </w:r>
            <w:r>
              <w:rPr>
                <w:rFonts w:hint="eastAsia"/>
                <w:color w:val="auto"/>
                <w:szCs w:val="21"/>
                <w:highlight w:val="none"/>
              </w:rPr>
              <w:t>250</w:t>
            </w:r>
            <w:r>
              <w:rPr>
                <w:color w:val="auto"/>
                <w:szCs w:val="21"/>
                <w:highlight w:val="none"/>
              </w:rPr>
              <w:t>m谢家冲居民点</w:t>
            </w:r>
            <w:r>
              <w:rPr>
                <w:rFonts w:hint="eastAsia"/>
                <w:color w:val="auto"/>
                <w:szCs w:val="21"/>
                <w:highlight w:val="none"/>
              </w:rPr>
              <w:t>、西</w:t>
            </w:r>
            <w:r>
              <w:rPr>
                <w:color w:val="auto"/>
                <w:szCs w:val="21"/>
                <w:highlight w:val="none"/>
              </w:rPr>
              <w:t>北面</w:t>
            </w:r>
            <w:r>
              <w:rPr>
                <w:rFonts w:hint="eastAsia"/>
                <w:color w:val="auto"/>
                <w:szCs w:val="21"/>
                <w:highlight w:val="none"/>
              </w:rPr>
              <w:t>270m庙门前</w:t>
            </w:r>
            <w:r>
              <w:rPr>
                <w:color w:val="auto"/>
                <w:szCs w:val="21"/>
                <w:highlight w:val="none"/>
              </w:rPr>
              <w:t>居民点</w:t>
            </w:r>
            <w:r>
              <w:rPr>
                <w:rFonts w:hint="eastAsia"/>
                <w:color w:val="auto"/>
                <w:szCs w:val="21"/>
                <w:highlight w:val="none"/>
              </w:rPr>
              <w:t>，为减少在施工期间对周边环保目标造成的影响，减少施工扬尘的产生和排放，在施工过程中，施工单位必须严格按照湖南省人民政府办公厅关于印发《贯彻落实&lt;大气污染防治行动计划&gt;实施细则》的通知湘政办发【2013】77号、永州市蓝天保卫战等相关要求进行施工，严格控制建设施工扬尘，严格执行建设施工管理制度，全面推行现场标准化管理，减少因施工扬尘造成的大气污染和灰霾污染影响。同时，施工单位应严格做到以下几点：</w:t>
            </w:r>
          </w:p>
          <w:p>
            <w:pPr>
              <w:spacing w:line="360" w:lineRule="auto"/>
              <w:jc w:val="left"/>
              <w:rPr>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 1 \* GB3 \* MERGEFORMAT </w:instrText>
            </w:r>
            <w:r>
              <w:rPr>
                <w:rFonts w:hint="eastAsia"/>
                <w:color w:val="auto"/>
                <w:szCs w:val="21"/>
                <w:highlight w:val="none"/>
              </w:rPr>
              <w:fldChar w:fldCharType="separate"/>
            </w:r>
            <w:r>
              <w:rPr>
                <w:rFonts w:hint="eastAsia"/>
                <w:color w:val="auto"/>
                <w:szCs w:val="21"/>
                <w:highlight w:val="none"/>
              </w:rPr>
              <w:t>①</w:t>
            </w:r>
            <w:r>
              <w:rPr>
                <w:rFonts w:hint="eastAsia"/>
                <w:color w:val="auto"/>
                <w:szCs w:val="21"/>
                <w:highlight w:val="none"/>
              </w:rPr>
              <w:fldChar w:fldCharType="end"/>
            </w:r>
            <w:r>
              <w:rPr>
                <w:rFonts w:hint="eastAsia"/>
                <w:color w:val="FF0000"/>
                <w:szCs w:val="21"/>
                <w:highlight w:val="none"/>
              </w:rPr>
              <w:t>场地围挡：</w:t>
            </w:r>
            <w:r>
              <w:rPr>
                <w:rFonts w:hint="default" w:ascii="Times New Roman" w:hAnsi="Times New Roman" w:cs="Times New Roman"/>
                <w:bCs/>
                <w:color w:val="FF0000"/>
                <w:sz w:val="24"/>
                <w:highlight w:val="none"/>
                <w:u w:val="none"/>
              </w:rPr>
              <w:t>在施工场地设置封闭硬质围档，高度为2.5m</w:t>
            </w:r>
            <w:r>
              <w:rPr>
                <w:color w:val="FF0000"/>
                <w:sz w:val="24"/>
                <w:szCs w:val="24"/>
                <w:u w:val="single"/>
              </w:rPr>
              <w:t>以上的围栏防止扬尘污染周围环境；在施工边界工地建筑结构脚手架外侧设置有效抑尘的密目防尘网（不低于2000目/100平方厘米）或防尘布</w:t>
            </w:r>
            <w:r>
              <w:rPr>
                <w:rFonts w:hint="eastAsia"/>
                <w:color w:val="FF0000"/>
                <w:szCs w:val="21"/>
                <w:highlight w:val="none"/>
              </w:rPr>
              <w:t>；</w:t>
            </w:r>
          </w:p>
          <w:p>
            <w:pPr>
              <w:spacing w:line="360" w:lineRule="auto"/>
              <w:jc w:val="left"/>
              <w:rPr>
                <w:color w:val="FF0000"/>
                <w:szCs w:val="21"/>
                <w:highlight w:val="none"/>
                <w:u w:val="single"/>
              </w:rPr>
            </w:pPr>
            <w:r>
              <w:rPr>
                <w:rFonts w:hint="eastAsia"/>
                <w:color w:val="auto"/>
                <w:szCs w:val="21"/>
                <w:highlight w:val="none"/>
              </w:rPr>
              <w:fldChar w:fldCharType="begin"/>
            </w:r>
            <w:r>
              <w:rPr>
                <w:rFonts w:hint="eastAsia"/>
                <w:color w:val="auto"/>
                <w:szCs w:val="21"/>
                <w:highlight w:val="none"/>
              </w:rPr>
              <w:instrText xml:space="preserve"> = 2 \* GB3 \* MERGEFORMAT </w:instrText>
            </w:r>
            <w:r>
              <w:rPr>
                <w:rFonts w:hint="eastAsia"/>
                <w:color w:val="auto"/>
                <w:szCs w:val="21"/>
                <w:highlight w:val="none"/>
              </w:rPr>
              <w:fldChar w:fldCharType="separate"/>
            </w:r>
            <w:r>
              <w:rPr>
                <w:rFonts w:hint="eastAsia"/>
                <w:color w:val="auto"/>
                <w:szCs w:val="21"/>
                <w:highlight w:val="none"/>
              </w:rPr>
              <w:t>②</w:t>
            </w:r>
            <w:r>
              <w:rPr>
                <w:rFonts w:hint="eastAsia"/>
                <w:color w:val="auto"/>
                <w:szCs w:val="21"/>
                <w:highlight w:val="none"/>
              </w:rPr>
              <w:fldChar w:fldCharType="end"/>
            </w:r>
            <w:r>
              <w:rPr>
                <w:rFonts w:hint="eastAsia"/>
                <w:color w:val="auto"/>
                <w:szCs w:val="21"/>
                <w:highlight w:val="none"/>
              </w:rPr>
              <w:t>材料堆放：堆场硬化，分类堆放整齐；</w:t>
            </w:r>
            <w:r>
              <w:rPr>
                <w:rFonts w:hint="default" w:ascii="Times New Roman" w:hAnsi="Times New Roman" w:cs="Times New Roman"/>
                <w:bCs/>
                <w:color w:val="FF0000"/>
                <w:sz w:val="24"/>
                <w:highlight w:val="none"/>
                <w:u w:val="single"/>
              </w:rPr>
              <w:t>采用封闭车辆运输，保证物料不遗撒</w:t>
            </w:r>
            <w:r>
              <w:rPr>
                <w:rFonts w:hint="eastAsia" w:ascii="Times New Roman" w:hAnsi="Times New Roman" w:cs="Times New Roman"/>
                <w:bCs/>
                <w:color w:val="FF0000"/>
                <w:sz w:val="24"/>
                <w:highlight w:val="none"/>
                <w:u w:val="single"/>
                <w:lang w:eastAsia="zh-CN"/>
              </w:rPr>
              <w:t>，</w:t>
            </w:r>
            <w:r>
              <w:rPr>
                <w:rFonts w:hint="eastAsia"/>
                <w:color w:val="auto"/>
                <w:szCs w:val="21"/>
                <w:highlight w:val="none"/>
              </w:rPr>
              <w:t>水泥、石灰、砂石等物料应配套砖砌围挡、喷雾装置，物料闲置时应覆盖</w:t>
            </w:r>
            <w:r>
              <w:rPr>
                <w:rFonts w:hint="eastAsia" w:cs="Times New Roman"/>
                <w:bCs/>
                <w:color w:val="FF0000"/>
                <w:sz w:val="24"/>
                <w:highlight w:val="none"/>
                <w:u w:val="single"/>
                <w:lang w:eastAsia="zh-CN"/>
              </w:rPr>
              <w:t>，防治扬尘污染，堆料场区选址应位于居民点下风向，堆放时采取防风防雨措施</w:t>
            </w:r>
            <w:r>
              <w:rPr>
                <w:rFonts w:hint="eastAsia"/>
                <w:color w:val="FF0000"/>
                <w:szCs w:val="21"/>
                <w:highlight w:val="none"/>
                <w:u w:val="single"/>
              </w:rPr>
              <w:t>。</w:t>
            </w:r>
          </w:p>
          <w:p>
            <w:pPr>
              <w:spacing w:line="360" w:lineRule="auto"/>
              <w:jc w:val="left"/>
              <w:rPr>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 3 \* GB3 \* MERGEFORMAT </w:instrText>
            </w:r>
            <w:r>
              <w:rPr>
                <w:rFonts w:hint="eastAsia"/>
                <w:color w:val="auto"/>
                <w:szCs w:val="21"/>
                <w:highlight w:val="none"/>
              </w:rPr>
              <w:fldChar w:fldCharType="separate"/>
            </w:r>
            <w:r>
              <w:rPr>
                <w:rFonts w:hint="eastAsia"/>
                <w:color w:val="auto"/>
                <w:szCs w:val="21"/>
                <w:highlight w:val="none"/>
              </w:rPr>
              <w:t>③</w:t>
            </w:r>
            <w:r>
              <w:rPr>
                <w:rFonts w:hint="eastAsia"/>
                <w:color w:val="auto"/>
                <w:szCs w:val="21"/>
                <w:highlight w:val="none"/>
              </w:rPr>
              <w:fldChar w:fldCharType="end"/>
            </w:r>
            <w:r>
              <w:rPr>
                <w:rFonts w:hint="eastAsia"/>
                <w:color w:val="auto"/>
                <w:szCs w:val="21"/>
                <w:highlight w:val="none"/>
              </w:rPr>
              <w:t>道路硬化：进出场道路必须敷设沥青路面或混凝土路面，专人清扫不得有浮土、污泥和污水外流现象；渣土外运工地的出口道路还应铺设与道路同宽的麻袋，专人清扫冲洗。</w:t>
            </w:r>
          </w:p>
          <w:p>
            <w:pPr>
              <w:spacing w:line="360" w:lineRule="auto"/>
              <w:jc w:val="left"/>
              <w:rPr>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 4 \* GB3 \* MERGEFORMAT </w:instrText>
            </w:r>
            <w:r>
              <w:rPr>
                <w:rFonts w:hint="eastAsia"/>
                <w:color w:val="auto"/>
                <w:szCs w:val="21"/>
                <w:highlight w:val="none"/>
              </w:rPr>
              <w:fldChar w:fldCharType="separate"/>
            </w:r>
            <w:r>
              <w:rPr>
                <w:rFonts w:hint="eastAsia"/>
                <w:color w:val="auto"/>
                <w:szCs w:val="21"/>
                <w:highlight w:val="none"/>
              </w:rPr>
              <w:t>④</w:t>
            </w:r>
            <w:r>
              <w:rPr>
                <w:rFonts w:hint="eastAsia"/>
                <w:color w:val="auto"/>
                <w:szCs w:val="21"/>
                <w:highlight w:val="none"/>
              </w:rPr>
              <w:fldChar w:fldCharType="end"/>
            </w:r>
            <w:r>
              <w:rPr>
                <w:rFonts w:hint="eastAsia"/>
                <w:color w:val="auto"/>
                <w:szCs w:val="21"/>
                <w:highlight w:val="none"/>
              </w:rPr>
              <w:t>作业洒水：每个工作面（挖机、破路机等）配置一台喷雾炮，移动作业面必须配移动式设备，随作业面移动，施工过程中施工不停、喷雾不止。</w:t>
            </w:r>
          </w:p>
          <w:p>
            <w:pPr>
              <w:spacing w:line="360" w:lineRule="auto"/>
              <w:jc w:val="left"/>
              <w:rPr>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 5 \* GB3 \* MERGEFORMAT </w:instrText>
            </w:r>
            <w:r>
              <w:rPr>
                <w:rFonts w:hint="eastAsia"/>
                <w:color w:val="auto"/>
                <w:szCs w:val="21"/>
                <w:highlight w:val="none"/>
              </w:rPr>
              <w:fldChar w:fldCharType="separate"/>
            </w:r>
            <w:r>
              <w:rPr>
                <w:rFonts w:hint="eastAsia"/>
                <w:color w:val="auto"/>
                <w:szCs w:val="21"/>
                <w:highlight w:val="none"/>
              </w:rPr>
              <w:t>⑤</w:t>
            </w:r>
            <w:r>
              <w:rPr>
                <w:rFonts w:hint="eastAsia"/>
                <w:color w:val="auto"/>
                <w:szCs w:val="21"/>
                <w:highlight w:val="none"/>
              </w:rPr>
              <w:fldChar w:fldCharType="end"/>
            </w:r>
            <w:r>
              <w:rPr>
                <w:rFonts w:hint="eastAsia"/>
                <w:color w:val="auto"/>
                <w:szCs w:val="21"/>
                <w:highlight w:val="none"/>
              </w:rPr>
              <w:t>冲洗平台：在场地进出口必须配套建立冲洗平台，安装自动化冲洗设备，配套建立污水收集池、沉淀池，定期清理污泥，不得有污水、污泥外流现象；专人值守清扫、清淤，建立冲洗登记台账。</w:t>
            </w:r>
          </w:p>
          <w:p>
            <w:pPr>
              <w:spacing w:line="360" w:lineRule="auto"/>
              <w:jc w:val="left"/>
              <w:rPr>
                <w:rFonts w:hint="eastAsia"/>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 6 \* GB3 \* MERGEFORMAT </w:instrText>
            </w:r>
            <w:r>
              <w:rPr>
                <w:rFonts w:hint="eastAsia"/>
                <w:color w:val="auto"/>
                <w:szCs w:val="21"/>
                <w:highlight w:val="none"/>
              </w:rPr>
              <w:fldChar w:fldCharType="separate"/>
            </w:r>
            <w:r>
              <w:rPr>
                <w:rFonts w:hint="eastAsia"/>
                <w:color w:val="auto"/>
                <w:szCs w:val="21"/>
                <w:highlight w:val="none"/>
              </w:rPr>
              <w:t>⑥</w:t>
            </w:r>
            <w:r>
              <w:rPr>
                <w:rFonts w:hint="eastAsia"/>
                <w:color w:val="auto"/>
                <w:szCs w:val="21"/>
                <w:highlight w:val="none"/>
              </w:rPr>
              <w:fldChar w:fldCharType="end"/>
            </w:r>
            <w:r>
              <w:rPr>
                <w:rFonts w:hint="eastAsia"/>
                <w:color w:val="auto"/>
                <w:szCs w:val="21"/>
                <w:highlight w:val="none"/>
              </w:rPr>
              <w:t>裸土覆盖：场地内裸土实行防尘网等措施全覆盖，裸土面积不超过1m2；施工区域裸土裸露时间不得超过48小时，否则必须覆盖。</w:t>
            </w:r>
          </w:p>
          <w:p>
            <w:pPr>
              <w:spacing w:line="360" w:lineRule="auto"/>
              <w:jc w:val="left"/>
              <w:rPr>
                <w:rFonts w:hint="eastAsia" w:eastAsia="宋体"/>
                <w:bCs/>
                <w:color w:val="FF0000"/>
                <w:sz w:val="24"/>
                <w:highlight w:val="none"/>
                <w:u w:val="single"/>
                <w:lang w:eastAsia="zh-CN"/>
              </w:rPr>
            </w:pPr>
            <w:r>
              <w:rPr>
                <w:rFonts w:hint="eastAsia"/>
                <w:color w:val="FF0000"/>
                <w:szCs w:val="21"/>
                <w:highlight w:val="none"/>
                <w:u w:val="single"/>
              </w:rPr>
              <w:fldChar w:fldCharType="begin"/>
            </w:r>
            <w:r>
              <w:rPr>
                <w:rFonts w:hint="eastAsia"/>
                <w:color w:val="FF0000"/>
                <w:szCs w:val="21"/>
                <w:highlight w:val="none"/>
                <w:u w:val="single"/>
              </w:rPr>
              <w:instrText xml:space="preserve"> = 7 \* GB3 \* MERGEFORMAT </w:instrText>
            </w:r>
            <w:r>
              <w:rPr>
                <w:rFonts w:hint="eastAsia"/>
                <w:color w:val="FF0000"/>
                <w:szCs w:val="21"/>
                <w:highlight w:val="none"/>
                <w:u w:val="single"/>
              </w:rPr>
              <w:fldChar w:fldCharType="separate"/>
            </w:r>
            <w:r>
              <w:rPr>
                <w:rFonts w:hint="eastAsia"/>
                <w:color w:val="FF0000"/>
                <w:szCs w:val="21"/>
                <w:highlight w:val="none"/>
                <w:u w:val="single"/>
              </w:rPr>
              <w:t>⑦</w:t>
            </w:r>
            <w:r>
              <w:rPr>
                <w:rFonts w:hint="eastAsia"/>
                <w:color w:val="FF0000"/>
                <w:szCs w:val="21"/>
                <w:highlight w:val="none"/>
                <w:u w:val="single"/>
              </w:rPr>
              <w:fldChar w:fldCharType="end"/>
            </w:r>
            <w:r>
              <w:rPr>
                <w:rFonts w:hint="default" w:ascii="Times New Roman" w:hAnsi="Times New Roman" w:cs="Times New Roman"/>
                <w:bCs/>
                <w:color w:val="FF0000"/>
                <w:sz w:val="24"/>
                <w:highlight w:val="none"/>
                <w:u w:val="single"/>
              </w:rPr>
              <w:t>在施工期间，应根据不同空气污染指数范围和大气、高温、干燥、晴天、雨天等各种不同气象条件，明确保洁制度，场地内施工区应采用人力洒水或水枪洒水，当空气污染指数大于100或四级以上大风干燥天气时，不允许土方作业和人工干扫。当空气污染指数大于100时，应加密保洁，当空气污染指数小</w:t>
            </w:r>
            <w:r>
              <w:rPr>
                <w:rFonts w:hint="eastAsia"/>
                <w:bCs/>
                <w:color w:val="FF0000"/>
                <w:sz w:val="24"/>
                <w:highlight w:val="none"/>
                <w:u w:val="single"/>
              </w:rPr>
              <w:t>，可以在保持清洁的前提下降低保洁强度</w:t>
            </w:r>
            <w:r>
              <w:rPr>
                <w:rFonts w:hint="eastAsia"/>
                <w:bCs/>
                <w:color w:val="FF0000"/>
                <w:sz w:val="24"/>
                <w:highlight w:val="none"/>
                <w:u w:val="single"/>
                <w:lang w:eastAsia="zh-CN"/>
              </w:rPr>
              <w:t>。</w:t>
            </w:r>
          </w:p>
          <w:p>
            <w:pPr>
              <w:spacing w:line="360" w:lineRule="auto"/>
              <w:jc w:val="left"/>
              <w:rPr>
                <w:color w:val="auto"/>
                <w:szCs w:val="21"/>
                <w:highlight w:val="none"/>
              </w:rPr>
            </w:pPr>
            <w:r>
              <w:rPr>
                <w:rFonts w:hint="eastAsia"/>
                <w:color w:val="auto"/>
                <w:szCs w:val="21"/>
                <w:highlight w:val="none"/>
                <w:lang w:eastAsia="zh-CN"/>
              </w:rPr>
              <w:t>⑧</w:t>
            </w:r>
            <w:r>
              <w:rPr>
                <w:rFonts w:hint="eastAsia"/>
                <w:color w:val="auto"/>
                <w:szCs w:val="21"/>
                <w:highlight w:val="none"/>
              </w:rPr>
              <w:t>现场监管：专人负责管理运行环保设施，建立台账对运行情况进行记录，出现设施损坏或环境污染问题要及时上报，并迅速采取措施整改。</w:t>
            </w:r>
          </w:p>
          <w:p>
            <w:pPr>
              <w:spacing w:line="360" w:lineRule="auto"/>
              <w:ind w:firstLine="482"/>
              <w:jc w:val="left"/>
              <w:rPr>
                <w:b/>
                <w:bCs/>
                <w:color w:val="auto"/>
                <w:szCs w:val="21"/>
                <w:highlight w:val="none"/>
              </w:rPr>
            </w:pPr>
            <w:r>
              <w:rPr>
                <w:rFonts w:hint="eastAsia"/>
                <w:b/>
                <w:bCs/>
                <w:color w:val="auto"/>
                <w:szCs w:val="21"/>
                <w:highlight w:val="none"/>
              </w:rPr>
              <w:t>（1）施工期防治扬尘污染环境管理及相关责任施工期间应严格管理，文明施工，根据国家环保部颁布的《防治城市扬尘污染技术规范》及相关建设施工扬尘污染控制环评技术规范的通知的要求，做到以下几点：</w:t>
            </w:r>
          </w:p>
          <w:p>
            <w:pPr>
              <w:spacing w:line="360" w:lineRule="auto"/>
              <w:jc w:val="left"/>
              <w:rPr>
                <w:color w:val="auto"/>
                <w:szCs w:val="21"/>
                <w:highlight w:val="none"/>
              </w:rPr>
            </w:pPr>
            <w:r>
              <w:rPr>
                <w:rFonts w:hint="eastAsia"/>
                <w:color w:val="auto"/>
                <w:szCs w:val="21"/>
                <w:highlight w:val="none"/>
              </w:rPr>
              <w:t xml:space="preserve">1）在建设施工工地出入口必须设置环境保护监督栏（牌），其内容包括：项目名称、建设单位、施工单位、工程期、防治扬尘污染现场监督员姓名等。 </w:t>
            </w:r>
          </w:p>
          <w:p>
            <w:pPr>
              <w:spacing w:line="360" w:lineRule="auto"/>
              <w:jc w:val="left"/>
              <w:rPr>
                <w:color w:val="auto"/>
                <w:szCs w:val="21"/>
                <w:highlight w:val="none"/>
              </w:rPr>
            </w:pPr>
            <w:r>
              <w:rPr>
                <w:rFonts w:hint="eastAsia"/>
                <w:color w:val="auto"/>
                <w:szCs w:val="21"/>
                <w:highlight w:val="none"/>
              </w:rPr>
              <w:t>2）整个施工期必须设专职保洁员2人以上。专职保洁员主要职责：车辆进出场冲洗、项目施工场地洒水降尘、场内裸露堆场覆盖、场内裸露地面覆盖、道路冲洗清扫 及日常扬尘控制管理。</w:t>
            </w:r>
          </w:p>
          <w:p>
            <w:pPr>
              <w:spacing w:line="360" w:lineRule="auto"/>
              <w:jc w:val="left"/>
              <w:rPr>
                <w:color w:val="auto"/>
                <w:szCs w:val="21"/>
                <w:highlight w:val="none"/>
              </w:rPr>
            </w:pPr>
            <w:r>
              <w:rPr>
                <w:rFonts w:hint="eastAsia"/>
                <w:color w:val="auto"/>
                <w:szCs w:val="21"/>
                <w:highlight w:val="none"/>
              </w:rPr>
              <w:t xml:space="preserve">3）施工场地设置连续、封闭硬质围墙（档），围墙（档）不低于 2.5m，围墙（档） 底端应设置防溢座，围墙（档）之间以及围墙（档）与防溢座之间无缝隙，围墙（档） 必须在项目开工以前完成。 </w:t>
            </w:r>
          </w:p>
          <w:p>
            <w:pPr>
              <w:spacing w:line="360" w:lineRule="auto"/>
              <w:jc w:val="left"/>
              <w:rPr>
                <w:color w:val="auto"/>
                <w:szCs w:val="21"/>
                <w:highlight w:val="none"/>
              </w:rPr>
            </w:pPr>
            <w:r>
              <w:rPr>
                <w:rFonts w:hint="eastAsia"/>
                <w:color w:val="auto"/>
                <w:szCs w:val="21"/>
                <w:highlight w:val="none"/>
              </w:rPr>
              <w:t>4）施工场地出入口须采用钢板、混凝土、礁渣或细石等进行路面硬化，并辅以洒水、喷洒抑尘剂等措施加强保洁清扫，场内硬化路面不少于30m，场外须与公共道路连接。</w:t>
            </w:r>
          </w:p>
          <w:p>
            <w:pPr>
              <w:spacing w:line="360" w:lineRule="auto"/>
              <w:jc w:val="left"/>
              <w:rPr>
                <w:color w:val="auto"/>
                <w:szCs w:val="21"/>
                <w:highlight w:val="none"/>
              </w:rPr>
            </w:pPr>
            <w:r>
              <w:rPr>
                <w:rFonts w:hint="eastAsia"/>
                <w:color w:val="auto"/>
                <w:szCs w:val="21"/>
                <w:highlight w:val="none"/>
              </w:rPr>
              <w:t>5）在施工工地出入口内侧设置专业厂家生产的专用车辆清洗设备以及配套的泥 浆沉淀设施、清水回用设施，做到车辆清洗水的循环使用不外排。洗车平台配置清洗 员2名（一边一人），洗车作业平台和连接进出口的道路用混凝土硬化，道路硬化宽 度设计大于5m，并铺设加湿的麻袋或草袋等，以防止将撒漏的泥土带入城市道路。</w:t>
            </w:r>
          </w:p>
          <w:p>
            <w:pPr>
              <w:spacing w:line="360" w:lineRule="auto"/>
              <w:jc w:val="left"/>
              <w:rPr>
                <w:color w:val="auto"/>
                <w:szCs w:val="21"/>
                <w:highlight w:val="none"/>
              </w:rPr>
            </w:pPr>
            <w:r>
              <w:rPr>
                <w:rFonts w:hint="eastAsia"/>
                <w:color w:val="auto"/>
                <w:szCs w:val="21"/>
                <w:highlight w:val="none"/>
              </w:rPr>
              <w:t>6）施工场内车行道路须采用钢板、混凝土、礁渣或细石等进行路面硬化，宽度为3-5 米，并辅以洒水、喷洒抑尘剂等措施加强保洁清扫；运输渣土、泥浆、建筑垃圾及砂石等散体建筑材料，应采用密闭运输车辆或采取篷覆式遮盖等措施，严禁发生抛、 洒、滴、漏现象；安排洗车人员，对每台渣土车出场前均要清洗，不得将泥土带出现 场，严禁超载运输。</w:t>
            </w:r>
          </w:p>
          <w:p>
            <w:pPr>
              <w:spacing w:line="360" w:lineRule="auto"/>
              <w:jc w:val="left"/>
              <w:rPr>
                <w:color w:val="auto"/>
                <w:szCs w:val="21"/>
                <w:highlight w:val="none"/>
              </w:rPr>
            </w:pPr>
            <w:r>
              <w:rPr>
                <w:rFonts w:hint="eastAsia"/>
                <w:color w:val="auto"/>
                <w:szCs w:val="21"/>
                <w:highlight w:val="none"/>
              </w:rPr>
              <w:t xml:space="preserve">7）建筑物四周1.5m 外全部设置防尘布网，防尘网顶端高于施工作业面2米以上；裸露的施工地闲置时间在3个月以内的，应采取防尘布网覆盖，并加强管理确保覆盖到位；限定物料堆放场地；施工现场易飞扬的细颗粒散体材料应密闭存放；易产生扬尘的砂石等散体材料，应设置高度不低于0.5米的堆放池，位于工地主导风下风向， 并采取覆盖措施。 </w:t>
            </w:r>
          </w:p>
          <w:p>
            <w:pPr>
              <w:spacing w:line="360" w:lineRule="auto"/>
              <w:jc w:val="left"/>
              <w:rPr>
                <w:color w:val="auto"/>
                <w:szCs w:val="21"/>
                <w:highlight w:val="none"/>
              </w:rPr>
            </w:pPr>
            <w:r>
              <w:rPr>
                <w:rFonts w:hint="eastAsia"/>
                <w:color w:val="auto"/>
                <w:szCs w:val="21"/>
                <w:highlight w:val="none"/>
              </w:rPr>
              <w:t xml:space="preserve">8）当空气质量为重度污染（空气质量指数 201-300）和气象预报风速达5级以上时，停止爆破、土方和拆迁施工，并做好覆盖工作；当空气质量为中度污染（空气质量指数151-200）和风速达4级以上时，停止爆破和土方施工，并每隔2小时对施工现场洒水1次；当空气质量为轻度污染（空气质量指数101-150）时，应每隔4小时对施工现场洒水1次。 </w:t>
            </w:r>
          </w:p>
          <w:p>
            <w:pPr>
              <w:spacing w:line="360" w:lineRule="auto"/>
              <w:jc w:val="left"/>
              <w:rPr>
                <w:color w:val="auto"/>
                <w:szCs w:val="21"/>
                <w:highlight w:val="none"/>
              </w:rPr>
            </w:pPr>
            <w:r>
              <w:rPr>
                <w:rFonts w:hint="eastAsia"/>
                <w:color w:val="auto"/>
                <w:szCs w:val="21"/>
                <w:highlight w:val="none"/>
              </w:rPr>
              <w:t>9）项目必须采用商品混凝土和干混砂浆，场地内不得设置现场混凝土搅拌设施。</w:t>
            </w:r>
          </w:p>
          <w:p>
            <w:pPr>
              <w:spacing w:line="360" w:lineRule="auto"/>
              <w:jc w:val="left"/>
              <w:rPr>
                <w:color w:val="auto"/>
                <w:szCs w:val="21"/>
                <w:highlight w:val="none"/>
              </w:rPr>
            </w:pPr>
            <w:r>
              <w:rPr>
                <w:rFonts w:hint="eastAsia"/>
                <w:color w:val="auto"/>
                <w:szCs w:val="21"/>
                <w:highlight w:val="none"/>
              </w:rPr>
              <w:t>10）加强对运输车辆的管理，定期对车辆的尾气进行检测，对尾气排放不合格的车辆进行及时的保养和维修，减少车辆有害废气的排放。</w:t>
            </w:r>
          </w:p>
          <w:p>
            <w:pPr>
              <w:spacing w:line="360" w:lineRule="auto"/>
              <w:jc w:val="left"/>
              <w:rPr>
                <w:color w:val="auto"/>
                <w:szCs w:val="21"/>
                <w:highlight w:val="none"/>
              </w:rPr>
            </w:pPr>
            <w:r>
              <w:rPr>
                <w:rFonts w:hint="eastAsia"/>
                <w:color w:val="auto"/>
                <w:szCs w:val="21"/>
                <w:highlight w:val="none"/>
              </w:rPr>
              <w:t xml:space="preserve">11）本项目在装修中必须使用正规企业生产的环保型低毒、无毒涂装材料，应尽 量 使用水溶性、无苯的涂料、胶水，减少有机废气污染影响。 </w:t>
            </w:r>
          </w:p>
          <w:p>
            <w:pPr>
              <w:spacing w:line="360" w:lineRule="auto"/>
              <w:jc w:val="left"/>
              <w:rPr>
                <w:color w:val="auto"/>
                <w:szCs w:val="21"/>
                <w:highlight w:val="none"/>
              </w:rPr>
            </w:pPr>
            <w:r>
              <w:rPr>
                <w:rFonts w:hint="eastAsia"/>
                <w:color w:val="auto"/>
                <w:szCs w:val="21"/>
                <w:highlight w:val="none"/>
              </w:rPr>
              <w:t xml:space="preserve">12）项目地下挖掘施工时必须同时建设基坑的护壁工程，以稳定基坑边坡，防止 坡面崩塌。 </w:t>
            </w:r>
          </w:p>
          <w:p>
            <w:pPr>
              <w:spacing w:line="360" w:lineRule="auto"/>
              <w:jc w:val="left"/>
              <w:rPr>
                <w:color w:val="auto"/>
                <w:szCs w:val="21"/>
                <w:highlight w:val="none"/>
              </w:rPr>
            </w:pPr>
            <w:r>
              <w:rPr>
                <w:rFonts w:hint="eastAsia"/>
                <w:color w:val="auto"/>
                <w:szCs w:val="21"/>
                <w:highlight w:val="none"/>
              </w:rPr>
              <w:t xml:space="preserve">13）在地下工程施工完成后，应尽快对广场区进行地面设施和环境绿化工程进行 建 设和完善，以人工绿化方式恢复植被，种植植物以街道和空隙地的观赏树木和花草 为主，使场地裸露地面及时得到绿化覆盖，美化环境。 </w:t>
            </w:r>
          </w:p>
          <w:p>
            <w:pPr>
              <w:spacing w:line="360" w:lineRule="auto"/>
              <w:ind w:firstLine="482"/>
              <w:jc w:val="left"/>
              <w:rPr>
                <w:b/>
                <w:bCs/>
                <w:color w:val="auto"/>
                <w:szCs w:val="21"/>
                <w:highlight w:val="none"/>
              </w:rPr>
            </w:pPr>
            <w:r>
              <w:rPr>
                <w:rFonts w:hint="eastAsia"/>
                <w:b/>
                <w:bCs/>
                <w:color w:val="auto"/>
                <w:szCs w:val="21"/>
                <w:highlight w:val="none"/>
              </w:rPr>
              <w:t>管网工程施工期环境保护措施：</w:t>
            </w:r>
          </w:p>
          <w:p>
            <w:pPr>
              <w:spacing w:line="360" w:lineRule="auto"/>
              <w:jc w:val="left"/>
              <w:rPr>
                <w:color w:val="auto"/>
                <w:szCs w:val="21"/>
                <w:highlight w:val="none"/>
              </w:rPr>
            </w:pPr>
            <w:r>
              <w:rPr>
                <w:rFonts w:hint="eastAsia" w:ascii="宋体" w:hAnsi="宋体" w:cs="宋体"/>
                <w:color w:val="auto"/>
                <w:highlight w:val="none"/>
              </w:rPr>
              <w:t xml:space="preserve"> </w:t>
            </w:r>
            <w:r>
              <w:rPr>
                <w:rFonts w:hint="eastAsia"/>
                <w:color w:val="auto"/>
                <w:szCs w:val="21"/>
                <w:highlight w:val="none"/>
              </w:rPr>
              <w:t>管网施工期间，随着土地的开挖、回填与平整、基建材料的运输，都将产生大量 扬尘，从而使局部环境空气受到污染，特别是干燥大风天气更为突出，因此除上述施工扬尘防治措施，还应采取以下控制措施以减少对环境空气的影响：</w:t>
            </w:r>
          </w:p>
          <w:p>
            <w:pPr>
              <w:spacing w:line="360" w:lineRule="auto"/>
              <w:jc w:val="left"/>
              <w:rPr>
                <w:color w:val="auto"/>
                <w:szCs w:val="21"/>
                <w:highlight w:val="none"/>
              </w:rPr>
            </w:pPr>
            <w:r>
              <w:rPr>
                <w:rFonts w:hint="eastAsia"/>
                <w:color w:val="auto"/>
                <w:szCs w:val="21"/>
                <w:highlight w:val="none"/>
              </w:rPr>
              <w:t>1）管网铺设时开挖剥离的表土应单独存放，回填时仍用于表面；挖出的泥土需要回填的应及时回填；不需回填的应及时清运，堆放的泥土应经常洒水防止扬尘。</w:t>
            </w:r>
          </w:p>
          <w:p>
            <w:pPr>
              <w:spacing w:line="360" w:lineRule="auto"/>
              <w:jc w:val="left"/>
              <w:rPr>
                <w:color w:val="auto"/>
                <w:szCs w:val="21"/>
                <w:highlight w:val="none"/>
              </w:rPr>
            </w:pPr>
            <w:r>
              <w:rPr>
                <w:rFonts w:hint="eastAsia"/>
                <w:color w:val="auto"/>
                <w:szCs w:val="21"/>
                <w:highlight w:val="none"/>
              </w:rPr>
              <w:t>2）要围档作业，及时压实填方。管线两侧堆放的回填土应当加盖彩条膜等，并在其周围边界应设置高度2.5m以上的围挡，在施工过程中，围挡、围护对减少扬尘对环境的污染有明显作用，当风速为小于2.5m/s时可使影响距离缩短40%。</w:t>
            </w:r>
          </w:p>
          <w:p>
            <w:pPr>
              <w:spacing w:line="360" w:lineRule="auto"/>
              <w:jc w:val="left"/>
              <w:rPr>
                <w:color w:val="auto"/>
                <w:szCs w:val="21"/>
                <w:highlight w:val="none"/>
              </w:rPr>
            </w:pPr>
            <w:r>
              <w:rPr>
                <w:rFonts w:hint="eastAsia"/>
                <w:color w:val="auto"/>
                <w:szCs w:val="21"/>
                <w:highlight w:val="none"/>
              </w:rPr>
              <w:t>3）项目施工过程中应制定科学的施工计划，从加强施工管理着手，提倡文明施工。加强运输管理，做好材料运输和使用过程中的防散失、防泄漏措施。</w:t>
            </w:r>
          </w:p>
          <w:p>
            <w:pPr>
              <w:spacing w:line="360" w:lineRule="auto"/>
              <w:jc w:val="left"/>
              <w:rPr>
                <w:color w:val="auto"/>
                <w:szCs w:val="21"/>
                <w:highlight w:val="none"/>
              </w:rPr>
            </w:pPr>
            <w:r>
              <w:rPr>
                <w:rFonts w:hint="eastAsia"/>
                <w:color w:val="auto"/>
                <w:szCs w:val="21"/>
                <w:highlight w:val="none"/>
              </w:rPr>
              <w:t>4）物料运输不堆尖、不满出车厢，中速行驶，防止沿途散失和尘土飞扬，且进出场地时车速要小于</w:t>
            </w:r>
            <w:r>
              <w:rPr>
                <w:color w:val="auto"/>
                <w:szCs w:val="21"/>
                <w:highlight w:val="none"/>
              </w:rPr>
              <w:t>5km/h</w:t>
            </w:r>
            <w:r>
              <w:rPr>
                <w:rFonts w:hint="eastAsia"/>
                <w:color w:val="auto"/>
                <w:szCs w:val="21"/>
                <w:highlight w:val="none"/>
              </w:rPr>
              <w:t>，进出车辆须加盖，以免造成扬尘。</w:t>
            </w:r>
          </w:p>
          <w:p>
            <w:pPr>
              <w:spacing w:line="360" w:lineRule="auto"/>
              <w:jc w:val="left"/>
              <w:rPr>
                <w:color w:val="auto"/>
                <w:szCs w:val="21"/>
                <w:highlight w:val="none"/>
              </w:rPr>
            </w:pPr>
            <w:r>
              <w:rPr>
                <w:rFonts w:hint="eastAsia"/>
                <w:color w:val="auto"/>
                <w:szCs w:val="21"/>
                <w:highlight w:val="none"/>
              </w:rPr>
              <w:t>5）粉料应设置简易工棚储存，严禁露天堆放;建筑垃圾做到合理堆放，及时清运，对干燥建筑垃圾进行洒水，减轻装卸和运输过程产生的扬尘污染。</w:t>
            </w:r>
          </w:p>
          <w:p>
            <w:pPr>
              <w:spacing w:line="360" w:lineRule="auto"/>
              <w:jc w:val="left"/>
              <w:rPr>
                <w:color w:val="auto"/>
                <w:szCs w:val="21"/>
                <w:highlight w:val="none"/>
              </w:rPr>
            </w:pPr>
            <w:r>
              <w:rPr>
                <w:rFonts w:hint="eastAsia"/>
                <w:color w:val="auto"/>
                <w:szCs w:val="21"/>
                <w:highlight w:val="none"/>
              </w:rPr>
              <w:t>6）风速大于4m/s时，禁止进行存在起尘隐患的施工作业;且施工现场地面保持一定的湿度，地面干化后需立即进行喷水抑尘，特别是在大风天，每天地面西水量不得小于</w:t>
            </w:r>
            <w:r>
              <w:rPr>
                <w:color w:val="auto"/>
                <w:szCs w:val="21"/>
                <w:highlight w:val="none"/>
              </w:rPr>
              <w:t>4~5</w:t>
            </w:r>
            <w:r>
              <w:rPr>
                <w:rFonts w:hint="eastAsia"/>
                <w:color w:val="auto"/>
                <w:szCs w:val="21"/>
                <w:highlight w:val="none"/>
              </w:rPr>
              <w:t>次。</w:t>
            </w:r>
          </w:p>
          <w:p>
            <w:pPr>
              <w:spacing w:line="360" w:lineRule="auto"/>
              <w:jc w:val="left"/>
              <w:rPr>
                <w:color w:val="auto"/>
                <w:szCs w:val="21"/>
                <w:highlight w:val="none"/>
              </w:rPr>
            </w:pPr>
            <w:r>
              <w:rPr>
                <w:rFonts w:hint="eastAsia"/>
                <w:color w:val="auto"/>
                <w:szCs w:val="21"/>
                <w:highlight w:val="none"/>
              </w:rPr>
              <w:t>7）项目竣工后10d内，建设单位应当平整施工工地，并清除积土、堆物。采取上述防治措施后，施工废气对大气环境不会产生明显影响。</w:t>
            </w:r>
          </w:p>
          <w:p>
            <w:pPr>
              <w:widowControl/>
              <w:spacing w:line="360" w:lineRule="auto"/>
              <w:ind w:firstLine="482"/>
              <w:jc w:val="left"/>
              <w:rPr>
                <w:b/>
                <w:bCs/>
                <w:color w:val="auto"/>
                <w:highlight w:val="none"/>
              </w:rPr>
            </w:pPr>
            <w:r>
              <w:rPr>
                <w:rFonts w:hint="eastAsia"/>
                <w:b/>
                <w:bCs/>
                <w:color w:val="auto"/>
                <w:highlight w:val="none"/>
              </w:rPr>
              <w:t>1.2、施工期水环境影响分析</w:t>
            </w:r>
          </w:p>
          <w:p>
            <w:pPr>
              <w:spacing w:line="360" w:lineRule="auto"/>
              <w:ind w:firstLine="482"/>
              <w:jc w:val="left"/>
              <w:rPr>
                <w:b/>
                <w:bCs/>
                <w:color w:val="auto"/>
                <w:szCs w:val="21"/>
                <w:highlight w:val="none"/>
              </w:rPr>
            </w:pPr>
            <w:r>
              <w:rPr>
                <w:rFonts w:hint="eastAsia"/>
                <w:b/>
                <w:bCs/>
                <w:color w:val="auto"/>
                <w:szCs w:val="21"/>
                <w:highlight w:val="none"/>
              </w:rPr>
              <w:t>（1）取水泵房施工环境影响分析</w:t>
            </w:r>
          </w:p>
          <w:p>
            <w:pPr>
              <w:spacing w:line="360" w:lineRule="auto"/>
              <w:jc w:val="left"/>
              <w:rPr>
                <w:rFonts w:hint="eastAsia" w:eastAsia="宋体"/>
                <w:color w:val="FF0000"/>
                <w:szCs w:val="21"/>
                <w:highlight w:val="none"/>
                <w:u w:val="single"/>
                <w:lang w:eastAsia="zh-CN"/>
              </w:rPr>
            </w:pPr>
            <w:r>
              <w:rPr>
                <w:rFonts w:hint="eastAsia"/>
                <w:color w:val="FF0000"/>
                <w:szCs w:val="21"/>
                <w:highlight w:val="none"/>
                <w:u w:val="single"/>
                <w:lang w:val="en-US" w:eastAsia="zh-CN"/>
              </w:rPr>
              <w:t>取水</w:t>
            </w:r>
            <w:r>
              <w:rPr>
                <w:rFonts w:hint="eastAsia"/>
                <w:color w:val="FF0000"/>
                <w:szCs w:val="21"/>
                <w:highlight w:val="none"/>
                <w:u w:val="single"/>
              </w:rPr>
              <w:t>泵房施工过程中，</w:t>
            </w:r>
            <w:r>
              <w:rPr>
                <w:rFonts w:hint="eastAsia"/>
                <w:color w:val="FF0000"/>
                <w:szCs w:val="21"/>
                <w:highlight w:val="none"/>
                <w:u w:val="single"/>
                <w:lang w:eastAsia="zh-CN"/>
              </w:rPr>
              <w:t>产生基坑排水，</w:t>
            </w:r>
            <w:r>
              <w:rPr>
                <w:rFonts w:hint="eastAsia"/>
                <w:color w:val="FF0000"/>
                <w:szCs w:val="21"/>
                <w:highlight w:val="none"/>
                <w:u w:val="single"/>
              </w:rPr>
              <w:t>将对湘江局部水域造成局部污染。</w:t>
            </w:r>
            <w:r>
              <w:rPr>
                <w:rFonts w:hint="eastAsia"/>
                <w:color w:val="FF0000"/>
                <w:sz w:val="24"/>
                <w:highlight w:val="none"/>
                <w:u w:val="single"/>
                <w:lang w:eastAsia="zh-CN"/>
              </w:rPr>
              <w:t>本工</w:t>
            </w:r>
            <w:r>
              <w:rPr>
                <w:rFonts w:hint="eastAsia"/>
                <w:color w:val="auto"/>
                <w:sz w:val="24"/>
                <w:highlight w:val="none"/>
                <w:u w:val="none"/>
                <w:lang w:eastAsia="zh-CN"/>
              </w:rPr>
              <w:t>程基坑排水采用静止</w:t>
            </w:r>
            <w:r>
              <w:rPr>
                <w:rFonts w:hint="eastAsia"/>
                <w:color w:val="auto"/>
                <w:sz w:val="24"/>
                <w:highlight w:val="none"/>
                <w:u w:val="none"/>
                <w:lang w:val="en-US" w:eastAsia="zh-CN"/>
              </w:rPr>
              <w:t>48h后排放方式进行处理以降低其SS浓度，施工中基坑明水需待泥沙下沉后再抽排上清液，并控制水位下降速率，避免泥浆水外排，可有效降低排水中SS的含量，</w:t>
            </w:r>
            <w:r>
              <w:rPr>
                <w:rFonts w:hint="eastAsia"/>
                <w:color w:val="auto"/>
                <w:szCs w:val="21"/>
                <w:highlight w:val="none"/>
              </w:rPr>
              <w:t>本项目取水泵房建设规模较小，取水泵房施工地点下游200m范围内无其它取水口</w:t>
            </w:r>
            <w:r>
              <w:rPr>
                <w:rFonts w:hint="eastAsia"/>
                <w:color w:val="FF0000"/>
                <w:szCs w:val="21"/>
                <w:highlight w:val="none"/>
                <w:u w:val="single"/>
              </w:rPr>
              <w:t>，因此，</w:t>
            </w:r>
            <w:r>
              <w:rPr>
                <w:rFonts w:hint="eastAsia"/>
                <w:color w:val="FF0000"/>
                <w:sz w:val="24"/>
                <w:highlight w:val="none"/>
                <w:u w:val="single"/>
                <w:lang w:val="en-US" w:eastAsia="zh-CN"/>
              </w:rPr>
              <w:t>基本不会对湘江水质产生明显不利影响</w:t>
            </w:r>
            <w:r>
              <w:rPr>
                <w:rFonts w:hint="eastAsia"/>
                <w:color w:val="FF0000"/>
                <w:szCs w:val="21"/>
                <w:highlight w:val="none"/>
                <w:u w:val="single"/>
              </w:rPr>
              <w:t>，在施工期结束后施工影响即结束。</w:t>
            </w:r>
          </w:p>
          <w:p>
            <w:pPr>
              <w:spacing w:line="360" w:lineRule="auto"/>
              <w:ind w:firstLine="482"/>
              <w:jc w:val="left"/>
              <w:rPr>
                <w:b/>
                <w:bCs/>
                <w:color w:val="auto"/>
                <w:szCs w:val="21"/>
                <w:highlight w:val="none"/>
              </w:rPr>
            </w:pPr>
            <w:r>
              <w:rPr>
                <w:rFonts w:hint="eastAsia"/>
                <w:b/>
                <w:bCs/>
                <w:color w:val="auto"/>
                <w:szCs w:val="21"/>
                <w:highlight w:val="none"/>
              </w:rPr>
              <w:t>（2）净水厂</w:t>
            </w:r>
            <w:r>
              <w:rPr>
                <w:rFonts w:hint="eastAsia"/>
                <w:b/>
                <w:bCs/>
                <w:color w:val="auto"/>
                <w:szCs w:val="21"/>
                <w:highlight w:val="none"/>
                <w:lang w:eastAsia="zh-CN"/>
              </w:rPr>
              <w:t>、</w:t>
            </w:r>
            <w:r>
              <w:rPr>
                <w:rFonts w:hint="eastAsia"/>
                <w:b/>
                <w:bCs/>
                <w:color w:val="auto"/>
                <w:szCs w:val="21"/>
                <w:highlight w:val="none"/>
                <w:lang w:val="en-US" w:eastAsia="zh-CN"/>
              </w:rPr>
              <w:t>加压泵房</w:t>
            </w:r>
            <w:r>
              <w:rPr>
                <w:rFonts w:hint="eastAsia"/>
                <w:b/>
                <w:bCs/>
                <w:color w:val="auto"/>
                <w:szCs w:val="21"/>
                <w:highlight w:val="none"/>
              </w:rPr>
              <w:t>施工环境影响</w:t>
            </w:r>
          </w:p>
          <w:p>
            <w:pPr>
              <w:spacing w:line="360" w:lineRule="auto"/>
              <w:jc w:val="left"/>
              <w:rPr>
                <w:color w:val="auto"/>
                <w:szCs w:val="21"/>
                <w:highlight w:val="none"/>
              </w:rPr>
            </w:pPr>
            <w:r>
              <w:rPr>
                <w:rFonts w:hint="eastAsia"/>
                <w:color w:val="auto"/>
                <w:szCs w:val="21"/>
                <w:highlight w:val="none"/>
              </w:rPr>
              <w:t>本项目不设施工营地施工人员均为乡镇附近居民，在家食宿，施工期不产生生活污水。项目施工废水主要为基坑开挖、设备清洗废水、施工场所初期雨水、地面硬化养护废水等，主要污染物为悬浮物和石油类。根据施工生产废水的污染特征，采用隔油、沉淀等方式处理。施工期间地表径流经临时沉淀处理后回用于洒水降尘。沉淀后多余的雨水可溢流进入项目施工附近道路的雨水管道中。因此，采取以上措施后生产废水不会对项目所在区域水质产生明显不利影响。</w:t>
            </w:r>
          </w:p>
          <w:p>
            <w:pPr>
              <w:spacing w:line="360" w:lineRule="auto"/>
              <w:jc w:val="left"/>
              <w:rPr>
                <w:color w:val="auto"/>
                <w:szCs w:val="21"/>
                <w:highlight w:val="none"/>
              </w:rPr>
            </w:pPr>
            <w:r>
              <w:rPr>
                <w:rFonts w:hint="eastAsia"/>
                <w:color w:val="auto"/>
                <w:szCs w:val="21"/>
                <w:highlight w:val="none"/>
              </w:rPr>
              <w:t>为防止施工期间水环境污染，建议</w:t>
            </w:r>
            <w:r>
              <w:rPr>
                <w:rFonts w:hint="eastAsia"/>
                <w:color w:val="auto"/>
                <w:szCs w:val="21"/>
                <w:highlight w:val="none"/>
                <w:lang w:val="en-US" w:eastAsia="zh-CN"/>
              </w:rPr>
              <w:t>取水泵房、净水厂</w:t>
            </w:r>
            <w:r>
              <w:rPr>
                <w:rFonts w:hint="eastAsia"/>
                <w:color w:val="auto"/>
                <w:szCs w:val="21"/>
                <w:highlight w:val="none"/>
              </w:rPr>
              <w:t>采取以下措施：</w:t>
            </w:r>
          </w:p>
          <w:p>
            <w:pPr>
              <w:spacing w:line="360" w:lineRule="auto"/>
              <w:jc w:val="left"/>
              <w:rPr>
                <w:color w:val="auto"/>
                <w:szCs w:val="21"/>
                <w:highlight w:val="none"/>
              </w:rPr>
            </w:pPr>
            <w:r>
              <w:rPr>
                <w:rFonts w:hint="eastAsia"/>
                <w:color w:val="auto"/>
                <w:szCs w:val="21"/>
                <w:highlight w:val="none"/>
              </w:rPr>
              <w:t>①</w:t>
            </w:r>
            <w:r>
              <w:rPr>
                <w:rFonts w:hint="eastAsia" w:ascii="Times New Roman" w:hAnsi="Times New Roman" w:eastAsia="宋体" w:cs="Times New Roman"/>
                <w:color w:val="auto"/>
                <w:szCs w:val="21"/>
                <w:highlight w:val="none"/>
                <w:lang w:val="en-US" w:eastAsia="zh-CN"/>
              </w:rPr>
              <w:t>加强施工管理，针对施工期污水产生过程不连续废水种类较单一等特点，可采取相应措施有效控制污水中污染物的产生量；</w:t>
            </w:r>
            <w:r>
              <w:rPr>
                <w:rFonts w:hint="eastAsia"/>
                <w:color w:val="auto"/>
                <w:szCs w:val="21"/>
                <w:highlight w:val="none"/>
              </w:rPr>
              <w:t>施工现场应设置完善的配套排水系统、泥浆沉淀设施，出施工场地的运输车辆经过冲洗后方可上路，建议在每个施工区车辆出口处，设置施工车辆清洗设施和一个沉淀池和隔油池，冲洗废水经过沉淀处理后，上清液回用作为洗车水或道路洒水降尘；管网施工产生的坑基废水、泥浆水通过沿线设置的隔油隔渣池处理，然后回用设备清洗和道路运输降尘，不向外排放。</w:t>
            </w:r>
          </w:p>
          <w:p>
            <w:pPr>
              <w:spacing w:line="360" w:lineRule="auto"/>
              <w:jc w:val="left"/>
              <w:rPr>
                <w:color w:val="auto"/>
                <w:szCs w:val="21"/>
                <w:highlight w:val="none"/>
              </w:rPr>
            </w:pPr>
            <w:r>
              <w:rPr>
                <w:rFonts w:hint="eastAsia"/>
                <w:color w:val="auto"/>
                <w:szCs w:val="21"/>
                <w:highlight w:val="none"/>
              </w:rPr>
              <w:t>②做好机械材料管理和回收，特别是含有油污的物体，不能露天存放，以免因雨废油水冲刷而污染水体，应用废油桶收集起来，集中保管，定期送有关单位进行处理回收，严禁将废油随意倾倒，造成周围景观污染。</w:t>
            </w:r>
          </w:p>
          <w:p>
            <w:pPr>
              <w:spacing w:line="360" w:lineRule="auto"/>
              <w:jc w:val="left"/>
              <w:rPr>
                <w:color w:val="auto"/>
                <w:szCs w:val="21"/>
                <w:highlight w:val="none"/>
              </w:rPr>
            </w:pPr>
            <w:r>
              <w:rPr>
                <w:rFonts w:hint="eastAsia"/>
                <w:color w:val="auto"/>
                <w:szCs w:val="21"/>
                <w:highlight w:val="none"/>
              </w:rPr>
              <w:t>③加强施工管理，针对施工期污水产生过程不连续废水种类较单一等特点，可采取相应措施有效控制污水中污染物的产生量；</w:t>
            </w:r>
          </w:p>
          <w:p>
            <w:pPr>
              <w:spacing w:line="360" w:lineRule="auto"/>
              <w:jc w:val="left"/>
              <w:rPr>
                <w:color w:val="auto"/>
                <w:szCs w:val="21"/>
                <w:highlight w:val="none"/>
              </w:rPr>
            </w:pPr>
            <w:r>
              <w:rPr>
                <w:rFonts w:hint="eastAsia"/>
                <w:color w:val="auto"/>
                <w:szCs w:val="21"/>
                <w:highlight w:val="none"/>
              </w:rPr>
              <w:t>④水泥、黄砂、石灰类的建筑材料需集中堆放，并采取相应的防冲刷措施，及时清扫施工运输过程中抛洒的上述建筑材料，就近妥善处理或与固体废物一起处置，及时清扫施工运输过程中抛射的建筑材料，以避免因雨水冲刷而污染附近水体。</w:t>
            </w:r>
          </w:p>
          <w:p>
            <w:pPr>
              <w:spacing w:line="360" w:lineRule="auto"/>
              <w:jc w:val="left"/>
              <w:rPr>
                <w:color w:val="auto"/>
                <w:szCs w:val="21"/>
                <w:highlight w:val="none"/>
              </w:rPr>
            </w:pPr>
            <w:r>
              <w:rPr>
                <w:rFonts w:hint="eastAsia"/>
                <w:color w:val="auto"/>
                <w:szCs w:val="21"/>
                <w:highlight w:val="none"/>
              </w:rPr>
              <w:t>⑤项目方应加强施工机械设备的维修保养，避免施工机械燃油跑、冒、滴、漏现象的发生，在不可避免跑、冒、滴、漏的施工过程中尽量采用固态吸油材料（如棉纱、木屑等）将废油收集转化到固态物质中，避免产生过多的含油污水。对渗漏到土壤的油污应及时利用刮削装置收集封存，运至垃圾填埋场集中处理。</w:t>
            </w:r>
          </w:p>
          <w:p>
            <w:pPr>
              <w:spacing w:line="360" w:lineRule="auto"/>
              <w:jc w:val="left"/>
              <w:rPr>
                <w:color w:val="auto"/>
                <w:szCs w:val="21"/>
                <w:highlight w:val="none"/>
              </w:rPr>
            </w:pPr>
            <w:r>
              <w:rPr>
                <w:rFonts w:hint="eastAsia"/>
                <w:color w:val="auto"/>
                <w:szCs w:val="21"/>
                <w:highlight w:val="none"/>
              </w:rPr>
              <w:t>⑥定时清洁建筑施工机械表面不必要的润滑油及其它油污，尽量减小建筑施工机械设备与水体的直接接触。</w:t>
            </w:r>
          </w:p>
          <w:p>
            <w:pPr>
              <w:spacing w:line="360" w:lineRule="auto"/>
              <w:jc w:val="left"/>
              <w:rPr>
                <w:color w:val="auto"/>
                <w:szCs w:val="21"/>
                <w:highlight w:val="none"/>
              </w:rPr>
            </w:pPr>
            <w:r>
              <w:rPr>
                <w:rFonts w:hint="eastAsia"/>
                <w:color w:val="auto"/>
                <w:szCs w:val="21"/>
                <w:highlight w:val="none"/>
              </w:rPr>
              <w:t>⑦机械、设备及运输车辆的维修保养可依托祁阳县城区的维修点进行，不自设机修站，以防止设备漏油现象的发生。</w:t>
            </w:r>
          </w:p>
          <w:p>
            <w:pPr>
              <w:spacing w:line="360" w:lineRule="auto"/>
              <w:jc w:val="left"/>
              <w:rPr>
                <w:rFonts w:hint="eastAsia"/>
                <w:b/>
                <w:bCs/>
                <w:color w:val="auto"/>
                <w:highlight w:val="none"/>
              </w:rPr>
            </w:pPr>
            <w:r>
              <w:rPr>
                <w:rFonts w:hint="eastAsia"/>
                <w:color w:val="auto"/>
                <w:szCs w:val="21"/>
                <w:highlight w:val="none"/>
              </w:rPr>
              <w:t>⑧对收集的浸油废料交由当地专业回收部门回收处理。</w:t>
            </w:r>
          </w:p>
          <w:p>
            <w:pPr>
              <w:spacing w:line="360" w:lineRule="auto"/>
              <w:ind w:firstLine="482"/>
              <w:rPr>
                <w:b/>
                <w:bCs/>
                <w:color w:val="auto"/>
                <w:highlight w:val="none"/>
              </w:rPr>
            </w:pPr>
            <w:r>
              <w:rPr>
                <w:rFonts w:hint="eastAsia"/>
                <w:b/>
                <w:bCs/>
                <w:color w:val="auto"/>
                <w:highlight w:val="none"/>
              </w:rPr>
              <w:t>1.3</w:t>
            </w:r>
            <w:r>
              <w:rPr>
                <w:b/>
                <w:bCs/>
                <w:color w:val="auto"/>
                <w:highlight w:val="none"/>
              </w:rPr>
              <w:t>施工期噪声环境影响分析</w:t>
            </w:r>
          </w:p>
          <w:p>
            <w:pPr>
              <w:spacing w:line="360" w:lineRule="auto"/>
              <w:jc w:val="left"/>
              <w:rPr>
                <w:color w:val="auto"/>
                <w:szCs w:val="21"/>
                <w:highlight w:val="none"/>
              </w:rPr>
            </w:pPr>
            <w:r>
              <w:rPr>
                <w:rFonts w:hint="eastAsia"/>
                <w:color w:val="auto"/>
                <w:szCs w:val="21"/>
                <w:highlight w:val="none"/>
              </w:rPr>
              <w:t>项目管线施工大部分路段均位于乡村，只有较少路段需要破路机施工，各种施工 机械将对沿线村民等环保目标带来不利影响。管道线路的施工的噪声对于整个管线来 说，将存在于整个施工过程中，而对于某一局部地段来说则为几个星期甚至更短，影响相对来说较短。也就是说这些噪声源是短暂的，只在短时间内对局部环境造成影响， 待施工结束后这些影响也将随之消失。本环评要求建设单位合理安排作业时间，合理 布局施工场地，选用良好的施工设备，降低设备声级，降低人为的噪声，禁止高噪声设备在晚上（22:00—6:00）和村民休息时间施工，尽量减少噪声污染。</w:t>
            </w:r>
          </w:p>
          <w:p>
            <w:pPr>
              <w:spacing w:line="360" w:lineRule="auto"/>
              <w:ind w:firstLine="482"/>
              <w:jc w:val="left"/>
              <w:rPr>
                <w:b/>
                <w:bCs/>
                <w:color w:val="auto"/>
                <w:szCs w:val="21"/>
                <w:highlight w:val="none"/>
              </w:rPr>
            </w:pPr>
            <w:r>
              <w:rPr>
                <w:rFonts w:hint="eastAsia"/>
                <w:b/>
                <w:bCs/>
                <w:color w:val="auto"/>
                <w:szCs w:val="21"/>
                <w:highlight w:val="none"/>
              </w:rPr>
              <w:t>（1）水厂施工噪声控制措施</w:t>
            </w:r>
          </w:p>
          <w:p>
            <w:pPr>
              <w:spacing w:line="360" w:lineRule="auto"/>
              <w:jc w:val="left"/>
              <w:rPr>
                <w:color w:val="auto"/>
                <w:szCs w:val="21"/>
                <w:highlight w:val="none"/>
              </w:rPr>
            </w:pPr>
            <w:r>
              <w:rPr>
                <w:rFonts w:hint="eastAsia"/>
                <w:color w:val="auto"/>
                <w:szCs w:val="21"/>
                <w:highlight w:val="none"/>
              </w:rPr>
              <w:t xml:space="preserve"> ①合理选择施工机械、施工方法、施工场界，尽量选用低噪声设备，在施工过程 中，应经常对施工设备进行维护保养，避免由于设备性能减退而使噪声增强的现象发 生。</w:t>
            </w:r>
          </w:p>
          <w:p>
            <w:pPr>
              <w:spacing w:line="360" w:lineRule="auto"/>
              <w:jc w:val="left"/>
              <w:rPr>
                <w:color w:val="auto"/>
                <w:szCs w:val="21"/>
                <w:highlight w:val="none"/>
              </w:rPr>
            </w:pPr>
            <w:r>
              <w:rPr>
                <w:rFonts w:hint="eastAsia"/>
                <w:color w:val="auto"/>
                <w:szCs w:val="21"/>
                <w:highlight w:val="none"/>
              </w:rPr>
              <w:t xml:space="preserve">②施工期噪声应按《建筑施工场界环境噪声排放标准》（GB12523—2011）进行控 制，应合理安排施工时间，尽量避免高噪声设备同时施工，以减轻施工噪声对周边环境的影响。除特殊工艺要求经批准外，禁止高噪声设备在午休时间和夜间22:00至次日6:00作业。 </w:t>
            </w:r>
          </w:p>
          <w:p>
            <w:pPr>
              <w:spacing w:line="360" w:lineRule="auto"/>
              <w:jc w:val="left"/>
              <w:rPr>
                <w:color w:val="auto"/>
                <w:szCs w:val="21"/>
                <w:highlight w:val="none"/>
              </w:rPr>
            </w:pPr>
            <w:r>
              <w:rPr>
                <w:rFonts w:hint="eastAsia"/>
                <w:color w:val="auto"/>
                <w:szCs w:val="21"/>
                <w:highlight w:val="none"/>
              </w:rPr>
              <w:t>③合理布局施工场地，噪声大的某些施工设备和操作尽量远离敏感区。</w:t>
            </w:r>
          </w:p>
          <w:p>
            <w:pPr>
              <w:spacing w:line="360" w:lineRule="auto"/>
              <w:jc w:val="left"/>
              <w:rPr>
                <w:color w:val="auto"/>
                <w:szCs w:val="21"/>
                <w:highlight w:val="none"/>
              </w:rPr>
            </w:pPr>
            <w:r>
              <w:rPr>
                <w:rFonts w:hint="eastAsia"/>
                <w:color w:val="auto"/>
                <w:szCs w:val="21"/>
                <w:highlight w:val="none"/>
              </w:rPr>
              <w:t>④降低人为噪声：按规定操作机械设备，模板、支架装卸过程中，尽量减少碰撞声音。</w:t>
            </w:r>
          </w:p>
          <w:p>
            <w:pPr>
              <w:spacing w:line="360" w:lineRule="auto"/>
              <w:jc w:val="left"/>
              <w:rPr>
                <w:color w:val="auto"/>
                <w:szCs w:val="21"/>
                <w:highlight w:val="none"/>
              </w:rPr>
            </w:pPr>
            <w:r>
              <w:rPr>
                <w:rFonts w:hint="eastAsia"/>
                <w:color w:val="auto"/>
                <w:szCs w:val="21"/>
                <w:highlight w:val="none"/>
              </w:rPr>
              <w:t>⑤建立临时声障：对位置相对固定的机械设备，能于室内操作的尽量进入操作间， 不能入操作间的，</w:t>
            </w:r>
            <w:r>
              <w:rPr>
                <w:rFonts w:hint="eastAsia"/>
                <w:color w:val="auto"/>
                <w:szCs w:val="21"/>
                <w:highlight w:val="none"/>
                <w:u w:val="single"/>
              </w:rPr>
              <w:t>在施工条件许可的情况下对高噪声设备设置隔声屏障，如可拆卸活 动彩板围挡等。</w:t>
            </w:r>
            <w:r>
              <w:rPr>
                <w:rFonts w:hint="eastAsia"/>
                <w:color w:val="auto"/>
                <w:szCs w:val="21"/>
                <w:highlight w:val="none"/>
              </w:rPr>
              <w:t xml:space="preserve"> </w:t>
            </w:r>
          </w:p>
          <w:p>
            <w:pPr>
              <w:spacing w:line="360" w:lineRule="auto"/>
              <w:ind w:firstLine="482"/>
              <w:jc w:val="left"/>
              <w:rPr>
                <w:b/>
                <w:bCs/>
                <w:color w:val="auto"/>
                <w:szCs w:val="21"/>
                <w:highlight w:val="none"/>
              </w:rPr>
            </w:pPr>
            <w:r>
              <w:rPr>
                <w:rFonts w:hint="eastAsia"/>
                <w:b/>
                <w:bCs/>
                <w:color w:val="auto"/>
                <w:szCs w:val="21"/>
                <w:highlight w:val="none"/>
              </w:rPr>
              <w:t>（2）管道施工噪声控制措施</w:t>
            </w:r>
          </w:p>
          <w:p>
            <w:pPr>
              <w:spacing w:line="360" w:lineRule="auto"/>
              <w:jc w:val="left"/>
              <w:rPr>
                <w:color w:val="auto"/>
                <w:szCs w:val="21"/>
                <w:highlight w:val="none"/>
              </w:rPr>
            </w:pPr>
            <w:r>
              <w:rPr>
                <w:rFonts w:hint="eastAsia"/>
                <w:color w:val="auto"/>
                <w:szCs w:val="21"/>
                <w:highlight w:val="none"/>
              </w:rPr>
              <w:t xml:space="preserve">管网建设施工期的噪声主要是各种施工机械和运输车辆产生的作业噪声，施工期 噪声是短期暂时的，但影响较大，为避免施工噪声扰民，应采取合理的施工管理措施和必要的噪声控制措施，因此，针对建设期的噪声污染特性，本项目的施工建设过程中采取如下措施： </w:t>
            </w:r>
          </w:p>
          <w:p>
            <w:pPr>
              <w:spacing w:line="360" w:lineRule="auto"/>
              <w:jc w:val="left"/>
              <w:rPr>
                <w:color w:val="auto"/>
                <w:szCs w:val="21"/>
                <w:highlight w:val="none"/>
              </w:rPr>
            </w:pPr>
            <w:r>
              <w:rPr>
                <w:rFonts w:hint="eastAsia"/>
                <w:color w:val="auto"/>
                <w:szCs w:val="21"/>
                <w:highlight w:val="none"/>
              </w:rPr>
              <w:t>①施工过程中必须严格遵守《建筑施工厂界环境噪声排放标准》（GB12523-2011） 的要求，必须严守操作规程，合理选择施工机械、施工方法、施工场地、施工时间。 施 工场地的布设应尽量避开环境敏感点，并严格控制高噪声设备的施工时段，午休时间应停止高噪声设备的作业，夜间22：00~06：00禁止高噪声设备和大型施工机械施 工，保证周围有个安静良好的工作和生活环境。同时，应尽量选用运行良好的低噪声设备，在施工过程中，应经常对施工设备进行维修保养，避免由于设备性能减退使噪声增大。此外，主要运输通道也应远离居民区。</w:t>
            </w:r>
          </w:p>
          <w:p>
            <w:pPr>
              <w:spacing w:line="360" w:lineRule="auto"/>
              <w:jc w:val="left"/>
              <w:rPr>
                <w:color w:val="auto"/>
                <w:szCs w:val="21"/>
                <w:highlight w:val="none"/>
              </w:rPr>
            </w:pPr>
            <w:r>
              <w:rPr>
                <w:rFonts w:hint="eastAsia"/>
                <w:color w:val="auto"/>
                <w:szCs w:val="21"/>
                <w:highlight w:val="none"/>
              </w:rPr>
              <w:t>②施工期间的材料运输、敲击等作为施工活动的声源，要求承包商通过文明施工， 加强管理加以缓解。同时，业主应在施工现场标明投诉电话号码，对投诉问题业主应及时与当地环保部门取得联系，在24h内及时处理各种环境纠纷。为减少施工机械噪声等对沿线居民产生的影响，对高噪声设备可设置临时围挡防护物来消减噪声。</w:t>
            </w:r>
          </w:p>
          <w:p>
            <w:pPr>
              <w:spacing w:line="360" w:lineRule="auto"/>
              <w:jc w:val="left"/>
              <w:rPr>
                <w:color w:val="auto"/>
                <w:szCs w:val="21"/>
                <w:highlight w:val="none"/>
              </w:rPr>
            </w:pPr>
            <w:r>
              <w:rPr>
                <w:rFonts w:hint="eastAsia"/>
                <w:color w:val="auto"/>
                <w:szCs w:val="21"/>
                <w:highlight w:val="none"/>
              </w:rPr>
              <w:t>③要注意保养高噪声机器和正确操作，使筑路机械的噪声维持在最低声级水平。</w:t>
            </w:r>
          </w:p>
          <w:p>
            <w:pPr>
              <w:spacing w:line="360" w:lineRule="auto"/>
              <w:jc w:val="left"/>
              <w:rPr>
                <w:color w:val="auto"/>
                <w:szCs w:val="21"/>
                <w:highlight w:val="none"/>
              </w:rPr>
            </w:pPr>
            <w:r>
              <w:rPr>
                <w:rFonts w:hint="eastAsia"/>
                <w:color w:val="auto"/>
                <w:szCs w:val="21"/>
                <w:highlight w:val="none"/>
              </w:rPr>
              <w:t xml:space="preserve">在现有道路上运输建筑材料的车辆，承包商要做好车辆的维修保养工作，使车 辆的噪声级维持在最低水平。对确因运输建筑材料使现有道路沿线声环境质量极度恶 化的路段，要求监理工程师加强噪声监测，如果噪声因材料运输而超标，可考虑改变行驶路线，或与当地居民达成协议给予一定经济补偿等环保措施。对挖土填土等有高噪声机械施工的场所也将采取类似的措施。 </w:t>
            </w:r>
          </w:p>
          <w:p>
            <w:pPr>
              <w:spacing w:line="360" w:lineRule="auto"/>
              <w:jc w:val="left"/>
              <w:rPr>
                <w:rFonts w:ascii="宋体" w:hAnsi="宋体" w:cs="宋体"/>
                <w:color w:val="auto"/>
                <w:highlight w:val="none"/>
              </w:rPr>
            </w:pPr>
            <w:r>
              <w:rPr>
                <w:rFonts w:hint="eastAsia"/>
                <w:color w:val="auto"/>
                <w:szCs w:val="21"/>
                <w:highlight w:val="none"/>
              </w:rPr>
              <w:t>④为保护施工人员的健康，承包商要合理安排工作人员轮流操作辐射高强噪声的施工机械，减少接触高噪声的时间，或穿插安排高噪声和低噪声的工作。对距辐射高强噪声源较近的施工人员，除采取戴保护耳塞或头盔等劳保措施外，还应适当缩短其劳动时间。采取上述噪声污染防治措施后，将减小施工期对周边声环境的影响。</w:t>
            </w:r>
          </w:p>
          <w:p>
            <w:pPr>
              <w:widowControl/>
              <w:spacing w:line="360" w:lineRule="auto"/>
              <w:ind w:firstLine="482"/>
              <w:jc w:val="left"/>
              <w:rPr>
                <w:b/>
                <w:bCs/>
                <w:color w:val="auto"/>
                <w:highlight w:val="none"/>
              </w:rPr>
            </w:pPr>
            <w:r>
              <w:rPr>
                <w:b/>
                <w:bCs/>
                <w:color w:val="auto"/>
                <w:highlight w:val="none"/>
              </w:rPr>
              <w:t>1.4施工期固体废物环境影响分析</w:t>
            </w:r>
          </w:p>
          <w:p>
            <w:pPr>
              <w:spacing w:line="360" w:lineRule="auto"/>
              <w:ind w:firstLine="482"/>
              <w:jc w:val="left"/>
              <w:rPr>
                <w:b/>
                <w:bCs/>
                <w:color w:val="auto"/>
                <w:szCs w:val="21"/>
                <w:highlight w:val="none"/>
              </w:rPr>
            </w:pPr>
            <w:r>
              <w:rPr>
                <w:rFonts w:hint="eastAsia"/>
                <w:b/>
                <w:bCs/>
                <w:color w:val="auto"/>
                <w:szCs w:val="21"/>
                <w:highlight w:val="none"/>
              </w:rPr>
              <w:t>（1）取水泵站施工固体废物环境影响分析</w:t>
            </w:r>
          </w:p>
          <w:p>
            <w:pPr>
              <w:spacing w:line="360" w:lineRule="auto"/>
              <w:jc w:val="left"/>
              <w:rPr>
                <w:color w:val="auto"/>
                <w:szCs w:val="21"/>
                <w:highlight w:val="none"/>
              </w:rPr>
            </w:pPr>
            <w:r>
              <w:rPr>
                <w:rFonts w:hint="eastAsia"/>
                <w:color w:val="auto"/>
                <w:szCs w:val="21"/>
                <w:highlight w:val="none"/>
              </w:rPr>
              <w:t>由于泵房建设需对水底的挡墙抛石等进行大开挖施工、引水管建设中需进行顶管、开挖施工，这些施工过程都会形成开挖，产生部分块石、泥沙、土壤等固体废物，如不加以处理，泥沙、土壤等物会随着雨季径流进入湘江水体，进而污染水质。因此，工程施工中应采取以下措施对固体废物污染进行防治：</w:t>
            </w:r>
          </w:p>
          <w:p>
            <w:pPr>
              <w:spacing w:line="360" w:lineRule="auto"/>
              <w:jc w:val="left"/>
              <w:rPr>
                <w:color w:val="auto"/>
                <w:szCs w:val="21"/>
                <w:highlight w:val="none"/>
              </w:rPr>
            </w:pPr>
            <w:r>
              <w:rPr>
                <w:rFonts w:hint="eastAsia"/>
                <w:color w:val="auto"/>
                <w:szCs w:val="21"/>
                <w:highlight w:val="none"/>
              </w:rPr>
              <w:t>①水下施工产生的固体废物禁止向湘江排放。这一点应该在施工招标文件中有明确的条文规定。</w:t>
            </w:r>
          </w:p>
          <w:p>
            <w:pPr>
              <w:spacing w:line="360" w:lineRule="auto"/>
              <w:jc w:val="left"/>
              <w:rPr>
                <w:color w:val="auto"/>
                <w:szCs w:val="21"/>
                <w:highlight w:val="none"/>
              </w:rPr>
            </w:pPr>
            <w:r>
              <w:rPr>
                <w:rFonts w:hint="eastAsia"/>
                <w:color w:val="auto"/>
                <w:szCs w:val="21"/>
                <w:highlight w:val="none"/>
              </w:rPr>
              <w:t>②设计单位应提出固体废物的临时堆弃场地、堆弃方式以及堆弃表面的处理方案等，并汇同环境保护行政主管部门以及当地政府部门一并确认。同时本评价建议固体废物的堆弃场地不能在湘江岸边，避免被雨水冲入湘江。</w:t>
            </w:r>
          </w:p>
          <w:p>
            <w:pPr>
              <w:spacing w:line="360" w:lineRule="auto"/>
              <w:jc w:val="left"/>
              <w:rPr>
                <w:color w:val="auto"/>
                <w:szCs w:val="21"/>
                <w:highlight w:val="none"/>
              </w:rPr>
            </w:pPr>
            <w:r>
              <w:rPr>
                <w:rFonts w:hint="eastAsia"/>
                <w:color w:val="auto"/>
                <w:szCs w:val="21"/>
                <w:highlight w:val="none"/>
              </w:rPr>
              <w:t>③堆放固体废物之前，应采取相应防护措施，以防止固体废物形成泥流而污染环境。对于少量可能流动的固体废物(除淤泥外)，建设单位应采取固化处置后再行堆弃，例如掺入适量的水泥等，而且在堆弃后将表面推平。</w:t>
            </w:r>
          </w:p>
          <w:p>
            <w:pPr>
              <w:spacing w:line="360" w:lineRule="auto"/>
              <w:jc w:val="left"/>
              <w:rPr>
                <w:color w:val="auto"/>
                <w:szCs w:val="21"/>
                <w:highlight w:val="none"/>
              </w:rPr>
            </w:pPr>
            <w:r>
              <w:rPr>
                <w:rFonts w:hint="eastAsia"/>
                <w:color w:val="auto"/>
                <w:szCs w:val="21"/>
                <w:highlight w:val="none"/>
              </w:rPr>
              <w:t>④在降雨来临之前，建设单位应对堆弃固体废物的场地或堆弃物形成的坡面进行覆盖，覆盖物为帆布等。</w:t>
            </w:r>
          </w:p>
          <w:p>
            <w:pPr>
              <w:spacing w:line="360" w:lineRule="auto"/>
              <w:jc w:val="left"/>
              <w:rPr>
                <w:color w:val="auto"/>
                <w:szCs w:val="21"/>
                <w:highlight w:val="none"/>
              </w:rPr>
            </w:pPr>
            <w:r>
              <w:rPr>
                <w:rFonts w:hint="eastAsia"/>
                <w:color w:val="auto"/>
                <w:szCs w:val="21"/>
                <w:highlight w:val="none"/>
              </w:rPr>
              <w:t>⑤严禁机械油料和废油直接进入水体，废弃机械油料和废油应由有资质的单位回收后进行处理，同时废渣、泥浆和淤泥将回用于回填。通过上述预防措施，可以有效减少废渣、岩浆、淤泥和废油等对附近水体的影响，环境影响在可接受程度内。</w:t>
            </w:r>
          </w:p>
          <w:p>
            <w:pPr>
              <w:spacing w:line="360" w:lineRule="auto"/>
              <w:jc w:val="left"/>
              <w:rPr>
                <w:color w:val="auto"/>
                <w:szCs w:val="21"/>
                <w:highlight w:val="none"/>
              </w:rPr>
            </w:pPr>
            <w:r>
              <w:rPr>
                <w:rFonts w:hint="eastAsia"/>
                <w:color w:val="auto"/>
                <w:szCs w:val="21"/>
                <w:highlight w:val="none"/>
              </w:rPr>
              <w:t>在落实以上措施后，可以保证施工固废对湘江水环境、周边环境的影响降至最低。</w:t>
            </w:r>
          </w:p>
          <w:p>
            <w:pPr>
              <w:spacing w:line="360" w:lineRule="auto"/>
              <w:ind w:firstLine="482"/>
              <w:jc w:val="left"/>
              <w:rPr>
                <w:b/>
                <w:bCs/>
                <w:color w:val="auto"/>
                <w:szCs w:val="21"/>
                <w:highlight w:val="none"/>
              </w:rPr>
            </w:pPr>
            <w:r>
              <w:rPr>
                <w:rFonts w:hint="eastAsia"/>
                <w:b/>
                <w:bCs/>
                <w:color w:val="auto"/>
                <w:szCs w:val="21"/>
                <w:highlight w:val="none"/>
              </w:rPr>
              <w:t>（2）净水厂施工固体废物环境影响分析</w:t>
            </w:r>
          </w:p>
          <w:p>
            <w:pPr>
              <w:spacing w:line="360" w:lineRule="auto"/>
              <w:jc w:val="left"/>
              <w:rPr>
                <w:color w:val="auto"/>
                <w:szCs w:val="21"/>
                <w:highlight w:val="none"/>
              </w:rPr>
            </w:pPr>
            <w:r>
              <w:rPr>
                <w:rFonts w:hint="eastAsia"/>
                <w:color w:val="auto"/>
                <w:szCs w:val="21"/>
                <w:highlight w:val="none"/>
              </w:rPr>
              <w:t>施工期固体废物主要有废弃土石方、建筑垃圾和施工人员生活垃圾。</w:t>
            </w:r>
          </w:p>
          <w:p>
            <w:pPr>
              <w:pStyle w:val="2"/>
              <w:spacing w:line="360" w:lineRule="auto"/>
              <w:ind w:firstLine="480" w:firstLineChars="200"/>
              <w:rPr>
                <w:color w:val="auto"/>
                <w:szCs w:val="21"/>
                <w:highlight w:val="none"/>
              </w:rPr>
            </w:pPr>
            <w:r>
              <w:rPr>
                <w:rFonts w:hint="eastAsia"/>
                <w:color w:val="auto"/>
                <w:szCs w:val="21"/>
                <w:highlight w:val="none"/>
              </w:rPr>
              <w:t>施工期挖方回用于填方，多余土方由建设单位委托专业渣土公司运输至其它建设用地做填方，建筑垃圾应采取分类收集、集中处理的方式进行处理，并尽可能的回收再利用有价值的固体废物，不能回收利用的固体废物应及时清理出施工现场，送往垃圾填埋场填埋处置；施工人员生活垃圾统一收集后交环卫部门统一清运；严禁将项目产生的建筑垃圾、生活垃圾等倾倒入地表水体或堆弃于湘江岸边。</w:t>
            </w:r>
          </w:p>
          <w:p>
            <w:pPr>
              <w:spacing w:line="360" w:lineRule="auto"/>
              <w:jc w:val="left"/>
              <w:rPr>
                <w:color w:val="auto"/>
                <w:szCs w:val="21"/>
                <w:highlight w:val="none"/>
              </w:rPr>
            </w:pPr>
            <w:r>
              <w:rPr>
                <w:rFonts w:hint="eastAsia"/>
                <w:color w:val="auto"/>
                <w:szCs w:val="21"/>
                <w:highlight w:val="none"/>
              </w:rPr>
              <w:t xml:space="preserve"> 在采取以上措施后，施工期固体废物对地表水的影响较小。</w:t>
            </w:r>
          </w:p>
          <w:p>
            <w:pPr>
              <w:widowControl/>
              <w:spacing w:line="360" w:lineRule="auto"/>
              <w:ind w:firstLine="482"/>
              <w:jc w:val="left"/>
              <w:rPr>
                <w:b/>
                <w:bCs/>
                <w:color w:val="auto"/>
                <w:highlight w:val="none"/>
              </w:rPr>
            </w:pPr>
            <w:r>
              <w:rPr>
                <w:rFonts w:hint="eastAsia"/>
                <w:b/>
                <w:bCs/>
                <w:color w:val="auto"/>
                <w:highlight w:val="none"/>
              </w:rPr>
              <w:t>1.5生态环境影响及生态环境污染防治措施</w:t>
            </w:r>
          </w:p>
          <w:p>
            <w:pPr>
              <w:spacing w:line="360" w:lineRule="auto"/>
              <w:ind w:firstLine="482"/>
              <w:jc w:val="left"/>
              <w:rPr>
                <w:rFonts w:hint="eastAsia" w:eastAsia="宋体"/>
                <w:b w:val="0"/>
                <w:bCs w:val="0"/>
                <w:color w:val="FF0000"/>
                <w:szCs w:val="21"/>
                <w:highlight w:val="none"/>
                <w:u w:val="single"/>
                <w:lang w:eastAsia="zh-CN"/>
              </w:rPr>
            </w:pPr>
            <w:r>
              <w:rPr>
                <w:rFonts w:hint="eastAsia"/>
                <w:b w:val="0"/>
                <w:bCs w:val="0"/>
                <w:color w:val="FF0000"/>
                <w:szCs w:val="21"/>
                <w:highlight w:val="none"/>
                <w:u w:val="single"/>
              </w:rPr>
              <w:t>（1）</w:t>
            </w:r>
            <w:r>
              <w:rPr>
                <w:rFonts w:hint="eastAsia"/>
                <w:b w:val="0"/>
                <w:bCs w:val="0"/>
                <w:color w:val="FF0000"/>
                <w:szCs w:val="21"/>
                <w:highlight w:val="none"/>
                <w:u w:val="single"/>
                <w:lang w:eastAsia="zh-CN"/>
              </w:rPr>
              <w:t>占地的环境影响</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lang w:val="en-US" w:eastAsia="zh-CN"/>
              </w:rPr>
              <w:t>1）</w:t>
            </w:r>
            <w:r>
              <w:rPr>
                <w:rFonts w:hint="eastAsia"/>
                <w:b w:val="0"/>
                <w:bCs w:val="0"/>
                <w:color w:val="FF0000"/>
                <w:szCs w:val="21"/>
                <w:highlight w:val="none"/>
                <w:u w:val="single"/>
              </w:rPr>
              <w:t>严格控制施工占用土地</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rPr>
              <w:t>①对永久性占地合理规划，严格控制占地面积。</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rPr>
              <w:t>②按设计标准规定，严格控制施工作业带面积，不得超过作业标准规定，对管线敷设施工宽度控制在设计标准范围内，并尽量沿道路纵向平行布设，以减少土壤扰动和地表植被破坏，减少裸地和土方暴露面积。</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rPr>
              <w:t>③一切施工作业尽量利用原有公路，沿已有车辙行驶。杜绝车辆乱碾乱轧的情况发生，不随意开设便道。管线尽量沿公路平行布置，便于施工及营运期检修维护，避免修筑专门施工便道。</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rPr>
              <w:t>④现场施工作业机械应严格管理，划定活动范围，保持路外植被不被破坏。</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lang w:val="en-US" w:eastAsia="zh-CN"/>
              </w:rPr>
              <w:t>2）</w:t>
            </w:r>
            <w:r>
              <w:rPr>
                <w:rFonts w:hint="eastAsia"/>
                <w:b w:val="0"/>
                <w:bCs w:val="0"/>
                <w:color w:val="FF0000"/>
                <w:szCs w:val="21"/>
                <w:highlight w:val="none"/>
                <w:u w:val="single"/>
              </w:rPr>
              <w:t>恢复土地利用</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rPr>
              <w:t>①施工结束后，应恢复地貌原状。施工时对管沟开挖的图壤做到分层堆放，分层回填压实，以保护植被生长层，降低对土壤养分的影响，尽快使土壤恢复生产力，同时减少水土流失。</w:t>
            </w:r>
          </w:p>
          <w:p>
            <w:pPr>
              <w:spacing w:line="360" w:lineRule="auto"/>
              <w:ind w:firstLine="482"/>
              <w:jc w:val="left"/>
              <w:rPr>
                <w:rFonts w:hint="eastAsia"/>
                <w:b w:val="0"/>
                <w:bCs w:val="0"/>
                <w:color w:val="FF0000"/>
                <w:szCs w:val="21"/>
                <w:highlight w:val="none"/>
                <w:u w:val="single"/>
              </w:rPr>
            </w:pPr>
            <w:r>
              <w:rPr>
                <w:rFonts w:hint="eastAsia"/>
                <w:b w:val="0"/>
                <w:bCs w:val="0"/>
                <w:color w:val="FF0000"/>
                <w:szCs w:val="21"/>
                <w:highlight w:val="none"/>
                <w:u w:val="single"/>
              </w:rPr>
              <w:t>②对管沟回填后多余的土严禁大量集中布置，及时清运至沿线低洼段回填压实不得形成汇水环境，防止水土流失。</w:t>
            </w:r>
          </w:p>
          <w:p>
            <w:pPr>
              <w:spacing w:line="360" w:lineRule="auto"/>
              <w:ind w:firstLine="482"/>
              <w:jc w:val="left"/>
              <w:rPr>
                <w:b/>
                <w:bCs/>
                <w:color w:val="auto"/>
                <w:szCs w:val="21"/>
                <w:highlight w:val="none"/>
              </w:rPr>
            </w:pPr>
            <w:r>
              <w:rPr>
                <w:rFonts w:hint="eastAsia"/>
                <w:b/>
                <w:bCs/>
                <w:color w:val="auto"/>
                <w:szCs w:val="21"/>
                <w:highlight w:val="none"/>
                <w:lang w:eastAsia="zh-CN"/>
              </w:rPr>
              <w:t>（</w:t>
            </w:r>
            <w:r>
              <w:rPr>
                <w:rFonts w:hint="eastAsia"/>
                <w:b/>
                <w:bCs/>
                <w:color w:val="auto"/>
                <w:szCs w:val="21"/>
                <w:highlight w:val="none"/>
                <w:lang w:val="en-US" w:eastAsia="zh-CN"/>
              </w:rPr>
              <w:t>2</w:t>
            </w:r>
            <w:r>
              <w:rPr>
                <w:rFonts w:hint="eastAsia"/>
                <w:b/>
                <w:bCs/>
                <w:color w:val="auto"/>
                <w:szCs w:val="21"/>
                <w:highlight w:val="none"/>
                <w:lang w:eastAsia="zh-CN"/>
              </w:rPr>
              <w:t>）</w:t>
            </w:r>
            <w:r>
              <w:rPr>
                <w:rFonts w:hint="eastAsia"/>
                <w:b/>
                <w:bCs/>
                <w:color w:val="auto"/>
                <w:szCs w:val="21"/>
                <w:highlight w:val="none"/>
              </w:rPr>
              <w:t xml:space="preserve">对植被的影响 </w:t>
            </w:r>
          </w:p>
          <w:p>
            <w:pPr>
              <w:spacing w:line="360" w:lineRule="auto"/>
              <w:jc w:val="left"/>
              <w:rPr>
                <w:color w:val="auto"/>
                <w:szCs w:val="21"/>
                <w:highlight w:val="none"/>
              </w:rPr>
            </w:pPr>
            <w:r>
              <w:rPr>
                <w:rFonts w:hint="eastAsia"/>
                <w:color w:val="auto"/>
                <w:szCs w:val="21"/>
                <w:highlight w:val="none"/>
              </w:rPr>
              <w:t>本项目建设将造成一定范围内的植被破坏、土壤结构改变，永久性地改变土地利 用性质等，通过强化施工管理及施工期生态保护和恢复，可使本项目建设对生态环境 的影响得到有效控制。</w:t>
            </w:r>
          </w:p>
          <w:p>
            <w:pPr>
              <w:spacing w:line="360" w:lineRule="auto"/>
              <w:jc w:val="left"/>
              <w:rPr>
                <w:color w:val="auto"/>
                <w:szCs w:val="21"/>
                <w:highlight w:val="none"/>
              </w:rPr>
            </w:pPr>
            <w:r>
              <w:rPr>
                <w:rFonts w:hint="eastAsia"/>
                <w:color w:val="auto"/>
                <w:szCs w:val="21"/>
                <w:highlight w:val="none"/>
              </w:rPr>
              <w:t>输水管线占地为临时占地，临时占地类型为公路、林地等规划用地。施工完成后， 将对这些区域进行生态恢复。生态恢复措施采用分层开挖、分层回填方式。通过以上 措施，项目建设的临时占地对生态环境的影响较小。环评要求将施工占地控制在合理 范围内，不新增临时占地。施工结束之后应对场地进行清理、平整并及时恢复植被， 减少对生态环境的影响。</w:t>
            </w:r>
          </w:p>
          <w:p>
            <w:pPr>
              <w:spacing w:line="360" w:lineRule="auto"/>
              <w:ind w:firstLine="482"/>
              <w:jc w:val="left"/>
              <w:rPr>
                <w:rFonts w:hint="eastAsia" w:eastAsia="宋体"/>
                <w:b/>
                <w:bCs/>
                <w:color w:val="FF0000"/>
                <w:szCs w:val="21"/>
                <w:highlight w:val="none"/>
                <w:u w:val="single"/>
                <w:lang w:val="en-US" w:eastAsia="zh-CN"/>
              </w:rPr>
            </w:pPr>
            <w:r>
              <w:rPr>
                <w:rFonts w:hint="eastAsia"/>
                <w:b/>
                <w:bCs/>
                <w:color w:val="FF0000"/>
                <w:szCs w:val="21"/>
                <w:highlight w:val="none"/>
                <w:u w:val="single"/>
                <w:lang w:val="en-US" w:eastAsia="zh-CN"/>
              </w:rPr>
              <w:t>（3）对野生动物的影响分析</w:t>
            </w:r>
          </w:p>
          <w:p>
            <w:pPr>
              <w:widowControl/>
              <w:autoSpaceDE w:val="0"/>
              <w:autoSpaceDN w:val="0"/>
              <w:adjustRightInd w:val="0"/>
              <w:spacing w:line="360" w:lineRule="auto"/>
              <w:ind w:firstLine="480" w:firstLineChars="200"/>
              <w:rPr>
                <w:rFonts w:hint="eastAsia" w:ascii="Times New Roman" w:hAnsi="宋体" w:cs="Times New Roman"/>
                <w:color w:val="FF0000"/>
                <w:sz w:val="24"/>
                <w:highlight w:val="none"/>
                <w:u w:val="single"/>
                <w:lang w:val="en-US" w:eastAsia="zh-CN"/>
              </w:rPr>
            </w:pPr>
            <w:r>
              <w:rPr>
                <w:rFonts w:hint="eastAsia" w:ascii="Times New Roman" w:hAnsi="宋体" w:cs="Times New Roman"/>
                <w:color w:val="FF0000"/>
                <w:sz w:val="24"/>
                <w:highlight w:val="none"/>
                <w:u w:val="single"/>
                <w:lang w:val="en-US" w:eastAsia="zh-CN"/>
              </w:rPr>
              <w:t>由于本项目位于祁阳县内，人为活动较为频繁，因此评价区内分布的野生动物主要为适应一定人为活动干扰的动物种类。本项目施工期对野生动物的影响主要是工程运输、机械噪声和施工人员的施工活动的干扰影响。为防止施工人员猎杀，偷捕野生动物，本项因施工期必须采取合理的防护措施，如加强对施工人员的宣传教育与管理，禁止捕猎野生动物，对于施工过权中发现的野生动物，尽量不去干扰，任其自然离去，避免选成恐吓。只要控制施工时间及施工人员加强教育，对此区域的野生动物影响较小。同时这种影响是暂时的，随着施工活动的结束影响可逐渐消失。</w:t>
            </w:r>
          </w:p>
          <w:p>
            <w:pPr>
              <w:spacing w:line="360" w:lineRule="auto"/>
              <w:ind w:firstLine="482"/>
              <w:jc w:val="left"/>
              <w:rPr>
                <w:rFonts w:hint="eastAsia" w:eastAsia="宋体"/>
                <w:b/>
                <w:bCs/>
                <w:color w:val="FF0000"/>
                <w:szCs w:val="21"/>
                <w:highlight w:val="none"/>
                <w:u w:val="single"/>
                <w:lang w:eastAsia="zh-CN"/>
              </w:rPr>
            </w:pPr>
            <w:r>
              <w:rPr>
                <w:rFonts w:hint="eastAsia"/>
                <w:b/>
                <w:bCs/>
                <w:color w:val="FF0000"/>
                <w:szCs w:val="21"/>
                <w:highlight w:val="none"/>
                <w:u w:val="single"/>
                <w:lang w:eastAsia="zh-CN"/>
              </w:rPr>
              <w:t>（</w:t>
            </w:r>
            <w:r>
              <w:rPr>
                <w:rFonts w:hint="eastAsia"/>
                <w:b/>
                <w:bCs/>
                <w:color w:val="FF0000"/>
                <w:szCs w:val="21"/>
                <w:highlight w:val="none"/>
                <w:u w:val="single"/>
                <w:lang w:val="en-US" w:eastAsia="zh-CN"/>
              </w:rPr>
              <w:t>4</w:t>
            </w:r>
            <w:r>
              <w:rPr>
                <w:rFonts w:hint="eastAsia"/>
                <w:b/>
                <w:bCs/>
                <w:color w:val="FF0000"/>
                <w:szCs w:val="21"/>
                <w:highlight w:val="none"/>
                <w:u w:val="single"/>
                <w:lang w:eastAsia="zh-CN"/>
              </w:rPr>
              <w:t>）对水生生物的影响</w:t>
            </w:r>
          </w:p>
          <w:p>
            <w:pPr>
              <w:widowControl/>
              <w:autoSpaceDE w:val="0"/>
              <w:autoSpaceDN w:val="0"/>
              <w:adjustRightInd w:val="0"/>
              <w:spacing w:line="360" w:lineRule="auto"/>
              <w:ind w:firstLine="480" w:firstLineChars="200"/>
              <w:rPr>
                <w:rFonts w:hint="eastAsia" w:ascii="Times New Roman" w:hAnsi="宋体" w:eastAsia="宋体" w:cs="Times New Roman"/>
                <w:color w:val="FF0000"/>
                <w:sz w:val="24"/>
                <w:highlight w:val="none"/>
                <w:u w:val="single"/>
                <w:lang w:val="en-US" w:eastAsia="zh-CN"/>
              </w:rPr>
            </w:pPr>
            <w:r>
              <w:rPr>
                <w:rFonts w:hint="eastAsia" w:ascii="Times New Roman" w:hAnsi="宋体" w:eastAsia="宋体" w:cs="Times New Roman"/>
                <w:color w:val="FF0000"/>
                <w:sz w:val="24"/>
                <w:highlight w:val="none"/>
                <w:u w:val="single"/>
                <w:lang w:val="en-US" w:eastAsia="zh-CN"/>
              </w:rPr>
              <w:t>项目取水泵建设位于湘江边，施工过程会导致河水悬浮物含量增加，水体浑浊，对水生生态造成临时性的影响。根据本项目取水泵房施工组织实施方案采用围堰施工，做到科学施工，同时设置施工监理单位加强施工现场监管，本项目取水泵对区域生态环境的影响可以得到有效的减缓和控制。同时本项目取水泵建设对水生生态影响主要集中在围堰建筑、围堰拆除活动阶段，项目围堰建筑、围堰拆除时间较短，且很局部，随着取水泵施工结束受影响的生态环境逐渐恢复。因此总体上讲本项目对水生生态影响是短暂的、局部的，对湘江水生生态环境影响可以接受。</w:t>
            </w:r>
          </w:p>
          <w:p>
            <w:pPr>
              <w:spacing w:line="360" w:lineRule="auto"/>
              <w:ind w:firstLine="482"/>
              <w:jc w:val="left"/>
              <w:rPr>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5</w:t>
            </w:r>
            <w:r>
              <w:rPr>
                <w:rFonts w:hint="eastAsia"/>
                <w:b/>
                <w:bCs/>
                <w:color w:val="auto"/>
                <w:szCs w:val="21"/>
                <w:highlight w:val="none"/>
              </w:rPr>
              <w:t xml:space="preserve">）水土流失影响 </w:t>
            </w:r>
          </w:p>
          <w:p>
            <w:pPr>
              <w:spacing w:line="360" w:lineRule="auto"/>
              <w:jc w:val="left"/>
              <w:rPr>
                <w:color w:val="auto"/>
                <w:szCs w:val="21"/>
                <w:highlight w:val="none"/>
              </w:rPr>
            </w:pPr>
            <w:r>
              <w:rPr>
                <w:rFonts w:hint="eastAsia"/>
                <w:color w:val="auto"/>
                <w:szCs w:val="21"/>
                <w:highlight w:val="none"/>
              </w:rPr>
              <w:t xml:space="preserve">本工程净水厂在施工场地平整及基础开挖过程中，会造成植被破坏、地面裸露， 起水土流失。此外，管线施工期间，挖出的土方主要堆在沟的两边，土层较松散，在 雨季时易产生水土流失现象。 </w:t>
            </w:r>
          </w:p>
          <w:p>
            <w:pPr>
              <w:spacing w:line="360" w:lineRule="auto"/>
              <w:jc w:val="left"/>
              <w:rPr>
                <w:rFonts w:hint="eastAsia"/>
                <w:color w:val="auto"/>
                <w:szCs w:val="21"/>
                <w:highlight w:val="none"/>
              </w:rPr>
            </w:pPr>
            <w:r>
              <w:rPr>
                <w:rFonts w:hint="eastAsia"/>
                <w:color w:val="auto"/>
                <w:szCs w:val="21"/>
                <w:highlight w:val="none"/>
              </w:rPr>
              <w:t>为了减轻施工引起的水土流失影响：施工期应加强施工管理，合理安排施工进度， 合理存放土石方，在临时存放的土堆表面使用遮蔽材料，制定有效的挡土、防洪措施， 并设沉砂池。对于管网工程施工，要控制作业带宽度，分段施工，临时堆土区要设挡土 板，并及时进行覆土硬化或植被恢复。随着项目建设的完成、路面硬化、工程绿化后， 水土流失可得到有效控制。</w:t>
            </w:r>
          </w:p>
          <w:p>
            <w:pPr>
              <w:spacing w:line="360" w:lineRule="auto"/>
              <w:ind w:firstLine="0" w:firstLineChars="0"/>
              <w:rPr>
                <w:b/>
                <w:bCs/>
                <w:color w:val="auto"/>
                <w:highlight w:val="none"/>
              </w:rPr>
            </w:pPr>
            <w:r>
              <w:rPr>
                <w:rFonts w:hint="eastAsia"/>
                <w:b/>
                <w:bCs/>
                <w:color w:val="auto"/>
                <w:highlight w:val="none"/>
              </w:rPr>
              <w:t>2、营运</w:t>
            </w:r>
            <w:r>
              <w:rPr>
                <w:b/>
                <w:bCs/>
                <w:color w:val="auto"/>
                <w:highlight w:val="none"/>
              </w:rPr>
              <w:t>期环境影响分析</w:t>
            </w:r>
          </w:p>
          <w:p>
            <w:pPr>
              <w:spacing w:line="360" w:lineRule="auto"/>
              <w:ind w:firstLine="482"/>
              <w:rPr>
                <w:b/>
                <w:color w:val="auto"/>
                <w:highlight w:val="none"/>
              </w:rPr>
            </w:pPr>
            <w:r>
              <w:rPr>
                <w:rFonts w:hint="eastAsia"/>
                <w:b/>
                <w:color w:val="auto"/>
                <w:highlight w:val="none"/>
              </w:rPr>
              <w:t>2.</w:t>
            </w:r>
            <w:r>
              <w:rPr>
                <w:b/>
                <w:color w:val="auto"/>
                <w:highlight w:val="none"/>
              </w:rPr>
              <w:t>1.环境空气影响分析</w:t>
            </w:r>
          </w:p>
          <w:p>
            <w:pPr>
              <w:pStyle w:val="45"/>
              <w:spacing w:line="360" w:lineRule="auto"/>
              <w:ind w:firstLine="480"/>
              <w:jc w:val="both"/>
              <w:rPr>
                <w:color w:val="auto"/>
                <w:highlight w:val="none"/>
              </w:rPr>
            </w:pPr>
            <w:bookmarkStart w:id="61" w:name="_Toc355949568"/>
            <w:r>
              <w:rPr>
                <w:rFonts w:hint="eastAsia"/>
                <w:color w:val="auto"/>
                <w:highlight w:val="none"/>
              </w:rPr>
              <w:t>项目运营期主要大气污染物为非正常工况下的二氧化氯泄漏废气</w:t>
            </w:r>
            <w:r>
              <w:rPr>
                <w:rFonts w:hint="eastAsia"/>
                <w:color w:val="auto"/>
                <w:highlight w:val="none"/>
                <w:lang w:eastAsia="zh-CN"/>
              </w:rPr>
              <w:t>、</w:t>
            </w:r>
            <w:r>
              <w:rPr>
                <w:rFonts w:hint="eastAsia"/>
                <w:color w:val="auto"/>
                <w:szCs w:val="21"/>
                <w:highlight w:val="none"/>
                <w:u w:val="none"/>
                <w:lang w:val="en-US" w:eastAsia="zh-CN"/>
              </w:rPr>
              <w:t>盐酸废气以及</w:t>
            </w:r>
            <w:r>
              <w:rPr>
                <w:rFonts w:hint="eastAsia"/>
                <w:color w:val="auto"/>
                <w:highlight w:val="none"/>
              </w:rPr>
              <w:t>食堂油烟。</w:t>
            </w:r>
          </w:p>
          <w:p>
            <w:pPr>
              <w:pStyle w:val="45"/>
              <w:spacing w:line="360" w:lineRule="auto"/>
              <w:ind w:firstLine="482"/>
              <w:jc w:val="both"/>
              <w:rPr>
                <w:b/>
                <w:bCs/>
                <w:color w:val="auto"/>
                <w:highlight w:val="none"/>
              </w:rPr>
            </w:pPr>
            <w:r>
              <w:rPr>
                <w:rFonts w:hint="eastAsia"/>
                <w:b/>
                <w:bCs/>
                <w:color w:val="auto"/>
                <w:highlight w:val="none"/>
              </w:rPr>
              <w:t>（1）二氧化氯泄漏废气（非正常工况）</w:t>
            </w:r>
          </w:p>
          <w:p>
            <w:pPr>
              <w:pStyle w:val="45"/>
              <w:spacing w:line="360" w:lineRule="auto"/>
              <w:ind w:firstLine="480"/>
              <w:jc w:val="both"/>
              <w:rPr>
                <w:rFonts w:hAnsi="宋体"/>
                <w:color w:val="auto"/>
                <w:highlight w:val="none"/>
              </w:rPr>
            </w:pPr>
            <w:r>
              <w:rPr>
                <w:color w:val="auto"/>
                <w:highlight w:val="none"/>
              </w:rPr>
              <w:t>水厂在正常生产过程中不会排放生产废气，其可能排放的废气主要为</w:t>
            </w:r>
            <w:r>
              <w:rPr>
                <w:rFonts w:hint="eastAsia" w:hAnsi="宋体"/>
                <w:color w:val="auto"/>
                <w:highlight w:val="none"/>
              </w:rPr>
              <w:t>用于消毒的ClO</w:t>
            </w:r>
            <w:r>
              <w:rPr>
                <w:rFonts w:hint="eastAsia" w:hAnsi="宋体"/>
                <w:color w:val="auto"/>
                <w:highlight w:val="none"/>
                <w:vertAlign w:val="subscript"/>
              </w:rPr>
              <w:t>2</w:t>
            </w:r>
            <w:r>
              <w:rPr>
                <w:rFonts w:hint="eastAsia" w:hAnsi="宋体"/>
                <w:color w:val="auto"/>
                <w:highlight w:val="none"/>
              </w:rPr>
              <w:t>的事故性排放</w:t>
            </w:r>
            <w:r>
              <w:rPr>
                <w:color w:val="auto"/>
                <w:highlight w:val="none"/>
              </w:rPr>
              <w:t>；</w:t>
            </w:r>
            <w:r>
              <w:rPr>
                <w:rFonts w:hAnsi="宋体"/>
                <w:color w:val="auto"/>
                <w:highlight w:val="none"/>
              </w:rPr>
              <w:t>当制取设备产生故障或阀门、管道锈蚀情况下溢漏或析出的</w:t>
            </w:r>
            <w:r>
              <w:rPr>
                <w:color w:val="auto"/>
                <w:highlight w:val="none"/>
              </w:rPr>
              <w:t>ClO</w:t>
            </w:r>
            <w:r>
              <w:rPr>
                <w:color w:val="auto"/>
                <w:highlight w:val="none"/>
                <w:vertAlign w:val="subscript"/>
              </w:rPr>
              <w:t>2</w:t>
            </w:r>
            <w:r>
              <w:rPr>
                <w:rFonts w:hAnsi="宋体"/>
                <w:color w:val="auto"/>
                <w:highlight w:val="none"/>
              </w:rPr>
              <w:t>废气才会对局部空气环境产生一定影响。</w:t>
            </w:r>
            <w:r>
              <w:rPr>
                <w:color w:val="auto"/>
                <w:highlight w:val="none"/>
              </w:rPr>
              <w:t>为保证安全，项目加氯加药间设置了漏氯报警器和快速冲洗装置等。一旦发生事故性泄漏，漏氯报警系统即会自动报警(报警浓度为1ppm(0.3158mg/Nm</w:t>
            </w:r>
            <w:r>
              <w:rPr>
                <w:color w:val="auto"/>
                <w:highlight w:val="none"/>
                <w:vertAlign w:val="superscript"/>
              </w:rPr>
              <w:t>3</w:t>
            </w:r>
            <w:r>
              <w:rPr>
                <w:color w:val="auto"/>
                <w:highlight w:val="none"/>
              </w:rPr>
              <w:t>)，同时漏氯吸收处理装置会自动运行，将泄漏的氯气进行收集和吸收处理。</w:t>
            </w:r>
          </w:p>
          <w:p>
            <w:pPr>
              <w:pStyle w:val="2"/>
              <w:spacing w:line="360" w:lineRule="auto"/>
              <w:ind w:firstLine="482" w:firstLineChars="200"/>
              <w:rPr>
                <w:rFonts w:hint="eastAsia" w:eastAsia="宋体"/>
                <w:b/>
                <w:bCs/>
                <w:color w:val="auto"/>
                <w:szCs w:val="21"/>
                <w:highlight w:val="none"/>
                <w:lang w:val="en-US" w:eastAsia="zh-CN"/>
              </w:rPr>
            </w:pPr>
            <w:r>
              <w:rPr>
                <w:rFonts w:hint="eastAsia"/>
                <w:b/>
                <w:bCs/>
                <w:color w:val="auto"/>
                <w:szCs w:val="21"/>
                <w:highlight w:val="none"/>
                <w:lang w:val="en-US" w:eastAsia="zh-CN"/>
              </w:rPr>
              <w:t>（2）盐酸废气</w:t>
            </w:r>
          </w:p>
          <w:p>
            <w:pPr>
              <w:pStyle w:val="2"/>
              <w:spacing w:line="360" w:lineRule="auto"/>
              <w:ind w:firstLine="48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盐酸在常温、常压下易挥发，本项目盐酸使用量为69.5t/a，储罐贮存</w:t>
            </w:r>
            <w:r>
              <w:rPr>
                <w:rFonts w:hint="eastAsia" w:cs="Times New Roman"/>
                <w:color w:val="auto"/>
                <w:szCs w:val="21"/>
                <w:highlight w:val="none"/>
                <w:lang w:val="en-US" w:eastAsia="zh-CN"/>
              </w:rPr>
              <w:t>盐酸</w:t>
            </w:r>
            <w:r>
              <w:rPr>
                <w:rFonts w:hint="eastAsia" w:ascii="Times New Roman" w:hAnsi="Times New Roman" w:eastAsia="宋体" w:cs="Times New Roman"/>
                <w:color w:val="auto"/>
                <w:szCs w:val="21"/>
                <w:highlight w:val="none"/>
                <w:lang w:val="en-US" w:eastAsia="zh-CN"/>
              </w:rPr>
              <w:t>在贮存、使用过程中会挥发无组织排放HCL气体，该类废气排放量很小，通过类比调查，项目盐酸产生的无组织排放量一般为盐酸物料的百万分之一，根据计算本项目无组织排放HCL气体为69.1kg/a，产生较少，对环境影响较小。</w:t>
            </w:r>
          </w:p>
          <w:p>
            <w:pPr>
              <w:widowControl/>
              <w:spacing w:line="360" w:lineRule="auto"/>
              <w:ind w:firstLine="410" w:firstLineChars="170"/>
              <w:rPr>
                <w:b/>
                <w:bCs/>
                <w:color w:val="auto"/>
                <w:highlight w:val="none"/>
              </w:rPr>
            </w:pPr>
            <w:r>
              <w:rPr>
                <w:b/>
                <w:bCs/>
                <w:color w:val="auto"/>
                <w:highlight w:val="none"/>
              </w:rPr>
              <w:t>（</w:t>
            </w:r>
            <w:r>
              <w:rPr>
                <w:rFonts w:hint="eastAsia"/>
                <w:b/>
                <w:bCs/>
                <w:color w:val="auto"/>
                <w:highlight w:val="none"/>
                <w:lang w:val="en-US" w:eastAsia="zh-CN"/>
              </w:rPr>
              <w:t>3</w:t>
            </w:r>
            <w:r>
              <w:rPr>
                <w:b/>
                <w:bCs/>
                <w:color w:val="auto"/>
                <w:highlight w:val="none"/>
              </w:rPr>
              <w:t>）食堂油烟</w:t>
            </w:r>
          </w:p>
          <w:p>
            <w:pPr>
              <w:spacing w:line="360" w:lineRule="auto"/>
              <w:jc w:val="left"/>
              <w:rPr>
                <w:color w:val="auto"/>
                <w:kern w:val="0"/>
                <w:highlight w:val="none"/>
              </w:rPr>
            </w:pPr>
            <w:r>
              <w:rPr>
                <w:color w:val="auto"/>
                <w:highlight w:val="none"/>
              </w:rPr>
              <w:t>本项目员工就餐人数较少，</w:t>
            </w:r>
            <w:r>
              <w:rPr>
                <w:color w:val="auto"/>
                <w:kern w:val="0"/>
                <w:highlight w:val="none"/>
              </w:rPr>
              <w:t>食堂厨房烹饪油烟废气采用</w:t>
            </w:r>
            <w:r>
              <w:rPr>
                <w:color w:val="auto"/>
                <w:highlight w:val="none"/>
              </w:rPr>
              <w:t>油烟净化器处理后</w:t>
            </w:r>
            <w:r>
              <w:rPr>
                <w:color w:val="auto"/>
                <w:kern w:val="0"/>
                <w:highlight w:val="none"/>
              </w:rPr>
              <w:t>可达到《饮食业油烟排放标准（试行）》（GB18483-2001）规定的2 mg/m</w:t>
            </w:r>
            <w:r>
              <w:rPr>
                <w:color w:val="auto"/>
                <w:kern w:val="0"/>
                <w:highlight w:val="none"/>
                <w:vertAlign w:val="superscript"/>
              </w:rPr>
              <w:t>3</w:t>
            </w:r>
            <w:r>
              <w:rPr>
                <w:color w:val="auto"/>
                <w:kern w:val="0"/>
                <w:highlight w:val="none"/>
              </w:rPr>
              <w:t>，油烟排气筒于楼顶排放，对周围空气的环境影响较小。</w:t>
            </w:r>
          </w:p>
          <w:p>
            <w:pPr>
              <w:spacing w:line="360" w:lineRule="auto"/>
              <w:ind w:firstLine="482"/>
              <w:jc w:val="left"/>
              <w:rPr>
                <w:b/>
                <w:bCs/>
                <w:color w:val="auto"/>
                <w:highlight w:val="none"/>
              </w:rPr>
            </w:pPr>
            <w:bookmarkStart w:id="62" w:name="_Toc25537"/>
            <w:r>
              <w:rPr>
                <w:rFonts w:hint="eastAsia"/>
                <w:b/>
                <w:bCs/>
                <w:color w:val="auto"/>
                <w:highlight w:val="none"/>
              </w:rPr>
              <w:t>（</w:t>
            </w:r>
            <w:r>
              <w:rPr>
                <w:rFonts w:hint="eastAsia"/>
                <w:b/>
                <w:bCs/>
                <w:color w:val="auto"/>
                <w:highlight w:val="none"/>
                <w:lang w:val="en-US" w:eastAsia="zh-CN"/>
              </w:rPr>
              <w:t>4</w:t>
            </w:r>
            <w:r>
              <w:rPr>
                <w:rFonts w:hint="eastAsia"/>
                <w:b/>
                <w:bCs/>
                <w:color w:val="auto"/>
                <w:highlight w:val="none"/>
              </w:rPr>
              <w:t>）大气污染物环境影响预测及评价</w:t>
            </w:r>
            <w:bookmarkEnd w:id="62"/>
          </w:p>
          <w:p>
            <w:pPr>
              <w:spacing w:line="360" w:lineRule="auto"/>
              <w:jc w:val="left"/>
              <w:rPr>
                <w:color w:val="auto"/>
                <w:highlight w:val="none"/>
                <w:lang w:val="zh-CN"/>
              </w:rPr>
            </w:pPr>
            <w:r>
              <w:rPr>
                <w:rFonts w:hint="eastAsia"/>
                <w:color w:val="auto"/>
                <w:highlight w:val="none"/>
              </w:rPr>
              <w:t>①</w:t>
            </w:r>
            <w:r>
              <w:rPr>
                <w:rFonts w:hint="eastAsia"/>
                <w:color w:val="auto"/>
                <w:highlight w:val="none"/>
                <w:lang w:val="zh-CN"/>
              </w:rPr>
              <w:t>评价等级判定方法</w:t>
            </w:r>
          </w:p>
          <w:p>
            <w:pPr>
              <w:spacing w:line="360" w:lineRule="auto"/>
              <w:jc w:val="left"/>
              <w:rPr>
                <w:color w:val="auto"/>
                <w:highlight w:val="none"/>
                <w:lang w:val="zh-CN"/>
              </w:rPr>
            </w:pPr>
            <w:r>
              <w:rPr>
                <w:rFonts w:hint="eastAsia"/>
                <w:color w:val="auto"/>
                <w:highlight w:val="none"/>
                <w:lang w:val="zh-CN"/>
              </w:rPr>
              <w:t>按照《环境影响评价技术导则 大气环境》（HJ2.2-2018），项目大气环境影响评价工作等级判断如下：</w:t>
            </w:r>
          </w:p>
          <w:p>
            <w:pPr>
              <w:spacing w:line="360" w:lineRule="auto"/>
              <w:jc w:val="left"/>
              <w:rPr>
                <w:color w:val="auto"/>
                <w:highlight w:val="none"/>
                <w:lang w:val="zh-CN"/>
              </w:rPr>
            </w:pPr>
            <w:r>
              <w:rPr>
                <w:rFonts w:hint="eastAsia" w:ascii="Times New Roman" w:hAnsi="Times New Roman" w:eastAsia="宋体" w:cs="Times New Roman"/>
                <w:color w:val="auto"/>
                <w:highlight w:val="none"/>
                <w:lang w:val="zh-CN"/>
              </w:rPr>
              <w:t>分别计算</w:t>
            </w:r>
            <w:r>
              <w:rPr>
                <w:rFonts w:hint="eastAsia"/>
                <w:color w:val="auto"/>
                <w:highlight w:val="none"/>
                <w:lang w:val="zh-CN"/>
              </w:rPr>
              <w:t>每一种污染物的最大地面空气质量浓度占标率Pi（第i个污染物），及第i个污染物的地面浓度达标准限值10%时所对应的最远距离D10%。其中Pi定义为：</w:t>
            </w:r>
          </w:p>
          <w:p>
            <w:pPr>
              <w:spacing w:line="360" w:lineRule="auto"/>
              <w:jc w:val="center"/>
              <w:rPr>
                <w:color w:val="auto"/>
                <w:highlight w:val="none"/>
              </w:rPr>
            </w:pPr>
            <w:r>
              <w:rPr>
                <w:color w:val="auto"/>
                <w:position w:val="-30"/>
                <w:highlight w:val="none"/>
              </w:rPr>
              <w:object>
                <v:shape id="_x0000_i1027" o:spt="75" type="#_x0000_t75" style="height:35pt;width:77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p>
          <w:p>
            <w:pPr>
              <w:spacing w:line="360" w:lineRule="auto"/>
              <w:rPr>
                <w:color w:val="auto"/>
                <w:highlight w:val="none"/>
                <w:lang w:val="zh-CN"/>
              </w:rPr>
            </w:pPr>
            <w:r>
              <w:rPr>
                <w:color w:val="auto"/>
                <w:highlight w:val="none"/>
                <w:lang w:val="zh-CN"/>
              </w:rPr>
              <w:t>式中：Pi—第i 个污染物的最大地面空气质量浓度占标率，%；</w:t>
            </w:r>
          </w:p>
          <w:p>
            <w:pPr>
              <w:spacing w:line="360" w:lineRule="auto"/>
              <w:rPr>
                <w:color w:val="auto"/>
                <w:highlight w:val="none"/>
                <w:lang w:val="zh-CN"/>
              </w:rPr>
            </w:pPr>
            <w:r>
              <w:rPr>
                <w:color w:val="auto"/>
                <w:highlight w:val="none"/>
                <w:lang w:val="zh-CN"/>
              </w:rPr>
              <w:t>Ci—采用估算模型计算出的第i个污染物的最大1h地面空气质量浓度，μg/m</w:t>
            </w:r>
            <w:r>
              <w:rPr>
                <w:color w:val="auto"/>
                <w:highlight w:val="none"/>
                <w:vertAlign w:val="superscript"/>
                <w:lang w:val="zh-CN"/>
              </w:rPr>
              <w:t>3</w:t>
            </w:r>
            <w:r>
              <w:rPr>
                <w:color w:val="auto"/>
                <w:highlight w:val="none"/>
                <w:lang w:val="zh-CN"/>
              </w:rPr>
              <w:t>；</w:t>
            </w:r>
          </w:p>
          <w:p>
            <w:pPr>
              <w:spacing w:line="360" w:lineRule="auto"/>
              <w:rPr>
                <w:color w:val="auto"/>
                <w:highlight w:val="none"/>
                <w:lang w:val="zh-CN"/>
              </w:rPr>
            </w:pPr>
            <w:r>
              <w:rPr>
                <w:color w:val="auto"/>
                <w:highlight w:val="none"/>
                <w:lang w:val="zh-CN"/>
              </w:rPr>
              <w:t>C0i—第i个污染物的环境空气质量浓度标准，μg/m</w:t>
            </w:r>
            <w:r>
              <w:rPr>
                <w:color w:val="auto"/>
                <w:highlight w:val="none"/>
                <w:vertAlign w:val="superscript"/>
                <w:lang w:val="zh-CN"/>
              </w:rPr>
              <w:t>3</w:t>
            </w:r>
            <w:r>
              <w:rPr>
                <w:color w:val="auto"/>
                <w:highlight w:val="none"/>
                <w:lang w:val="zh-CN"/>
              </w:rPr>
              <w:t>。</w:t>
            </w:r>
          </w:p>
          <w:p>
            <w:pPr>
              <w:spacing w:line="360" w:lineRule="auto"/>
              <w:rPr>
                <w:color w:val="auto"/>
                <w:highlight w:val="none"/>
                <w:lang w:val="zh-CN"/>
              </w:rPr>
            </w:pPr>
            <w:r>
              <w:rPr>
                <w:color w:val="auto"/>
                <w:highlight w:val="none"/>
                <w:lang w:val="zh-CN"/>
              </w:rPr>
              <w:t>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spacing w:line="360" w:lineRule="auto"/>
              <w:rPr>
                <w:color w:val="auto"/>
                <w:highlight w:val="none"/>
                <w:lang w:val="zh-CN"/>
              </w:rPr>
            </w:pPr>
            <w:r>
              <w:rPr>
                <w:color w:val="auto"/>
                <w:highlight w:val="none"/>
                <w:lang w:val="zh-CN"/>
              </w:rPr>
              <w:t>评价工作等级按</w:t>
            </w:r>
            <w:r>
              <w:rPr>
                <w:rFonts w:hint="eastAsia"/>
                <w:color w:val="auto"/>
                <w:highlight w:val="none"/>
              </w:rPr>
              <w:t>1</w:t>
            </w:r>
            <w:r>
              <w:rPr>
                <w:color w:val="auto"/>
                <w:highlight w:val="none"/>
              </w:rPr>
              <w:t>-1</w:t>
            </w:r>
            <w:r>
              <w:rPr>
                <w:color w:val="auto"/>
                <w:highlight w:val="none"/>
                <w:lang w:val="zh-CN"/>
              </w:rPr>
              <w:t>的分级判据进行划分。最大地面浓度占标率Pi计算公式，如污染物数i大于1，取P值中最大者（P</w:t>
            </w:r>
            <w:r>
              <w:rPr>
                <w:color w:val="auto"/>
                <w:highlight w:val="none"/>
                <w:vertAlign w:val="subscript"/>
                <w:lang w:val="zh-CN"/>
              </w:rPr>
              <w:t>max</w:t>
            </w:r>
            <w:r>
              <w:rPr>
                <w:color w:val="auto"/>
                <w:highlight w:val="none"/>
                <w:lang w:val="zh-CN"/>
              </w:rPr>
              <w:t>），和其对应的D</w:t>
            </w:r>
            <w:r>
              <w:rPr>
                <w:color w:val="auto"/>
                <w:highlight w:val="none"/>
                <w:vertAlign w:val="subscript"/>
                <w:lang w:val="zh-CN"/>
              </w:rPr>
              <w:t>10%</w:t>
            </w:r>
            <w:r>
              <w:rPr>
                <w:color w:val="auto"/>
                <w:highlight w:val="none"/>
                <w:lang w:val="zh-CN"/>
              </w:rPr>
              <w:t>。</w:t>
            </w:r>
          </w:p>
          <w:p>
            <w:pPr>
              <w:spacing w:line="360" w:lineRule="auto"/>
              <w:rPr>
                <w:color w:val="auto"/>
                <w:highlight w:val="none"/>
                <w:lang w:val="zh-CN"/>
              </w:rPr>
            </w:pPr>
            <w:r>
              <w:rPr>
                <w:color w:val="auto"/>
                <w:highlight w:val="none"/>
                <w:lang w:val="zh-CN"/>
              </w:rPr>
              <w:t>项目评价工作等级表（HJ2.2-20</w:t>
            </w:r>
            <w:r>
              <w:rPr>
                <w:rFonts w:hint="eastAsia"/>
                <w:color w:val="auto"/>
                <w:highlight w:val="none"/>
              </w:rPr>
              <w:t>1</w:t>
            </w:r>
            <w:r>
              <w:rPr>
                <w:color w:val="auto"/>
                <w:highlight w:val="none"/>
                <w:lang w:val="zh-CN"/>
              </w:rPr>
              <w:t>8表1）见</w:t>
            </w:r>
            <w:r>
              <w:rPr>
                <w:rFonts w:hint="eastAsia"/>
                <w:color w:val="auto"/>
                <w:highlight w:val="none"/>
              </w:rPr>
              <w:t>7-1</w:t>
            </w:r>
            <w:r>
              <w:rPr>
                <w:color w:val="auto"/>
                <w:highlight w:val="none"/>
                <w:lang w:val="zh-CN"/>
              </w:rPr>
              <w:t>。</w:t>
            </w:r>
          </w:p>
          <w:p>
            <w:pPr>
              <w:spacing w:line="240" w:lineRule="auto"/>
              <w:ind w:firstLine="422"/>
              <w:jc w:val="center"/>
              <w:rPr>
                <w:b/>
                <w:bCs/>
                <w:color w:val="auto"/>
                <w:sz w:val="21"/>
                <w:szCs w:val="21"/>
                <w:highlight w:val="none"/>
              </w:rPr>
            </w:pPr>
            <w:bookmarkStart w:id="63" w:name="_Ref487447535"/>
          </w:p>
          <w:p>
            <w:pPr>
              <w:spacing w:line="240" w:lineRule="auto"/>
              <w:ind w:firstLine="422"/>
              <w:jc w:val="center"/>
              <w:rPr>
                <w:b/>
                <w:bCs/>
                <w:color w:val="auto"/>
                <w:sz w:val="21"/>
                <w:szCs w:val="21"/>
                <w:highlight w:val="none"/>
              </w:rPr>
            </w:pPr>
          </w:p>
          <w:p>
            <w:pPr>
              <w:spacing w:line="240" w:lineRule="auto"/>
              <w:ind w:firstLine="422"/>
              <w:jc w:val="center"/>
              <w:rPr>
                <w:b/>
                <w:bCs/>
                <w:color w:val="auto"/>
                <w:sz w:val="21"/>
                <w:szCs w:val="21"/>
                <w:highlight w:val="none"/>
              </w:rPr>
            </w:pPr>
          </w:p>
          <w:p>
            <w:pPr>
              <w:spacing w:line="240" w:lineRule="auto"/>
              <w:ind w:firstLine="422"/>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rPr>
              <w:t>7</w:t>
            </w:r>
            <w:r>
              <w:rPr>
                <w:b/>
                <w:bCs/>
                <w:color w:val="auto"/>
                <w:sz w:val="21"/>
                <w:szCs w:val="21"/>
                <w:highlight w:val="none"/>
              </w:rPr>
              <w:noBreakHyphen/>
            </w:r>
            <w:bookmarkEnd w:id="63"/>
            <w:r>
              <w:rPr>
                <w:rFonts w:hint="eastAsia"/>
                <w:b/>
                <w:bCs/>
                <w:color w:val="auto"/>
                <w:sz w:val="21"/>
                <w:szCs w:val="21"/>
                <w:highlight w:val="none"/>
              </w:rPr>
              <w:t xml:space="preserve">1  </w:t>
            </w:r>
            <w:r>
              <w:rPr>
                <w:b/>
                <w:bCs/>
                <w:color w:val="auto"/>
                <w:sz w:val="21"/>
                <w:szCs w:val="21"/>
                <w:highlight w:val="none"/>
              </w:rPr>
              <w:t>评价工作级别</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3"/>
              <w:gridCol w:w="4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93"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评价工作等级</w:t>
                  </w:r>
                </w:p>
              </w:tc>
              <w:tc>
                <w:tcPr>
                  <w:tcW w:w="4394"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评价工作分级依据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93"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一级</w:t>
                  </w:r>
                </w:p>
              </w:tc>
              <w:tc>
                <w:tcPr>
                  <w:tcW w:w="4394"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Pmax</w:t>
                  </w:r>
                  <w:r>
                    <w:rPr>
                      <w:rFonts w:hint="eastAsia"/>
                      <w:color w:val="auto"/>
                      <w:sz w:val="21"/>
                      <w:szCs w:val="21"/>
                      <w:highlight w:val="none"/>
                    </w:rPr>
                    <w:t>≥1</w:t>
                  </w:r>
                  <w:r>
                    <w:rPr>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93"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二级</w:t>
                  </w:r>
                </w:p>
              </w:tc>
              <w:tc>
                <w:tcPr>
                  <w:tcW w:w="4394"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rPr>
                    <w:t>Pmax＜10%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393"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三级</w:t>
                  </w:r>
                </w:p>
              </w:tc>
              <w:tc>
                <w:tcPr>
                  <w:tcW w:w="4394" w:type="dxa"/>
                  <w:tcBorders>
                    <w:tl2br w:val="nil"/>
                    <w:tr2bl w:val="nil"/>
                  </w:tcBorders>
                  <w:vAlign w:val="center"/>
                </w:tcPr>
                <w:p>
                  <w:pPr>
                    <w:spacing w:line="240" w:lineRule="auto"/>
                    <w:ind w:firstLine="420"/>
                    <w:jc w:val="center"/>
                    <w:rPr>
                      <w:color w:val="auto"/>
                      <w:sz w:val="21"/>
                      <w:szCs w:val="21"/>
                      <w:highlight w:val="none"/>
                    </w:rPr>
                  </w:pPr>
                  <w:r>
                    <w:rPr>
                      <w:color w:val="auto"/>
                      <w:sz w:val="21"/>
                      <w:szCs w:val="21"/>
                      <w:highlight w:val="none"/>
                    </w:rPr>
                    <w:t>Pmax＜1</w:t>
                  </w:r>
                  <w:r>
                    <w:rPr>
                      <w:rFonts w:hint="eastAsia"/>
                      <w:color w:val="auto"/>
                      <w:sz w:val="21"/>
                      <w:szCs w:val="21"/>
                      <w:highlight w:val="none"/>
                    </w:rPr>
                    <w:t>%</w:t>
                  </w:r>
                </w:p>
              </w:tc>
            </w:tr>
          </w:tbl>
          <w:p>
            <w:pPr>
              <w:spacing w:line="360" w:lineRule="auto"/>
              <w:ind w:firstLine="482"/>
              <w:rPr>
                <w:b/>
                <w:bCs/>
                <w:color w:val="auto"/>
                <w:highlight w:val="none"/>
              </w:rPr>
            </w:pPr>
            <w:r>
              <w:rPr>
                <w:rFonts w:hint="eastAsia"/>
                <w:b/>
                <w:bCs/>
                <w:color w:val="auto"/>
                <w:highlight w:val="none"/>
              </w:rPr>
              <w:t>②大气污染物环境影响预测及评价</w:t>
            </w:r>
          </w:p>
          <w:p>
            <w:pPr>
              <w:spacing w:line="360" w:lineRule="auto"/>
              <w:rPr>
                <w:color w:val="auto"/>
                <w:highlight w:val="none"/>
                <w:lang w:val="zh-CN"/>
              </w:rPr>
            </w:pPr>
            <w:r>
              <w:rPr>
                <w:rFonts w:hint="eastAsia"/>
                <w:color w:val="auto"/>
                <w:highlight w:val="none"/>
                <w:lang w:val="zh-CN"/>
              </w:rPr>
              <w:t>根据工程分析，本项目产生的大气污染物主要为二氧化氯泄漏废气（非正常工况）、</w:t>
            </w:r>
            <w:r>
              <w:rPr>
                <w:rFonts w:hint="eastAsia"/>
                <w:color w:val="auto"/>
                <w:highlight w:val="none"/>
                <w:lang w:val="en-US" w:eastAsia="zh-CN"/>
              </w:rPr>
              <w:t>HCL、</w:t>
            </w:r>
            <w:r>
              <w:rPr>
                <w:rFonts w:hint="eastAsia"/>
                <w:color w:val="auto"/>
                <w:highlight w:val="none"/>
                <w:lang w:val="zh-CN"/>
              </w:rPr>
              <w:t>食堂油烟。针对二氧化氯泄漏废气，</w:t>
            </w:r>
            <w:r>
              <w:rPr>
                <w:color w:val="auto"/>
                <w:highlight w:val="none"/>
                <w:lang w:val="zh-CN"/>
              </w:rPr>
              <w:t>项目加氯加药间设置了漏氯报警器和快速冲洗装置等。一旦发生事故性泄漏，漏氯报警系统即会自动报警(报警浓度为1ppm(0.3158mg/Nm</w:t>
            </w:r>
            <w:r>
              <w:rPr>
                <w:color w:val="auto"/>
                <w:highlight w:val="none"/>
                <w:vertAlign w:val="superscript"/>
                <w:lang w:val="zh-CN"/>
              </w:rPr>
              <w:t>3</w:t>
            </w:r>
            <w:r>
              <w:rPr>
                <w:color w:val="auto"/>
                <w:highlight w:val="none"/>
                <w:lang w:val="zh-CN"/>
              </w:rPr>
              <w:t>)，同时漏氯吸收处理装置会自动运行，将泄漏的氯气进行收集和吸收处理</w:t>
            </w:r>
            <w:r>
              <w:rPr>
                <w:rFonts w:hint="eastAsia"/>
                <w:color w:val="auto"/>
                <w:highlight w:val="none"/>
                <w:lang w:val="zh-CN"/>
              </w:rPr>
              <w:t>，对环境的影响较小</w:t>
            </w:r>
            <w:r>
              <w:rPr>
                <w:color w:val="auto"/>
                <w:highlight w:val="none"/>
                <w:lang w:val="zh-CN"/>
              </w:rPr>
              <w:t>。</w:t>
            </w:r>
            <w:r>
              <w:rPr>
                <w:rFonts w:hint="eastAsia"/>
                <w:color w:val="auto"/>
                <w:highlight w:val="none"/>
                <w:lang w:val="en-US" w:eastAsia="zh-CN"/>
              </w:rPr>
              <w:t>项目使用的盐酸浓度为31%，浓度较低，且密闭储罐贮存，无组织挥发量仅百万分之一，</w:t>
            </w:r>
            <w:r>
              <w:rPr>
                <w:rFonts w:hint="eastAsia" w:ascii="Times New Roman" w:hAnsi="Times New Roman" w:eastAsia="宋体" w:cs="Times New Roman"/>
                <w:color w:val="auto"/>
                <w:szCs w:val="21"/>
                <w:highlight w:val="none"/>
                <w:lang w:val="en-US" w:eastAsia="zh-CN"/>
              </w:rPr>
              <w:t>据计算本项目无组织排放HCL气体为69.1kg/a</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产生较少，对环境影响较小</w:t>
            </w:r>
            <w:r>
              <w:rPr>
                <w:rFonts w:hint="eastAsia" w:cs="Times New Roman"/>
                <w:color w:val="auto"/>
                <w:szCs w:val="21"/>
                <w:highlight w:val="none"/>
                <w:lang w:val="en-US" w:eastAsia="zh-CN"/>
              </w:rPr>
              <w:t>；</w:t>
            </w:r>
            <w:r>
              <w:rPr>
                <w:color w:val="auto"/>
                <w:highlight w:val="none"/>
                <w:lang w:val="zh-CN"/>
              </w:rPr>
              <w:t>食堂油烟经油烟净化器处理（处理效率不低于60%），处理后浓度为</w:t>
            </w:r>
            <w:r>
              <w:rPr>
                <w:rFonts w:hint="eastAsia"/>
                <w:color w:val="auto"/>
                <w:highlight w:val="none"/>
                <w:lang w:val="zh-CN"/>
              </w:rPr>
              <w:t>1.1</w:t>
            </w:r>
            <w:r>
              <w:rPr>
                <w:color w:val="auto"/>
                <w:highlight w:val="none"/>
                <w:lang w:val="zh-CN"/>
              </w:rPr>
              <w:t>mg/m</w:t>
            </w:r>
            <w:r>
              <w:rPr>
                <w:color w:val="auto"/>
                <w:highlight w:val="none"/>
                <w:vertAlign w:val="superscript"/>
                <w:lang w:val="zh-CN"/>
              </w:rPr>
              <w:t>3</w:t>
            </w:r>
            <w:r>
              <w:rPr>
                <w:color w:val="auto"/>
                <w:highlight w:val="none"/>
                <w:lang w:val="zh-CN"/>
              </w:rPr>
              <w:t>＜2.0mg/m</w:t>
            </w:r>
            <w:r>
              <w:rPr>
                <w:color w:val="auto"/>
                <w:highlight w:val="none"/>
                <w:vertAlign w:val="superscript"/>
                <w:lang w:val="zh-CN"/>
              </w:rPr>
              <w:t>3</w:t>
            </w:r>
            <w:r>
              <w:rPr>
                <w:color w:val="auto"/>
                <w:highlight w:val="none"/>
                <w:lang w:val="zh-CN"/>
              </w:rPr>
              <w:t>，</w:t>
            </w:r>
            <w:r>
              <w:rPr>
                <w:rFonts w:hint="eastAsia"/>
                <w:color w:val="auto"/>
                <w:highlight w:val="none"/>
                <w:lang w:val="zh-CN"/>
              </w:rPr>
              <w:t>处理后的排放量为1.825</w:t>
            </w:r>
            <w:r>
              <w:rPr>
                <w:color w:val="auto"/>
                <w:highlight w:val="none"/>
                <w:lang w:val="zh-CN"/>
              </w:rPr>
              <w:t>kg/a</w:t>
            </w:r>
            <w:r>
              <w:rPr>
                <w:rFonts w:hint="eastAsia"/>
                <w:color w:val="auto"/>
                <w:highlight w:val="none"/>
                <w:lang w:val="zh-CN"/>
              </w:rPr>
              <w:t>，</w:t>
            </w:r>
            <w:r>
              <w:rPr>
                <w:color w:val="auto"/>
                <w:highlight w:val="none"/>
                <w:lang w:val="zh-CN"/>
              </w:rPr>
              <w:t>满足《饮食业油烟排放标准（试行》（GB18483-2001）排放要求</w:t>
            </w:r>
            <w:r>
              <w:rPr>
                <w:rFonts w:hint="eastAsia"/>
                <w:color w:val="auto"/>
                <w:highlight w:val="none"/>
                <w:lang w:val="zh-CN"/>
              </w:rPr>
              <w:t>，对周围空气的影响较小。因此本项目评价等级为三级。</w:t>
            </w:r>
          </w:p>
          <w:p>
            <w:pPr>
              <w:spacing w:line="360" w:lineRule="auto"/>
              <w:rPr>
                <w:color w:val="auto"/>
                <w:highlight w:val="none"/>
                <w:lang w:val="zh-CN"/>
              </w:rPr>
            </w:pPr>
            <w:r>
              <w:rPr>
                <w:color w:val="auto"/>
                <w:highlight w:val="none"/>
                <w:lang w:val="zh-CN"/>
              </w:rPr>
              <w:t>综上，大气环境影响评价自查表详见下表。</w:t>
            </w:r>
          </w:p>
          <w:p>
            <w:pPr>
              <w:spacing w:line="240" w:lineRule="auto"/>
              <w:ind w:firstLine="422"/>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rPr>
              <w:t xml:space="preserve">7-2 </w:t>
            </w:r>
            <w:r>
              <w:rPr>
                <w:b/>
                <w:bCs/>
                <w:color w:val="auto"/>
                <w:sz w:val="21"/>
                <w:szCs w:val="21"/>
                <w:highlight w:val="none"/>
              </w:rPr>
              <w:t xml:space="preserve">  </w:t>
            </w:r>
            <w:r>
              <w:rPr>
                <w:b/>
                <w:bCs/>
                <w:color w:val="auto"/>
                <w:sz w:val="21"/>
                <w:szCs w:val="21"/>
                <w:highlight w:val="none"/>
                <w:lang w:val="fr"/>
              </w:rPr>
              <w:t>大气环境影响评价自查表</w:t>
            </w:r>
          </w:p>
          <w:tbl>
            <w:tblPr>
              <w:tblStyle w:val="26"/>
              <w:tblW w:w="90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145"/>
              <w:gridCol w:w="883"/>
              <w:gridCol w:w="94"/>
              <w:gridCol w:w="668"/>
              <w:gridCol w:w="16"/>
              <w:gridCol w:w="17"/>
              <w:gridCol w:w="185"/>
              <w:gridCol w:w="328"/>
              <w:gridCol w:w="83"/>
              <w:gridCol w:w="814"/>
              <w:gridCol w:w="599"/>
              <w:gridCol w:w="595"/>
              <w:gridCol w:w="649"/>
              <w:gridCol w:w="314"/>
              <w:gridCol w:w="226"/>
              <w:gridCol w:w="161"/>
              <w:gridCol w:w="494"/>
              <w:gridCol w:w="1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blHeader/>
                <w:jc w:val="center"/>
              </w:trPr>
              <w:tc>
                <w:tcPr>
                  <w:tcW w:w="1900" w:type="dxa"/>
                  <w:gridSpan w:val="2"/>
                  <w:vAlign w:val="center"/>
                </w:tcPr>
                <w:p>
                  <w:pPr>
                    <w:autoSpaceDE w:val="0"/>
                    <w:autoSpaceDN w:val="0"/>
                    <w:spacing w:line="240" w:lineRule="auto"/>
                    <w:ind w:firstLine="422"/>
                    <w:jc w:val="center"/>
                    <w:textAlignment w:val="baseline"/>
                    <w:rPr>
                      <w:b/>
                      <w:color w:val="auto"/>
                      <w:sz w:val="21"/>
                      <w:szCs w:val="21"/>
                      <w:highlight w:val="none"/>
                    </w:rPr>
                  </w:pPr>
                  <w:r>
                    <w:rPr>
                      <w:rFonts w:hint="eastAsia"/>
                      <w:b/>
                      <w:color w:val="auto"/>
                      <w:sz w:val="21"/>
                      <w:szCs w:val="21"/>
                      <w:highlight w:val="none"/>
                    </w:rPr>
                    <w:t>工作内容</w:t>
                  </w:r>
                </w:p>
              </w:tc>
              <w:tc>
                <w:tcPr>
                  <w:tcW w:w="7140" w:type="dxa"/>
                  <w:gridSpan w:val="17"/>
                  <w:vAlign w:val="center"/>
                </w:tcPr>
                <w:p>
                  <w:pPr>
                    <w:autoSpaceDE w:val="0"/>
                    <w:autoSpaceDN w:val="0"/>
                    <w:spacing w:line="240" w:lineRule="auto"/>
                    <w:ind w:firstLine="422"/>
                    <w:jc w:val="center"/>
                    <w:textAlignment w:val="baseline"/>
                    <w:rPr>
                      <w:b/>
                      <w:color w:val="auto"/>
                      <w:sz w:val="21"/>
                      <w:szCs w:val="21"/>
                      <w:highlight w:val="none"/>
                    </w:rPr>
                  </w:pPr>
                  <w:r>
                    <w:rPr>
                      <w:rFonts w:hint="eastAsia"/>
                      <w:b/>
                      <w:color w:val="auto"/>
                      <w:sz w:val="21"/>
                      <w:szCs w:val="21"/>
                      <w:highlight w:val="none"/>
                    </w:rPr>
                    <w:t>自查项目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restart"/>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评价等级与范围</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评价等级</w:t>
                  </w:r>
                </w:p>
              </w:tc>
              <w:tc>
                <w:tcPr>
                  <w:tcW w:w="2191" w:type="dxa"/>
                  <w:gridSpan w:val="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一级□</w:t>
                  </w:r>
                </w:p>
              </w:tc>
              <w:tc>
                <w:tcPr>
                  <w:tcW w:w="3441" w:type="dxa"/>
                  <w:gridSpan w:val="8"/>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二级</w:t>
                  </w:r>
                  <w:r>
                    <w:rPr>
                      <w:rFonts w:ascii="Wingdings 2" w:hAnsi="Wingdings 2"/>
                      <w:color w:val="auto"/>
                      <w:sz w:val="21"/>
                      <w:szCs w:val="21"/>
                      <w:highlight w:val="none"/>
                    </w:rPr>
                    <w:sym w:font="Wingdings 2" w:char="00A3"/>
                  </w:r>
                </w:p>
              </w:tc>
              <w:tc>
                <w:tcPr>
                  <w:tcW w:w="1508" w:type="dxa"/>
                  <w:gridSpan w:val="2"/>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三级</w:t>
                  </w:r>
                  <w:r>
                    <w:rPr>
                      <w:rFonts w:hint="eastAsia"/>
                      <w:color w:val="auto"/>
                      <w:sz w:val="21"/>
                      <w:szCs w:val="21"/>
                      <w:highlight w:val="none"/>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评价范围</w:t>
                  </w:r>
                </w:p>
              </w:tc>
              <w:tc>
                <w:tcPr>
                  <w:tcW w:w="2191" w:type="dxa"/>
                  <w:gridSpan w:val="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边长</w:t>
                  </w:r>
                  <w:r>
                    <w:rPr>
                      <w:color w:val="auto"/>
                      <w:sz w:val="21"/>
                      <w:szCs w:val="21"/>
                      <w:highlight w:val="none"/>
                    </w:rPr>
                    <w:t>=50km</w:t>
                  </w:r>
                  <w:r>
                    <w:rPr>
                      <w:rFonts w:hint="eastAsia"/>
                      <w:color w:val="auto"/>
                      <w:sz w:val="21"/>
                      <w:szCs w:val="21"/>
                      <w:highlight w:val="none"/>
                    </w:rPr>
                    <w:t>□</w:t>
                  </w:r>
                </w:p>
              </w:tc>
              <w:tc>
                <w:tcPr>
                  <w:tcW w:w="3441" w:type="dxa"/>
                  <w:gridSpan w:val="8"/>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边长</w:t>
                  </w:r>
                  <w:r>
                    <w:rPr>
                      <w:color w:val="auto"/>
                      <w:sz w:val="21"/>
                      <w:szCs w:val="21"/>
                      <w:highlight w:val="none"/>
                    </w:rPr>
                    <w:t>5-50km</w:t>
                  </w:r>
                  <w:r>
                    <w:rPr>
                      <w:rFonts w:hint="eastAsia"/>
                      <w:color w:val="auto"/>
                      <w:sz w:val="21"/>
                      <w:szCs w:val="21"/>
                      <w:highlight w:val="none"/>
                    </w:rPr>
                    <w:t>□</w:t>
                  </w:r>
                </w:p>
              </w:tc>
              <w:tc>
                <w:tcPr>
                  <w:tcW w:w="1508" w:type="dxa"/>
                  <w:gridSpan w:val="2"/>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边长</w:t>
                  </w:r>
                  <w:r>
                    <w:rPr>
                      <w:color w:val="auto"/>
                      <w:sz w:val="21"/>
                      <w:szCs w:val="21"/>
                      <w:highlight w:val="none"/>
                    </w:rPr>
                    <w:t>=5km</w:t>
                  </w:r>
                  <w:r>
                    <w:rPr>
                      <w:rFonts w:ascii="Wingdings 2" w:hAnsi="Wingdings 2"/>
                      <w:color w:val="auto"/>
                      <w:sz w:val="21"/>
                      <w:szCs w:val="21"/>
                      <w:highlight w:val="none"/>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755" w:type="dxa"/>
                  <w:vMerge w:val="restart"/>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评价因子</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color w:val="auto"/>
                      <w:sz w:val="21"/>
                      <w:szCs w:val="21"/>
                      <w:highlight w:val="none"/>
                    </w:rPr>
                    <w:t>SO</w:t>
                  </w:r>
                  <w:r>
                    <w:rPr>
                      <w:color w:val="auto"/>
                      <w:sz w:val="21"/>
                      <w:szCs w:val="21"/>
                      <w:highlight w:val="none"/>
                      <w:vertAlign w:val="subscript"/>
                    </w:rPr>
                    <w:t>2</w:t>
                  </w:r>
                  <w:r>
                    <w:rPr>
                      <w:color w:val="auto"/>
                      <w:sz w:val="21"/>
                      <w:szCs w:val="21"/>
                      <w:highlight w:val="none"/>
                    </w:rPr>
                    <w:t>+NOx</w:t>
                  </w:r>
                  <w:r>
                    <w:rPr>
                      <w:rFonts w:hint="eastAsia"/>
                      <w:color w:val="auto"/>
                      <w:sz w:val="21"/>
                      <w:szCs w:val="21"/>
                      <w:highlight w:val="none"/>
                    </w:rPr>
                    <w:t>排放量</w:t>
                  </w:r>
                </w:p>
              </w:tc>
              <w:tc>
                <w:tcPr>
                  <w:tcW w:w="1645" w:type="dxa"/>
                  <w:gridSpan w:val="3"/>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w:t>
                  </w:r>
                  <w:r>
                    <w:rPr>
                      <w:color w:val="auto"/>
                      <w:sz w:val="21"/>
                      <w:szCs w:val="21"/>
                      <w:highlight w:val="none"/>
                    </w:rPr>
                    <w:t>2000t/a</w:t>
                  </w:r>
                  <w:r>
                    <w:rPr>
                      <w:rFonts w:hint="eastAsia"/>
                      <w:color w:val="auto"/>
                      <w:sz w:val="21"/>
                      <w:szCs w:val="21"/>
                      <w:highlight w:val="none"/>
                    </w:rPr>
                    <w:t>□</w:t>
                  </w:r>
                </w:p>
              </w:tc>
              <w:tc>
                <w:tcPr>
                  <w:tcW w:w="3987" w:type="dxa"/>
                  <w:gridSpan w:val="12"/>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500-2000t/a</w:t>
                  </w:r>
                  <w:r>
                    <w:rPr>
                      <w:rFonts w:hint="eastAsia"/>
                      <w:color w:val="auto"/>
                      <w:sz w:val="21"/>
                      <w:szCs w:val="21"/>
                      <w:highlight w:val="none"/>
                    </w:rPr>
                    <w:t>□</w:t>
                  </w:r>
                </w:p>
              </w:tc>
              <w:tc>
                <w:tcPr>
                  <w:tcW w:w="1508" w:type="dxa"/>
                  <w:gridSpan w:val="2"/>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w:t>
                  </w:r>
                  <w:r>
                    <w:rPr>
                      <w:color w:val="auto"/>
                      <w:sz w:val="21"/>
                      <w:szCs w:val="21"/>
                      <w:highlight w:val="none"/>
                    </w:rPr>
                    <w:t>500t/a</w:t>
                  </w:r>
                  <w:r>
                    <w:rPr>
                      <w:rFonts w:ascii="Wingdings 2" w:hAnsi="Wingdings 2"/>
                      <w:color w:val="auto"/>
                      <w:sz w:val="21"/>
                      <w:szCs w:val="21"/>
                      <w:highlight w:val="none"/>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评价因子</w:t>
                  </w:r>
                </w:p>
              </w:tc>
              <w:tc>
                <w:tcPr>
                  <w:tcW w:w="4282" w:type="dxa"/>
                  <w:gridSpan w:val="11"/>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基本污染物（/）</w:t>
                  </w:r>
                </w:p>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其他污染物（）</w:t>
                  </w:r>
                </w:p>
              </w:tc>
              <w:tc>
                <w:tcPr>
                  <w:tcW w:w="2858" w:type="dxa"/>
                  <w:gridSpan w:val="6"/>
                  <w:vAlign w:val="center"/>
                </w:tcPr>
                <w:p>
                  <w:pPr>
                    <w:autoSpaceDE w:val="0"/>
                    <w:autoSpaceDN w:val="0"/>
                    <w:spacing w:line="240" w:lineRule="auto"/>
                    <w:ind w:right="480" w:rightChars="200" w:firstLine="420"/>
                    <w:jc w:val="center"/>
                    <w:textAlignment w:val="baseline"/>
                    <w:rPr>
                      <w:color w:val="auto"/>
                      <w:sz w:val="21"/>
                      <w:szCs w:val="21"/>
                      <w:highlight w:val="none"/>
                    </w:rPr>
                  </w:pPr>
                  <w:r>
                    <w:rPr>
                      <w:rFonts w:hint="eastAsia"/>
                      <w:color w:val="auto"/>
                      <w:sz w:val="21"/>
                      <w:szCs w:val="21"/>
                      <w:highlight w:val="none"/>
                    </w:rPr>
                    <w:t>包括二次</w:t>
                  </w:r>
                  <w:r>
                    <w:rPr>
                      <w:color w:val="auto"/>
                      <w:sz w:val="21"/>
                      <w:szCs w:val="21"/>
                      <w:highlight w:val="none"/>
                    </w:rPr>
                    <w:t>PM2.5</w:t>
                  </w:r>
                  <w:r>
                    <w:rPr>
                      <w:rFonts w:hint="eastAsia"/>
                      <w:color w:val="auto"/>
                      <w:sz w:val="21"/>
                      <w:szCs w:val="21"/>
                      <w:highlight w:val="none"/>
                    </w:rPr>
                    <w:t>□</w:t>
                  </w:r>
                </w:p>
                <w:p>
                  <w:pPr>
                    <w:autoSpaceDE w:val="0"/>
                    <w:autoSpaceDN w:val="0"/>
                    <w:spacing w:line="240" w:lineRule="auto"/>
                    <w:ind w:right="480" w:rightChars="200" w:firstLine="420"/>
                    <w:jc w:val="center"/>
                    <w:textAlignment w:val="baseline"/>
                    <w:rPr>
                      <w:color w:val="auto"/>
                      <w:sz w:val="21"/>
                      <w:szCs w:val="21"/>
                      <w:highlight w:val="none"/>
                    </w:rPr>
                  </w:pPr>
                  <w:r>
                    <w:rPr>
                      <w:rFonts w:hint="eastAsia"/>
                      <w:color w:val="auto"/>
                      <w:sz w:val="21"/>
                      <w:szCs w:val="21"/>
                      <w:highlight w:val="none"/>
                    </w:rPr>
                    <w:t>不包括二次</w:t>
                  </w:r>
                  <w:r>
                    <w:rPr>
                      <w:color w:val="auto"/>
                      <w:sz w:val="21"/>
                      <w:szCs w:val="21"/>
                      <w:highlight w:val="none"/>
                    </w:rPr>
                    <w:t>PM2.5</w:t>
                  </w:r>
                  <w:r>
                    <w:rPr>
                      <w:rFonts w:ascii="Wingdings 2" w:hAnsi="Wingdings 2"/>
                      <w:color w:val="auto"/>
                      <w:sz w:val="21"/>
                      <w:szCs w:val="21"/>
                      <w:highlight w:val="none"/>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75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评价标准</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评价标准</w:t>
                  </w:r>
                </w:p>
              </w:tc>
              <w:tc>
                <w:tcPr>
                  <w:tcW w:w="1661" w:type="dxa"/>
                  <w:gridSpan w:val="4"/>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国家标准</w:t>
                  </w:r>
                  <w:r>
                    <w:rPr>
                      <w:rFonts w:ascii="Wingdings 2" w:hAnsi="Wingdings 2"/>
                      <w:color w:val="auto"/>
                      <w:sz w:val="21"/>
                      <w:szCs w:val="21"/>
                      <w:highlight w:val="none"/>
                    </w:rPr>
                    <w:t></w:t>
                  </w:r>
                </w:p>
              </w:tc>
              <w:tc>
                <w:tcPr>
                  <w:tcW w:w="2621" w:type="dxa"/>
                  <w:gridSpan w:val="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地方标准</w:t>
                  </w:r>
                </w:p>
              </w:tc>
              <w:tc>
                <w:tcPr>
                  <w:tcW w:w="1844" w:type="dxa"/>
                  <w:gridSpan w:val="5"/>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附录</w:t>
                  </w:r>
                  <w:r>
                    <w:rPr>
                      <w:color w:val="auto"/>
                      <w:sz w:val="21"/>
                      <w:szCs w:val="21"/>
                      <w:highlight w:val="none"/>
                    </w:rPr>
                    <w:t>D</w:t>
                  </w:r>
                  <w:r>
                    <w:rPr>
                      <w:rFonts w:ascii="Wingdings 2" w:hAnsi="Wingdings 2"/>
                      <w:color w:val="auto"/>
                      <w:sz w:val="21"/>
                      <w:szCs w:val="21"/>
                      <w:highlight w:val="none"/>
                    </w:rPr>
                    <w:sym w:font="Wingdings 2" w:char="00A3"/>
                  </w:r>
                </w:p>
              </w:tc>
              <w:tc>
                <w:tcPr>
                  <w:tcW w:w="1014"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其他标准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restart"/>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现状评价</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环境功能区</w:t>
                  </w:r>
                </w:p>
              </w:tc>
              <w:tc>
                <w:tcPr>
                  <w:tcW w:w="2191" w:type="dxa"/>
                  <w:gridSpan w:val="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一类区□</w:t>
                  </w:r>
                </w:p>
              </w:tc>
              <w:tc>
                <w:tcPr>
                  <w:tcW w:w="3441" w:type="dxa"/>
                  <w:gridSpan w:val="8"/>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二类区</w:t>
                  </w:r>
                  <w:r>
                    <w:rPr>
                      <w:rFonts w:ascii="Wingdings 2" w:hAnsi="Wingdings 2"/>
                      <w:color w:val="auto"/>
                      <w:sz w:val="21"/>
                      <w:szCs w:val="21"/>
                      <w:highlight w:val="none"/>
                    </w:rPr>
                    <w:t></w:t>
                  </w:r>
                </w:p>
              </w:tc>
              <w:tc>
                <w:tcPr>
                  <w:tcW w:w="1508" w:type="dxa"/>
                  <w:gridSpan w:val="2"/>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一类区和二类区□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评价基准年</w:t>
                  </w:r>
                </w:p>
              </w:tc>
              <w:tc>
                <w:tcPr>
                  <w:tcW w:w="7140" w:type="dxa"/>
                  <w:gridSpan w:val="1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w:t>
                  </w:r>
                  <w:r>
                    <w:rPr>
                      <w:color w:val="auto"/>
                      <w:sz w:val="21"/>
                      <w:szCs w:val="21"/>
                      <w:highlight w:val="none"/>
                    </w:rPr>
                    <w:t>201</w:t>
                  </w:r>
                  <w:r>
                    <w:rPr>
                      <w:rFonts w:hint="eastAsia"/>
                      <w:color w:val="auto"/>
                      <w:sz w:val="21"/>
                      <w:szCs w:val="21"/>
                      <w:highlight w:val="none"/>
                    </w:rPr>
                    <w:t>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环境空气质量现状调查数据来源</w:t>
                  </w:r>
                </w:p>
              </w:tc>
              <w:tc>
                <w:tcPr>
                  <w:tcW w:w="2191" w:type="dxa"/>
                  <w:gridSpan w:val="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长期例行监测数据□</w:t>
                  </w:r>
                </w:p>
              </w:tc>
              <w:tc>
                <w:tcPr>
                  <w:tcW w:w="3441" w:type="dxa"/>
                  <w:gridSpan w:val="8"/>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主管部门发布的数据</w:t>
                  </w:r>
                  <w:r>
                    <w:rPr>
                      <w:rFonts w:ascii="Wingdings 2" w:hAnsi="Wingdings 2"/>
                      <w:color w:val="auto"/>
                      <w:sz w:val="21"/>
                      <w:szCs w:val="21"/>
                      <w:highlight w:val="none"/>
                    </w:rPr>
                    <w:t></w:t>
                  </w:r>
                </w:p>
              </w:tc>
              <w:tc>
                <w:tcPr>
                  <w:tcW w:w="1508" w:type="dxa"/>
                  <w:gridSpan w:val="2"/>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现状补充监测</w:t>
                  </w:r>
                  <w:r>
                    <w:rPr>
                      <w:rFonts w:ascii="Wingdings 2" w:hAnsi="Wingdings 2"/>
                      <w:color w:val="auto"/>
                      <w:sz w:val="21"/>
                      <w:szCs w:val="21"/>
                      <w:highlight w:val="none"/>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现状评价</w:t>
                  </w:r>
                </w:p>
              </w:tc>
              <w:tc>
                <w:tcPr>
                  <w:tcW w:w="4282" w:type="dxa"/>
                  <w:gridSpan w:val="11"/>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达标区</w:t>
                  </w:r>
                  <w:r>
                    <w:rPr>
                      <w:rFonts w:hint="eastAsia"/>
                      <w:color w:val="auto"/>
                      <w:sz w:val="21"/>
                      <w:szCs w:val="21"/>
                      <w:highlight w:val="none"/>
                    </w:rPr>
                    <w:sym w:font="Wingdings 2" w:char="00A3"/>
                  </w:r>
                </w:p>
              </w:tc>
              <w:tc>
                <w:tcPr>
                  <w:tcW w:w="2858" w:type="dxa"/>
                  <w:gridSpan w:val="6"/>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不达标区</w:t>
                  </w:r>
                  <w:r>
                    <w:rPr>
                      <w:rFonts w:ascii="Wingdings 2" w:hAnsi="Wingdings 2"/>
                      <w:color w:val="auto"/>
                      <w:sz w:val="21"/>
                      <w:szCs w:val="21"/>
                      <w:highlight w:val="none"/>
                    </w:rPr>
                    <w:sym w:font="Wingdings 2" w:char="0052"/>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75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污染源调查</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调查内容</w:t>
                  </w:r>
                </w:p>
              </w:tc>
              <w:tc>
                <w:tcPr>
                  <w:tcW w:w="1661" w:type="dxa"/>
                  <w:gridSpan w:val="4"/>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本项目正常排放源</w:t>
                  </w:r>
                  <w:r>
                    <w:rPr>
                      <w:rFonts w:ascii="Wingdings 2" w:hAnsi="Wingdings 2"/>
                      <w:color w:val="auto"/>
                      <w:sz w:val="21"/>
                      <w:szCs w:val="21"/>
                      <w:highlight w:val="none"/>
                    </w:rPr>
                    <w:t></w:t>
                  </w:r>
                </w:p>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本项目非正常排放源</w:t>
                  </w:r>
                  <w:r>
                    <w:rPr>
                      <w:rFonts w:ascii="Wingdings 2" w:hAnsi="Wingdings 2"/>
                      <w:color w:val="auto"/>
                      <w:sz w:val="21"/>
                      <w:szCs w:val="21"/>
                      <w:highlight w:val="none"/>
                    </w:rPr>
                    <w:sym w:font="Wingdings 2" w:char="00A3"/>
                  </w:r>
                </w:p>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现有污染源</w:t>
                  </w:r>
                  <w:r>
                    <w:rPr>
                      <w:rFonts w:ascii="Wingdings 2" w:hAnsi="Wingdings 2"/>
                      <w:color w:val="auto"/>
                      <w:sz w:val="21"/>
                      <w:szCs w:val="21"/>
                      <w:highlight w:val="none"/>
                    </w:rPr>
                    <w:sym w:font="Wingdings 2" w:char="00A3"/>
                  </w:r>
                </w:p>
              </w:tc>
              <w:tc>
                <w:tcPr>
                  <w:tcW w:w="2621" w:type="dxa"/>
                  <w:gridSpan w:val="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拟替代的污染源</w:t>
                  </w:r>
                  <w:r>
                    <w:rPr>
                      <w:rFonts w:ascii="Wingdings 2" w:hAnsi="Wingdings 2"/>
                      <w:color w:val="auto"/>
                      <w:sz w:val="21"/>
                      <w:szCs w:val="21"/>
                      <w:highlight w:val="none"/>
                    </w:rPr>
                    <w:sym w:font="Wingdings 2" w:char="00A3"/>
                  </w:r>
                </w:p>
              </w:tc>
              <w:tc>
                <w:tcPr>
                  <w:tcW w:w="1844" w:type="dxa"/>
                  <w:gridSpan w:val="5"/>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其他在建、拟建项目污染源□</w:t>
                  </w:r>
                </w:p>
              </w:tc>
              <w:tc>
                <w:tcPr>
                  <w:tcW w:w="1014" w:type="dxa"/>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区域污染源□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755" w:type="dxa"/>
                  <w:vMerge w:val="restart"/>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大气环境影响预测与评价</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预测模型</w:t>
                  </w:r>
                </w:p>
              </w:tc>
              <w:tc>
                <w:tcPr>
                  <w:tcW w:w="977" w:type="dxa"/>
                  <w:gridSpan w:val="2"/>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AERMOD</w:t>
                  </w:r>
                  <w:r>
                    <w:rPr>
                      <w:rFonts w:hint="eastAsia"/>
                      <w:color w:val="auto"/>
                      <w:sz w:val="21"/>
                      <w:szCs w:val="21"/>
                      <w:highlight w:val="none"/>
                    </w:rPr>
                    <w:t>□</w:t>
                  </w:r>
                </w:p>
              </w:tc>
              <w:tc>
                <w:tcPr>
                  <w:tcW w:w="886" w:type="dxa"/>
                  <w:gridSpan w:val="4"/>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ADMS</w:t>
                  </w:r>
                  <w:r>
                    <w:rPr>
                      <w:rFonts w:hint="eastAsia"/>
                      <w:color w:val="auto"/>
                      <w:sz w:val="21"/>
                      <w:szCs w:val="21"/>
                      <w:highlight w:val="none"/>
                    </w:rPr>
                    <w:t>□</w:t>
                  </w:r>
                </w:p>
              </w:tc>
              <w:tc>
                <w:tcPr>
                  <w:tcW w:w="1225" w:type="dxa"/>
                  <w:gridSpan w:val="3"/>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AUSTAL2000</w:t>
                  </w:r>
                  <w:r>
                    <w:rPr>
                      <w:rFonts w:hint="eastAsia"/>
                      <w:color w:val="auto"/>
                      <w:sz w:val="21"/>
                      <w:szCs w:val="21"/>
                      <w:highlight w:val="none"/>
                    </w:rPr>
                    <w:t>□</w:t>
                  </w:r>
                </w:p>
              </w:tc>
              <w:tc>
                <w:tcPr>
                  <w:tcW w:w="1194" w:type="dxa"/>
                  <w:gridSpan w:val="2"/>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EDMS/AEDT</w:t>
                  </w:r>
                  <w:r>
                    <w:rPr>
                      <w:rFonts w:hint="eastAsia"/>
                      <w:color w:val="auto"/>
                      <w:sz w:val="21"/>
                      <w:szCs w:val="21"/>
                      <w:highlight w:val="none"/>
                    </w:rPr>
                    <w:t>□</w:t>
                  </w:r>
                </w:p>
              </w:tc>
              <w:tc>
                <w:tcPr>
                  <w:tcW w:w="963" w:type="dxa"/>
                  <w:gridSpan w:val="2"/>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CALPUFF</w:t>
                  </w:r>
                  <w:r>
                    <w:rPr>
                      <w:rFonts w:hint="eastAsia"/>
                      <w:color w:val="auto"/>
                      <w:sz w:val="21"/>
                      <w:szCs w:val="21"/>
                      <w:highlight w:val="none"/>
                    </w:rPr>
                    <w:t>□</w:t>
                  </w:r>
                </w:p>
              </w:tc>
              <w:tc>
                <w:tcPr>
                  <w:tcW w:w="881" w:type="dxa"/>
                  <w:gridSpan w:val="3"/>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网格模型□</w:t>
                  </w:r>
                </w:p>
              </w:tc>
              <w:tc>
                <w:tcPr>
                  <w:tcW w:w="1014" w:type="dxa"/>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其他</w:t>
                  </w:r>
                  <w:r>
                    <w:rPr>
                      <w:rFonts w:ascii="Wingdings 2" w:hAnsi="Wingdings 2"/>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预测范围</w:t>
                  </w:r>
                </w:p>
              </w:tc>
              <w:tc>
                <w:tcPr>
                  <w:tcW w:w="1863" w:type="dxa"/>
                  <w:gridSpan w:val="6"/>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边长≥</w:t>
                  </w:r>
                  <w:r>
                    <w:rPr>
                      <w:color w:val="auto"/>
                      <w:sz w:val="21"/>
                      <w:szCs w:val="21"/>
                      <w:highlight w:val="none"/>
                    </w:rPr>
                    <w:t>50km</w:t>
                  </w:r>
                  <w:r>
                    <w:rPr>
                      <w:rFonts w:hint="eastAsia"/>
                      <w:color w:val="auto"/>
                      <w:sz w:val="21"/>
                      <w:szCs w:val="21"/>
                      <w:highlight w:val="none"/>
                    </w:rPr>
                    <w:t>□</w:t>
                  </w:r>
                </w:p>
              </w:tc>
              <w:tc>
                <w:tcPr>
                  <w:tcW w:w="3382" w:type="dxa"/>
                  <w:gridSpan w:val="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边长</w:t>
                  </w:r>
                  <w:r>
                    <w:rPr>
                      <w:color w:val="auto"/>
                      <w:sz w:val="21"/>
                      <w:szCs w:val="21"/>
                      <w:highlight w:val="none"/>
                    </w:rPr>
                    <w:t>5-50km</w:t>
                  </w:r>
                  <w:r>
                    <w:rPr>
                      <w:rFonts w:hint="eastAsia"/>
                      <w:color w:val="auto"/>
                      <w:sz w:val="21"/>
                      <w:szCs w:val="21"/>
                      <w:highlight w:val="none"/>
                    </w:rPr>
                    <w:t>□</w:t>
                  </w:r>
                </w:p>
              </w:tc>
              <w:tc>
                <w:tcPr>
                  <w:tcW w:w="1895" w:type="dxa"/>
                  <w:gridSpan w:val="4"/>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边长</w:t>
                  </w:r>
                  <w:r>
                    <w:rPr>
                      <w:color w:val="auto"/>
                      <w:sz w:val="21"/>
                      <w:szCs w:val="21"/>
                      <w:highlight w:val="none"/>
                    </w:rPr>
                    <w:t>=5km</w:t>
                  </w:r>
                  <w:r>
                    <w:rPr>
                      <w:rFonts w:ascii="Wingdings 2" w:hAnsi="Wingdings 2"/>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预测因子</w:t>
                  </w:r>
                </w:p>
              </w:tc>
              <w:tc>
                <w:tcPr>
                  <w:tcW w:w="3687" w:type="dxa"/>
                  <w:gridSpan w:val="10"/>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预测因子（/）</w:t>
                  </w:r>
                </w:p>
              </w:tc>
              <w:tc>
                <w:tcPr>
                  <w:tcW w:w="3453" w:type="dxa"/>
                  <w:gridSpan w:val="7"/>
                  <w:vAlign w:val="center"/>
                </w:tcPr>
                <w:p>
                  <w:pPr>
                    <w:autoSpaceDE w:val="0"/>
                    <w:autoSpaceDN w:val="0"/>
                    <w:spacing w:line="240" w:lineRule="auto"/>
                    <w:ind w:right="480" w:rightChars="200" w:firstLine="420"/>
                    <w:jc w:val="center"/>
                    <w:textAlignment w:val="baseline"/>
                    <w:rPr>
                      <w:color w:val="auto"/>
                      <w:sz w:val="21"/>
                      <w:szCs w:val="21"/>
                      <w:highlight w:val="none"/>
                    </w:rPr>
                  </w:pPr>
                  <w:r>
                    <w:rPr>
                      <w:rFonts w:hint="eastAsia"/>
                      <w:color w:val="auto"/>
                      <w:sz w:val="21"/>
                      <w:szCs w:val="21"/>
                      <w:highlight w:val="none"/>
                    </w:rPr>
                    <w:t>包括二次</w:t>
                  </w:r>
                  <w:r>
                    <w:rPr>
                      <w:color w:val="auto"/>
                      <w:sz w:val="21"/>
                      <w:szCs w:val="21"/>
                      <w:highlight w:val="none"/>
                    </w:rPr>
                    <w:t>PM2.5</w:t>
                  </w:r>
                  <w:r>
                    <w:rPr>
                      <w:rFonts w:hint="eastAsia"/>
                      <w:color w:val="auto"/>
                      <w:sz w:val="21"/>
                      <w:szCs w:val="21"/>
                      <w:highlight w:val="none"/>
                    </w:rPr>
                    <w:t>□</w:t>
                  </w:r>
                </w:p>
                <w:p>
                  <w:pPr>
                    <w:autoSpaceDE w:val="0"/>
                    <w:autoSpaceDN w:val="0"/>
                    <w:spacing w:line="240" w:lineRule="auto"/>
                    <w:ind w:right="480" w:rightChars="200" w:firstLine="420"/>
                    <w:jc w:val="center"/>
                    <w:textAlignment w:val="baseline"/>
                    <w:rPr>
                      <w:color w:val="auto"/>
                      <w:sz w:val="21"/>
                      <w:szCs w:val="21"/>
                      <w:highlight w:val="none"/>
                    </w:rPr>
                  </w:pPr>
                  <w:r>
                    <w:rPr>
                      <w:rFonts w:hint="eastAsia"/>
                      <w:color w:val="auto"/>
                      <w:sz w:val="21"/>
                      <w:szCs w:val="21"/>
                      <w:highlight w:val="none"/>
                    </w:rPr>
                    <w:t>不包括二次</w:t>
                  </w:r>
                  <w:r>
                    <w:rPr>
                      <w:color w:val="auto"/>
                      <w:sz w:val="21"/>
                      <w:szCs w:val="21"/>
                      <w:highlight w:val="none"/>
                    </w:rPr>
                    <w:t>PM2.5</w:t>
                  </w:r>
                  <w:r>
                    <w:rPr>
                      <w:rFonts w:ascii="Wingdings 2" w:hAnsi="Wingdings 2"/>
                      <w:color w:val="auto"/>
                      <w:sz w:val="21"/>
                      <w:szCs w:val="21"/>
                      <w:highlight w:val="none"/>
                    </w:rPr>
                    <w:sym w:font="Wingdings 2" w:char="00A3"/>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55" w:type="dxa"/>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正常排放短期浓度贡献值</w:t>
                  </w:r>
                </w:p>
              </w:tc>
              <w:tc>
                <w:tcPr>
                  <w:tcW w:w="3687" w:type="dxa"/>
                  <w:gridSpan w:val="10"/>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本项目</w:t>
                  </w:r>
                  <w:r>
                    <w:rPr>
                      <w:rFonts w:hint="eastAsia"/>
                      <w:color w:val="auto"/>
                      <w:sz w:val="21"/>
                      <w:szCs w:val="21"/>
                      <w:highlight w:val="none"/>
                    </w:rPr>
                    <w:t>最大占标率≤</w:t>
                  </w:r>
                  <w:r>
                    <w:rPr>
                      <w:color w:val="auto"/>
                      <w:sz w:val="21"/>
                      <w:szCs w:val="21"/>
                      <w:highlight w:val="none"/>
                    </w:rPr>
                    <w:t>100%</w:t>
                  </w:r>
                  <w:r>
                    <w:rPr>
                      <w:rFonts w:ascii="Wingdings 2" w:hAnsi="Wingdings 2"/>
                      <w:color w:val="auto"/>
                      <w:sz w:val="21"/>
                      <w:szCs w:val="21"/>
                      <w:highlight w:val="none"/>
                    </w:rPr>
                    <w:sym w:font="Wingdings 2" w:char="00A3"/>
                  </w:r>
                </w:p>
              </w:tc>
              <w:tc>
                <w:tcPr>
                  <w:tcW w:w="3453" w:type="dxa"/>
                  <w:gridSpan w:val="7"/>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本项目</w:t>
                  </w:r>
                  <w:r>
                    <w:rPr>
                      <w:rFonts w:hint="eastAsia"/>
                      <w:color w:val="auto"/>
                      <w:sz w:val="21"/>
                      <w:szCs w:val="21"/>
                      <w:highlight w:val="none"/>
                    </w:rPr>
                    <w:t>最大占标率＞</w:t>
                  </w:r>
                  <w:r>
                    <w:rPr>
                      <w:color w:val="auto"/>
                      <w:sz w:val="21"/>
                      <w:szCs w:val="21"/>
                      <w:highlight w:val="none"/>
                    </w:rPr>
                    <w:t>100%</w:t>
                  </w: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Merge w:val="restart"/>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正常排放年均浓度贡献值</w:t>
                  </w:r>
                </w:p>
              </w:tc>
              <w:tc>
                <w:tcPr>
                  <w:tcW w:w="883" w:type="dxa"/>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一类区</w:t>
                  </w:r>
                </w:p>
              </w:tc>
              <w:tc>
                <w:tcPr>
                  <w:tcW w:w="2804" w:type="dxa"/>
                  <w:gridSpan w:val="9"/>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本项目</w:t>
                  </w:r>
                  <w:r>
                    <w:rPr>
                      <w:rFonts w:hint="eastAsia"/>
                      <w:color w:val="auto"/>
                      <w:sz w:val="21"/>
                      <w:szCs w:val="21"/>
                      <w:highlight w:val="none"/>
                    </w:rPr>
                    <w:t>最大占标率≤</w:t>
                  </w:r>
                  <w:r>
                    <w:rPr>
                      <w:color w:val="auto"/>
                      <w:sz w:val="21"/>
                      <w:szCs w:val="21"/>
                      <w:highlight w:val="none"/>
                    </w:rPr>
                    <w:t>10%</w:t>
                  </w:r>
                  <w:r>
                    <w:rPr>
                      <w:rFonts w:hint="eastAsia"/>
                      <w:color w:val="auto"/>
                      <w:sz w:val="21"/>
                      <w:szCs w:val="21"/>
                      <w:highlight w:val="none"/>
                    </w:rPr>
                    <w:t>□</w:t>
                  </w:r>
                </w:p>
              </w:tc>
              <w:tc>
                <w:tcPr>
                  <w:tcW w:w="3453" w:type="dxa"/>
                  <w:gridSpan w:val="7"/>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本项目</w:t>
                  </w:r>
                  <w:r>
                    <w:rPr>
                      <w:rFonts w:hint="eastAsia"/>
                      <w:color w:val="auto"/>
                      <w:sz w:val="21"/>
                      <w:szCs w:val="21"/>
                      <w:highlight w:val="none"/>
                    </w:rPr>
                    <w:t>最大占标率＞</w:t>
                  </w:r>
                  <w:r>
                    <w:rPr>
                      <w:color w:val="auto"/>
                      <w:sz w:val="21"/>
                      <w:szCs w:val="21"/>
                      <w:highlight w:val="none"/>
                    </w:rPr>
                    <w:t>10%</w:t>
                  </w: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Merge w:val="continue"/>
                  <w:vAlign w:val="center"/>
                </w:tcPr>
                <w:p>
                  <w:pPr>
                    <w:spacing w:line="240" w:lineRule="auto"/>
                    <w:ind w:firstLine="420"/>
                    <w:jc w:val="center"/>
                    <w:rPr>
                      <w:color w:val="auto"/>
                      <w:sz w:val="21"/>
                      <w:szCs w:val="21"/>
                      <w:highlight w:val="none"/>
                    </w:rPr>
                  </w:pPr>
                </w:p>
              </w:tc>
              <w:tc>
                <w:tcPr>
                  <w:tcW w:w="883" w:type="dxa"/>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二类区</w:t>
                  </w:r>
                </w:p>
              </w:tc>
              <w:tc>
                <w:tcPr>
                  <w:tcW w:w="2804" w:type="dxa"/>
                  <w:gridSpan w:val="9"/>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本项目</w:t>
                  </w:r>
                  <w:r>
                    <w:rPr>
                      <w:rFonts w:hint="eastAsia"/>
                      <w:color w:val="auto"/>
                      <w:sz w:val="21"/>
                      <w:szCs w:val="21"/>
                      <w:highlight w:val="none"/>
                    </w:rPr>
                    <w:t>最大占标率≤</w:t>
                  </w:r>
                  <w:r>
                    <w:rPr>
                      <w:color w:val="auto"/>
                      <w:sz w:val="21"/>
                      <w:szCs w:val="21"/>
                      <w:highlight w:val="none"/>
                    </w:rPr>
                    <w:t>30%</w:t>
                  </w:r>
                  <w:r>
                    <w:rPr>
                      <w:rFonts w:hint="eastAsia"/>
                      <w:color w:val="auto"/>
                      <w:sz w:val="21"/>
                      <w:szCs w:val="21"/>
                      <w:highlight w:val="none"/>
                    </w:rPr>
                    <w:sym w:font="Wingdings 2" w:char="00A3"/>
                  </w:r>
                </w:p>
              </w:tc>
              <w:tc>
                <w:tcPr>
                  <w:tcW w:w="3453" w:type="dxa"/>
                  <w:gridSpan w:val="7"/>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本项目</w:t>
                  </w:r>
                  <w:r>
                    <w:rPr>
                      <w:rFonts w:hint="eastAsia"/>
                      <w:color w:val="auto"/>
                      <w:sz w:val="21"/>
                      <w:szCs w:val="21"/>
                      <w:highlight w:val="none"/>
                    </w:rPr>
                    <w:t>最大占标率＞</w:t>
                  </w:r>
                  <w:r>
                    <w:rPr>
                      <w:color w:val="auto"/>
                      <w:sz w:val="21"/>
                      <w:szCs w:val="21"/>
                      <w:highlight w:val="none"/>
                    </w:rPr>
                    <w:t>30%</w:t>
                  </w: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非正常排放</w:t>
                  </w:r>
                  <w:r>
                    <w:rPr>
                      <w:color w:val="auto"/>
                      <w:sz w:val="21"/>
                      <w:szCs w:val="21"/>
                      <w:highlight w:val="none"/>
                    </w:rPr>
                    <w:t>1h</w:t>
                  </w:r>
                  <w:r>
                    <w:rPr>
                      <w:rFonts w:hint="eastAsia"/>
                      <w:color w:val="auto"/>
                      <w:sz w:val="21"/>
                      <w:szCs w:val="21"/>
                      <w:highlight w:val="none"/>
                    </w:rPr>
                    <w:t>浓度贡献值</w:t>
                  </w:r>
                </w:p>
              </w:tc>
              <w:tc>
                <w:tcPr>
                  <w:tcW w:w="2274" w:type="dxa"/>
                  <w:gridSpan w:val="8"/>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非正常持续时长（/）</w:t>
                  </w:r>
                  <w:r>
                    <w:rPr>
                      <w:color w:val="auto"/>
                      <w:sz w:val="21"/>
                      <w:szCs w:val="21"/>
                      <w:highlight w:val="none"/>
                    </w:rPr>
                    <w:t>h</w:t>
                  </w:r>
                </w:p>
              </w:tc>
              <w:tc>
                <w:tcPr>
                  <w:tcW w:w="2657" w:type="dxa"/>
                  <w:gridSpan w:val="4"/>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非正常</w:t>
                  </w:r>
                  <w:r>
                    <w:rPr>
                      <w:rFonts w:hint="eastAsia"/>
                      <w:color w:val="auto"/>
                      <w:sz w:val="21"/>
                      <w:szCs w:val="21"/>
                      <w:highlight w:val="none"/>
                    </w:rPr>
                    <w:t>占标率≤</w:t>
                  </w:r>
                  <w:r>
                    <w:rPr>
                      <w:color w:val="auto"/>
                      <w:sz w:val="21"/>
                      <w:szCs w:val="21"/>
                      <w:highlight w:val="none"/>
                    </w:rPr>
                    <w:t>100%</w:t>
                  </w:r>
                  <w:r>
                    <w:rPr>
                      <w:rFonts w:ascii="Wingdings 2" w:hAnsi="Wingdings 2"/>
                      <w:color w:val="auto"/>
                      <w:sz w:val="21"/>
                      <w:szCs w:val="21"/>
                      <w:highlight w:val="none"/>
                    </w:rPr>
                    <w:sym w:font="Wingdings 2" w:char="00A3"/>
                  </w:r>
                </w:p>
              </w:tc>
              <w:tc>
                <w:tcPr>
                  <w:tcW w:w="2209" w:type="dxa"/>
                  <w:gridSpan w:val="5"/>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vertAlign w:val="subscript"/>
                    </w:rPr>
                    <w:t>非正常</w:t>
                  </w:r>
                  <w:r>
                    <w:rPr>
                      <w:rFonts w:hint="eastAsia"/>
                      <w:color w:val="auto"/>
                      <w:sz w:val="21"/>
                      <w:szCs w:val="21"/>
                      <w:highlight w:val="none"/>
                    </w:rPr>
                    <w:t>占标率＞</w:t>
                  </w:r>
                  <w:r>
                    <w:rPr>
                      <w:color w:val="auto"/>
                      <w:sz w:val="21"/>
                      <w:szCs w:val="21"/>
                      <w:highlight w:val="none"/>
                    </w:rPr>
                    <w:t>100%</w:t>
                  </w: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保证率日平均浓度和年平均浓度叠加值</w:t>
                  </w:r>
                </w:p>
              </w:tc>
              <w:tc>
                <w:tcPr>
                  <w:tcW w:w="3687" w:type="dxa"/>
                  <w:gridSpan w:val="10"/>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rPr>
                    <w:t>叠加达标</w:t>
                  </w:r>
                  <w:r>
                    <w:rPr>
                      <w:rFonts w:hint="eastAsia"/>
                      <w:color w:val="auto"/>
                      <w:sz w:val="21"/>
                      <w:szCs w:val="21"/>
                      <w:highlight w:val="none"/>
                    </w:rPr>
                    <w:sym w:font="Wingdings 2" w:char="00A3"/>
                  </w:r>
                </w:p>
              </w:tc>
              <w:tc>
                <w:tcPr>
                  <w:tcW w:w="3453" w:type="dxa"/>
                  <w:gridSpan w:val="7"/>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C</w:t>
                  </w:r>
                  <w:r>
                    <w:rPr>
                      <w:rFonts w:hint="eastAsia"/>
                      <w:color w:val="auto"/>
                      <w:sz w:val="21"/>
                      <w:szCs w:val="21"/>
                      <w:highlight w:val="none"/>
                    </w:rPr>
                    <w:t>叠加不达标□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区域环境质量的整体变化情况</w:t>
                  </w:r>
                </w:p>
              </w:tc>
              <w:tc>
                <w:tcPr>
                  <w:tcW w:w="3687" w:type="dxa"/>
                  <w:gridSpan w:val="10"/>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k</w:t>
                  </w:r>
                  <w:r>
                    <w:rPr>
                      <w:rFonts w:hint="eastAsia"/>
                      <w:color w:val="auto"/>
                      <w:sz w:val="21"/>
                      <w:szCs w:val="21"/>
                      <w:highlight w:val="none"/>
                    </w:rPr>
                    <w:t>≤</w:t>
                  </w:r>
                  <w:r>
                    <w:rPr>
                      <w:color w:val="auto"/>
                      <w:sz w:val="21"/>
                      <w:szCs w:val="21"/>
                      <w:highlight w:val="none"/>
                    </w:rPr>
                    <w:t>-20%</w:t>
                  </w:r>
                  <w:r>
                    <w:rPr>
                      <w:rFonts w:hint="eastAsia"/>
                      <w:color w:val="auto"/>
                      <w:sz w:val="21"/>
                      <w:szCs w:val="21"/>
                      <w:highlight w:val="none"/>
                    </w:rPr>
                    <w:t>□</w:t>
                  </w:r>
                </w:p>
              </w:tc>
              <w:tc>
                <w:tcPr>
                  <w:tcW w:w="3453" w:type="dxa"/>
                  <w:gridSpan w:val="7"/>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K</w:t>
                  </w:r>
                  <w:r>
                    <w:rPr>
                      <w:rFonts w:hint="eastAsia"/>
                      <w:color w:val="auto"/>
                      <w:sz w:val="21"/>
                      <w:szCs w:val="21"/>
                      <w:highlight w:val="none"/>
                    </w:rPr>
                    <w:t>＞</w:t>
                  </w:r>
                  <w:r>
                    <w:rPr>
                      <w:color w:val="auto"/>
                      <w:sz w:val="21"/>
                      <w:szCs w:val="21"/>
                      <w:highlight w:val="none"/>
                    </w:rPr>
                    <w:t>-20%</w:t>
                  </w: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restart"/>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环境监测计划</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污染源监测</w:t>
                  </w:r>
                </w:p>
              </w:tc>
              <w:tc>
                <w:tcPr>
                  <w:tcW w:w="2274" w:type="dxa"/>
                  <w:gridSpan w:val="8"/>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监测因子：（/）</w:t>
                  </w:r>
                </w:p>
              </w:tc>
              <w:tc>
                <w:tcPr>
                  <w:tcW w:w="2657" w:type="dxa"/>
                  <w:gridSpan w:val="4"/>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有组织废气监测</w:t>
                  </w:r>
                  <w:r>
                    <w:rPr>
                      <w:rFonts w:ascii="Wingdings 2" w:hAnsi="Wingdings 2"/>
                      <w:color w:val="auto"/>
                      <w:sz w:val="21"/>
                      <w:szCs w:val="21"/>
                      <w:highlight w:val="none"/>
                    </w:rPr>
                    <w:t></w:t>
                  </w:r>
                </w:p>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无组织废气监测</w:t>
                  </w:r>
                  <w:r>
                    <w:rPr>
                      <w:rFonts w:hint="eastAsia"/>
                      <w:color w:val="auto"/>
                      <w:sz w:val="21"/>
                      <w:szCs w:val="21"/>
                      <w:highlight w:val="none"/>
                    </w:rPr>
                    <w:sym w:font="Wingdings 2" w:char="0052"/>
                  </w:r>
                </w:p>
              </w:tc>
              <w:tc>
                <w:tcPr>
                  <w:tcW w:w="2209" w:type="dxa"/>
                  <w:gridSpan w:val="5"/>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无监测□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环境质量监测</w:t>
                  </w:r>
                </w:p>
              </w:tc>
              <w:tc>
                <w:tcPr>
                  <w:tcW w:w="2274" w:type="dxa"/>
                  <w:gridSpan w:val="8"/>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监测因子：</w:t>
                  </w:r>
                  <w:r>
                    <w:rPr>
                      <w:color w:val="auto"/>
                      <w:sz w:val="21"/>
                      <w:szCs w:val="21"/>
                      <w:highlight w:val="none"/>
                      <w:lang w:bidi="ar"/>
                    </w:rPr>
                    <w:t>（SO</w:t>
                  </w:r>
                  <w:r>
                    <w:rPr>
                      <w:color w:val="auto"/>
                      <w:sz w:val="21"/>
                      <w:szCs w:val="21"/>
                      <w:highlight w:val="none"/>
                      <w:vertAlign w:val="subscript"/>
                      <w:lang w:bidi="ar"/>
                    </w:rPr>
                    <w:t>2</w:t>
                  </w:r>
                  <w:r>
                    <w:rPr>
                      <w:color w:val="auto"/>
                      <w:sz w:val="21"/>
                      <w:szCs w:val="21"/>
                      <w:highlight w:val="none"/>
                      <w:lang w:bidi="ar"/>
                    </w:rPr>
                    <w:t>、PM</w:t>
                  </w:r>
                  <w:r>
                    <w:rPr>
                      <w:color w:val="auto"/>
                      <w:sz w:val="21"/>
                      <w:szCs w:val="21"/>
                      <w:highlight w:val="none"/>
                      <w:vertAlign w:val="subscript"/>
                      <w:lang w:bidi="ar"/>
                    </w:rPr>
                    <w:t>10</w:t>
                  </w:r>
                  <w:r>
                    <w:rPr>
                      <w:color w:val="auto"/>
                      <w:sz w:val="21"/>
                      <w:szCs w:val="21"/>
                      <w:highlight w:val="none"/>
                      <w:lang w:bidi="ar"/>
                    </w:rPr>
                    <w:t>、PM</w:t>
                  </w:r>
                  <w:r>
                    <w:rPr>
                      <w:rFonts w:hint="eastAsia"/>
                      <w:color w:val="auto"/>
                      <w:sz w:val="21"/>
                      <w:szCs w:val="21"/>
                      <w:highlight w:val="none"/>
                      <w:vertAlign w:val="subscript"/>
                      <w:lang w:bidi="ar"/>
                    </w:rPr>
                    <w:t>2.5</w:t>
                  </w:r>
                  <w:r>
                    <w:rPr>
                      <w:rFonts w:hint="eastAsia"/>
                      <w:color w:val="auto"/>
                      <w:sz w:val="21"/>
                      <w:szCs w:val="21"/>
                      <w:highlight w:val="none"/>
                      <w:lang w:bidi="ar"/>
                    </w:rPr>
                    <w:t>、</w:t>
                  </w:r>
                  <w:r>
                    <w:rPr>
                      <w:color w:val="auto"/>
                      <w:sz w:val="21"/>
                      <w:szCs w:val="21"/>
                      <w:highlight w:val="none"/>
                      <w:lang w:bidi="ar"/>
                    </w:rPr>
                    <w:t>NO</w:t>
                  </w:r>
                  <w:r>
                    <w:rPr>
                      <w:color w:val="auto"/>
                      <w:sz w:val="21"/>
                      <w:szCs w:val="21"/>
                      <w:highlight w:val="none"/>
                      <w:vertAlign w:val="subscript"/>
                      <w:lang w:bidi="ar"/>
                    </w:rPr>
                    <w:t>2</w:t>
                  </w:r>
                  <w:r>
                    <w:rPr>
                      <w:color w:val="auto"/>
                      <w:sz w:val="21"/>
                      <w:szCs w:val="21"/>
                      <w:highlight w:val="none"/>
                      <w:lang w:bidi="ar"/>
                    </w:rPr>
                    <w:t>、O</w:t>
                  </w:r>
                  <w:r>
                    <w:rPr>
                      <w:color w:val="auto"/>
                      <w:sz w:val="21"/>
                      <w:szCs w:val="21"/>
                      <w:highlight w:val="none"/>
                      <w:vertAlign w:val="subscript"/>
                      <w:lang w:bidi="ar"/>
                    </w:rPr>
                    <w:t>3</w:t>
                  </w:r>
                  <w:r>
                    <w:rPr>
                      <w:color w:val="auto"/>
                      <w:sz w:val="21"/>
                      <w:szCs w:val="21"/>
                      <w:highlight w:val="none"/>
                      <w:lang w:bidi="ar"/>
                    </w:rPr>
                    <w:t>、CO、）</w:t>
                  </w:r>
                </w:p>
              </w:tc>
              <w:tc>
                <w:tcPr>
                  <w:tcW w:w="2657" w:type="dxa"/>
                  <w:gridSpan w:val="4"/>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监测点位数（3）</w:t>
                  </w:r>
                </w:p>
              </w:tc>
              <w:tc>
                <w:tcPr>
                  <w:tcW w:w="2209" w:type="dxa"/>
                  <w:gridSpan w:val="5"/>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无监测□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755" w:type="dxa"/>
                  <w:vMerge w:val="restart"/>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评价结论</w:t>
                  </w: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环境影响</w:t>
                  </w:r>
                </w:p>
              </w:tc>
              <w:tc>
                <w:tcPr>
                  <w:tcW w:w="7140" w:type="dxa"/>
                  <w:gridSpan w:val="1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可以接受</w:t>
                  </w:r>
                  <w:r>
                    <w:rPr>
                      <w:rFonts w:ascii="Wingdings 2" w:hAnsi="Wingdings 2"/>
                      <w:color w:val="auto"/>
                      <w:sz w:val="21"/>
                      <w:szCs w:val="21"/>
                      <w:highlight w:val="none"/>
                    </w:rPr>
                    <w:t></w:t>
                  </w:r>
                  <w:r>
                    <w:rPr>
                      <w:rFonts w:hint="eastAsia"/>
                      <w:color w:val="auto"/>
                      <w:sz w:val="21"/>
                      <w:szCs w:val="21"/>
                      <w:highlight w:val="none"/>
                    </w:rPr>
                    <w:t>不可以接受□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大气环境防护距离</w:t>
                  </w:r>
                </w:p>
              </w:tc>
              <w:tc>
                <w:tcPr>
                  <w:tcW w:w="7140" w:type="dxa"/>
                  <w:gridSpan w:val="17"/>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距（/）厂界最远（/）</w:t>
                  </w:r>
                  <w:r>
                    <w:rPr>
                      <w:color w:val="auto"/>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755" w:type="dxa"/>
                  <w:vMerge w:val="continue"/>
                  <w:vAlign w:val="center"/>
                </w:tcPr>
                <w:p>
                  <w:pPr>
                    <w:spacing w:line="240" w:lineRule="auto"/>
                    <w:ind w:firstLine="420"/>
                    <w:jc w:val="center"/>
                    <w:rPr>
                      <w:color w:val="auto"/>
                      <w:sz w:val="21"/>
                      <w:szCs w:val="21"/>
                      <w:highlight w:val="none"/>
                    </w:rPr>
                  </w:pPr>
                </w:p>
              </w:tc>
              <w:tc>
                <w:tcPr>
                  <w:tcW w:w="1145" w:type="dxa"/>
                  <w:vAlign w:val="center"/>
                </w:tcPr>
                <w:p>
                  <w:pPr>
                    <w:autoSpaceDE w:val="0"/>
                    <w:autoSpaceDN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污染源年排放量</w:t>
                  </w:r>
                </w:p>
              </w:tc>
              <w:tc>
                <w:tcPr>
                  <w:tcW w:w="1678" w:type="dxa"/>
                  <w:gridSpan w:val="5"/>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SO</w:t>
                  </w:r>
                  <w:r>
                    <w:rPr>
                      <w:color w:val="auto"/>
                      <w:sz w:val="21"/>
                      <w:szCs w:val="21"/>
                      <w:highlight w:val="none"/>
                      <w:vertAlign w:val="subscript"/>
                    </w:rPr>
                    <w:t>2</w:t>
                  </w:r>
                  <w:r>
                    <w:rPr>
                      <w:rFonts w:hint="eastAsia"/>
                      <w:color w:val="auto"/>
                      <w:sz w:val="21"/>
                      <w:szCs w:val="21"/>
                      <w:highlight w:val="none"/>
                    </w:rPr>
                    <w:t>：（0）</w:t>
                  </w:r>
                  <w:r>
                    <w:rPr>
                      <w:color w:val="auto"/>
                      <w:sz w:val="21"/>
                      <w:szCs w:val="21"/>
                      <w:highlight w:val="none"/>
                    </w:rPr>
                    <w:t>t/a</w:t>
                  </w:r>
                </w:p>
              </w:tc>
              <w:tc>
                <w:tcPr>
                  <w:tcW w:w="2009" w:type="dxa"/>
                  <w:gridSpan w:val="5"/>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NOx</w:t>
                  </w:r>
                  <w:r>
                    <w:rPr>
                      <w:rFonts w:hint="eastAsia"/>
                      <w:color w:val="auto"/>
                      <w:sz w:val="21"/>
                      <w:szCs w:val="21"/>
                      <w:highlight w:val="none"/>
                    </w:rPr>
                    <w:t>：（0）</w:t>
                  </w:r>
                  <w:r>
                    <w:rPr>
                      <w:color w:val="auto"/>
                      <w:sz w:val="21"/>
                      <w:szCs w:val="21"/>
                      <w:highlight w:val="none"/>
                    </w:rPr>
                    <w:t>t/a</w:t>
                  </w:r>
                </w:p>
              </w:tc>
              <w:tc>
                <w:tcPr>
                  <w:tcW w:w="1784" w:type="dxa"/>
                  <w:gridSpan w:val="4"/>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颗粒物：（0）</w:t>
                  </w:r>
                  <w:r>
                    <w:rPr>
                      <w:color w:val="auto"/>
                      <w:sz w:val="21"/>
                      <w:szCs w:val="21"/>
                      <w:highlight w:val="none"/>
                    </w:rPr>
                    <w:t>t/a</w:t>
                  </w:r>
                </w:p>
              </w:tc>
              <w:tc>
                <w:tcPr>
                  <w:tcW w:w="1669" w:type="dxa"/>
                  <w:gridSpan w:val="3"/>
                  <w:vAlign w:val="center"/>
                </w:tcPr>
                <w:p>
                  <w:pPr>
                    <w:autoSpaceDE w:val="0"/>
                    <w:autoSpaceDN w:val="0"/>
                    <w:spacing w:line="240" w:lineRule="auto"/>
                    <w:ind w:firstLine="420"/>
                    <w:jc w:val="center"/>
                    <w:textAlignment w:val="baseline"/>
                    <w:rPr>
                      <w:color w:val="auto"/>
                      <w:sz w:val="21"/>
                      <w:szCs w:val="21"/>
                      <w:highlight w:val="none"/>
                    </w:rPr>
                  </w:pPr>
                  <w:r>
                    <w:rPr>
                      <w:color w:val="auto"/>
                      <w:sz w:val="21"/>
                      <w:szCs w:val="21"/>
                      <w:highlight w:val="none"/>
                    </w:rPr>
                    <w:t>VOCs</w:t>
                  </w:r>
                  <w:r>
                    <w:rPr>
                      <w:rFonts w:hint="eastAsia"/>
                      <w:color w:val="auto"/>
                      <w:sz w:val="21"/>
                      <w:szCs w:val="21"/>
                      <w:highlight w:val="none"/>
                    </w:rPr>
                    <w:t>：（0）</w:t>
                  </w:r>
                  <w:r>
                    <w:rPr>
                      <w:color w:val="auto"/>
                      <w:sz w:val="21"/>
                      <w:szCs w:val="21"/>
                      <w:highlight w:val="non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9040" w:type="dxa"/>
                  <w:gridSpan w:val="19"/>
                  <w:vAlign w:val="center"/>
                </w:tcPr>
                <w:p>
                  <w:pPr>
                    <w:autoSpaceDE w:val="0"/>
                    <w:autoSpaceDN w:val="0"/>
                    <w:spacing w:line="240" w:lineRule="auto"/>
                    <w:ind w:firstLine="420"/>
                    <w:jc w:val="center"/>
                    <w:textAlignment w:val="baseline"/>
                    <w:rPr>
                      <w:color w:val="auto"/>
                      <w:sz w:val="21"/>
                      <w:szCs w:val="21"/>
                      <w:highlight w:val="none"/>
                    </w:rPr>
                  </w:pPr>
                  <w:r>
                    <w:rPr>
                      <w:rFonts w:hint="eastAsia"/>
                      <w:color w:val="auto"/>
                      <w:sz w:val="21"/>
                      <w:szCs w:val="21"/>
                      <w:highlight w:val="none"/>
                    </w:rPr>
                    <w:t>注：“□”为勾选项，填“</w:t>
                  </w:r>
                  <w:r>
                    <w:rPr>
                      <w:rFonts w:hint="eastAsia" w:ascii="宋体" w:hAnsi="宋体"/>
                      <w:color w:val="auto"/>
                      <w:sz w:val="21"/>
                      <w:szCs w:val="21"/>
                      <w:highlight w:val="none"/>
                    </w:rPr>
                    <w:t>√</w:t>
                  </w:r>
                  <w:r>
                    <w:rPr>
                      <w:rFonts w:hint="eastAsia"/>
                      <w:color w:val="auto"/>
                      <w:sz w:val="21"/>
                      <w:szCs w:val="21"/>
                      <w:highlight w:val="none"/>
                    </w:rPr>
                    <w:t>”；“（）”为内容填写项</w:t>
                  </w:r>
                </w:p>
              </w:tc>
            </w:tr>
          </w:tbl>
          <w:p>
            <w:pPr>
              <w:spacing w:line="360" w:lineRule="auto"/>
              <w:ind w:firstLine="482"/>
              <w:rPr>
                <w:b/>
                <w:color w:val="auto"/>
                <w:highlight w:val="none"/>
              </w:rPr>
            </w:pPr>
            <w:r>
              <w:rPr>
                <w:rFonts w:hint="eastAsia"/>
                <w:b/>
                <w:color w:val="auto"/>
                <w:highlight w:val="none"/>
              </w:rPr>
              <w:t>2.2地表水</w:t>
            </w:r>
            <w:r>
              <w:rPr>
                <w:b/>
                <w:color w:val="auto"/>
                <w:highlight w:val="none"/>
              </w:rPr>
              <w:t>影响分析</w:t>
            </w:r>
          </w:p>
          <w:bookmarkEnd w:id="61"/>
          <w:p>
            <w:pPr>
              <w:spacing w:line="360" w:lineRule="auto"/>
              <w:ind w:firstLine="482"/>
              <w:rPr>
                <w:b/>
                <w:bCs/>
                <w:color w:val="auto"/>
                <w:highlight w:val="none"/>
              </w:rPr>
            </w:pPr>
            <w:r>
              <w:rPr>
                <w:rFonts w:hint="eastAsia"/>
                <w:b/>
                <w:bCs/>
                <w:color w:val="auto"/>
                <w:highlight w:val="none"/>
              </w:rPr>
              <w:t>（1）项目废水排放情况</w:t>
            </w:r>
          </w:p>
          <w:p>
            <w:pPr>
              <w:spacing w:line="360" w:lineRule="auto"/>
              <w:rPr>
                <w:color w:val="auto"/>
                <w:highlight w:val="none"/>
                <w:lang w:val="zh-CN"/>
              </w:rPr>
            </w:pPr>
            <w:r>
              <w:rPr>
                <w:rFonts w:hint="eastAsia"/>
                <w:color w:val="auto"/>
                <w:highlight w:val="none"/>
                <w:lang w:val="zh-CN"/>
              </w:rPr>
              <w:t>根据工程分析，项目营运期产生的废水主要为水厂的员工生活污水、反冲洗废水、排泥水</w:t>
            </w:r>
            <w:r>
              <w:rPr>
                <w:rFonts w:hint="eastAsia"/>
                <w:color w:val="auto"/>
                <w:highlight w:val="none"/>
                <w:lang w:val="en-US" w:eastAsia="zh-CN"/>
              </w:rPr>
              <w:t>及化验室废水</w:t>
            </w:r>
            <w:r>
              <w:rPr>
                <w:rFonts w:hint="eastAsia"/>
                <w:color w:val="auto"/>
                <w:highlight w:val="none"/>
                <w:lang w:val="zh-CN"/>
              </w:rPr>
              <w:t>，</w:t>
            </w:r>
            <w:r>
              <w:rPr>
                <w:rFonts w:hint="eastAsia"/>
                <w:color w:val="auto"/>
                <w:highlight w:val="none"/>
                <w:lang w:val="en-US" w:eastAsia="zh-CN"/>
              </w:rPr>
              <w:t>化验室废水</w:t>
            </w:r>
            <w:r>
              <w:rPr>
                <w:rFonts w:hint="eastAsia"/>
                <w:color w:val="auto"/>
                <w:highlight w:val="none"/>
                <w:lang w:val="zh-CN" w:eastAsia="zh-CN"/>
              </w:rPr>
              <w:t>经收集后进中和池内采取中和处理法进行处理，用碱中和至pH中性后再排入</w:t>
            </w:r>
            <w:r>
              <w:rPr>
                <w:rFonts w:hint="eastAsia"/>
                <w:color w:val="auto"/>
                <w:highlight w:val="none"/>
                <w:lang w:val="en-US" w:eastAsia="zh-CN"/>
              </w:rPr>
              <w:t>厂区排污管道同生活污水处理，</w:t>
            </w:r>
            <w:r>
              <w:rPr>
                <w:rFonts w:hint="eastAsia"/>
                <w:color w:val="auto"/>
                <w:highlight w:val="none"/>
                <w:lang w:val="zh-CN"/>
              </w:rPr>
              <w:t>自来水厂的员工生活污水经地埋式一体化污水处理设施处理（食堂段设隔油池）达到《污水综合排放标准》（GB8978-1996）表4中一级标准后，用于周边林地、农田、菜地施肥及厂区绿化；反冲洗废水经排水池收集后送至机械搅拌池回用，不外排；排泥废水排入澄清池，上清液回流至原水，污泥排入污泥浓缩池，上清液回流至澄清池，污泥经脱水后前期运至祁阳海螺水泥厂同生活垃圾焚烧处理，后期外运至祁阳县污泥集中处置中心处置。</w:t>
            </w:r>
          </w:p>
          <w:p>
            <w:pPr>
              <w:spacing w:line="360" w:lineRule="auto"/>
              <w:ind w:firstLine="482"/>
              <w:rPr>
                <w:b/>
                <w:bCs/>
                <w:color w:val="auto"/>
                <w:highlight w:val="none"/>
              </w:rPr>
            </w:pPr>
            <w:r>
              <w:rPr>
                <w:rFonts w:hint="eastAsia"/>
                <w:b/>
                <w:bCs/>
                <w:color w:val="auto"/>
                <w:highlight w:val="none"/>
              </w:rPr>
              <w:t>（2）</w:t>
            </w:r>
            <w:r>
              <w:rPr>
                <w:b/>
                <w:bCs/>
                <w:snapToGrid w:val="0"/>
                <w:color w:val="auto"/>
                <w:kern w:val="0"/>
                <w:highlight w:val="none"/>
              </w:rPr>
              <w:t>项目</w:t>
            </w:r>
            <w:r>
              <w:rPr>
                <w:rFonts w:hint="eastAsia"/>
                <w:b/>
                <w:bCs/>
                <w:snapToGrid w:val="0"/>
                <w:color w:val="auto"/>
                <w:kern w:val="0"/>
                <w:highlight w:val="none"/>
              </w:rPr>
              <w:t>厂区</w:t>
            </w:r>
            <w:r>
              <w:rPr>
                <w:b/>
                <w:bCs/>
                <w:snapToGrid w:val="0"/>
                <w:color w:val="auto"/>
                <w:kern w:val="0"/>
                <w:highlight w:val="none"/>
              </w:rPr>
              <w:t>生活污水处理设施可行性分析</w:t>
            </w:r>
          </w:p>
          <w:p>
            <w:pPr>
              <w:spacing w:line="360" w:lineRule="auto"/>
              <w:jc w:val="left"/>
              <w:rPr>
                <w:color w:val="auto"/>
                <w:highlight w:val="none"/>
              </w:rPr>
            </w:pPr>
            <w:r>
              <w:rPr>
                <w:color w:val="auto"/>
                <w:highlight w:val="none"/>
              </w:rPr>
              <w:t>本项目在营运过程中主要产生的废水</w:t>
            </w:r>
            <w:r>
              <w:rPr>
                <w:rFonts w:hint="eastAsia"/>
                <w:color w:val="auto"/>
                <w:highlight w:val="none"/>
              </w:rPr>
              <w:t>为厂区</w:t>
            </w:r>
            <w:r>
              <w:rPr>
                <w:color w:val="auto"/>
                <w:highlight w:val="none"/>
              </w:rPr>
              <w:t>生活污水，废水产生量为</w:t>
            </w:r>
            <w:r>
              <w:rPr>
                <w:rFonts w:hint="eastAsia"/>
                <w:color w:val="auto"/>
                <w:highlight w:val="none"/>
              </w:rPr>
              <w:t>1349.59m</w:t>
            </w:r>
            <w:r>
              <w:rPr>
                <w:rFonts w:hint="eastAsia"/>
                <w:color w:val="auto"/>
                <w:highlight w:val="none"/>
                <w:vertAlign w:val="superscript"/>
              </w:rPr>
              <w:t>3</w:t>
            </w:r>
            <w:r>
              <w:rPr>
                <w:rFonts w:hint="eastAsia"/>
                <w:color w:val="auto"/>
                <w:highlight w:val="none"/>
              </w:rPr>
              <w:t>/a</w:t>
            </w:r>
            <w:r>
              <w:rPr>
                <w:color w:val="auto"/>
                <w:highlight w:val="none"/>
              </w:rPr>
              <w:t>，废水日产生量取日最大排放量，则本项目废水日产生量为</w:t>
            </w:r>
            <w:r>
              <w:rPr>
                <w:rFonts w:hint="eastAsia"/>
                <w:color w:val="auto"/>
                <w:highlight w:val="none"/>
              </w:rPr>
              <w:t>3.697</w:t>
            </w:r>
            <w:r>
              <w:rPr>
                <w:color w:val="auto"/>
                <w:highlight w:val="none"/>
              </w:rPr>
              <w:t>m</w:t>
            </w:r>
            <w:r>
              <w:rPr>
                <w:color w:val="auto"/>
                <w:highlight w:val="none"/>
                <w:vertAlign w:val="superscript"/>
              </w:rPr>
              <w:t>3</w:t>
            </w:r>
            <w:r>
              <w:rPr>
                <w:color w:val="auto"/>
                <w:highlight w:val="none"/>
              </w:rPr>
              <w:t>，为保证本项目废水达标排放，污水处理站日处理规模设计按项目废水产生量的1.2倍设计，约</w:t>
            </w:r>
            <w:r>
              <w:rPr>
                <w:rFonts w:hint="eastAsia"/>
                <w:color w:val="auto"/>
                <w:highlight w:val="none"/>
              </w:rPr>
              <w:t>5</w:t>
            </w:r>
            <w:r>
              <w:rPr>
                <w:color w:val="auto"/>
                <w:highlight w:val="none"/>
              </w:rPr>
              <w:t>m</w:t>
            </w:r>
            <w:r>
              <w:rPr>
                <w:color w:val="auto"/>
                <w:highlight w:val="none"/>
                <w:vertAlign w:val="superscript"/>
              </w:rPr>
              <w:t>3</w:t>
            </w:r>
            <w:r>
              <w:rPr>
                <w:color w:val="auto"/>
                <w:highlight w:val="none"/>
              </w:rPr>
              <w:t>。</w:t>
            </w:r>
          </w:p>
          <w:p>
            <w:pPr>
              <w:spacing w:line="360" w:lineRule="auto"/>
              <w:jc w:val="left"/>
              <w:rPr>
                <w:color w:val="auto"/>
                <w:highlight w:val="none"/>
              </w:rPr>
            </w:pPr>
            <w:r>
              <w:rPr>
                <w:color w:val="auto"/>
                <w:highlight w:val="none"/>
              </w:rPr>
              <w:t>本项目废水中主要污染物为COD、BOD、SS、氨氮，环评建议采用调节池为预处理，生物氧化接触池中微生物将废水氧化分解，沉淀池将生物接触氧化池的出水进行沉淀，进入清水池收集后用于施肥，出水水质可达到《污水综合排放标准》（GB8978-1996）一级标准限值，出水浓度为pH6~9、CODcr≤100mg/L、BOD5≤20mg/L、SS≤70mg/L、氨氮≤15mg/L， 结合本厂预计废水产生量以及平面布置情况，污水处理站拟建于综合楼。具体废水处理工艺流程见图7-</w:t>
            </w:r>
            <w:r>
              <w:rPr>
                <w:rFonts w:hint="eastAsia"/>
                <w:color w:val="auto"/>
                <w:highlight w:val="none"/>
              </w:rPr>
              <w:t>1</w:t>
            </w:r>
            <w:r>
              <w:rPr>
                <w:color w:val="auto"/>
                <w:highlight w:val="none"/>
              </w:rPr>
              <w:t>。</w:t>
            </w:r>
          </w:p>
          <w:p>
            <w:pPr>
              <w:spacing w:line="240" w:lineRule="auto"/>
              <w:ind w:firstLine="422"/>
              <w:jc w:val="center"/>
              <w:rPr>
                <w:color w:val="auto"/>
                <w:highlight w:val="none"/>
                <w:u w:val="single"/>
              </w:rPr>
            </w:pPr>
            <w:r>
              <w:rPr>
                <w:b/>
                <w:bCs/>
                <w:color w:val="auto"/>
                <w:sz w:val="21"/>
                <w:szCs w:val="21"/>
                <w:highlight w:val="none"/>
              </w:rPr>
              <w:pict>
                <v:shape id="_x0000_s1057" o:spid="_x0000_s1057" o:spt="75" type="#_x0000_t75" style="position:absolute;left:0pt;margin-left:-2.55pt;margin-top:10.2pt;height:58.2pt;width:428.2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22" o:title=""/>
                  <o:lock v:ext="edit" aspectratio="f"/>
                  <w10:wrap type="square"/>
                </v:shape>
                <o:OLEObject Type="Embed" ProgID="Visio.Drawing.11" ShapeID="_x0000_s1057" DrawAspect="Content" ObjectID="_1468075728" r:id="rId21">
                  <o:LockedField>false</o:LockedField>
                </o:OLEObject>
              </w:pict>
            </w:r>
            <w:r>
              <w:rPr>
                <w:b/>
                <w:bCs/>
                <w:color w:val="auto"/>
                <w:sz w:val="21"/>
                <w:szCs w:val="21"/>
                <w:highlight w:val="none"/>
              </w:rPr>
              <w:t>图7-</w:t>
            </w:r>
            <w:r>
              <w:rPr>
                <w:rFonts w:hint="eastAsia"/>
                <w:b/>
                <w:bCs/>
                <w:color w:val="auto"/>
                <w:sz w:val="21"/>
                <w:szCs w:val="21"/>
                <w:highlight w:val="none"/>
              </w:rPr>
              <w:t>1</w:t>
            </w:r>
            <w:r>
              <w:rPr>
                <w:b/>
                <w:bCs/>
                <w:color w:val="auto"/>
                <w:sz w:val="21"/>
                <w:szCs w:val="21"/>
                <w:highlight w:val="none"/>
              </w:rPr>
              <w:t xml:space="preserve">   生活污水处理工艺流程图</w:t>
            </w:r>
          </w:p>
          <w:p>
            <w:pPr>
              <w:spacing w:line="360" w:lineRule="auto"/>
              <w:ind w:firstLine="482"/>
              <w:jc w:val="left"/>
              <w:rPr>
                <w:b/>
                <w:bCs/>
                <w:color w:val="auto"/>
                <w:highlight w:val="none"/>
                <w:lang w:val="zh-CN"/>
              </w:rPr>
            </w:pPr>
            <w:r>
              <w:rPr>
                <w:rFonts w:hint="eastAsia"/>
                <w:b/>
                <w:bCs/>
                <w:color w:val="auto"/>
                <w:highlight w:val="none"/>
                <w:lang w:val="zh-CN"/>
              </w:rPr>
              <w:t>（</w:t>
            </w:r>
            <w:r>
              <w:rPr>
                <w:rFonts w:hint="eastAsia"/>
                <w:b/>
                <w:bCs/>
                <w:color w:val="auto"/>
                <w:highlight w:val="none"/>
              </w:rPr>
              <w:t>2</w:t>
            </w:r>
            <w:r>
              <w:rPr>
                <w:rFonts w:hint="eastAsia"/>
                <w:b/>
                <w:bCs/>
                <w:color w:val="auto"/>
                <w:highlight w:val="none"/>
                <w:lang w:val="zh-CN"/>
              </w:rPr>
              <w:t>）</w:t>
            </w:r>
            <w:r>
              <w:rPr>
                <w:b/>
                <w:bCs/>
                <w:color w:val="auto"/>
                <w:highlight w:val="none"/>
                <w:lang w:val="zh-CN"/>
              </w:rPr>
              <w:t>废水不外排可行性分析</w:t>
            </w:r>
          </w:p>
          <w:p>
            <w:pPr>
              <w:spacing w:line="360" w:lineRule="auto"/>
              <w:jc w:val="left"/>
              <w:rPr>
                <w:color w:val="auto"/>
                <w:highlight w:val="none"/>
              </w:rPr>
            </w:pPr>
            <w:r>
              <w:rPr>
                <w:color w:val="auto"/>
                <w:highlight w:val="none"/>
                <w:lang w:val="zh-CN"/>
              </w:rPr>
              <w:t>本项目营运期生活污水，废水排放量为</w:t>
            </w:r>
            <w:r>
              <w:rPr>
                <w:rFonts w:hint="eastAsia"/>
                <w:color w:val="auto"/>
                <w:highlight w:val="none"/>
              </w:rPr>
              <w:t>1349.59</w:t>
            </w:r>
            <w:r>
              <w:rPr>
                <w:color w:val="auto"/>
                <w:highlight w:val="none"/>
              </w:rPr>
              <w:t>m</w:t>
            </w:r>
            <w:r>
              <w:rPr>
                <w:color w:val="auto"/>
                <w:highlight w:val="none"/>
                <w:vertAlign w:val="superscript"/>
              </w:rPr>
              <w:t>3</w:t>
            </w:r>
            <w:r>
              <w:rPr>
                <w:color w:val="auto"/>
                <w:highlight w:val="none"/>
              </w:rPr>
              <w:t>/a</w:t>
            </w:r>
            <w:r>
              <w:rPr>
                <w:color w:val="auto"/>
                <w:highlight w:val="none"/>
                <w:lang w:val="zh-CN"/>
              </w:rPr>
              <w:t>（</w:t>
            </w:r>
            <w:r>
              <w:rPr>
                <w:rFonts w:hint="eastAsia"/>
                <w:color w:val="auto"/>
                <w:highlight w:val="none"/>
              </w:rPr>
              <w:t>3.697</w:t>
            </w:r>
            <w:r>
              <w:rPr>
                <w:color w:val="auto"/>
                <w:highlight w:val="none"/>
                <w:lang w:val="zh-CN"/>
              </w:rPr>
              <w:t>m</w:t>
            </w:r>
            <w:r>
              <w:rPr>
                <w:color w:val="auto"/>
                <w:highlight w:val="none"/>
                <w:vertAlign w:val="superscript"/>
                <w:lang w:val="zh-CN"/>
              </w:rPr>
              <w:t>3</w:t>
            </w:r>
            <w:r>
              <w:rPr>
                <w:color w:val="auto"/>
                <w:highlight w:val="none"/>
                <w:lang w:val="zh-CN"/>
              </w:rPr>
              <w:t>/d）</w:t>
            </w:r>
            <w:r>
              <w:rPr>
                <w:color w:val="auto"/>
                <w:highlight w:val="none"/>
              </w:rPr>
              <w:t>，经厂区自建地埋式一体化污水处理设</w:t>
            </w:r>
            <w:r>
              <w:rPr>
                <w:color w:val="auto"/>
                <w:highlight w:val="none"/>
                <w:lang w:val="zh-CN"/>
              </w:rPr>
              <w:t>施处理达到《污水综合排放标准》（GB8978-1996）表4中一级标准后通过自建污水干管，回用于厂区绿化和</w:t>
            </w:r>
            <w:r>
              <w:rPr>
                <w:color w:val="auto"/>
                <w:highlight w:val="none"/>
              </w:rPr>
              <w:t>周边山地浇灌</w:t>
            </w:r>
            <w:r>
              <w:rPr>
                <w:color w:val="auto"/>
                <w:highlight w:val="none"/>
                <w:lang w:val="zh-CN"/>
              </w:rPr>
              <w:t>，本项目厂区绿化面积为</w:t>
            </w:r>
            <w:r>
              <w:rPr>
                <w:rFonts w:hint="eastAsia"/>
                <w:color w:val="auto"/>
                <w:highlight w:val="none"/>
                <w:lang w:val="zh-CN"/>
              </w:rPr>
              <w:t>7200</w:t>
            </w:r>
            <w:r>
              <w:rPr>
                <w:color w:val="auto"/>
                <w:highlight w:val="none"/>
              </w:rPr>
              <w:t>m</w:t>
            </w:r>
            <w:r>
              <w:rPr>
                <w:color w:val="auto"/>
                <w:highlight w:val="none"/>
                <w:vertAlign w:val="superscript"/>
              </w:rPr>
              <w:t>2</w:t>
            </w:r>
            <w:r>
              <w:rPr>
                <w:color w:val="auto"/>
                <w:highlight w:val="none"/>
              </w:rPr>
              <w:t>，根据</w:t>
            </w:r>
            <w:r>
              <w:rPr>
                <w:color w:val="auto"/>
                <w:highlight w:val="none"/>
                <w:lang w:val="zh-CN"/>
              </w:rPr>
              <w:t>《湖南省地方标准用水定额》（DB43/T388-2014），绿化用水量为60L/m2·月，考虑雨季，年浇灌</w:t>
            </w:r>
            <w:r>
              <w:rPr>
                <w:color w:val="auto"/>
                <w:highlight w:val="none"/>
              </w:rPr>
              <w:t>9个月，年绿化用水量为</w:t>
            </w:r>
            <w:r>
              <w:rPr>
                <w:rFonts w:hint="eastAsia"/>
                <w:color w:val="auto"/>
                <w:highlight w:val="none"/>
              </w:rPr>
              <w:t>3888</w:t>
            </w:r>
            <w:r>
              <w:rPr>
                <w:color w:val="auto"/>
                <w:highlight w:val="none"/>
              </w:rPr>
              <w:t>m</w:t>
            </w:r>
            <w:r>
              <w:rPr>
                <w:color w:val="auto"/>
                <w:highlight w:val="none"/>
                <w:vertAlign w:val="superscript"/>
              </w:rPr>
              <w:t>3</w:t>
            </w:r>
            <w:r>
              <w:rPr>
                <w:color w:val="auto"/>
                <w:highlight w:val="none"/>
              </w:rPr>
              <w:t>，绿化用水量大于厂区生活污水排放量，项目厂区绿化可消纳员工生活污水，同时厂区北面有大片山地可用于浇灌，可保证厂区员工生活污水不外排，因此本项目废水回用不外排可行。</w:t>
            </w:r>
          </w:p>
          <w:p>
            <w:pPr>
              <w:spacing w:line="360" w:lineRule="auto"/>
              <w:ind w:firstLine="482"/>
              <w:jc w:val="left"/>
              <w:rPr>
                <w:b/>
                <w:bCs/>
                <w:color w:val="auto"/>
                <w:highlight w:val="none"/>
                <w:lang w:val="zh-CN"/>
              </w:rPr>
            </w:pPr>
            <w:r>
              <w:rPr>
                <w:rFonts w:hint="eastAsia"/>
                <w:b/>
                <w:bCs/>
                <w:color w:val="auto"/>
                <w:highlight w:val="none"/>
                <w:lang w:val="zh-CN"/>
              </w:rPr>
              <w:t>（</w:t>
            </w:r>
            <w:r>
              <w:rPr>
                <w:rFonts w:hint="eastAsia"/>
                <w:b/>
                <w:bCs/>
                <w:color w:val="auto"/>
                <w:highlight w:val="none"/>
              </w:rPr>
              <w:t>3</w:t>
            </w:r>
            <w:r>
              <w:rPr>
                <w:rFonts w:hint="eastAsia"/>
                <w:b/>
                <w:bCs/>
                <w:color w:val="auto"/>
                <w:highlight w:val="none"/>
                <w:lang w:val="zh-CN"/>
              </w:rPr>
              <w:t>）评价工作等级</w:t>
            </w:r>
          </w:p>
          <w:p>
            <w:pPr>
              <w:spacing w:line="360" w:lineRule="auto"/>
              <w:jc w:val="left"/>
              <w:rPr>
                <w:color w:val="auto"/>
                <w:highlight w:val="none"/>
                <w:lang w:val="zh-CN"/>
              </w:rPr>
            </w:pPr>
            <w:r>
              <w:rPr>
                <w:rFonts w:hint="eastAsia"/>
                <w:color w:val="auto"/>
                <w:highlight w:val="none"/>
                <w:lang w:val="zh-CN"/>
              </w:rPr>
              <w:t>根据《环境影响评价技术导则 地表水环境》</w:t>
            </w:r>
            <w:r>
              <w:rPr>
                <w:color w:val="auto"/>
                <w:highlight w:val="none"/>
                <w:lang w:val="zh-CN"/>
              </w:rPr>
              <w:t>（HJ2.3-2018）</w:t>
            </w:r>
            <w:r>
              <w:rPr>
                <w:rFonts w:hint="eastAsia"/>
                <w:color w:val="auto"/>
                <w:highlight w:val="none"/>
                <w:lang w:val="zh-CN"/>
              </w:rPr>
              <w:t>规定的评价工作级别的划分原则和方法，地表水导则将地表水环境影响评价工作分为一、二、三级A、三级B，评价工作等级按表7-</w:t>
            </w:r>
            <w:r>
              <w:rPr>
                <w:rFonts w:hint="eastAsia"/>
                <w:color w:val="auto"/>
                <w:highlight w:val="none"/>
              </w:rPr>
              <w:t>3</w:t>
            </w:r>
            <w:r>
              <w:rPr>
                <w:rFonts w:hint="eastAsia"/>
                <w:color w:val="auto"/>
                <w:highlight w:val="none"/>
                <w:lang w:val="zh-CN"/>
              </w:rPr>
              <w:t>的分级判据进行划分。</w:t>
            </w:r>
          </w:p>
          <w:p>
            <w:pPr>
              <w:pStyle w:val="2"/>
              <w:snapToGrid w:val="0"/>
              <w:spacing w:line="240" w:lineRule="auto"/>
              <w:jc w:val="center"/>
              <w:rPr>
                <w:rFonts w:hint="eastAsia" w:ascii="宋体" w:hAnsi="宋体" w:cs="宋体"/>
                <w:b/>
                <w:bCs/>
                <w:snapToGrid w:val="0"/>
                <w:color w:val="auto"/>
                <w:kern w:val="0"/>
                <w:sz w:val="21"/>
                <w:szCs w:val="21"/>
                <w:highlight w:val="none"/>
              </w:rPr>
            </w:pPr>
          </w:p>
          <w:p>
            <w:pPr>
              <w:pStyle w:val="2"/>
              <w:snapToGrid w:val="0"/>
              <w:spacing w:line="240" w:lineRule="auto"/>
              <w:jc w:val="center"/>
              <w:rPr>
                <w:rFonts w:ascii="宋体" w:hAnsi="宋体" w:cs="宋体"/>
                <w:b/>
                <w:bCs/>
                <w:color w:val="auto"/>
                <w:sz w:val="21"/>
                <w:szCs w:val="21"/>
                <w:highlight w:val="none"/>
              </w:rPr>
            </w:pPr>
            <w:r>
              <w:rPr>
                <w:rFonts w:hint="eastAsia" w:ascii="宋体" w:hAnsi="宋体" w:cs="宋体"/>
                <w:b/>
                <w:bCs/>
                <w:snapToGrid w:val="0"/>
                <w:color w:val="auto"/>
                <w:kern w:val="0"/>
                <w:sz w:val="21"/>
                <w:szCs w:val="21"/>
                <w:highlight w:val="none"/>
              </w:rPr>
              <w:t>表</w:t>
            </w:r>
            <w:r>
              <w:rPr>
                <w:b/>
                <w:bCs/>
                <w:snapToGrid w:val="0"/>
                <w:color w:val="auto"/>
                <w:kern w:val="0"/>
                <w:sz w:val="21"/>
                <w:szCs w:val="21"/>
                <w:highlight w:val="none"/>
              </w:rPr>
              <w:t>7-</w:t>
            </w:r>
            <w:r>
              <w:rPr>
                <w:rFonts w:hint="eastAsia"/>
                <w:b/>
                <w:bCs/>
                <w:snapToGrid w:val="0"/>
                <w:color w:val="auto"/>
                <w:kern w:val="0"/>
                <w:sz w:val="21"/>
                <w:szCs w:val="21"/>
                <w:highlight w:val="none"/>
              </w:rPr>
              <w:t xml:space="preserve">3   </w:t>
            </w:r>
            <w:r>
              <w:rPr>
                <w:rFonts w:hint="eastAsia" w:ascii="宋体" w:hAnsi="宋体" w:cs="宋体"/>
                <w:b/>
                <w:bCs/>
                <w:snapToGrid w:val="0"/>
                <w:color w:val="auto"/>
                <w:kern w:val="0"/>
                <w:sz w:val="21"/>
                <w:szCs w:val="21"/>
                <w:highlight w:val="none"/>
              </w:rPr>
              <w:t>水污染影响型建设项目评价等级判定</w:t>
            </w:r>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915"/>
              <w:gridCol w:w="4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5" w:type="dxa"/>
                  <w:vMerge w:val="restart"/>
                  <w:vAlign w:val="center"/>
                </w:tcPr>
                <w:p>
                  <w:pPr>
                    <w:snapToGrid w:val="0"/>
                    <w:spacing w:line="240" w:lineRule="auto"/>
                    <w:ind w:firstLine="0" w:firstLineChars="0"/>
                    <w:jc w:val="center"/>
                    <w:rPr>
                      <w:snapToGrid w:val="0"/>
                      <w:color w:val="auto"/>
                      <w:kern w:val="0"/>
                      <w:sz w:val="21"/>
                      <w:szCs w:val="21"/>
                      <w:highlight w:val="none"/>
                    </w:rPr>
                  </w:pPr>
                  <w:r>
                    <w:rPr>
                      <w:rFonts w:hint="eastAsia"/>
                      <w:snapToGrid w:val="0"/>
                      <w:color w:val="auto"/>
                      <w:kern w:val="0"/>
                      <w:sz w:val="21"/>
                      <w:szCs w:val="21"/>
                      <w:highlight w:val="none"/>
                    </w:rPr>
                    <w:t>评价工作等级</w:t>
                  </w:r>
                </w:p>
              </w:tc>
              <w:tc>
                <w:tcPr>
                  <w:tcW w:w="7176" w:type="dxa"/>
                  <w:gridSpan w:val="2"/>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5" w:type="dxa"/>
                  <w:vMerge w:val="continue"/>
                  <w:vAlign w:val="center"/>
                </w:tcPr>
                <w:p>
                  <w:pPr>
                    <w:snapToGrid w:val="0"/>
                    <w:spacing w:line="240" w:lineRule="auto"/>
                    <w:ind w:firstLine="420"/>
                    <w:jc w:val="center"/>
                    <w:rPr>
                      <w:snapToGrid w:val="0"/>
                      <w:color w:val="auto"/>
                      <w:kern w:val="0"/>
                      <w:sz w:val="21"/>
                      <w:szCs w:val="21"/>
                      <w:highlight w:val="none"/>
                    </w:rPr>
                  </w:pPr>
                </w:p>
              </w:tc>
              <w:tc>
                <w:tcPr>
                  <w:tcW w:w="291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排放方式</w:t>
                  </w:r>
                </w:p>
              </w:tc>
              <w:tc>
                <w:tcPr>
                  <w:tcW w:w="4261" w:type="dxa"/>
                  <w:vAlign w:val="center"/>
                </w:tcPr>
                <w:p>
                  <w:pPr>
                    <w:snapToGrid w:val="0"/>
                    <w:spacing w:line="240" w:lineRule="auto"/>
                    <w:ind w:firstLine="0" w:firstLineChars="0"/>
                    <w:jc w:val="center"/>
                    <w:rPr>
                      <w:snapToGrid w:val="0"/>
                      <w:color w:val="auto"/>
                      <w:kern w:val="0"/>
                      <w:sz w:val="21"/>
                      <w:szCs w:val="21"/>
                      <w:highlight w:val="none"/>
                    </w:rPr>
                  </w:pPr>
                  <w:r>
                    <w:rPr>
                      <w:rFonts w:hint="eastAsia"/>
                      <w:snapToGrid w:val="0"/>
                      <w:color w:val="auto"/>
                      <w:kern w:val="0"/>
                      <w:sz w:val="21"/>
                      <w:szCs w:val="21"/>
                      <w:highlight w:val="none"/>
                    </w:rPr>
                    <w:t>废水排放量</w:t>
                  </w:r>
                  <w:r>
                    <w:rPr>
                      <w:snapToGrid w:val="0"/>
                      <w:color w:val="auto"/>
                      <w:kern w:val="0"/>
                      <w:sz w:val="21"/>
                      <w:szCs w:val="21"/>
                      <w:highlight w:val="none"/>
                    </w:rPr>
                    <w:t>Q/（m</w:t>
                  </w:r>
                  <w:r>
                    <w:rPr>
                      <w:snapToGrid w:val="0"/>
                      <w:color w:val="auto"/>
                      <w:kern w:val="0"/>
                      <w:sz w:val="21"/>
                      <w:szCs w:val="21"/>
                      <w:highlight w:val="none"/>
                      <w:vertAlign w:val="superscript"/>
                    </w:rPr>
                    <w:t>3</w:t>
                  </w:r>
                  <w:r>
                    <w:rPr>
                      <w:snapToGrid w:val="0"/>
                      <w:color w:val="auto"/>
                      <w:kern w:val="0"/>
                      <w:sz w:val="21"/>
                      <w:szCs w:val="21"/>
                      <w:highlight w:val="none"/>
                    </w:rPr>
                    <w:t>/d）</w:t>
                  </w:r>
                  <w:r>
                    <w:rPr>
                      <w:rFonts w:hint="eastAsia"/>
                      <w:snapToGrid w:val="0"/>
                      <w:color w:val="auto"/>
                      <w:kern w:val="0"/>
                      <w:sz w:val="21"/>
                      <w:szCs w:val="21"/>
                      <w:highlight w:val="none"/>
                    </w:rPr>
                    <w:t>；水污染物当量数W/（无量纲）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5" w:type="dxa"/>
                  <w:vAlign w:val="center"/>
                </w:tcPr>
                <w:p>
                  <w:pPr>
                    <w:snapToGrid w:val="0"/>
                    <w:spacing w:line="240" w:lineRule="auto"/>
                    <w:ind w:firstLine="420"/>
                    <w:jc w:val="center"/>
                    <w:rPr>
                      <w:snapToGrid w:val="0"/>
                      <w:color w:val="auto"/>
                      <w:kern w:val="0"/>
                      <w:sz w:val="21"/>
                      <w:szCs w:val="21"/>
                      <w:highlight w:val="none"/>
                    </w:rPr>
                  </w:pPr>
                  <w:r>
                    <w:rPr>
                      <w:snapToGrid w:val="0"/>
                      <w:color w:val="auto"/>
                      <w:kern w:val="0"/>
                      <w:sz w:val="21"/>
                      <w:szCs w:val="21"/>
                      <w:highlight w:val="none"/>
                    </w:rPr>
                    <w:t>一</w:t>
                  </w:r>
                  <w:r>
                    <w:rPr>
                      <w:rFonts w:hint="eastAsia"/>
                      <w:snapToGrid w:val="0"/>
                      <w:color w:val="auto"/>
                      <w:kern w:val="0"/>
                      <w:sz w:val="21"/>
                      <w:szCs w:val="21"/>
                      <w:highlight w:val="none"/>
                    </w:rPr>
                    <w:t>级</w:t>
                  </w:r>
                </w:p>
              </w:tc>
              <w:tc>
                <w:tcPr>
                  <w:tcW w:w="291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直接排放</w:t>
                  </w:r>
                </w:p>
              </w:tc>
              <w:tc>
                <w:tcPr>
                  <w:tcW w:w="4261" w:type="dxa"/>
                  <w:vAlign w:val="center"/>
                </w:tcPr>
                <w:p>
                  <w:pPr>
                    <w:snapToGrid w:val="0"/>
                    <w:spacing w:line="240" w:lineRule="auto"/>
                    <w:ind w:firstLine="420"/>
                    <w:jc w:val="center"/>
                    <w:rPr>
                      <w:snapToGrid w:val="0"/>
                      <w:color w:val="auto"/>
                      <w:kern w:val="0"/>
                      <w:sz w:val="21"/>
                      <w:szCs w:val="21"/>
                      <w:highlight w:val="none"/>
                    </w:rPr>
                  </w:pPr>
                  <w:r>
                    <w:rPr>
                      <w:snapToGrid w:val="0"/>
                      <w:color w:val="auto"/>
                      <w:kern w:val="0"/>
                      <w:sz w:val="21"/>
                      <w:szCs w:val="21"/>
                      <w:highlight w:val="none"/>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二级</w:t>
                  </w:r>
                </w:p>
              </w:tc>
              <w:tc>
                <w:tcPr>
                  <w:tcW w:w="291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直接排放</w:t>
                  </w:r>
                </w:p>
              </w:tc>
              <w:tc>
                <w:tcPr>
                  <w:tcW w:w="4261"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三级</w:t>
                  </w:r>
                  <w:r>
                    <w:rPr>
                      <w:snapToGrid w:val="0"/>
                      <w:color w:val="auto"/>
                      <w:kern w:val="0"/>
                      <w:sz w:val="21"/>
                      <w:szCs w:val="21"/>
                      <w:highlight w:val="none"/>
                    </w:rPr>
                    <w:t>A</w:t>
                  </w:r>
                </w:p>
              </w:tc>
              <w:tc>
                <w:tcPr>
                  <w:tcW w:w="291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直接排放</w:t>
                  </w:r>
                </w:p>
              </w:tc>
              <w:tc>
                <w:tcPr>
                  <w:tcW w:w="4261" w:type="dxa"/>
                  <w:vAlign w:val="center"/>
                </w:tcPr>
                <w:p>
                  <w:pPr>
                    <w:snapToGrid w:val="0"/>
                    <w:spacing w:line="240" w:lineRule="auto"/>
                    <w:ind w:firstLine="420"/>
                    <w:jc w:val="center"/>
                    <w:rPr>
                      <w:snapToGrid w:val="0"/>
                      <w:color w:val="auto"/>
                      <w:kern w:val="0"/>
                      <w:sz w:val="21"/>
                      <w:szCs w:val="21"/>
                      <w:highlight w:val="none"/>
                    </w:rPr>
                  </w:pPr>
                  <w:r>
                    <w:rPr>
                      <w:snapToGrid w:val="0"/>
                      <w:color w:val="auto"/>
                      <w:kern w:val="0"/>
                      <w:sz w:val="21"/>
                      <w:szCs w:val="21"/>
                      <w:highlight w:val="none"/>
                    </w:rPr>
                    <w:t>Q&lt;</w:t>
                  </w:r>
                  <w:r>
                    <w:rPr>
                      <w:rFonts w:hint="eastAsia"/>
                      <w:snapToGrid w:val="0"/>
                      <w:color w:val="auto"/>
                      <w:kern w:val="0"/>
                      <w:sz w:val="21"/>
                      <w:szCs w:val="21"/>
                      <w:highlight w:val="none"/>
                    </w:rPr>
                    <w:t>200或W</w:t>
                  </w:r>
                  <w:r>
                    <w:rPr>
                      <w:snapToGrid w:val="0"/>
                      <w:color w:val="auto"/>
                      <w:kern w:val="0"/>
                      <w:sz w:val="21"/>
                      <w:szCs w:val="21"/>
                      <w:highlight w:val="none"/>
                    </w:rPr>
                    <w:t>&lt;</w:t>
                  </w:r>
                  <w:r>
                    <w:rPr>
                      <w:rFonts w:hint="eastAsia"/>
                      <w:snapToGrid w:val="0"/>
                      <w:color w:val="auto"/>
                      <w:kern w:val="0"/>
                      <w:sz w:val="21"/>
                      <w:szCs w:val="21"/>
                      <w:highlight w:val="none"/>
                    </w:rPr>
                    <w: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9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三级</w:t>
                  </w:r>
                  <w:r>
                    <w:rPr>
                      <w:snapToGrid w:val="0"/>
                      <w:color w:val="auto"/>
                      <w:kern w:val="0"/>
                      <w:sz w:val="21"/>
                      <w:szCs w:val="21"/>
                      <w:highlight w:val="none"/>
                    </w:rPr>
                    <w:t>B</w:t>
                  </w:r>
                </w:p>
              </w:tc>
              <w:tc>
                <w:tcPr>
                  <w:tcW w:w="2915"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间接排放</w:t>
                  </w:r>
                </w:p>
              </w:tc>
              <w:tc>
                <w:tcPr>
                  <w:tcW w:w="4261" w:type="dxa"/>
                  <w:vAlign w:val="center"/>
                </w:tcPr>
                <w:p>
                  <w:pPr>
                    <w:snapToGrid w:val="0"/>
                    <w:spacing w:line="240" w:lineRule="auto"/>
                    <w:ind w:firstLine="420"/>
                    <w:jc w:val="center"/>
                    <w:rPr>
                      <w:snapToGrid w:val="0"/>
                      <w:color w:val="auto"/>
                      <w:kern w:val="0"/>
                      <w:sz w:val="21"/>
                      <w:szCs w:val="21"/>
                      <w:highlight w:val="none"/>
                    </w:rPr>
                  </w:pPr>
                  <w:r>
                    <w:rPr>
                      <w:rFonts w:hint="eastAsia"/>
                      <w:snapToGrid w:val="0"/>
                      <w:color w:val="auto"/>
                      <w:kern w:val="0"/>
                      <w:sz w:val="21"/>
                      <w:szCs w:val="21"/>
                      <w:highlight w:val="none"/>
                    </w:rPr>
                    <w:t>—</w:t>
                  </w:r>
                </w:p>
              </w:tc>
            </w:tr>
          </w:tbl>
          <w:p>
            <w:pPr>
              <w:spacing w:line="360" w:lineRule="auto"/>
              <w:jc w:val="left"/>
              <w:rPr>
                <w:color w:val="auto"/>
                <w:highlight w:val="none"/>
                <w:lang w:val="zh-CN"/>
              </w:rPr>
            </w:pPr>
            <w:r>
              <w:rPr>
                <w:rFonts w:hint="eastAsia"/>
                <w:color w:val="auto"/>
                <w:highlight w:val="none"/>
                <w:lang w:val="zh-CN"/>
              </w:rPr>
              <w:t>本项目属于水污染影响型建设项目，且废水排放方式为间接排放，因此本项目的地表水环境影响评价工作等级为三级B。</w:t>
            </w:r>
          </w:p>
          <w:p>
            <w:pPr>
              <w:spacing w:line="240" w:lineRule="auto"/>
              <w:ind w:firstLine="422"/>
              <w:jc w:val="center"/>
              <w:rPr>
                <w:b/>
                <w:bCs/>
                <w:color w:val="auto"/>
                <w:sz w:val="21"/>
                <w:szCs w:val="21"/>
                <w:highlight w:val="none"/>
              </w:rPr>
            </w:pPr>
            <w:r>
              <w:rPr>
                <w:rFonts w:hint="eastAsia"/>
                <w:b/>
                <w:bCs/>
                <w:color w:val="auto"/>
                <w:sz w:val="21"/>
                <w:szCs w:val="21"/>
                <w:highlight w:val="none"/>
              </w:rPr>
              <w:t>表 7-4   地表水环境影响评价自查表</w:t>
            </w:r>
          </w:p>
          <w:tbl>
            <w:tblPr>
              <w:tblStyle w:val="26"/>
              <w:tblW w:w="907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14"/>
              <w:gridCol w:w="261"/>
              <w:gridCol w:w="1217"/>
              <w:gridCol w:w="1435"/>
              <w:gridCol w:w="359"/>
              <w:gridCol w:w="599"/>
              <w:gridCol w:w="477"/>
              <w:gridCol w:w="718"/>
              <w:gridCol w:w="719"/>
              <w:gridCol w:w="479"/>
              <w:gridCol w:w="597"/>
              <w:gridCol w:w="359"/>
              <w:gridCol w:w="14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blHeader/>
                <w:jc w:val="center"/>
              </w:trPr>
              <w:tc>
                <w:tcPr>
                  <w:tcW w:w="1892" w:type="dxa"/>
                  <w:gridSpan w:val="3"/>
                  <w:vAlign w:val="center"/>
                </w:tcPr>
                <w:p>
                  <w:pPr>
                    <w:spacing w:line="240" w:lineRule="auto"/>
                    <w:ind w:firstLine="0" w:firstLineChars="0"/>
                    <w:jc w:val="center"/>
                    <w:rPr>
                      <w:b/>
                      <w:color w:val="auto"/>
                      <w:sz w:val="21"/>
                      <w:szCs w:val="21"/>
                      <w:highlight w:val="none"/>
                    </w:rPr>
                  </w:pPr>
                  <w:r>
                    <w:rPr>
                      <w:b/>
                      <w:color w:val="auto"/>
                      <w:sz w:val="21"/>
                      <w:szCs w:val="21"/>
                      <w:highlight w:val="none"/>
                    </w:rPr>
                    <w:t>工作内容</w:t>
                  </w:r>
                </w:p>
              </w:tc>
              <w:tc>
                <w:tcPr>
                  <w:tcW w:w="7180" w:type="dxa"/>
                  <w:gridSpan w:val="10"/>
                  <w:vAlign w:val="center"/>
                </w:tcPr>
                <w:p>
                  <w:pPr>
                    <w:spacing w:line="240" w:lineRule="auto"/>
                    <w:ind w:firstLine="0" w:firstLineChars="0"/>
                    <w:jc w:val="center"/>
                    <w:rPr>
                      <w:b/>
                      <w:color w:val="auto"/>
                      <w:sz w:val="21"/>
                      <w:szCs w:val="21"/>
                      <w:highlight w:val="none"/>
                    </w:rPr>
                  </w:pPr>
                  <w:r>
                    <w:rPr>
                      <w:b/>
                      <w:color w:val="auto"/>
                      <w:sz w:val="21"/>
                      <w:szCs w:val="21"/>
                      <w:highlight w:val="none"/>
                    </w:rPr>
                    <w:t>自查项目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397" w:hRule="atLeast"/>
                <w:jc w:val="center"/>
              </w:trPr>
              <w:tc>
                <w:tcPr>
                  <w:tcW w:w="675" w:type="dxa"/>
                  <w:gridSpan w:val="2"/>
                  <w:vMerge w:val="restart"/>
                  <w:vAlign w:val="center"/>
                </w:tcPr>
                <w:p>
                  <w:pPr>
                    <w:spacing w:line="240" w:lineRule="auto"/>
                    <w:ind w:firstLine="0" w:firstLineChars="0"/>
                    <w:rPr>
                      <w:color w:val="auto"/>
                      <w:sz w:val="21"/>
                      <w:szCs w:val="21"/>
                      <w:highlight w:val="none"/>
                    </w:rPr>
                  </w:pPr>
                  <w:r>
                    <w:rPr>
                      <w:color w:val="auto"/>
                      <w:sz w:val="21"/>
                      <w:szCs w:val="21"/>
                      <w:highlight w:val="none"/>
                    </w:rPr>
                    <w:t>影响识别</w:t>
                  </w:r>
                </w:p>
              </w:tc>
              <w:tc>
                <w:tcPr>
                  <w:tcW w:w="1217" w:type="dxa"/>
                  <w:vAlign w:val="center"/>
                </w:tcPr>
                <w:p>
                  <w:pPr>
                    <w:spacing w:line="240" w:lineRule="auto"/>
                    <w:ind w:firstLine="0" w:firstLineChars="0"/>
                    <w:jc w:val="center"/>
                    <w:rPr>
                      <w:color w:val="auto"/>
                      <w:sz w:val="21"/>
                      <w:szCs w:val="21"/>
                      <w:highlight w:val="none"/>
                    </w:rPr>
                  </w:pPr>
                  <w:r>
                    <w:rPr>
                      <w:color w:val="auto"/>
                      <w:sz w:val="21"/>
                      <w:szCs w:val="21"/>
                      <w:highlight w:val="none"/>
                    </w:rPr>
                    <w:t>影响类型</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水污染影响型；水文要素影响型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5" w:type="dxa"/>
                  <w:gridSpan w:val="2"/>
                  <w:vMerge w:val="continue"/>
                  <w:vAlign w:val="center"/>
                </w:tcPr>
                <w:p>
                  <w:pPr>
                    <w:spacing w:line="240" w:lineRule="auto"/>
                    <w:ind w:firstLine="0" w:firstLineChars="0"/>
                    <w:jc w:val="center"/>
                    <w:rPr>
                      <w:color w:val="auto"/>
                      <w:sz w:val="21"/>
                      <w:szCs w:val="21"/>
                      <w:highlight w:val="none"/>
                    </w:rPr>
                  </w:pPr>
                </w:p>
              </w:tc>
              <w:tc>
                <w:tcPr>
                  <w:tcW w:w="1217" w:type="dxa"/>
                  <w:vAlign w:val="center"/>
                </w:tcPr>
                <w:p>
                  <w:pPr>
                    <w:spacing w:line="240" w:lineRule="auto"/>
                    <w:ind w:firstLine="0" w:firstLineChars="0"/>
                    <w:jc w:val="center"/>
                    <w:rPr>
                      <w:color w:val="auto"/>
                      <w:sz w:val="21"/>
                      <w:szCs w:val="21"/>
                      <w:highlight w:val="none"/>
                    </w:rPr>
                  </w:pPr>
                  <w:r>
                    <w:rPr>
                      <w:color w:val="auto"/>
                      <w:sz w:val="21"/>
                      <w:szCs w:val="21"/>
                      <w:highlight w:val="none"/>
                    </w:rPr>
                    <w:t>水环境保护目标</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饮用水水源保护区 □；饮用水取水口 □；涉水的自然保护区 □；重要湿地 □； 重点保护与珍稀水生生物的栖息地 □；重要水生生物的自然产卵场及索饵场、越冬场和洄游通道、天然渔场等渔业水体 □；涉水的风景名胜区 □；其他 </w:t>
                  </w:r>
                  <w:r>
                    <w:rPr>
                      <w:color w:val="auto"/>
                      <w:sz w:val="21"/>
                      <w:szCs w:val="21"/>
                      <w:highlight w:val="none"/>
                    </w:rPr>
                    <w:sym w:font="Wingdings 2" w:char="0052"/>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5" w:type="dxa"/>
                  <w:gridSpan w:val="2"/>
                  <w:vMerge w:val="continue"/>
                  <w:vAlign w:val="center"/>
                </w:tcPr>
                <w:p>
                  <w:pPr>
                    <w:spacing w:line="240" w:lineRule="auto"/>
                    <w:ind w:firstLine="0" w:firstLineChars="0"/>
                    <w:jc w:val="center"/>
                    <w:rPr>
                      <w:color w:val="auto"/>
                      <w:sz w:val="21"/>
                      <w:szCs w:val="21"/>
                      <w:highlight w:val="none"/>
                    </w:rPr>
                  </w:pPr>
                </w:p>
              </w:tc>
              <w:tc>
                <w:tcPr>
                  <w:tcW w:w="1217"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影响途径</w:t>
                  </w:r>
                </w:p>
              </w:tc>
              <w:tc>
                <w:tcPr>
                  <w:tcW w:w="3588"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水污染影响型</w:t>
                  </w:r>
                </w:p>
              </w:tc>
              <w:tc>
                <w:tcPr>
                  <w:tcW w:w="359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水文要素影响型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5" w:type="dxa"/>
                  <w:gridSpan w:val="2"/>
                  <w:vMerge w:val="continue"/>
                  <w:vAlign w:val="center"/>
                </w:tcPr>
                <w:p>
                  <w:pPr>
                    <w:spacing w:line="240" w:lineRule="auto"/>
                    <w:ind w:firstLine="0" w:firstLineChars="0"/>
                    <w:jc w:val="center"/>
                    <w:rPr>
                      <w:color w:val="auto"/>
                      <w:sz w:val="21"/>
                      <w:szCs w:val="21"/>
                      <w:highlight w:val="none"/>
                    </w:rPr>
                  </w:pPr>
                </w:p>
              </w:tc>
              <w:tc>
                <w:tcPr>
                  <w:tcW w:w="1217" w:type="dxa"/>
                  <w:vMerge w:val="continue"/>
                  <w:vAlign w:val="center"/>
                </w:tcPr>
                <w:p>
                  <w:pPr>
                    <w:spacing w:line="240" w:lineRule="auto"/>
                    <w:ind w:firstLine="0" w:firstLineChars="0"/>
                    <w:jc w:val="center"/>
                    <w:rPr>
                      <w:color w:val="auto"/>
                      <w:sz w:val="21"/>
                      <w:szCs w:val="21"/>
                      <w:highlight w:val="none"/>
                    </w:rPr>
                  </w:pPr>
                </w:p>
              </w:tc>
              <w:tc>
                <w:tcPr>
                  <w:tcW w:w="3588"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直接排放 □；间接排放 ；其他 □</w:t>
                  </w:r>
                </w:p>
              </w:tc>
              <w:tc>
                <w:tcPr>
                  <w:tcW w:w="3592"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水温 □；径流 □；水域面积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675" w:type="dxa"/>
                  <w:gridSpan w:val="2"/>
                  <w:vMerge w:val="continue"/>
                  <w:vAlign w:val="center"/>
                </w:tcPr>
                <w:p>
                  <w:pPr>
                    <w:spacing w:line="240" w:lineRule="auto"/>
                    <w:ind w:firstLine="0" w:firstLineChars="0"/>
                    <w:jc w:val="center"/>
                    <w:rPr>
                      <w:color w:val="auto"/>
                      <w:sz w:val="21"/>
                      <w:szCs w:val="21"/>
                      <w:highlight w:val="none"/>
                    </w:rPr>
                  </w:pPr>
                </w:p>
              </w:tc>
              <w:tc>
                <w:tcPr>
                  <w:tcW w:w="1217" w:type="dxa"/>
                  <w:vAlign w:val="center"/>
                </w:tcPr>
                <w:p>
                  <w:pPr>
                    <w:spacing w:line="240" w:lineRule="auto"/>
                    <w:ind w:firstLine="0" w:firstLineChars="0"/>
                    <w:jc w:val="center"/>
                    <w:rPr>
                      <w:color w:val="auto"/>
                      <w:sz w:val="21"/>
                      <w:szCs w:val="21"/>
                      <w:highlight w:val="none"/>
                    </w:rPr>
                  </w:pPr>
                  <w:r>
                    <w:rPr>
                      <w:color w:val="auto"/>
                      <w:sz w:val="21"/>
                      <w:szCs w:val="21"/>
                      <w:highlight w:val="none"/>
                    </w:rPr>
                    <w:t>影响因子</w:t>
                  </w:r>
                </w:p>
              </w:tc>
              <w:tc>
                <w:tcPr>
                  <w:tcW w:w="3588"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持久性污染物 □；有毒有害污染物 □；非持久性污染物；pH 值 </w:t>
                  </w:r>
                  <w:r>
                    <w:rPr>
                      <w:color w:val="auto"/>
                      <w:sz w:val="21"/>
                      <w:szCs w:val="21"/>
                      <w:highlight w:val="none"/>
                    </w:rPr>
                    <w:sym w:font="Wingdings 2" w:char="0052"/>
                  </w:r>
                  <w:r>
                    <w:rPr>
                      <w:color w:val="auto"/>
                      <w:sz w:val="21"/>
                      <w:szCs w:val="21"/>
                      <w:highlight w:val="none"/>
                    </w:rPr>
                    <w:t xml:space="preserve">；热污染 □；富营养化 □；其他 </w:t>
                  </w:r>
                  <w:r>
                    <w:rPr>
                      <w:color w:val="auto"/>
                      <w:sz w:val="21"/>
                      <w:szCs w:val="21"/>
                      <w:highlight w:val="none"/>
                    </w:rPr>
                    <w:sym w:font="Wingdings 2" w:char="0052"/>
                  </w:r>
                </w:p>
              </w:tc>
              <w:tc>
                <w:tcPr>
                  <w:tcW w:w="3592"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水温 □；水位（水深） □；流速 □；流量 </w:t>
                  </w:r>
                  <w:r>
                    <w:rPr>
                      <w:color w:val="auto"/>
                      <w:sz w:val="21"/>
                      <w:szCs w:val="21"/>
                      <w:highlight w:val="none"/>
                    </w:rPr>
                    <w:sym w:font="Wingdings 2" w:char="00A3"/>
                  </w:r>
                  <w:r>
                    <w:rPr>
                      <w:color w:val="auto"/>
                      <w:sz w:val="21"/>
                      <w:szCs w:val="21"/>
                      <w:highlight w:val="none"/>
                    </w:rPr>
                    <w:t>；其他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892" w:type="dxa"/>
                  <w:gridSpan w:val="3"/>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评价等级</w:t>
                  </w:r>
                </w:p>
              </w:tc>
              <w:tc>
                <w:tcPr>
                  <w:tcW w:w="3588"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水污染影响型</w:t>
                  </w:r>
                </w:p>
              </w:tc>
              <w:tc>
                <w:tcPr>
                  <w:tcW w:w="359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水文要素影响型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892" w:type="dxa"/>
                  <w:gridSpan w:val="3"/>
                  <w:vMerge w:val="continue"/>
                  <w:vAlign w:val="center"/>
                </w:tcPr>
                <w:p>
                  <w:pPr>
                    <w:spacing w:line="240" w:lineRule="auto"/>
                    <w:ind w:firstLine="0" w:firstLineChars="0"/>
                    <w:jc w:val="center"/>
                    <w:rPr>
                      <w:color w:val="auto"/>
                      <w:sz w:val="21"/>
                      <w:szCs w:val="21"/>
                      <w:highlight w:val="none"/>
                    </w:rPr>
                  </w:pPr>
                </w:p>
              </w:tc>
              <w:tc>
                <w:tcPr>
                  <w:tcW w:w="3588"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一级 </w:t>
                  </w:r>
                  <w:r>
                    <w:rPr>
                      <w:color w:val="auto"/>
                      <w:sz w:val="21"/>
                      <w:szCs w:val="21"/>
                      <w:highlight w:val="none"/>
                    </w:rPr>
                    <w:sym w:font="Wingdings 2" w:char="00A3"/>
                  </w:r>
                  <w:r>
                    <w:rPr>
                      <w:color w:val="auto"/>
                      <w:sz w:val="21"/>
                      <w:szCs w:val="21"/>
                      <w:highlight w:val="none"/>
                    </w:rPr>
                    <w:t xml:space="preserve">；二级 □；三级 A □；三级 B </w:t>
                  </w:r>
                  <w:r>
                    <w:rPr>
                      <w:color w:val="auto"/>
                      <w:sz w:val="21"/>
                      <w:szCs w:val="21"/>
                      <w:highlight w:val="none"/>
                    </w:rPr>
                    <w:sym w:font="Wingdings 2" w:char="0052"/>
                  </w:r>
                </w:p>
              </w:tc>
              <w:tc>
                <w:tcPr>
                  <w:tcW w:w="3592"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一级 □；二级 □；三级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现状调查</w:t>
                  </w:r>
                </w:p>
              </w:tc>
              <w:tc>
                <w:tcPr>
                  <w:tcW w:w="1478"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区域污染源</w:t>
                  </w:r>
                </w:p>
              </w:tc>
              <w:tc>
                <w:tcPr>
                  <w:tcW w:w="3588"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调查项目</w:t>
                  </w:r>
                </w:p>
              </w:tc>
              <w:tc>
                <w:tcPr>
                  <w:tcW w:w="359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1794" w:type="dxa"/>
                  <w:gridSpan w:val="2"/>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已建 </w:t>
                  </w:r>
                  <w:r>
                    <w:rPr>
                      <w:color w:val="auto"/>
                      <w:sz w:val="21"/>
                      <w:szCs w:val="21"/>
                      <w:highlight w:val="none"/>
                    </w:rPr>
                    <w:sym w:font="Wingdings 2" w:char="00A3"/>
                  </w:r>
                  <w:r>
                    <w:rPr>
                      <w:color w:val="auto"/>
                      <w:sz w:val="21"/>
                      <w:szCs w:val="21"/>
                      <w:highlight w:val="none"/>
                    </w:rPr>
                    <w:t xml:space="preserve">；在建 □；拟建 </w:t>
                  </w:r>
                  <w:r>
                    <w:rPr>
                      <w:color w:val="auto"/>
                      <w:sz w:val="21"/>
                      <w:szCs w:val="21"/>
                      <w:highlight w:val="none"/>
                    </w:rPr>
                    <w:sym w:font="Wingdings 2" w:char="0052"/>
                  </w:r>
                  <w:r>
                    <w:rPr>
                      <w:color w:val="auto"/>
                      <w:sz w:val="21"/>
                      <w:szCs w:val="21"/>
                      <w:highlight w:val="none"/>
                    </w:rPr>
                    <w:t>；其他 □</w:t>
                  </w:r>
                </w:p>
              </w:tc>
              <w:tc>
                <w:tcPr>
                  <w:tcW w:w="1794" w:type="dxa"/>
                  <w:gridSpan w:val="3"/>
                  <w:vAlign w:val="center"/>
                </w:tcPr>
                <w:p>
                  <w:pPr>
                    <w:spacing w:line="240" w:lineRule="auto"/>
                    <w:ind w:firstLine="0" w:firstLineChars="0"/>
                    <w:jc w:val="left"/>
                    <w:rPr>
                      <w:color w:val="auto"/>
                      <w:sz w:val="21"/>
                      <w:szCs w:val="21"/>
                      <w:highlight w:val="none"/>
                    </w:rPr>
                  </w:pPr>
                  <w:r>
                    <w:rPr>
                      <w:color w:val="auto"/>
                      <w:sz w:val="21"/>
                      <w:szCs w:val="21"/>
                      <w:highlight w:val="none"/>
                    </w:rPr>
                    <w:t>拟替代的污染源 □</w:t>
                  </w:r>
                </w:p>
              </w:tc>
              <w:tc>
                <w:tcPr>
                  <w:tcW w:w="3592"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排污许可证 □；环评 □；环保验收 □；既有实测 □；现场监测 □；入河排放口数据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受影响水体水环境质量</w:t>
                  </w:r>
                </w:p>
              </w:tc>
              <w:tc>
                <w:tcPr>
                  <w:tcW w:w="3588"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调查时期</w:t>
                  </w:r>
                </w:p>
              </w:tc>
              <w:tc>
                <w:tcPr>
                  <w:tcW w:w="359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3588"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丰水期 □；平水期 □；枯水期 □；冰封期 □ </w:t>
                  </w:r>
                </w:p>
                <w:p>
                  <w:pPr>
                    <w:spacing w:line="240" w:lineRule="auto"/>
                    <w:ind w:firstLine="0" w:firstLineChars="0"/>
                    <w:jc w:val="left"/>
                    <w:rPr>
                      <w:color w:val="auto"/>
                      <w:sz w:val="21"/>
                      <w:szCs w:val="21"/>
                      <w:highlight w:val="none"/>
                    </w:rPr>
                  </w:pPr>
                  <w:r>
                    <w:rPr>
                      <w:color w:val="auto"/>
                      <w:sz w:val="21"/>
                      <w:szCs w:val="21"/>
                      <w:highlight w:val="none"/>
                    </w:rPr>
                    <w:t>春季 □；夏季 □；秋季 □；冬季 □</w:t>
                  </w:r>
                </w:p>
              </w:tc>
              <w:tc>
                <w:tcPr>
                  <w:tcW w:w="3592"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生态环境保护主管部门 □；补充监测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区域水资源开发利用状况</w:t>
                  </w:r>
                </w:p>
              </w:tc>
              <w:tc>
                <w:tcPr>
                  <w:tcW w:w="7180" w:type="dxa"/>
                  <w:gridSpan w:val="10"/>
                  <w:vAlign w:val="center"/>
                </w:tcPr>
                <w:p>
                  <w:pPr>
                    <w:spacing w:line="240" w:lineRule="auto"/>
                    <w:ind w:firstLine="0" w:firstLineChars="0"/>
                    <w:jc w:val="center"/>
                    <w:rPr>
                      <w:color w:val="auto"/>
                      <w:sz w:val="21"/>
                      <w:szCs w:val="21"/>
                      <w:highlight w:val="none"/>
                    </w:rPr>
                  </w:pPr>
                  <w:r>
                    <w:rPr>
                      <w:color w:val="auto"/>
                      <w:sz w:val="21"/>
                      <w:szCs w:val="21"/>
                      <w:highlight w:val="none"/>
                    </w:rPr>
                    <w:t>未开发 □；开发量 40%以下 □；开发量 40%以上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水文情势调查</w:t>
                  </w:r>
                </w:p>
              </w:tc>
              <w:tc>
                <w:tcPr>
                  <w:tcW w:w="3588"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调查时期</w:t>
                  </w:r>
                </w:p>
              </w:tc>
              <w:tc>
                <w:tcPr>
                  <w:tcW w:w="359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数据来源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3588"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丰水期 □；平水期 □；枯水期 □；冰封期 □ </w:t>
                  </w:r>
                </w:p>
                <w:p>
                  <w:pPr>
                    <w:spacing w:line="240" w:lineRule="auto"/>
                    <w:ind w:firstLine="0" w:firstLineChars="0"/>
                    <w:jc w:val="left"/>
                    <w:rPr>
                      <w:color w:val="auto"/>
                      <w:sz w:val="21"/>
                      <w:szCs w:val="21"/>
                      <w:highlight w:val="none"/>
                    </w:rPr>
                  </w:pPr>
                  <w:r>
                    <w:rPr>
                      <w:color w:val="auto"/>
                      <w:sz w:val="21"/>
                      <w:szCs w:val="21"/>
                      <w:highlight w:val="none"/>
                    </w:rPr>
                    <w:t>春季 □；夏季 □；秋季 □；冬季 □</w:t>
                  </w:r>
                </w:p>
              </w:tc>
              <w:tc>
                <w:tcPr>
                  <w:tcW w:w="3592"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生态环境保护主管部门 □；补充监测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补充监测</w:t>
                  </w:r>
                </w:p>
              </w:tc>
              <w:tc>
                <w:tcPr>
                  <w:tcW w:w="3588"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监测时期</w:t>
                  </w:r>
                </w:p>
              </w:tc>
              <w:tc>
                <w:tcPr>
                  <w:tcW w:w="1795"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监测因子</w:t>
                  </w:r>
                </w:p>
              </w:tc>
              <w:tc>
                <w:tcPr>
                  <w:tcW w:w="1797"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监测断面或点位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3588" w:type="dxa"/>
                  <w:gridSpan w:val="5"/>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丰水期 □；平水期 □；枯水期 □；冰封期 □ </w:t>
                  </w:r>
                </w:p>
                <w:p>
                  <w:pPr>
                    <w:spacing w:line="240" w:lineRule="auto"/>
                    <w:ind w:firstLine="0" w:firstLineChars="0"/>
                    <w:jc w:val="left"/>
                    <w:rPr>
                      <w:color w:val="auto"/>
                      <w:sz w:val="21"/>
                      <w:szCs w:val="21"/>
                      <w:highlight w:val="none"/>
                    </w:rPr>
                  </w:pPr>
                  <w:r>
                    <w:rPr>
                      <w:color w:val="auto"/>
                      <w:sz w:val="21"/>
                      <w:szCs w:val="21"/>
                      <w:highlight w:val="none"/>
                    </w:rPr>
                    <w:t>春季 □；夏季 □；秋季 □；冬季 □</w:t>
                  </w:r>
                </w:p>
              </w:tc>
              <w:tc>
                <w:tcPr>
                  <w:tcW w:w="1795"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c>
                <w:tcPr>
                  <w:tcW w:w="1797" w:type="dxa"/>
                  <w:gridSpan w:val="2"/>
                  <w:vAlign w:val="center"/>
                </w:tcPr>
                <w:p>
                  <w:pPr>
                    <w:spacing w:line="240" w:lineRule="auto"/>
                    <w:ind w:firstLine="0" w:firstLineChars="0"/>
                    <w:jc w:val="left"/>
                    <w:rPr>
                      <w:color w:val="auto"/>
                      <w:sz w:val="21"/>
                      <w:szCs w:val="21"/>
                      <w:highlight w:val="none"/>
                    </w:rPr>
                  </w:pPr>
                  <w:r>
                    <w:rPr>
                      <w:color w:val="auto"/>
                      <w:sz w:val="21"/>
                      <w:szCs w:val="21"/>
                      <w:highlight w:val="none"/>
                    </w:rPr>
                    <w:t>监测断面或点位个数（   ）个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现状评价</w:t>
                  </w: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评价范围</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河流：长度（/）km；湖库、河口及近岸海域：面积（/）km</w:t>
                  </w:r>
                  <w:r>
                    <w:rPr>
                      <w:color w:val="auto"/>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评价因子</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评价标准</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河流、湖库、河口：Ⅰ类 □；Ⅱ类 □；Ⅲ类；Ⅳ类 □；Ⅴ类 □ </w:t>
                  </w:r>
                </w:p>
                <w:p>
                  <w:pPr>
                    <w:spacing w:line="240" w:lineRule="auto"/>
                    <w:ind w:firstLine="0" w:firstLineChars="0"/>
                    <w:jc w:val="left"/>
                    <w:rPr>
                      <w:color w:val="auto"/>
                      <w:sz w:val="21"/>
                      <w:szCs w:val="21"/>
                      <w:highlight w:val="none"/>
                    </w:rPr>
                  </w:pPr>
                  <w:r>
                    <w:rPr>
                      <w:color w:val="auto"/>
                      <w:sz w:val="21"/>
                      <w:szCs w:val="21"/>
                      <w:highlight w:val="none"/>
                    </w:rPr>
                    <w:t xml:space="preserve">近岸海域：第一类 □；第二类 □；第三类 □；第四类 □ </w:t>
                  </w:r>
                </w:p>
                <w:p>
                  <w:pPr>
                    <w:spacing w:line="240" w:lineRule="auto"/>
                    <w:ind w:firstLine="0" w:firstLineChars="0"/>
                    <w:jc w:val="left"/>
                    <w:rPr>
                      <w:color w:val="auto"/>
                      <w:sz w:val="21"/>
                      <w:szCs w:val="21"/>
                      <w:highlight w:val="none"/>
                    </w:rPr>
                  </w:pPr>
                  <w:r>
                    <w:rPr>
                      <w:color w:val="auto"/>
                      <w:sz w:val="21"/>
                      <w:szCs w:val="21"/>
                      <w:highlight w:val="none"/>
                    </w:rPr>
                    <w:t>规划年评价标准（  /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评价时期</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丰水期 □；平水期 □；枯水期 □；冰封期 □ </w:t>
                  </w:r>
                </w:p>
                <w:p>
                  <w:pPr>
                    <w:spacing w:line="240" w:lineRule="auto"/>
                    <w:ind w:firstLine="0" w:firstLineChars="0"/>
                    <w:jc w:val="left"/>
                    <w:rPr>
                      <w:color w:val="auto"/>
                      <w:sz w:val="21"/>
                      <w:szCs w:val="21"/>
                      <w:highlight w:val="none"/>
                    </w:rPr>
                  </w:pPr>
                  <w:r>
                    <w:rPr>
                      <w:color w:val="auto"/>
                      <w:sz w:val="21"/>
                      <w:szCs w:val="21"/>
                      <w:highlight w:val="none"/>
                    </w:rPr>
                    <w:t xml:space="preserve">春季 </w:t>
                  </w:r>
                  <w:r>
                    <w:rPr>
                      <w:color w:val="auto"/>
                      <w:sz w:val="21"/>
                      <w:szCs w:val="21"/>
                      <w:highlight w:val="none"/>
                    </w:rPr>
                    <w:sym w:font="Wingdings 2" w:char="00A3"/>
                  </w:r>
                  <w:r>
                    <w:rPr>
                      <w:color w:val="auto"/>
                      <w:sz w:val="21"/>
                      <w:szCs w:val="21"/>
                      <w:highlight w:val="none"/>
                    </w:rPr>
                    <w:t xml:space="preserve">；夏季 </w:t>
                  </w:r>
                  <w:r>
                    <w:rPr>
                      <w:color w:val="auto"/>
                      <w:sz w:val="21"/>
                      <w:szCs w:val="21"/>
                      <w:highlight w:val="none"/>
                    </w:rPr>
                    <w:sym w:font="Wingdings 2" w:char="0052"/>
                  </w:r>
                  <w:r>
                    <w:rPr>
                      <w:color w:val="auto"/>
                      <w:sz w:val="21"/>
                      <w:szCs w:val="21"/>
                      <w:highlight w:val="none"/>
                    </w:rPr>
                    <w:t>；秋季 □；冬季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评价结论</w:t>
                  </w:r>
                </w:p>
              </w:tc>
              <w:tc>
                <w:tcPr>
                  <w:tcW w:w="5383" w:type="dxa"/>
                  <w:gridSpan w:val="8"/>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水环境功能区或水功能区、近岸海域环境功能区水质达标状况 □：达标 </w:t>
                  </w:r>
                  <w:r>
                    <w:rPr>
                      <w:color w:val="auto"/>
                      <w:sz w:val="21"/>
                      <w:szCs w:val="21"/>
                      <w:highlight w:val="none"/>
                    </w:rPr>
                    <w:sym w:font="Wingdings 2" w:char="0052"/>
                  </w:r>
                  <w:r>
                    <w:rPr>
                      <w:color w:val="auto"/>
                      <w:sz w:val="21"/>
                      <w:szCs w:val="21"/>
                      <w:highlight w:val="none"/>
                    </w:rPr>
                    <w:t xml:space="preserve">；不达标 □ </w:t>
                  </w:r>
                </w:p>
                <w:p>
                  <w:pPr>
                    <w:spacing w:line="240" w:lineRule="auto"/>
                    <w:ind w:firstLine="0" w:firstLineChars="0"/>
                    <w:jc w:val="left"/>
                    <w:rPr>
                      <w:color w:val="auto"/>
                      <w:sz w:val="21"/>
                      <w:szCs w:val="21"/>
                      <w:highlight w:val="none"/>
                    </w:rPr>
                  </w:pPr>
                  <w:r>
                    <w:rPr>
                      <w:color w:val="auto"/>
                      <w:sz w:val="21"/>
                      <w:szCs w:val="21"/>
                      <w:highlight w:val="none"/>
                    </w:rPr>
                    <w:t xml:space="preserve">水环境控制单元或断面水质达标状况 </w:t>
                  </w:r>
                  <w:r>
                    <w:rPr>
                      <w:color w:val="auto"/>
                      <w:sz w:val="21"/>
                      <w:szCs w:val="21"/>
                      <w:highlight w:val="none"/>
                    </w:rPr>
                    <w:sym w:font="Wingdings 2" w:char="00A3"/>
                  </w:r>
                  <w:r>
                    <w:rPr>
                      <w:color w:val="auto"/>
                      <w:sz w:val="21"/>
                      <w:szCs w:val="21"/>
                      <w:highlight w:val="none"/>
                    </w:rPr>
                    <w:t xml:space="preserve">：达标 </w:t>
                  </w:r>
                  <w:r>
                    <w:rPr>
                      <w:color w:val="auto"/>
                      <w:sz w:val="21"/>
                      <w:szCs w:val="21"/>
                      <w:highlight w:val="none"/>
                    </w:rPr>
                    <w:sym w:font="Wingdings 2" w:char="0052"/>
                  </w:r>
                  <w:r>
                    <w:rPr>
                      <w:color w:val="auto"/>
                      <w:sz w:val="21"/>
                      <w:szCs w:val="21"/>
                      <w:highlight w:val="none"/>
                    </w:rPr>
                    <w:t xml:space="preserve">；不达标 □ </w:t>
                  </w:r>
                </w:p>
                <w:p>
                  <w:pPr>
                    <w:spacing w:line="240" w:lineRule="auto"/>
                    <w:ind w:firstLine="0" w:firstLineChars="0"/>
                    <w:jc w:val="left"/>
                    <w:rPr>
                      <w:color w:val="auto"/>
                      <w:sz w:val="21"/>
                      <w:szCs w:val="21"/>
                      <w:highlight w:val="none"/>
                    </w:rPr>
                  </w:pPr>
                  <w:r>
                    <w:rPr>
                      <w:color w:val="auto"/>
                      <w:sz w:val="21"/>
                      <w:szCs w:val="21"/>
                      <w:highlight w:val="none"/>
                    </w:rPr>
                    <w:t xml:space="preserve">水环境保护目标质量状况 □：达标 </w:t>
                  </w:r>
                  <w:r>
                    <w:rPr>
                      <w:color w:val="auto"/>
                      <w:sz w:val="21"/>
                      <w:szCs w:val="21"/>
                      <w:highlight w:val="none"/>
                    </w:rPr>
                    <w:sym w:font="Wingdings 2" w:char="0052"/>
                  </w:r>
                  <w:r>
                    <w:rPr>
                      <w:color w:val="auto"/>
                      <w:sz w:val="21"/>
                      <w:szCs w:val="21"/>
                      <w:highlight w:val="none"/>
                    </w:rPr>
                    <w:t xml:space="preserve">；不达标 □ </w:t>
                  </w:r>
                </w:p>
                <w:p>
                  <w:pPr>
                    <w:spacing w:line="240" w:lineRule="auto"/>
                    <w:ind w:firstLine="0" w:firstLineChars="0"/>
                    <w:jc w:val="left"/>
                    <w:rPr>
                      <w:color w:val="auto"/>
                      <w:sz w:val="21"/>
                      <w:szCs w:val="21"/>
                      <w:highlight w:val="none"/>
                    </w:rPr>
                  </w:pPr>
                  <w:r>
                    <w:rPr>
                      <w:color w:val="auto"/>
                      <w:sz w:val="21"/>
                      <w:szCs w:val="21"/>
                      <w:highlight w:val="none"/>
                    </w:rPr>
                    <w:t xml:space="preserve">对照断面、控制断面等代表性断面的水质状况：达标；不达标 □ </w:t>
                  </w:r>
                </w:p>
                <w:p>
                  <w:pPr>
                    <w:spacing w:line="240" w:lineRule="auto"/>
                    <w:ind w:firstLine="0" w:firstLineChars="0"/>
                    <w:jc w:val="left"/>
                    <w:rPr>
                      <w:color w:val="auto"/>
                      <w:sz w:val="21"/>
                      <w:szCs w:val="21"/>
                      <w:highlight w:val="none"/>
                    </w:rPr>
                  </w:pPr>
                  <w:r>
                    <w:rPr>
                      <w:color w:val="auto"/>
                      <w:sz w:val="21"/>
                      <w:szCs w:val="21"/>
                      <w:highlight w:val="none"/>
                    </w:rPr>
                    <w:t xml:space="preserve">底泥污染评价 □ </w:t>
                  </w:r>
                </w:p>
                <w:p>
                  <w:pPr>
                    <w:spacing w:line="240" w:lineRule="auto"/>
                    <w:ind w:firstLine="0" w:firstLineChars="0"/>
                    <w:jc w:val="left"/>
                    <w:rPr>
                      <w:color w:val="auto"/>
                      <w:sz w:val="21"/>
                      <w:szCs w:val="21"/>
                      <w:highlight w:val="none"/>
                    </w:rPr>
                  </w:pPr>
                  <w:r>
                    <w:rPr>
                      <w:color w:val="auto"/>
                      <w:sz w:val="21"/>
                      <w:szCs w:val="21"/>
                      <w:highlight w:val="none"/>
                    </w:rPr>
                    <w:t xml:space="preserve">水资源与开发利用程度及其水文情势评价 □ </w:t>
                  </w:r>
                </w:p>
                <w:p>
                  <w:pPr>
                    <w:spacing w:line="240" w:lineRule="auto"/>
                    <w:ind w:firstLine="0" w:firstLineChars="0"/>
                    <w:jc w:val="left"/>
                    <w:rPr>
                      <w:color w:val="auto"/>
                      <w:sz w:val="21"/>
                      <w:szCs w:val="21"/>
                      <w:highlight w:val="none"/>
                    </w:rPr>
                  </w:pPr>
                  <w:r>
                    <w:rPr>
                      <w:color w:val="auto"/>
                      <w:sz w:val="21"/>
                      <w:szCs w:val="21"/>
                      <w:highlight w:val="none"/>
                    </w:rPr>
                    <w:t xml:space="preserve">水环境质量回顾评价 □ </w:t>
                  </w:r>
                </w:p>
                <w:p>
                  <w:pPr>
                    <w:spacing w:line="240" w:lineRule="auto"/>
                    <w:ind w:firstLine="0" w:firstLineChars="0"/>
                    <w:jc w:val="left"/>
                    <w:rPr>
                      <w:color w:val="auto"/>
                      <w:sz w:val="21"/>
                      <w:szCs w:val="21"/>
                      <w:highlight w:val="none"/>
                    </w:rPr>
                  </w:pPr>
                  <w:r>
                    <w:rPr>
                      <w:color w:val="auto"/>
                      <w:sz w:val="21"/>
                      <w:szCs w:val="21"/>
                      <w:highlight w:val="none"/>
                    </w:rPr>
                    <w:t>流域（区域）水资源（包括水能资源）与开发利用总体状况、生态流量管理要求与现状满足程度、建设项目占用水域空间的水流状况与河湖演变状况 □</w:t>
                  </w:r>
                </w:p>
              </w:tc>
              <w:tc>
                <w:tcPr>
                  <w:tcW w:w="1797" w:type="dxa"/>
                  <w:gridSpan w:val="2"/>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达标区 </w:t>
                  </w:r>
                  <w:r>
                    <w:rPr>
                      <w:color w:val="auto"/>
                      <w:sz w:val="21"/>
                      <w:szCs w:val="21"/>
                      <w:highlight w:val="none"/>
                    </w:rPr>
                    <w:sym w:font="Wingdings 2" w:char="0052"/>
                  </w:r>
                </w:p>
                <w:p>
                  <w:pPr>
                    <w:spacing w:line="240" w:lineRule="auto"/>
                    <w:ind w:firstLine="0" w:firstLineChars="0"/>
                    <w:jc w:val="left"/>
                    <w:rPr>
                      <w:color w:val="auto"/>
                      <w:sz w:val="21"/>
                      <w:szCs w:val="21"/>
                      <w:highlight w:val="none"/>
                    </w:rPr>
                  </w:pPr>
                  <w:r>
                    <w:rPr>
                      <w:color w:val="auto"/>
                      <w:sz w:val="21"/>
                      <w:szCs w:val="21"/>
                      <w:highlight w:val="none"/>
                    </w:rPr>
                    <w:t>不达标区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影响预测</w:t>
                  </w: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预测范围</w:t>
                  </w:r>
                </w:p>
              </w:tc>
              <w:tc>
                <w:tcPr>
                  <w:tcW w:w="7180" w:type="dxa"/>
                  <w:gridSpan w:val="10"/>
                  <w:vAlign w:val="center"/>
                </w:tcPr>
                <w:p>
                  <w:pPr>
                    <w:spacing w:line="240" w:lineRule="auto"/>
                    <w:ind w:firstLine="0" w:firstLineChars="0"/>
                    <w:jc w:val="center"/>
                    <w:rPr>
                      <w:color w:val="auto"/>
                      <w:sz w:val="21"/>
                      <w:szCs w:val="21"/>
                      <w:highlight w:val="none"/>
                    </w:rPr>
                  </w:pPr>
                  <w:r>
                    <w:rPr>
                      <w:color w:val="auto"/>
                      <w:sz w:val="21"/>
                      <w:szCs w:val="21"/>
                      <w:highlight w:val="none"/>
                    </w:rPr>
                    <w:t>河流：长度（/）km；湖库、河口及近岸海域：面积（/）km</w:t>
                  </w:r>
                  <w:r>
                    <w:rPr>
                      <w:color w:val="auto"/>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预测因子</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预测时期</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丰水期 □；平水期 □；枯水期 □；冰封期 □ </w:t>
                  </w:r>
                </w:p>
                <w:p>
                  <w:pPr>
                    <w:spacing w:line="240" w:lineRule="auto"/>
                    <w:ind w:firstLine="0" w:firstLineChars="0"/>
                    <w:jc w:val="left"/>
                    <w:rPr>
                      <w:color w:val="auto"/>
                      <w:sz w:val="21"/>
                      <w:szCs w:val="21"/>
                      <w:highlight w:val="none"/>
                    </w:rPr>
                  </w:pPr>
                  <w:r>
                    <w:rPr>
                      <w:color w:val="auto"/>
                      <w:sz w:val="21"/>
                      <w:szCs w:val="21"/>
                      <w:highlight w:val="none"/>
                    </w:rPr>
                    <w:t>春季 □；夏季 □；秋季 □；冬季 □</w:t>
                  </w:r>
                </w:p>
                <w:p>
                  <w:pPr>
                    <w:spacing w:line="240" w:lineRule="auto"/>
                    <w:ind w:firstLine="0" w:firstLineChars="0"/>
                    <w:jc w:val="left"/>
                    <w:rPr>
                      <w:color w:val="auto"/>
                      <w:sz w:val="21"/>
                      <w:szCs w:val="21"/>
                      <w:highlight w:val="none"/>
                    </w:rPr>
                  </w:pPr>
                  <w:r>
                    <w:rPr>
                      <w:color w:val="auto"/>
                      <w:sz w:val="21"/>
                      <w:szCs w:val="21"/>
                      <w:highlight w:val="none"/>
                    </w:rPr>
                    <w:t>设计水文条件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预测情景</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建设期 □；生产运行期 □；服务期满后 □ </w:t>
                  </w:r>
                </w:p>
                <w:p>
                  <w:pPr>
                    <w:spacing w:line="240" w:lineRule="auto"/>
                    <w:ind w:firstLine="0" w:firstLineChars="0"/>
                    <w:jc w:val="left"/>
                    <w:rPr>
                      <w:color w:val="auto"/>
                      <w:sz w:val="21"/>
                      <w:szCs w:val="21"/>
                      <w:highlight w:val="none"/>
                    </w:rPr>
                  </w:pPr>
                  <w:r>
                    <w:rPr>
                      <w:color w:val="auto"/>
                      <w:sz w:val="21"/>
                      <w:szCs w:val="21"/>
                      <w:highlight w:val="none"/>
                    </w:rPr>
                    <w:t xml:space="preserve">正常工况 □；非正常工况 □ </w:t>
                  </w:r>
                </w:p>
                <w:p>
                  <w:pPr>
                    <w:spacing w:line="240" w:lineRule="auto"/>
                    <w:ind w:firstLine="0" w:firstLineChars="0"/>
                    <w:jc w:val="left"/>
                    <w:rPr>
                      <w:color w:val="auto"/>
                      <w:sz w:val="21"/>
                      <w:szCs w:val="21"/>
                      <w:highlight w:val="none"/>
                    </w:rPr>
                  </w:pPr>
                  <w:r>
                    <w:rPr>
                      <w:color w:val="auto"/>
                      <w:sz w:val="21"/>
                      <w:szCs w:val="21"/>
                      <w:highlight w:val="none"/>
                    </w:rPr>
                    <w:t xml:space="preserve">污染控制和减缓措施方案 □ </w:t>
                  </w:r>
                </w:p>
                <w:p>
                  <w:pPr>
                    <w:spacing w:line="240" w:lineRule="auto"/>
                    <w:ind w:firstLine="0" w:firstLineChars="0"/>
                    <w:jc w:val="left"/>
                    <w:rPr>
                      <w:color w:val="auto"/>
                      <w:sz w:val="21"/>
                      <w:szCs w:val="21"/>
                      <w:highlight w:val="none"/>
                    </w:rPr>
                  </w:pPr>
                  <w:r>
                    <w:rPr>
                      <w:color w:val="auto"/>
                      <w:sz w:val="21"/>
                      <w:szCs w:val="21"/>
                      <w:highlight w:val="none"/>
                    </w:rPr>
                    <w:t>区（流）域环境质量改善目标要求情景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预测方法</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数值解 □：解析解 □；其他 □ 导则推荐模式 □：其他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影响评价</w:t>
                  </w: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水污染控制和水环境影响减缓措施有效性评价</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区（流）域水环境质量改善目标 □；替代削减源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水环境影响评价</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排放口混合区外满足水环境管理要求 □ </w:t>
                  </w:r>
                </w:p>
                <w:p>
                  <w:pPr>
                    <w:spacing w:line="240" w:lineRule="auto"/>
                    <w:ind w:firstLine="0" w:firstLineChars="0"/>
                    <w:jc w:val="left"/>
                    <w:rPr>
                      <w:color w:val="auto"/>
                      <w:sz w:val="21"/>
                      <w:szCs w:val="21"/>
                      <w:highlight w:val="none"/>
                    </w:rPr>
                  </w:pPr>
                  <w:r>
                    <w:rPr>
                      <w:color w:val="auto"/>
                      <w:sz w:val="21"/>
                      <w:szCs w:val="21"/>
                      <w:highlight w:val="none"/>
                    </w:rPr>
                    <w:t xml:space="preserve">水环境功能区或水功能区、近岸海域环境功能区水质达标 □ </w:t>
                  </w:r>
                </w:p>
                <w:p>
                  <w:pPr>
                    <w:spacing w:line="240" w:lineRule="auto"/>
                    <w:ind w:firstLine="0" w:firstLineChars="0"/>
                    <w:jc w:val="left"/>
                    <w:rPr>
                      <w:color w:val="auto"/>
                      <w:sz w:val="21"/>
                      <w:szCs w:val="21"/>
                      <w:highlight w:val="none"/>
                    </w:rPr>
                  </w:pPr>
                  <w:r>
                    <w:rPr>
                      <w:color w:val="auto"/>
                      <w:sz w:val="21"/>
                      <w:szCs w:val="21"/>
                      <w:highlight w:val="none"/>
                    </w:rPr>
                    <w:t xml:space="preserve">满足水环境保护目标水域水环境质量要求 □ </w:t>
                  </w:r>
                </w:p>
                <w:p>
                  <w:pPr>
                    <w:spacing w:line="240" w:lineRule="auto"/>
                    <w:ind w:firstLine="0" w:firstLineChars="0"/>
                    <w:jc w:val="left"/>
                    <w:rPr>
                      <w:color w:val="auto"/>
                      <w:sz w:val="21"/>
                      <w:szCs w:val="21"/>
                      <w:highlight w:val="none"/>
                    </w:rPr>
                  </w:pPr>
                  <w:r>
                    <w:rPr>
                      <w:color w:val="auto"/>
                      <w:sz w:val="21"/>
                      <w:szCs w:val="21"/>
                      <w:highlight w:val="none"/>
                    </w:rPr>
                    <w:t xml:space="preserve">水环境控制单元或断面水质达标 □ </w:t>
                  </w:r>
                </w:p>
                <w:p>
                  <w:pPr>
                    <w:spacing w:line="240" w:lineRule="auto"/>
                    <w:ind w:firstLine="0" w:firstLineChars="0"/>
                    <w:jc w:val="left"/>
                    <w:rPr>
                      <w:color w:val="auto"/>
                      <w:sz w:val="21"/>
                      <w:szCs w:val="21"/>
                      <w:highlight w:val="none"/>
                    </w:rPr>
                  </w:pPr>
                  <w:r>
                    <w:rPr>
                      <w:color w:val="auto"/>
                      <w:sz w:val="21"/>
                      <w:szCs w:val="21"/>
                      <w:highlight w:val="none"/>
                    </w:rPr>
                    <w:t xml:space="preserve">满足重点水污染物排放总量控制指标要求，重点行业建设项目， 主要污染物排放满足等量或减量替代要求 □ </w:t>
                  </w:r>
                </w:p>
                <w:p>
                  <w:pPr>
                    <w:spacing w:line="240" w:lineRule="auto"/>
                    <w:ind w:firstLine="0" w:firstLineChars="0"/>
                    <w:jc w:val="left"/>
                    <w:rPr>
                      <w:color w:val="auto"/>
                      <w:sz w:val="21"/>
                      <w:szCs w:val="21"/>
                      <w:highlight w:val="none"/>
                    </w:rPr>
                  </w:pPr>
                  <w:r>
                    <w:rPr>
                      <w:color w:val="auto"/>
                      <w:sz w:val="21"/>
                      <w:szCs w:val="21"/>
                      <w:highlight w:val="none"/>
                    </w:rPr>
                    <w:t xml:space="preserve">满足区（流）域水环境质量改善目标要求 □ </w:t>
                  </w:r>
                </w:p>
                <w:p>
                  <w:pPr>
                    <w:spacing w:line="240" w:lineRule="auto"/>
                    <w:ind w:firstLine="0" w:firstLineChars="0"/>
                    <w:jc w:val="left"/>
                    <w:rPr>
                      <w:color w:val="auto"/>
                      <w:sz w:val="21"/>
                      <w:szCs w:val="21"/>
                      <w:highlight w:val="none"/>
                    </w:rPr>
                  </w:pPr>
                  <w:r>
                    <w:rPr>
                      <w:color w:val="auto"/>
                      <w:sz w:val="21"/>
                      <w:szCs w:val="21"/>
                      <w:highlight w:val="none"/>
                    </w:rPr>
                    <w:t xml:space="preserve">水文要素影响型建设项目同时应包括水文情势变化评价、主要水文特征值影响评价、生态流量符合性评价 □ </w:t>
                  </w:r>
                </w:p>
                <w:p>
                  <w:pPr>
                    <w:spacing w:line="240" w:lineRule="auto"/>
                    <w:ind w:firstLine="0" w:firstLineChars="0"/>
                    <w:jc w:val="left"/>
                    <w:rPr>
                      <w:color w:val="auto"/>
                      <w:sz w:val="21"/>
                      <w:szCs w:val="21"/>
                      <w:highlight w:val="none"/>
                    </w:rPr>
                  </w:pPr>
                  <w:r>
                    <w:rPr>
                      <w:color w:val="auto"/>
                      <w:sz w:val="21"/>
                      <w:szCs w:val="21"/>
                      <w:highlight w:val="none"/>
                    </w:rPr>
                    <w:t xml:space="preserve">对于新设或调整入河（湖库、近岸海域）排放口的建设项目，应包括排放口设置的环境合理性评价 </w:t>
                  </w:r>
                  <w:r>
                    <w:rPr>
                      <w:color w:val="auto"/>
                      <w:sz w:val="21"/>
                      <w:szCs w:val="21"/>
                      <w:highlight w:val="none"/>
                    </w:rPr>
                    <w:sym w:font="Wingdings 2" w:char="00A3"/>
                  </w:r>
                  <w:r>
                    <w:rPr>
                      <w:color w:val="auto"/>
                      <w:sz w:val="21"/>
                      <w:szCs w:val="21"/>
                      <w:highlight w:val="none"/>
                    </w:rPr>
                    <w:t xml:space="preserve"> </w:t>
                  </w:r>
                </w:p>
                <w:p>
                  <w:pPr>
                    <w:spacing w:line="240" w:lineRule="auto"/>
                    <w:ind w:firstLine="0" w:firstLineChars="0"/>
                    <w:jc w:val="left"/>
                    <w:rPr>
                      <w:color w:val="auto"/>
                      <w:sz w:val="21"/>
                      <w:szCs w:val="21"/>
                      <w:highlight w:val="none"/>
                    </w:rPr>
                  </w:pPr>
                  <w:r>
                    <w:rPr>
                      <w:color w:val="auto"/>
                      <w:sz w:val="21"/>
                      <w:szCs w:val="21"/>
                      <w:highlight w:val="none"/>
                    </w:rPr>
                    <w:t>满足生态保护红线、水环境质量底线、资源利用上线和环境准入清单管理要求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污染源排放量核算</w:t>
                  </w:r>
                </w:p>
              </w:tc>
              <w:tc>
                <w:tcPr>
                  <w:tcW w:w="2393"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污染物名称</w:t>
                  </w:r>
                </w:p>
              </w:tc>
              <w:tc>
                <w:tcPr>
                  <w:tcW w:w="2393" w:type="dxa"/>
                  <w:gridSpan w:val="4"/>
                  <w:vAlign w:val="center"/>
                </w:tcPr>
                <w:p>
                  <w:pPr>
                    <w:spacing w:line="240" w:lineRule="auto"/>
                    <w:ind w:firstLine="0" w:firstLineChars="0"/>
                    <w:jc w:val="center"/>
                    <w:rPr>
                      <w:color w:val="auto"/>
                      <w:sz w:val="21"/>
                      <w:szCs w:val="21"/>
                      <w:highlight w:val="none"/>
                    </w:rPr>
                  </w:pPr>
                  <w:r>
                    <w:rPr>
                      <w:color w:val="auto"/>
                      <w:sz w:val="21"/>
                      <w:szCs w:val="21"/>
                      <w:highlight w:val="none"/>
                    </w:rPr>
                    <w:t>排放量/（t/a）</w:t>
                  </w:r>
                </w:p>
              </w:tc>
              <w:tc>
                <w:tcPr>
                  <w:tcW w:w="2394"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排放浓度/（mg/L）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2393"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（COD、NH</w:t>
                  </w:r>
                  <w:r>
                    <w:rPr>
                      <w:color w:val="auto"/>
                      <w:sz w:val="21"/>
                      <w:szCs w:val="21"/>
                      <w:highlight w:val="none"/>
                      <w:vertAlign w:val="subscript"/>
                    </w:rPr>
                    <w:t>3</w:t>
                  </w:r>
                  <w:r>
                    <w:rPr>
                      <w:color w:val="auto"/>
                      <w:sz w:val="21"/>
                      <w:szCs w:val="21"/>
                      <w:highlight w:val="none"/>
                    </w:rPr>
                    <w:t>-N）</w:t>
                  </w:r>
                </w:p>
              </w:tc>
              <w:tc>
                <w:tcPr>
                  <w:tcW w:w="2393" w:type="dxa"/>
                  <w:gridSpan w:val="4"/>
                  <w:vAlign w:val="center"/>
                </w:tcPr>
                <w:p>
                  <w:pPr>
                    <w:spacing w:line="240" w:lineRule="auto"/>
                    <w:ind w:firstLine="0" w:firstLineChars="0"/>
                    <w:jc w:val="center"/>
                    <w:rPr>
                      <w:color w:val="auto"/>
                      <w:sz w:val="21"/>
                      <w:szCs w:val="21"/>
                      <w:highlight w:val="none"/>
                    </w:rPr>
                  </w:pPr>
                  <w:r>
                    <w:rPr>
                      <w:color w:val="auto"/>
                      <w:sz w:val="21"/>
                      <w:szCs w:val="21"/>
                      <w:highlight w:val="none"/>
                    </w:rPr>
                    <w:t>（0.34、0.040）</w:t>
                  </w:r>
                </w:p>
              </w:tc>
              <w:tc>
                <w:tcPr>
                  <w:tcW w:w="2394"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（100、15）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替代源排放情况</w:t>
                  </w:r>
                </w:p>
              </w:tc>
              <w:tc>
                <w:tcPr>
                  <w:tcW w:w="1435" w:type="dxa"/>
                  <w:vAlign w:val="center"/>
                </w:tcPr>
                <w:p>
                  <w:pPr>
                    <w:spacing w:line="240" w:lineRule="auto"/>
                    <w:ind w:firstLine="0" w:firstLineChars="0"/>
                    <w:jc w:val="center"/>
                    <w:rPr>
                      <w:color w:val="auto"/>
                      <w:sz w:val="21"/>
                      <w:szCs w:val="21"/>
                      <w:highlight w:val="none"/>
                    </w:rPr>
                  </w:pPr>
                  <w:r>
                    <w:rPr>
                      <w:color w:val="auto"/>
                      <w:sz w:val="21"/>
                      <w:szCs w:val="21"/>
                      <w:highlight w:val="none"/>
                    </w:rPr>
                    <w:t>污染源名称</w:t>
                  </w:r>
                </w:p>
              </w:tc>
              <w:tc>
                <w:tcPr>
                  <w:tcW w:w="1435"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排污许可证编号</w:t>
                  </w:r>
                </w:p>
              </w:tc>
              <w:tc>
                <w:tcPr>
                  <w:tcW w:w="1437"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污染物名称</w:t>
                  </w:r>
                </w:p>
              </w:tc>
              <w:tc>
                <w:tcPr>
                  <w:tcW w:w="1435"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排放量/（t/a）</w:t>
                  </w:r>
                </w:p>
              </w:tc>
              <w:tc>
                <w:tcPr>
                  <w:tcW w:w="1438" w:type="dxa"/>
                  <w:vAlign w:val="center"/>
                </w:tcPr>
                <w:p>
                  <w:pPr>
                    <w:spacing w:line="240" w:lineRule="auto"/>
                    <w:ind w:firstLine="0" w:firstLineChars="0"/>
                    <w:jc w:val="center"/>
                    <w:rPr>
                      <w:color w:val="auto"/>
                      <w:sz w:val="21"/>
                      <w:szCs w:val="21"/>
                      <w:highlight w:val="none"/>
                    </w:rPr>
                  </w:pPr>
                  <w:r>
                    <w:rPr>
                      <w:color w:val="auto"/>
                      <w:sz w:val="21"/>
                      <w:szCs w:val="21"/>
                      <w:highlight w:val="none"/>
                    </w:rPr>
                    <w:t>排放浓度/（mg/L）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1435" w:type="dxa"/>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c>
                <w:tcPr>
                  <w:tcW w:w="1435"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c>
                <w:tcPr>
                  <w:tcW w:w="1437"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c>
                <w:tcPr>
                  <w:tcW w:w="1435"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c>
                <w:tcPr>
                  <w:tcW w:w="1438" w:type="dxa"/>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生态流量确定</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生态流量：一般水期（   ）m</w:t>
                  </w:r>
                  <w:r>
                    <w:rPr>
                      <w:color w:val="auto"/>
                      <w:sz w:val="21"/>
                      <w:szCs w:val="21"/>
                      <w:highlight w:val="none"/>
                      <w:vertAlign w:val="superscript"/>
                    </w:rPr>
                    <w:t>3</w:t>
                  </w:r>
                  <w:r>
                    <w:rPr>
                      <w:color w:val="auto"/>
                      <w:sz w:val="21"/>
                      <w:szCs w:val="21"/>
                      <w:highlight w:val="none"/>
                    </w:rPr>
                    <w:t>/s；鱼类繁殖期（   ）m</w:t>
                  </w:r>
                  <w:r>
                    <w:rPr>
                      <w:color w:val="auto"/>
                      <w:sz w:val="21"/>
                      <w:szCs w:val="21"/>
                      <w:highlight w:val="none"/>
                      <w:vertAlign w:val="superscript"/>
                    </w:rPr>
                    <w:t>3</w:t>
                  </w:r>
                  <w:r>
                    <w:rPr>
                      <w:color w:val="auto"/>
                      <w:sz w:val="21"/>
                      <w:szCs w:val="21"/>
                      <w:highlight w:val="none"/>
                    </w:rPr>
                    <w:t>/s；其他（   ）m</w:t>
                  </w:r>
                  <w:r>
                    <w:rPr>
                      <w:color w:val="auto"/>
                      <w:sz w:val="21"/>
                      <w:szCs w:val="21"/>
                      <w:highlight w:val="none"/>
                      <w:vertAlign w:val="superscript"/>
                    </w:rPr>
                    <w:t>3</w:t>
                  </w:r>
                  <w:r>
                    <w:rPr>
                      <w:color w:val="auto"/>
                      <w:sz w:val="21"/>
                      <w:szCs w:val="21"/>
                      <w:highlight w:val="none"/>
                    </w:rPr>
                    <w:t xml:space="preserve">/s   </w:t>
                  </w:r>
                </w:p>
                <w:p>
                  <w:pPr>
                    <w:spacing w:line="240" w:lineRule="auto"/>
                    <w:ind w:firstLine="0" w:firstLineChars="0"/>
                    <w:jc w:val="left"/>
                    <w:rPr>
                      <w:color w:val="auto"/>
                      <w:sz w:val="21"/>
                      <w:szCs w:val="21"/>
                      <w:highlight w:val="none"/>
                    </w:rPr>
                  </w:pPr>
                  <w:r>
                    <w:rPr>
                      <w:color w:val="auto"/>
                      <w:sz w:val="21"/>
                      <w:szCs w:val="21"/>
                      <w:highlight w:val="none"/>
                    </w:rPr>
                    <w:t>生态水位：一般水期（ ）m；鱼类繁殖期（ ）m；其他（ ）m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防治措施</w:t>
                  </w: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环保措施</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 xml:space="preserve">污水处理设施 </w:t>
                  </w:r>
                  <w:r>
                    <w:rPr>
                      <w:color w:val="auto"/>
                      <w:sz w:val="21"/>
                      <w:szCs w:val="21"/>
                      <w:highlight w:val="none"/>
                    </w:rPr>
                    <w:sym w:font="Wingdings 2" w:char="0052"/>
                  </w:r>
                  <w:r>
                    <w:rPr>
                      <w:color w:val="auto"/>
                      <w:sz w:val="21"/>
                      <w:szCs w:val="21"/>
                      <w:highlight w:val="none"/>
                    </w:rPr>
                    <w:t xml:space="preserve">；水文减缓设施 □；生态流量保障设施 □；区域削减 □；依托其他工程措施  </w:t>
                  </w:r>
                  <w:r>
                    <w:rPr>
                      <w:color w:val="auto"/>
                      <w:sz w:val="21"/>
                      <w:szCs w:val="21"/>
                      <w:highlight w:val="none"/>
                    </w:rPr>
                    <w:sym w:font="Wingdings 2" w:char="00A3"/>
                  </w:r>
                  <w:r>
                    <w:rPr>
                      <w:color w:val="auto"/>
                      <w:sz w:val="21"/>
                      <w:szCs w:val="21"/>
                      <w:highlight w:val="none"/>
                    </w:rPr>
                    <w:t>；其他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监测计划</w:t>
                  </w:r>
                </w:p>
              </w:tc>
              <w:tc>
                <w:tcPr>
                  <w:tcW w:w="1435" w:type="dxa"/>
                  <w:vAlign w:val="center"/>
                </w:tcPr>
                <w:p>
                  <w:pPr>
                    <w:spacing w:line="240" w:lineRule="auto"/>
                    <w:ind w:firstLine="0" w:firstLineChars="0"/>
                    <w:jc w:val="center"/>
                    <w:rPr>
                      <w:color w:val="auto"/>
                      <w:sz w:val="21"/>
                      <w:szCs w:val="21"/>
                      <w:highlight w:val="none"/>
                    </w:rPr>
                  </w:pPr>
                </w:p>
              </w:tc>
              <w:tc>
                <w:tcPr>
                  <w:tcW w:w="287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环境质量</w:t>
                  </w:r>
                </w:p>
              </w:tc>
              <w:tc>
                <w:tcPr>
                  <w:tcW w:w="2873" w:type="dxa"/>
                  <w:gridSpan w:val="4"/>
                  <w:vAlign w:val="center"/>
                </w:tcPr>
                <w:p>
                  <w:pPr>
                    <w:spacing w:line="240" w:lineRule="auto"/>
                    <w:ind w:firstLine="0" w:firstLineChars="0"/>
                    <w:jc w:val="center"/>
                    <w:rPr>
                      <w:color w:val="auto"/>
                      <w:sz w:val="21"/>
                      <w:szCs w:val="21"/>
                      <w:highlight w:val="none"/>
                    </w:rPr>
                  </w:pPr>
                  <w:r>
                    <w:rPr>
                      <w:color w:val="auto"/>
                      <w:sz w:val="21"/>
                      <w:szCs w:val="21"/>
                      <w:highlight w:val="none"/>
                    </w:rPr>
                    <w:t>污染源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1435"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监测方式</w:t>
                  </w:r>
                </w:p>
              </w:tc>
              <w:tc>
                <w:tcPr>
                  <w:tcW w:w="287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手动 □；自动 □；无监测 □</w:t>
                  </w:r>
                </w:p>
              </w:tc>
              <w:tc>
                <w:tcPr>
                  <w:tcW w:w="2873" w:type="dxa"/>
                  <w:gridSpan w:val="4"/>
                  <w:vAlign w:val="center"/>
                </w:tcPr>
                <w:p>
                  <w:pPr>
                    <w:spacing w:line="240" w:lineRule="auto"/>
                    <w:ind w:firstLine="0" w:firstLineChars="0"/>
                    <w:jc w:val="center"/>
                    <w:rPr>
                      <w:color w:val="auto"/>
                      <w:sz w:val="21"/>
                      <w:szCs w:val="21"/>
                      <w:highlight w:val="none"/>
                    </w:rPr>
                  </w:pPr>
                  <w:r>
                    <w:rPr>
                      <w:color w:val="auto"/>
                      <w:sz w:val="21"/>
                      <w:szCs w:val="21"/>
                      <w:highlight w:val="none"/>
                    </w:rPr>
                    <w:t>手动；自动 □；无监测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1435"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监测点位</w:t>
                  </w:r>
                </w:p>
              </w:tc>
              <w:tc>
                <w:tcPr>
                  <w:tcW w:w="287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c>
                <w:tcPr>
                  <w:tcW w:w="2873" w:type="dxa"/>
                  <w:gridSpan w:val="4"/>
                  <w:vAlign w:val="center"/>
                </w:tcPr>
                <w:p>
                  <w:pPr>
                    <w:spacing w:line="240" w:lineRule="auto"/>
                    <w:ind w:firstLine="0" w:firstLineChars="0"/>
                    <w:jc w:val="center"/>
                    <w:rPr>
                      <w:color w:val="auto"/>
                      <w:sz w:val="21"/>
                      <w:szCs w:val="21"/>
                      <w:highlight w:val="none"/>
                    </w:rPr>
                  </w:pPr>
                  <w:r>
                    <w:rPr>
                      <w:color w:val="auto"/>
                      <w:sz w:val="21"/>
                      <w:szCs w:val="21"/>
                      <w:highlight w:val="none"/>
                    </w:rPr>
                    <w:t>（厂区排污口）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Merge w:val="continue"/>
                  <w:vAlign w:val="center"/>
                </w:tcPr>
                <w:p>
                  <w:pPr>
                    <w:spacing w:line="240" w:lineRule="auto"/>
                    <w:ind w:firstLine="0" w:firstLineChars="0"/>
                    <w:jc w:val="center"/>
                    <w:rPr>
                      <w:color w:val="auto"/>
                      <w:sz w:val="21"/>
                      <w:szCs w:val="21"/>
                      <w:highlight w:val="none"/>
                    </w:rPr>
                  </w:pPr>
                </w:p>
              </w:tc>
              <w:tc>
                <w:tcPr>
                  <w:tcW w:w="1435"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监测因子</w:t>
                  </w:r>
                </w:p>
              </w:tc>
              <w:tc>
                <w:tcPr>
                  <w:tcW w:w="2872" w:type="dxa"/>
                  <w:gridSpan w:val="5"/>
                  <w:vAlign w:val="center"/>
                </w:tcPr>
                <w:p>
                  <w:pPr>
                    <w:spacing w:line="240" w:lineRule="auto"/>
                    <w:ind w:firstLine="0" w:firstLineChars="0"/>
                    <w:jc w:val="center"/>
                    <w:rPr>
                      <w:color w:val="auto"/>
                      <w:sz w:val="21"/>
                      <w:szCs w:val="21"/>
                      <w:highlight w:val="none"/>
                    </w:rPr>
                  </w:pPr>
                  <w:r>
                    <w:rPr>
                      <w:color w:val="auto"/>
                      <w:sz w:val="21"/>
                      <w:szCs w:val="21"/>
                      <w:highlight w:val="none"/>
                    </w:rPr>
                    <w:t>（/ ）</w:t>
                  </w:r>
                </w:p>
              </w:tc>
              <w:tc>
                <w:tcPr>
                  <w:tcW w:w="2873" w:type="dxa"/>
                  <w:gridSpan w:val="4"/>
                  <w:vAlign w:val="center"/>
                </w:tcPr>
                <w:p>
                  <w:pPr>
                    <w:spacing w:line="240" w:lineRule="auto"/>
                    <w:ind w:firstLine="0" w:firstLineChars="0"/>
                    <w:jc w:val="center"/>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PH、</w:t>
                  </w:r>
                  <w:r>
                    <w:rPr>
                      <w:color w:val="auto"/>
                      <w:sz w:val="21"/>
                      <w:szCs w:val="21"/>
                      <w:highlight w:val="none"/>
                    </w:rPr>
                    <w:t>COD、BOD</w:t>
                  </w:r>
                  <w:r>
                    <w:rPr>
                      <w:color w:val="auto"/>
                      <w:sz w:val="21"/>
                      <w:szCs w:val="21"/>
                      <w:highlight w:val="none"/>
                      <w:vertAlign w:val="subscript"/>
                    </w:rPr>
                    <w:t>5</w:t>
                  </w:r>
                  <w:r>
                    <w:rPr>
                      <w:color w:val="auto"/>
                      <w:sz w:val="21"/>
                      <w:szCs w:val="21"/>
                      <w:highlight w:val="none"/>
                    </w:rPr>
                    <w:t>、</w:t>
                  </w:r>
                  <w:r>
                    <w:rPr>
                      <w:bCs/>
                      <w:color w:val="auto"/>
                      <w:kern w:val="0"/>
                      <w:sz w:val="21"/>
                      <w:szCs w:val="21"/>
                      <w:highlight w:val="none"/>
                    </w:rPr>
                    <w:t>氨氮、SS、</w:t>
                  </w:r>
                  <w:r>
                    <w:rPr>
                      <w:color w:val="auto"/>
                      <w:kern w:val="0"/>
                      <w:sz w:val="21"/>
                      <w:szCs w:val="21"/>
                      <w:highlight w:val="none"/>
                    </w:rPr>
                    <w:t>动植物油</w:t>
                  </w:r>
                  <w:r>
                    <w:rPr>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414" w:type="dxa"/>
                  <w:vMerge w:val="continue"/>
                  <w:vAlign w:val="center"/>
                </w:tcPr>
                <w:p>
                  <w:pPr>
                    <w:spacing w:line="240" w:lineRule="auto"/>
                    <w:ind w:firstLine="0" w:firstLineChars="0"/>
                    <w:jc w:val="center"/>
                    <w:rPr>
                      <w:color w:val="auto"/>
                      <w:sz w:val="21"/>
                      <w:szCs w:val="21"/>
                      <w:highlight w:val="none"/>
                    </w:rPr>
                  </w:pPr>
                </w:p>
              </w:tc>
              <w:tc>
                <w:tcPr>
                  <w:tcW w:w="147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污染物排放清单</w:t>
                  </w:r>
                </w:p>
              </w:tc>
              <w:tc>
                <w:tcPr>
                  <w:tcW w:w="7180" w:type="dxa"/>
                  <w:gridSpan w:val="10"/>
                  <w:vAlign w:val="center"/>
                </w:tcPr>
                <w:p>
                  <w:pPr>
                    <w:spacing w:line="240" w:lineRule="auto"/>
                    <w:ind w:firstLine="0" w:firstLineChars="0"/>
                    <w:jc w:val="left"/>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892" w:type="dxa"/>
                  <w:gridSpan w:val="3"/>
                  <w:vAlign w:val="center"/>
                </w:tcPr>
                <w:p>
                  <w:pPr>
                    <w:spacing w:line="240" w:lineRule="auto"/>
                    <w:ind w:firstLine="0" w:firstLineChars="0"/>
                    <w:jc w:val="center"/>
                    <w:rPr>
                      <w:color w:val="auto"/>
                      <w:sz w:val="21"/>
                      <w:szCs w:val="21"/>
                      <w:highlight w:val="none"/>
                    </w:rPr>
                  </w:pPr>
                  <w:r>
                    <w:rPr>
                      <w:color w:val="auto"/>
                      <w:sz w:val="21"/>
                      <w:szCs w:val="21"/>
                      <w:highlight w:val="none"/>
                    </w:rPr>
                    <w:t>评估结论</w:t>
                  </w:r>
                </w:p>
              </w:tc>
              <w:tc>
                <w:tcPr>
                  <w:tcW w:w="7180" w:type="dxa"/>
                  <w:gridSpan w:val="10"/>
                  <w:vAlign w:val="center"/>
                </w:tcPr>
                <w:p>
                  <w:pPr>
                    <w:spacing w:line="240" w:lineRule="auto"/>
                    <w:ind w:firstLine="0" w:firstLineChars="0"/>
                    <w:jc w:val="left"/>
                    <w:rPr>
                      <w:color w:val="auto"/>
                      <w:sz w:val="21"/>
                      <w:szCs w:val="21"/>
                      <w:highlight w:val="none"/>
                    </w:rPr>
                  </w:pPr>
                  <w:r>
                    <w:rPr>
                      <w:color w:val="auto"/>
                      <w:sz w:val="21"/>
                      <w:szCs w:val="21"/>
                      <w:highlight w:val="none"/>
                    </w:rPr>
                    <w:t>可以接受；不可以接受□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9072" w:type="dxa"/>
                  <w:gridSpan w:val="13"/>
                  <w:vAlign w:val="center"/>
                </w:tcPr>
                <w:p>
                  <w:pPr>
                    <w:spacing w:line="240" w:lineRule="auto"/>
                    <w:ind w:firstLine="0" w:firstLineChars="0"/>
                    <w:jc w:val="left"/>
                    <w:rPr>
                      <w:color w:val="auto"/>
                      <w:sz w:val="21"/>
                      <w:szCs w:val="21"/>
                      <w:highlight w:val="none"/>
                    </w:rPr>
                  </w:pPr>
                  <w:r>
                    <w:rPr>
                      <w:color w:val="auto"/>
                      <w:sz w:val="21"/>
                      <w:szCs w:val="21"/>
                      <w:highlight w:val="none"/>
                    </w:rPr>
                    <w:t>注：“□”为勾选项，可√；“（）”为内容填写项；“备注”为其他补充内容。</w:t>
                  </w:r>
                </w:p>
              </w:tc>
            </w:tr>
          </w:tbl>
          <w:p>
            <w:pPr>
              <w:spacing w:line="360" w:lineRule="auto"/>
              <w:ind w:firstLine="482"/>
              <w:jc w:val="left"/>
              <w:rPr>
                <w:b/>
                <w:bCs/>
                <w:color w:val="auto"/>
                <w:highlight w:val="none"/>
              </w:rPr>
            </w:pPr>
            <w:r>
              <w:rPr>
                <w:rFonts w:hint="eastAsia"/>
                <w:b/>
                <w:bCs/>
                <w:color w:val="auto"/>
                <w:highlight w:val="none"/>
              </w:rPr>
              <w:t>2.3土壤环境影响分析</w:t>
            </w:r>
          </w:p>
          <w:p>
            <w:pPr>
              <w:spacing w:line="360" w:lineRule="auto"/>
              <w:jc w:val="left"/>
              <w:rPr>
                <w:b/>
                <w:bCs/>
                <w:color w:val="auto"/>
                <w:sz w:val="21"/>
                <w:szCs w:val="21"/>
                <w:highlight w:val="none"/>
              </w:rPr>
            </w:pPr>
            <w:r>
              <w:rPr>
                <w:color w:val="auto"/>
                <w:highlight w:val="none"/>
              </w:rPr>
              <w:t>根据《环境影响评价技术导则 土壤环境（试行）》（HJ964-2018）中附录A 土壤环境影响评价项目类别，本项目属于</w:t>
            </w:r>
            <w:r>
              <w:rPr>
                <w:rFonts w:hint="eastAsia"/>
                <w:color w:val="auto"/>
                <w:highlight w:val="none"/>
              </w:rPr>
              <w:t>其它行业属于Ⅳ</w:t>
            </w:r>
            <w:r>
              <w:rPr>
                <w:color w:val="auto"/>
                <w:highlight w:val="none"/>
              </w:rPr>
              <w:t>类项目，详见表</w:t>
            </w:r>
            <w:r>
              <w:rPr>
                <w:rFonts w:hint="eastAsia"/>
                <w:color w:val="auto"/>
                <w:highlight w:val="none"/>
              </w:rPr>
              <w:t>7-5</w:t>
            </w:r>
            <w:r>
              <w:rPr>
                <w:color w:val="auto"/>
                <w:highlight w:val="none"/>
              </w:rPr>
              <w:t>。</w:t>
            </w:r>
          </w:p>
          <w:p>
            <w:pPr>
              <w:spacing w:line="240" w:lineRule="auto"/>
              <w:ind w:firstLine="422"/>
              <w:jc w:val="center"/>
              <w:rPr>
                <w:b/>
                <w:bCs/>
                <w:color w:val="auto"/>
                <w:sz w:val="21"/>
                <w:szCs w:val="21"/>
                <w:highlight w:val="none"/>
              </w:rPr>
            </w:pPr>
            <w:r>
              <w:rPr>
                <w:b/>
                <w:bCs/>
                <w:color w:val="auto"/>
                <w:sz w:val="21"/>
                <w:szCs w:val="21"/>
                <w:highlight w:val="none"/>
              </w:rPr>
              <w:t xml:space="preserve">表 </w:t>
            </w:r>
            <w:r>
              <w:rPr>
                <w:rFonts w:hint="eastAsia"/>
                <w:b/>
                <w:bCs/>
                <w:color w:val="auto"/>
                <w:sz w:val="21"/>
                <w:szCs w:val="21"/>
                <w:highlight w:val="none"/>
              </w:rPr>
              <w:t xml:space="preserve">7-5   </w:t>
            </w:r>
            <w:r>
              <w:rPr>
                <w:b/>
                <w:bCs/>
                <w:color w:val="auto"/>
                <w:sz w:val="21"/>
                <w:szCs w:val="21"/>
                <w:highlight w:val="none"/>
              </w:rPr>
              <w:t>土壤环境影响评价项目类别</w:t>
            </w:r>
          </w:p>
          <w:tbl>
            <w:tblPr>
              <w:tblStyle w:val="27"/>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8"/>
              <w:gridCol w:w="1757"/>
              <w:gridCol w:w="1758"/>
              <w:gridCol w:w="1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57" w:type="dxa"/>
                  <w:vMerge w:val="restart"/>
                  <w:tcBorders>
                    <w:tl2br w:val="nil"/>
                    <w:tr2bl w:val="nil"/>
                  </w:tcBorders>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行业类别</w:t>
                  </w:r>
                </w:p>
              </w:tc>
              <w:tc>
                <w:tcPr>
                  <w:tcW w:w="7030" w:type="dxa"/>
                  <w:gridSpan w:val="4"/>
                  <w:tcBorders>
                    <w:tl2br w:val="nil"/>
                    <w:tr2bl w:val="nil"/>
                  </w:tcBorders>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项目类别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57" w:type="dxa"/>
                  <w:vMerge w:val="continue"/>
                  <w:tcBorders>
                    <w:tl2br w:val="nil"/>
                    <w:tr2bl w:val="nil"/>
                  </w:tcBorders>
                  <w:vAlign w:val="center"/>
                </w:tcPr>
                <w:p>
                  <w:pPr>
                    <w:spacing w:line="240" w:lineRule="auto"/>
                    <w:ind w:firstLine="0" w:firstLineChars="0"/>
                    <w:jc w:val="center"/>
                    <w:rPr>
                      <w:b/>
                      <w:bCs/>
                      <w:color w:val="auto"/>
                      <w:sz w:val="21"/>
                      <w:szCs w:val="21"/>
                      <w:highlight w:val="none"/>
                    </w:rPr>
                  </w:pPr>
                </w:p>
              </w:tc>
              <w:tc>
                <w:tcPr>
                  <w:tcW w:w="1758" w:type="dxa"/>
                  <w:tcBorders>
                    <w:tl2br w:val="nil"/>
                    <w:tr2bl w:val="nil"/>
                  </w:tcBorders>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Ⅰ类</w:t>
                  </w:r>
                </w:p>
              </w:tc>
              <w:tc>
                <w:tcPr>
                  <w:tcW w:w="1757" w:type="dxa"/>
                  <w:tcBorders>
                    <w:tl2br w:val="nil"/>
                    <w:tr2bl w:val="nil"/>
                  </w:tcBorders>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Ⅱ类</w:t>
                  </w:r>
                </w:p>
              </w:tc>
              <w:tc>
                <w:tcPr>
                  <w:tcW w:w="1758" w:type="dxa"/>
                  <w:tcBorders>
                    <w:tl2br w:val="nil"/>
                    <w:tr2bl w:val="nil"/>
                  </w:tcBorders>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Ⅲ类</w:t>
                  </w:r>
                </w:p>
              </w:tc>
              <w:tc>
                <w:tcPr>
                  <w:tcW w:w="1757" w:type="dxa"/>
                  <w:tcBorders>
                    <w:tl2br w:val="nil"/>
                    <w:tr2bl w:val="nil"/>
                  </w:tcBorders>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Ⅳ类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5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其他行业</w:t>
                  </w:r>
                </w:p>
              </w:tc>
              <w:tc>
                <w:tcPr>
                  <w:tcW w:w="1758" w:type="dxa"/>
                  <w:tcBorders>
                    <w:tl2br w:val="nil"/>
                    <w:tr2bl w:val="nil"/>
                  </w:tcBorders>
                  <w:vAlign w:val="center"/>
                </w:tcPr>
                <w:p>
                  <w:pPr>
                    <w:spacing w:line="240" w:lineRule="auto"/>
                    <w:ind w:firstLine="0" w:firstLineChars="0"/>
                    <w:jc w:val="center"/>
                    <w:rPr>
                      <w:color w:val="auto"/>
                      <w:sz w:val="21"/>
                      <w:szCs w:val="21"/>
                      <w:highlight w:val="none"/>
                    </w:rPr>
                  </w:pPr>
                </w:p>
              </w:tc>
              <w:tc>
                <w:tcPr>
                  <w:tcW w:w="1757" w:type="dxa"/>
                  <w:tcBorders>
                    <w:tl2br w:val="nil"/>
                    <w:tr2bl w:val="nil"/>
                  </w:tcBorders>
                  <w:vAlign w:val="center"/>
                </w:tcPr>
                <w:p>
                  <w:pPr>
                    <w:spacing w:line="240" w:lineRule="auto"/>
                    <w:ind w:firstLine="0" w:firstLineChars="0"/>
                    <w:jc w:val="center"/>
                    <w:rPr>
                      <w:color w:val="auto"/>
                      <w:sz w:val="21"/>
                      <w:szCs w:val="21"/>
                      <w:highlight w:val="none"/>
                    </w:rPr>
                  </w:pPr>
                </w:p>
              </w:tc>
              <w:tc>
                <w:tcPr>
                  <w:tcW w:w="1758" w:type="dxa"/>
                  <w:tcBorders>
                    <w:tl2br w:val="nil"/>
                    <w:tr2bl w:val="nil"/>
                  </w:tcBorders>
                  <w:vAlign w:val="center"/>
                </w:tcPr>
                <w:p>
                  <w:pPr>
                    <w:spacing w:line="240" w:lineRule="auto"/>
                    <w:ind w:firstLine="0" w:firstLineChars="0"/>
                    <w:jc w:val="center"/>
                    <w:rPr>
                      <w:color w:val="auto"/>
                      <w:sz w:val="21"/>
                      <w:szCs w:val="21"/>
                      <w:highlight w:val="none"/>
                    </w:rPr>
                  </w:pPr>
                </w:p>
              </w:tc>
              <w:tc>
                <w:tcPr>
                  <w:tcW w:w="1757"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全部</w:t>
                  </w:r>
                </w:p>
              </w:tc>
            </w:tr>
          </w:tbl>
          <w:p>
            <w:pPr>
              <w:spacing w:line="360" w:lineRule="auto"/>
              <w:jc w:val="left"/>
              <w:rPr>
                <w:color w:val="auto"/>
                <w:highlight w:val="none"/>
              </w:rPr>
            </w:pPr>
            <w:r>
              <w:rPr>
                <w:rFonts w:hint="eastAsia"/>
                <w:color w:val="auto"/>
                <w:highlight w:val="none"/>
              </w:rPr>
              <w:t>根据</w:t>
            </w:r>
            <w:r>
              <w:rPr>
                <w:color w:val="auto"/>
                <w:highlight w:val="none"/>
              </w:rPr>
              <w:t>《环境影响评价技术导则 土壤环境（试行）》（HJ964-2018）中</w:t>
            </w:r>
            <w:r>
              <w:rPr>
                <w:rFonts w:hint="eastAsia"/>
                <w:color w:val="auto"/>
                <w:highlight w:val="none"/>
              </w:rPr>
              <w:t>4.2.2Ⅳ</w:t>
            </w:r>
            <w:r>
              <w:rPr>
                <w:color w:val="auto"/>
                <w:highlight w:val="none"/>
              </w:rPr>
              <w:t>类</w:t>
            </w:r>
            <w:r>
              <w:rPr>
                <w:rFonts w:hint="eastAsia"/>
                <w:color w:val="auto"/>
                <w:highlight w:val="none"/>
              </w:rPr>
              <w:t>建设项目可不开展土壤环境影响评价。</w:t>
            </w:r>
          </w:p>
          <w:p>
            <w:pPr>
              <w:spacing w:line="360" w:lineRule="auto"/>
              <w:ind w:firstLine="482"/>
              <w:jc w:val="left"/>
              <w:rPr>
                <w:b/>
                <w:bCs/>
                <w:color w:val="auto"/>
                <w:highlight w:val="none"/>
              </w:rPr>
            </w:pPr>
            <w:r>
              <w:rPr>
                <w:rFonts w:hint="eastAsia"/>
                <w:b/>
                <w:bCs/>
                <w:color w:val="auto"/>
                <w:highlight w:val="none"/>
              </w:rPr>
              <w:t>2.4声环境影响评价分析</w:t>
            </w:r>
          </w:p>
          <w:p>
            <w:pPr>
              <w:spacing w:line="360" w:lineRule="auto"/>
              <w:ind w:firstLine="482"/>
              <w:jc w:val="left"/>
              <w:rPr>
                <w:b/>
                <w:bCs/>
                <w:color w:val="auto"/>
                <w:highlight w:val="none"/>
              </w:rPr>
            </w:pPr>
            <w:r>
              <w:rPr>
                <w:rFonts w:hint="eastAsia"/>
                <w:b/>
                <w:bCs/>
                <w:color w:val="auto"/>
                <w:highlight w:val="none"/>
              </w:rPr>
              <w:t>（1）噪声源</w:t>
            </w:r>
          </w:p>
          <w:p>
            <w:pPr>
              <w:spacing w:line="360" w:lineRule="auto"/>
              <w:jc w:val="left"/>
              <w:rPr>
                <w:color w:val="auto"/>
                <w:highlight w:val="none"/>
              </w:rPr>
            </w:pPr>
            <w:r>
              <w:rPr>
                <w:rFonts w:hint="eastAsia"/>
                <w:color w:val="auto"/>
                <w:highlight w:val="none"/>
              </w:rPr>
              <w:t>项目运营期主要噪声源为轴流风机、回转式格栅除污机、搅拌机、次氯酸钠发生器、水泵、潜水排污泵等各种机械设备，噪声源强在70~90d(A)之间，项目拟采取基础减振、构筑物隔声、围墙隔声等措施降噪后源强为65-70dB(A)。</w:t>
            </w:r>
          </w:p>
          <w:p>
            <w:pPr>
              <w:spacing w:line="360" w:lineRule="auto"/>
              <w:ind w:firstLine="482"/>
              <w:jc w:val="left"/>
              <w:rPr>
                <w:b/>
                <w:bCs/>
                <w:color w:val="auto"/>
                <w:highlight w:val="none"/>
                <w:lang w:val="zh-CN"/>
              </w:rPr>
            </w:pPr>
            <w:r>
              <w:rPr>
                <w:b/>
                <w:bCs/>
                <w:color w:val="auto"/>
                <w:highlight w:val="none"/>
                <w:lang w:val="zh-CN"/>
              </w:rPr>
              <w:t>（</w:t>
            </w:r>
            <w:r>
              <w:rPr>
                <w:b/>
                <w:bCs/>
                <w:color w:val="auto"/>
                <w:highlight w:val="none"/>
              </w:rPr>
              <w:t>2</w:t>
            </w:r>
            <w:r>
              <w:rPr>
                <w:b/>
                <w:bCs/>
                <w:color w:val="auto"/>
                <w:highlight w:val="none"/>
                <w:lang w:val="zh-CN"/>
              </w:rPr>
              <w:t>）影响预测分析</w:t>
            </w:r>
          </w:p>
          <w:p>
            <w:pPr>
              <w:spacing w:line="360" w:lineRule="auto"/>
              <w:ind w:firstLine="600" w:firstLineChars="250"/>
              <w:jc w:val="left"/>
              <w:rPr>
                <w:color w:val="auto"/>
                <w:highlight w:val="none"/>
                <w:lang w:val="zh-CN"/>
              </w:rPr>
            </w:pPr>
            <w:r>
              <w:rPr>
                <w:color w:val="auto"/>
                <w:highlight w:val="none"/>
                <w:lang w:val="zh-CN"/>
              </w:rPr>
              <w:t>①噪声源与厂界的距离</w:t>
            </w:r>
          </w:p>
          <w:p>
            <w:pPr>
              <w:spacing w:line="240" w:lineRule="auto"/>
              <w:ind w:firstLine="422"/>
              <w:jc w:val="center"/>
              <w:rPr>
                <w:b/>
                <w:bCs/>
                <w:color w:val="auto"/>
                <w:sz w:val="21"/>
                <w:szCs w:val="21"/>
                <w:highlight w:val="none"/>
                <w:lang w:val="zh-CN"/>
              </w:rPr>
            </w:pPr>
            <w:r>
              <w:rPr>
                <w:rFonts w:hint="eastAsia"/>
                <w:b/>
                <w:bCs/>
                <w:color w:val="auto"/>
                <w:sz w:val="21"/>
                <w:szCs w:val="21"/>
                <w:highlight w:val="none"/>
              </w:rPr>
              <w:t xml:space="preserve">表7-4  </w:t>
            </w:r>
            <w:r>
              <w:rPr>
                <w:b/>
                <w:bCs/>
                <w:color w:val="auto"/>
                <w:sz w:val="21"/>
                <w:szCs w:val="21"/>
                <w:highlight w:val="none"/>
                <w:lang w:val="zh-CN"/>
              </w:rPr>
              <w:t>项目噪声源与各厂界的最近距离</w:t>
            </w:r>
          </w:p>
          <w:tbl>
            <w:tblPr>
              <w:tblStyle w:val="26"/>
              <w:tblW w:w="87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14"/>
              <w:gridCol w:w="801"/>
              <w:gridCol w:w="1312"/>
              <w:gridCol w:w="2340"/>
              <w:gridCol w:w="1149"/>
              <w:gridCol w:w="545"/>
              <w:gridCol w:w="537"/>
              <w:gridCol w:w="544"/>
              <w:gridCol w:w="5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014"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声源类别</w:t>
                  </w:r>
                </w:p>
              </w:tc>
              <w:tc>
                <w:tcPr>
                  <w:tcW w:w="80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数量</w:t>
                  </w:r>
                </w:p>
                <w:p>
                  <w:pPr>
                    <w:spacing w:line="240" w:lineRule="auto"/>
                    <w:ind w:firstLine="0" w:firstLineChars="0"/>
                    <w:jc w:val="center"/>
                    <w:rPr>
                      <w:color w:val="auto"/>
                      <w:sz w:val="21"/>
                      <w:szCs w:val="21"/>
                      <w:highlight w:val="none"/>
                    </w:rPr>
                  </w:pPr>
                  <w:r>
                    <w:rPr>
                      <w:rFonts w:hint="eastAsia"/>
                      <w:color w:val="auto"/>
                      <w:sz w:val="21"/>
                      <w:szCs w:val="21"/>
                      <w:highlight w:val="none"/>
                    </w:rPr>
                    <w:t>（台）</w:t>
                  </w:r>
                </w:p>
              </w:tc>
              <w:tc>
                <w:tcPr>
                  <w:tcW w:w="1312"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噪声源强</w:t>
                  </w:r>
                  <w:r>
                    <w:rPr>
                      <w:color w:val="auto"/>
                      <w:sz w:val="21"/>
                      <w:szCs w:val="21"/>
                      <w:highlight w:val="none"/>
                    </w:rPr>
                    <w:t>(dB(A)</w:t>
                  </w:r>
                </w:p>
              </w:tc>
              <w:tc>
                <w:tcPr>
                  <w:tcW w:w="2340"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防治措施</w:t>
                  </w:r>
                </w:p>
              </w:tc>
              <w:tc>
                <w:tcPr>
                  <w:tcW w:w="114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位置</w:t>
                  </w:r>
                </w:p>
              </w:tc>
              <w:tc>
                <w:tcPr>
                  <w:tcW w:w="2171" w:type="dxa"/>
                  <w:gridSpan w:val="4"/>
                  <w:vAlign w:val="center"/>
                </w:tcPr>
                <w:p>
                  <w:pPr>
                    <w:spacing w:line="240" w:lineRule="auto"/>
                    <w:ind w:firstLine="0" w:firstLineChars="0"/>
                    <w:jc w:val="center"/>
                    <w:rPr>
                      <w:color w:val="auto"/>
                      <w:sz w:val="21"/>
                      <w:szCs w:val="21"/>
                      <w:highlight w:val="none"/>
                    </w:rPr>
                  </w:pPr>
                  <w:r>
                    <w:rPr>
                      <w:color w:val="auto"/>
                      <w:sz w:val="21"/>
                      <w:szCs w:val="21"/>
                      <w:highlight w:val="none"/>
                    </w:rPr>
                    <w:t>与各厂界的距离(m）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014" w:type="dxa"/>
                  <w:vMerge w:val="continue"/>
                  <w:vAlign w:val="center"/>
                </w:tcPr>
                <w:p>
                  <w:pPr>
                    <w:spacing w:line="240" w:lineRule="auto"/>
                    <w:ind w:firstLine="0" w:firstLineChars="0"/>
                    <w:jc w:val="center"/>
                    <w:rPr>
                      <w:color w:val="auto"/>
                      <w:sz w:val="21"/>
                      <w:szCs w:val="21"/>
                      <w:highlight w:val="none"/>
                    </w:rPr>
                  </w:pPr>
                </w:p>
              </w:tc>
              <w:tc>
                <w:tcPr>
                  <w:tcW w:w="801" w:type="dxa"/>
                  <w:vMerge w:val="continue"/>
                  <w:vAlign w:val="center"/>
                </w:tcPr>
                <w:p>
                  <w:pPr>
                    <w:spacing w:line="240" w:lineRule="auto"/>
                    <w:ind w:firstLine="0" w:firstLineChars="0"/>
                    <w:jc w:val="center"/>
                    <w:rPr>
                      <w:color w:val="auto"/>
                      <w:sz w:val="21"/>
                      <w:szCs w:val="21"/>
                      <w:highlight w:val="none"/>
                    </w:rPr>
                  </w:pPr>
                </w:p>
              </w:tc>
              <w:tc>
                <w:tcPr>
                  <w:tcW w:w="1312" w:type="dxa"/>
                  <w:vMerge w:val="continue"/>
                  <w:vAlign w:val="center"/>
                </w:tcPr>
                <w:p>
                  <w:pPr>
                    <w:spacing w:line="240" w:lineRule="auto"/>
                    <w:ind w:firstLine="0" w:firstLineChars="0"/>
                    <w:jc w:val="center"/>
                    <w:rPr>
                      <w:color w:val="auto"/>
                      <w:sz w:val="21"/>
                      <w:szCs w:val="21"/>
                      <w:highlight w:val="none"/>
                    </w:rPr>
                  </w:pPr>
                </w:p>
              </w:tc>
              <w:tc>
                <w:tcPr>
                  <w:tcW w:w="2340" w:type="dxa"/>
                  <w:vMerge w:val="continue"/>
                  <w:vAlign w:val="center"/>
                </w:tcPr>
                <w:p>
                  <w:pPr>
                    <w:spacing w:line="240" w:lineRule="auto"/>
                    <w:ind w:firstLine="0" w:firstLineChars="0"/>
                    <w:jc w:val="center"/>
                    <w:rPr>
                      <w:color w:val="auto"/>
                      <w:sz w:val="21"/>
                      <w:szCs w:val="21"/>
                      <w:highlight w:val="none"/>
                    </w:rPr>
                  </w:pPr>
                </w:p>
              </w:tc>
              <w:tc>
                <w:tcPr>
                  <w:tcW w:w="1149" w:type="dxa"/>
                  <w:vMerge w:val="continue"/>
                  <w:vAlign w:val="center"/>
                </w:tcPr>
                <w:p>
                  <w:pPr>
                    <w:spacing w:line="240" w:lineRule="auto"/>
                    <w:ind w:firstLine="0" w:firstLineChars="0"/>
                    <w:jc w:val="center"/>
                    <w:rPr>
                      <w:color w:val="auto"/>
                      <w:sz w:val="21"/>
                      <w:szCs w:val="21"/>
                      <w:highlight w:val="none"/>
                    </w:rPr>
                  </w:pPr>
                </w:p>
              </w:tc>
              <w:tc>
                <w:tcPr>
                  <w:tcW w:w="545" w:type="dxa"/>
                  <w:vAlign w:val="center"/>
                </w:tcPr>
                <w:p>
                  <w:pPr>
                    <w:spacing w:line="240" w:lineRule="auto"/>
                    <w:ind w:firstLine="0" w:firstLineChars="0"/>
                    <w:jc w:val="center"/>
                    <w:rPr>
                      <w:color w:val="auto"/>
                      <w:sz w:val="21"/>
                      <w:szCs w:val="21"/>
                      <w:highlight w:val="none"/>
                    </w:rPr>
                  </w:pPr>
                  <w:r>
                    <w:rPr>
                      <w:color w:val="auto"/>
                      <w:sz w:val="21"/>
                      <w:szCs w:val="21"/>
                      <w:highlight w:val="none"/>
                    </w:rPr>
                    <w:t>东</w:t>
                  </w:r>
                </w:p>
              </w:tc>
              <w:tc>
                <w:tcPr>
                  <w:tcW w:w="537" w:type="dxa"/>
                  <w:vAlign w:val="center"/>
                </w:tcPr>
                <w:p>
                  <w:pPr>
                    <w:spacing w:line="240" w:lineRule="auto"/>
                    <w:ind w:firstLine="0" w:firstLineChars="0"/>
                    <w:jc w:val="center"/>
                    <w:rPr>
                      <w:color w:val="auto"/>
                      <w:sz w:val="21"/>
                      <w:szCs w:val="21"/>
                      <w:highlight w:val="none"/>
                    </w:rPr>
                  </w:pPr>
                  <w:r>
                    <w:rPr>
                      <w:color w:val="auto"/>
                      <w:sz w:val="21"/>
                      <w:szCs w:val="21"/>
                      <w:highlight w:val="none"/>
                    </w:rPr>
                    <w:t>南</w:t>
                  </w:r>
                </w:p>
              </w:tc>
              <w:tc>
                <w:tcPr>
                  <w:tcW w:w="544" w:type="dxa"/>
                  <w:vAlign w:val="center"/>
                </w:tcPr>
                <w:p>
                  <w:pPr>
                    <w:spacing w:line="240" w:lineRule="auto"/>
                    <w:ind w:firstLine="0" w:firstLineChars="0"/>
                    <w:jc w:val="center"/>
                    <w:rPr>
                      <w:color w:val="auto"/>
                      <w:sz w:val="21"/>
                      <w:szCs w:val="21"/>
                      <w:highlight w:val="none"/>
                    </w:rPr>
                  </w:pPr>
                  <w:r>
                    <w:rPr>
                      <w:color w:val="auto"/>
                      <w:sz w:val="21"/>
                      <w:szCs w:val="21"/>
                      <w:highlight w:val="none"/>
                    </w:rPr>
                    <w:t>西</w:t>
                  </w:r>
                </w:p>
              </w:tc>
              <w:tc>
                <w:tcPr>
                  <w:tcW w:w="545" w:type="dxa"/>
                  <w:vAlign w:val="center"/>
                </w:tcPr>
                <w:p>
                  <w:pPr>
                    <w:spacing w:line="240" w:lineRule="auto"/>
                    <w:ind w:firstLine="0" w:firstLineChars="0"/>
                    <w:jc w:val="center"/>
                    <w:rPr>
                      <w:color w:val="auto"/>
                      <w:sz w:val="21"/>
                      <w:szCs w:val="21"/>
                      <w:highlight w:val="none"/>
                    </w:rPr>
                  </w:pPr>
                  <w:r>
                    <w:rPr>
                      <w:color w:val="auto"/>
                      <w:sz w:val="21"/>
                      <w:szCs w:val="21"/>
                      <w:highlight w:val="none"/>
                    </w:rPr>
                    <w:t>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10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次氯酸钠发生器</w:t>
                  </w:r>
                </w:p>
              </w:tc>
              <w:tc>
                <w:tcPr>
                  <w:tcW w:w="80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12</w:t>
                  </w:r>
                </w:p>
              </w:tc>
              <w:tc>
                <w:tcPr>
                  <w:tcW w:w="131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65~70</w:t>
                  </w:r>
                </w:p>
              </w:tc>
              <w:tc>
                <w:tcPr>
                  <w:tcW w:w="2340" w:type="dxa"/>
                  <w:vAlign w:val="center"/>
                </w:tcPr>
                <w:p>
                  <w:pPr>
                    <w:spacing w:line="240" w:lineRule="auto"/>
                    <w:ind w:firstLine="0" w:firstLineChars="0"/>
                    <w:jc w:val="center"/>
                    <w:rPr>
                      <w:color w:val="auto"/>
                      <w:sz w:val="21"/>
                      <w:szCs w:val="21"/>
                      <w:highlight w:val="none"/>
                    </w:rPr>
                  </w:pPr>
                  <w:r>
                    <w:rPr>
                      <w:color w:val="auto"/>
                      <w:sz w:val="21"/>
                      <w:szCs w:val="21"/>
                      <w:highlight w:val="none"/>
                    </w:rPr>
                    <w:t>对机座进行减震处理，安装隔声罩，车间墙体隔音</w:t>
                  </w:r>
                </w:p>
              </w:tc>
              <w:tc>
                <w:tcPr>
                  <w:tcW w:w="11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综合加药间、加压泵房</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53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5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55</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0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轴流风机</w:t>
                  </w:r>
                </w:p>
              </w:tc>
              <w:tc>
                <w:tcPr>
                  <w:tcW w:w="80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312" w:type="dxa"/>
                  <w:vAlign w:val="center"/>
                </w:tcPr>
                <w:p>
                  <w:pPr>
                    <w:spacing w:line="240" w:lineRule="auto"/>
                    <w:ind w:firstLine="0" w:firstLineChars="0"/>
                    <w:jc w:val="center"/>
                    <w:rPr>
                      <w:color w:val="auto"/>
                      <w:sz w:val="21"/>
                      <w:szCs w:val="21"/>
                      <w:highlight w:val="none"/>
                    </w:rPr>
                  </w:pPr>
                  <w:r>
                    <w:rPr>
                      <w:color w:val="auto"/>
                      <w:sz w:val="21"/>
                      <w:szCs w:val="21"/>
                      <w:highlight w:val="none"/>
                    </w:rPr>
                    <w:t>75-85</w:t>
                  </w:r>
                </w:p>
              </w:tc>
              <w:tc>
                <w:tcPr>
                  <w:tcW w:w="2340" w:type="dxa"/>
                  <w:vAlign w:val="center"/>
                </w:tcPr>
                <w:p>
                  <w:pPr>
                    <w:spacing w:line="240" w:lineRule="auto"/>
                    <w:ind w:firstLine="0" w:firstLineChars="0"/>
                    <w:jc w:val="center"/>
                    <w:rPr>
                      <w:color w:val="auto"/>
                      <w:sz w:val="21"/>
                      <w:szCs w:val="21"/>
                      <w:highlight w:val="none"/>
                    </w:rPr>
                  </w:pPr>
                  <w:r>
                    <w:rPr>
                      <w:color w:val="auto"/>
                      <w:sz w:val="21"/>
                      <w:szCs w:val="21"/>
                      <w:highlight w:val="none"/>
                    </w:rPr>
                    <w:t>选用低噪声设备，合理平面布置利用车间墙体隔音</w:t>
                  </w:r>
                </w:p>
              </w:tc>
              <w:tc>
                <w:tcPr>
                  <w:tcW w:w="11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取水泵房、综合加药间、加压泵站</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53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5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55</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0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回转式格栅除污机</w:t>
                  </w:r>
                </w:p>
              </w:tc>
              <w:tc>
                <w:tcPr>
                  <w:tcW w:w="80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2</w:t>
                  </w:r>
                </w:p>
              </w:tc>
              <w:tc>
                <w:tcPr>
                  <w:tcW w:w="1312"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75~85</w:t>
                  </w:r>
                </w:p>
              </w:tc>
              <w:tc>
                <w:tcPr>
                  <w:tcW w:w="2340" w:type="dxa"/>
                  <w:vAlign w:val="center"/>
                </w:tcPr>
                <w:p>
                  <w:pPr>
                    <w:spacing w:line="240" w:lineRule="auto"/>
                    <w:ind w:firstLine="0" w:firstLineChars="0"/>
                    <w:jc w:val="center"/>
                    <w:rPr>
                      <w:color w:val="auto"/>
                      <w:sz w:val="21"/>
                      <w:szCs w:val="21"/>
                      <w:highlight w:val="none"/>
                    </w:rPr>
                  </w:pPr>
                  <w:r>
                    <w:rPr>
                      <w:color w:val="auto"/>
                      <w:sz w:val="21"/>
                      <w:szCs w:val="21"/>
                      <w:highlight w:val="none"/>
                    </w:rPr>
                    <w:t>选用低噪声设备，</w:t>
                  </w:r>
                  <w:r>
                    <w:rPr>
                      <w:rFonts w:hint="eastAsia"/>
                      <w:color w:val="auto"/>
                      <w:sz w:val="21"/>
                      <w:szCs w:val="21"/>
                      <w:highlight w:val="none"/>
                    </w:rPr>
                    <w:t>水池</w:t>
                  </w:r>
                  <w:r>
                    <w:rPr>
                      <w:color w:val="auto"/>
                      <w:sz w:val="21"/>
                      <w:szCs w:val="21"/>
                      <w:highlight w:val="none"/>
                    </w:rPr>
                    <w:t>墙体隔音</w:t>
                  </w:r>
                </w:p>
              </w:tc>
              <w:tc>
                <w:tcPr>
                  <w:tcW w:w="11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配水井</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60</w:t>
                  </w:r>
                </w:p>
              </w:tc>
              <w:tc>
                <w:tcPr>
                  <w:tcW w:w="53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40</w:t>
                  </w:r>
                </w:p>
              </w:tc>
              <w:tc>
                <w:tcPr>
                  <w:tcW w:w="5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0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搅拌机</w:t>
                  </w:r>
                </w:p>
              </w:tc>
              <w:tc>
                <w:tcPr>
                  <w:tcW w:w="80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3</w:t>
                  </w:r>
                </w:p>
              </w:tc>
              <w:tc>
                <w:tcPr>
                  <w:tcW w:w="1312" w:type="dxa"/>
                  <w:vAlign w:val="center"/>
                </w:tcPr>
                <w:p>
                  <w:pPr>
                    <w:spacing w:line="240" w:lineRule="auto"/>
                    <w:ind w:firstLine="0" w:firstLineChars="0"/>
                    <w:jc w:val="center"/>
                    <w:rPr>
                      <w:color w:val="auto"/>
                      <w:sz w:val="21"/>
                      <w:szCs w:val="21"/>
                      <w:highlight w:val="none"/>
                    </w:rPr>
                  </w:pPr>
                  <w:r>
                    <w:rPr>
                      <w:color w:val="auto"/>
                      <w:sz w:val="21"/>
                      <w:szCs w:val="21"/>
                      <w:highlight w:val="none"/>
                    </w:rPr>
                    <w:t>70-</w:t>
                  </w:r>
                  <w:r>
                    <w:rPr>
                      <w:rFonts w:hint="eastAsia"/>
                      <w:color w:val="auto"/>
                      <w:sz w:val="21"/>
                      <w:szCs w:val="21"/>
                      <w:highlight w:val="none"/>
                    </w:rPr>
                    <w:t>85</w:t>
                  </w:r>
                </w:p>
              </w:tc>
              <w:tc>
                <w:tcPr>
                  <w:tcW w:w="2340" w:type="dxa"/>
                  <w:vAlign w:val="center"/>
                </w:tcPr>
                <w:p>
                  <w:pPr>
                    <w:spacing w:line="240" w:lineRule="auto"/>
                    <w:ind w:firstLine="0" w:firstLineChars="0"/>
                    <w:jc w:val="center"/>
                    <w:rPr>
                      <w:color w:val="auto"/>
                      <w:sz w:val="21"/>
                      <w:szCs w:val="21"/>
                      <w:highlight w:val="none"/>
                    </w:rPr>
                  </w:pPr>
                  <w:r>
                    <w:rPr>
                      <w:color w:val="auto"/>
                      <w:sz w:val="21"/>
                      <w:szCs w:val="21"/>
                      <w:highlight w:val="none"/>
                    </w:rPr>
                    <w:t>选用低噪声设备</w:t>
                  </w:r>
                  <w:r>
                    <w:rPr>
                      <w:rFonts w:hint="eastAsia"/>
                      <w:color w:val="auto"/>
                      <w:sz w:val="21"/>
                      <w:szCs w:val="21"/>
                      <w:highlight w:val="none"/>
                    </w:rPr>
                    <w:t>，基地减震措施</w:t>
                  </w:r>
                </w:p>
              </w:tc>
              <w:tc>
                <w:tcPr>
                  <w:tcW w:w="11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沉淀池</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70</w:t>
                  </w:r>
                </w:p>
              </w:tc>
              <w:tc>
                <w:tcPr>
                  <w:tcW w:w="53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30</w:t>
                  </w:r>
                </w:p>
              </w:tc>
              <w:tc>
                <w:tcPr>
                  <w:tcW w:w="5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01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水泵、潜水排污泵</w:t>
                  </w:r>
                </w:p>
              </w:tc>
              <w:tc>
                <w:tcPr>
                  <w:tcW w:w="801" w:type="dxa"/>
                  <w:vAlign w:val="center"/>
                </w:tcPr>
                <w:p>
                  <w:pPr>
                    <w:adjustRightInd w:val="0"/>
                    <w:snapToGrid w:val="0"/>
                    <w:spacing w:line="240" w:lineRule="auto"/>
                    <w:ind w:firstLine="0" w:firstLineChars="0"/>
                    <w:jc w:val="center"/>
                    <w:rPr>
                      <w:color w:val="auto"/>
                      <w:sz w:val="21"/>
                      <w:szCs w:val="21"/>
                      <w:highlight w:val="none"/>
                    </w:rPr>
                  </w:pPr>
                  <w:r>
                    <w:rPr>
                      <w:rFonts w:hint="eastAsia"/>
                      <w:color w:val="auto"/>
                      <w:sz w:val="21"/>
                      <w:szCs w:val="21"/>
                      <w:highlight w:val="none"/>
                    </w:rPr>
                    <w:t>62</w:t>
                  </w:r>
                </w:p>
              </w:tc>
              <w:tc>
                <w:tcPr>
                  <w:tcW w:w="1312" w:type="dxa"/>
                  <w:vAlign w:val="center"/>
                </w:tcPr>
                <w:p>
                  <w:pPr>
                    <w:spacing w:line="240" w:lineRule="auto"/>
                    <w:ind w:firstLine="0" w:firstLineChars="0"/>
                    <w:jc w:val="center"/>
                    <w:rPr>
                      <w:color w:val="auto"/>
                      <w:sz w:val="21"/>
                      <w:szCs w:val="21"/>
                      <w:highlight w:val="none"/>
                    </w:rPr>
                  </w:pPr>
                  <w:r>
                    <w:rPr>
                      <w:color w:val="auto"/>
                      <w:sz w:val="21"/>
                      <w:szCs w:val="21"/>
                      <w:highlight w:val="none"/>
                    </w:rPr>
                    <w:t>75-</w:t>
                  </w:r>
                  <w:r>
                    <w:rPr>
                      <w:rFonts w:hint="eastAsia"/>
                      <w:color w:val="auto"/>
                      <w:sz w:val="21"/>
                      <w:szCs w:val="21"/>
                      <w:highlight w:val="none"/>
                    </w:rPr>
                    <w:t>90</w:t>
                  </w:r>
                </w:p>
              </w:tc>
              <w:tc>
                <w:tcPr>
                  <w:tcW w:w="2340" w:type="dxa"/>
                  <w:vAlign w:val="center"/>
                </w:tcPr>
                <w:p>
                  <w:pPr>
                    <w:spacing w:line="240" w:lineRule="auto"/>
                    <w:ind w:firstLine="0" w:firstLineChars="0"/>
                    <w:jc w:val="center"/>
                    <w:rPr>
                      <w:color w:val="auto"/>
                      <w:sz w:val="21"/>
                      <w:szCs w:val="21"/>
                      <w:highlight w:val="none"/>
                    </w:rPr>
                  </w:pPr>
                  <w:r>
                    <w:rPr>
                      <w:color w:val="auto"/>
                      <w:sz w:val="21"/>
                      <w:szCs w:val="21"/>
                      <w:highlight w:val="none"/>
                    </w:rPr>
                    <w:t>选用低噪声设备，</w:t>
                  </w:r>
                  <w:r>
                    <w:rPr>
                      <w:rFonts w:hint="eastAsia"/>
                      <w:color w:val="auto"/>
                      <w:sz w:val="21"/>
                      <w:szCs w:val="21"/>
                      <w:highlight w:val="none"/>
                    </w:rPr>
                    <w:t>水底运行</w:t>
                  </w:r>
                </w:p>
              </w:tc>
              <w:tc>
                <w:tcPr>
                  <w:tcW w:w="1149"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取水泵房、净水厂</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5</w:t>
                  </w:r>
                </w:p>
              </w:tc>
              <w:tc>
                <w:tcPr>
                  <w:tcW w:w="537"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w:t>
                  </w:r>
                </w:p>
              </w:tc>
              <w:tc>
                <w:tcPr>
                  <w:tcW w:w="544"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15</w:t>
                  </w:r>
                </w:p>
              </w:tc>
              <w:tc>
                <w:tcPr>
                  <w:tcW w:w="54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10</w:t>
                  </w:r>
                </w:p>
              </w:tc>
            </w:tr>
          </w:tbl>
          <w:p>
            <w:pPr>
              <w:spacing w:line="360" w:lineRule="auto"/>
              <w:rPr>
                <w:color w:val="auto"/>
                <w:highlight w:val="none"/>
              </w:rPr>
            </w:pPr>
            <w:r>
              <w:rPr>
                <w:color w:val="auto"/>
                <w:highlight w:val="none"/>
              </w:rPr>
              <w:t>②预测方法</w:t>
            </w:r>
          </w:p>
          <w:p>
            <w:pPr>
              <w:spacing w:line="360" w:lineRule="auto"/>
              <w:jc w:val="left"/>
              <w:rPr>
                <w:color w:val="auto"/>
                <w:highlight w:val="none"/>
              </w:rPr>
            </w:pPr>
            <w:r>
              <w:rPr>
                <w:rFonts w:hint="eastAsia"/>
                <w:color w:val="auto"/>
                <w:highlight w:val="none"/>
              </w:rPr>
              <w:t>采用模式预测法预测声源的影响，预测公式为：</w:t>
            </w:r>
          </w:p>
          <w:p>
            <w:pPr>
              <w:spacing w:line="360" w:lineRule="auto"/>
              <w:jc w:val="left"/>
              <w:rPr>
                <w:color w:val="auto"/>
                <w:highlight w:val="none"/>
              </w:rPr>
            </w:pPr>
            <w:r>
              <w:rPr>
                <w:color w:val="auto"/>
                <w:highlight w:val="none"/>
              </w:rPr>
              <w:pict>
                <v:shape id="对象 115" o:spid="_x0000_s1058" o:spt="75" type="#_x0000_t75" style="position:absolute;left:0pt;margin-left:99.35pt;margin-top:4.1pt;height:36.2pt;width:127.85pt;z-index:251661312;mso-width-relative:page;mso-height-relative:page;" o:ole="t" filled="f" o:preferrelative="t" stroked="f" coordsize="21600,21600">
                  <v:path/>
                  <v:fill on="f" focussize="0,0"/>
                  <v:stroke on="f" joinstyle="miter"/>
                  <v:imagedata r:id="rId24" o:title="9113622201376874876551"/>
                  <o:lock v:ext="edit" aspectratio="t"/>
                </v:shape>
                <o:OLEObject Type="Embed" ProgID="" ShapeID="对象 115" DrawAspect="Content" ObjectID="_1468075729" r:id="rId23">
                  <o:LockedField>false</o:LockedField>
                </o:OLEObject>
              </w:pict>
            </w:r>
          </w:p>
          <w:p>
            <w:pPr>
              <w:spacing w:line="360" w:lineRule="auto"/>
              <w:jc w:val="left"/>
              <w:rPr>
                <w:color w:val="auto"/>
                <w:highlight w:val="none"/>
              </w:rPr>
            </w:pPr>
          </w:p>
          <w:p>
            <w:pPr>
              <w:spacing w:line="360" w:lineRule="auto"/>
              <w:jc w:val="left"/>
              <w:rPr>
                <w:color w:val="auto"/>
                <w:highlight w:val="none"/>
              </w:rPr>
            </w:pPr>
            <w:r>
              <w:rPr>
                <w:rFonts w:hint="eastAsia"/>
                <w:color w:val="auto"/>
                <w:highlight w:val="none"/>
              </w:rPr>
              <w:t>式中：Lp——预测噪声影响声级，dB；</w:t>
            </w:r>
          </w:p>
          <w:p>
            <w:pPr>
              <w:spacing w:line="360" w:lineRule="auto"/>
              <w:jc w:val="left"/>
              <w:rPr>
                <w:color w:val="auto"/>
                <w:highlight w:val="none"/>
              </w:rPr>
            </w:pPr>
            <w:r>
              <w:rPr>
                <w:rFonts w:hint="eastAsia"/>
                <w:color w:val="auto"/>
                <w:highlight w:val="none"/>
              </w:rPr>
              <w:t xml:space="preserve">      Lpo——参考点处的声级，dB；</w:t>
            </w:r>
          </w:p>
          <w:p>
            <w:pPr>
              <w:spacing w:line="360" w:lineRule="auto"/>
              <w:jc w:val="left"/>
              <w:rPr>
                <w:color w:val="auto"/>
                <w:highlight w:val="none"/>
              </w:rPr>
            </w:pPr>
            <w:r>
              <w:rPr>
                <w:rFonts w:hint="eastAsia"/>
                <w:color w:val="auto"/>
                <w:highlight w:val="none"/>
              </w:rPr>
              <w:t xml:space="preserve">      r——预测点与声源之间的距离，m；</w:t>
            </w:r>
          </w:p>
          <w:p>
            <w:pPr>
              <w:spacing w:line="360" w:lineRule="auto"/>
              <w:jc w:val="left"/>
              <w:rPr>
                <w:color w:val="auto"/>
                <w:highlight w:val="none"/>
              </w:rPr>
            </w:pPr>
            <w:r>
              <w:rPr>
                <w:rFonts w:hint="eastAsia"/>
                <w:color w:val="auto"/>
                <w:highlight w:val="none"/>
              </w:rPr>
              <w:t xml:space="preserve">      r0——参考点与声源之间的距离，m；</w:t>
            </w:r>
          </w:p>
          <w:p>
            <w:pPr>
              <w:spacing w:line="360" w:lineRule="auto"/>
              <w:jc w:val="left"/>
              <w:rPr>
                <w:color w:val="auto"/>
                <w:highlight w:val="none"/>
              </w:rPr>
            </w:pPr>
            <w:r>
              <w:rPr>
                <w:rFonts w:hint="eastAsia"/>
                <w:color w:val="auto"/>
                <w:highlight w:val="none"/>
              </w:rPr>
              <w:t xml:space="preserve">     △L——附加衰减量，dB。</w:t>
            </w:r>
          </w:p>
          <w:p>
            <w:pPr>
              <w:spacing w:line="360" w:lineRule="auto"/>
              <w:jc w:val="left"/>
              <w:rPr>
                <w:color w:val="auto"/>
                <w:highlight w:val="none"/>
              </w:rPr>
            </w:pPr>
            <w:r>
              <w:rPr>
                <w:rFonts w:hint="eastAsia"/>
                <w:color w:val="auto"/>
                <w:highlight w:val="none"/>
              </w:rPr>
              <w:t>噪声从声源传播到受声点，因空气吸收、建筑物（如围墙）声屏障阻隔、植物吸收会使其衰减，也可能受阻隔物的反射效应，会使原来的声源强度增高。考虑厂界围墙、绿化带的阻隔吸收作用，△L取3dB(A)。</w:t>
            </w:r>
          </w:p>
          <w:p>
            <w:pPr>
              <w:spacing w:line="360" w:lineRule="auto"/>
              <w:jc w:val="left"/>
              <w:rPr>
                <w:color w:val="auto"/>
                <w:highlight w:val="none"/>
              </w:rPr>
            </w:pPr>
            <w:r>
              <w:rPr>
                <w:rFonts w:hint="eastAsia"/>
                <w:color w:val="auto"/>
                <w:highlight w:val="none"/>
              </w:rPr>
              <w:t>各预测点的声级采用下述叠加公式计算：</w:t>
            </w:r>
          </w:p>
          <w:p>
            <w:pPr>
              <w:snapToGrid w:val="0"/>
              <w:spacing w:line="360" w:lineRule="auto"/>
              <w:rPr>
                <w:color w:val="auto"/>
                <w:highlight w:val="none"/>
              </w:rPr>
            </w:pPr>
            <w:r>
              <w:rPr>
                <w:color w:val="auto"/>
                <w:szCs w:val="22"/>
                <w:highlight w:val="none"/>
                <w:lang w:bidi="ar"/>
              </w:rPr>
              <w:pict>
                <v:shape id="对象 116" o:spid="_x0000_s1059" o:spt="75" type="#_x0000_t75" style="position:absolute;left:0pt;margin-left:120.35pt;margin-top:1.45pt;height:40.2pt;width:143.15pt;z-index:251662336;mso-width-relative:page;mso-height-relative:page;" o:ole="t" filled="f" o:preferrelative="t" stroked="f" coordsize="21600,21600">
                  <v:path/>
                  <v:fill on="f" focussize="0,0"/>
                  <v:stroke on="f" joinstyle="miter"/>
                  <v:imagedata r:id="rId26" o:title="7531927811376874876551"/>
                  <o:lock v:ext="edit" aspectratio="t"/>
                </v:shape>
                <o:OLEObject Type="Embed" ProgID="" ShapeID="对象 116" DrawAspect="Content" ObjectID="_1468075730" r:id="rId25">
                  <o:LockedField>false</o:LockedField>
                </o:OLEObject>
              </w:pict>
            </w:r>
          </w:p>
          <w:p>
            <w:pPr>
              <w:snapToGrid w:val="0"/>
              <w:spacing w:line="360" w:lineRule="auto"/>
              <w:rPr>
                <w:color w:val="auto"/>
                <w:highlight w:val="none"/>
              </w:rPr>
            </w:pPr>
          </w:p>
          <w:p>
            <w:pPr>
              <w:spacing w:line="360" w:lineRule="auto"/>
              <w:jc w:val="left"/>
              <w:rPr>
                <w:color w:val="auto"/>
                <w:highlight w:val="none"/>
              </w:rPr>
            </w:pPr>
            <w:r>
              <w:rPr>
                <w:rFonts w:hint="eastAsia"/>
                <w:color w:val="auto"/>
                <w:highlight w:val="none"/>
              </w:rPr>
              <w:t>式中：L——预测值与背景值叠加声级，dB（A）；</w:t>
            </w:r>
          </w:p>
          <w:p>
            <w:pPr>
              <w:spacing w:line="360" w:lineRule="auto"/>
              <w:jc w:val="left"/>
              <w:rPr>
                <w:color w:val="auto"/>
                <w:highlight w:val="none"/>
              </w:rPr>
            </w:pPr>
            <w:r>
              <w:rPr>
                <w:rFonts w:hint="eastAsia"/>
                <w:color w:val="auto"/>
                <w:highlight w:val="none"/>
              </w:rPr>
              <w:t xml:space="preserve">      Lpi——第i个源预测噪声影响声级，dB（A）；</w:t>
            </w:r>
          </w:p>
          <w:p>
            <w:pPr>
              <w:spacing w:line="360" w:lineRule="auto"/>
              <w:jc w:val="left"/>
              <w:rPr>
                <w:color w:val="auto"/>
                <w:highlight w:val="none"/>
              </w:rPr>
            </w:pPr>
            <w:r>
              <w:rPr>
                <w:rFonts w:hint="eastAsia"/>
                <w:color w:val="auto"/>
                <w:highlight w:val="none"/>
              </w:rPr>
              <w:t xml:space="preserve">      L——预测点噪声背景值，dB（A）；</w:t>
            </w:r>
          </w:p>
          <w:p>
            <w:pPr>
              <w:spacing w:line="360" w:lineRule="auto"/>
              <w:jc w:val="left"/>
              <w:rPr>
                <w:color w:val="auto"/>
                <w:highlight w:val="none"/>
              </w:rPr>
            </w:pPr>
            <w:r>
              <w:rPr>
                <w:rFonts w:hint="eastAsia"/>
                <w:color w:val="auto"/>
                <w:highlight w:val="none"/>
              </w:rPr>
              <w:t xml:space="preserve">      i——声源个数。</w:t>
            </w:r>
          </w:p>
          <w:p>
            <w:pPr>
              <w:spacing w:line="360" w:lineRule="auto"/>
              <w:jc w:val="left"/>
              <w:rPr>
                <w:color w:val="auto"/>
                <w:highlight w:val="none"/>
              </w:rPr>
            </w:pPr>
            <w:r>
              <w:rPr>
                <w:rFonts w:hint="eastAsia"/>
                <w:color w:val="auto"/>
                <w:highlight w:val="none"/>
              </w:rPr>
              <w:t xml:space="preserve">     其它符号意义同前。</w:t>
            </w:r>
          </w:p>
          <w:p>
            <w:pPr>
              <w:spacing w:line="360" w:lineRule="auto"/>
              <w:jc w:val="left"/>
              <w:rPr>
                <w:color w:val="auto"/>
                <w:highlight w:val="none"/>
              </w:rPr>
            </w:pPr>
            <w:r>
              <w:rPr>
                <w:rFonts w:hint="eastAsia"/>
                <w:color w:val="auto"/>
                <w:highlight w:val="none"/>
              </w:rPr>
              <w:t>预测结果与评价</w:t>
            </w:r>
          </w:p>
          <w:p>
            <w:pPr>
              <w:spacing w:line="360" w:lineRule="auto"/>
              <w:jc w:val="left"/>
              <w:rPr>
                <w:color w:val="auto"/>
                <w:highlight w:val="none"/>
                <w:lang w:val="pt-BR"/>
              </w:rPr>
            </w:pPr>
            <w:r>
              <w:rPr>
                <w:rFonts w:hint="eastAsia"/>
                <w:color w:val="auto"/>
                <w:highlight w:val="none"/>
              </w:rPr>
              <w:t>采用《环境影响评价技术导则·声环境》（HJ2.4-2009）中对工业企业噪声预测模式进行预测，本项目噪声源可近似作为点声源处理，根据点声源噪声衰减模式，本次评价采用下列公式计算距离施工机械不同距离处的噪声值。</w:t>
            </w:r>
          </w:p>
          <w:p>
            <w:pPr>
              <w:spacing w:line="360" w:lineRule="auto"/>
              <w:jc w:val="center"/>
              <w:rPr>
                <w:color w:val="auto"/>
                <w:highlight w:val="none"/>
                <w:lang w:val="pt-BR"/>
              </w:rPr>
            </w:pPr>
            <w:r>
              <w:rPr>
                <w:rFonts w:hint="eastAsia"/>
                <w:color w:val="auto"/>
                <w:highlight w:val="none"/>
                <w:lang w:val="pt-BR"/>
              </w:rPr>
              <w:t>LA（r）＝LA（r0）-20lg（r /r0）</w:t>
            </w:r>
          </w:p>
          <w:p>
            <w:pPr>
              <w:spacing w:line="360" w:lineRule="auto"/>
              <w:jc w:val="left"/>
              <w:rPr>
                <w:color w:val="auto"/>
                <w:highlight w:val="none"/>
              </w:rPr>
            </w:pPr>
            <w:r>
              <w:rPr>
                <w:rFonts w:hint="eastAsia"/>
                <w:color w:val="auto"/>
                <w:highlight w:val="none"/>
              </w:rPr>
              <w:t>③预测结果分析</w:t>
            </w:r>
          </w:p>
          <w:p>
            <w:pPr>
              <w:tabs>
                <w:tab w:val="left" w:pos="1700"/>
              </w:tabs>
              <w:spacing w:line="360" w:lineRule="auto"/>
              <w:rPr>
                <w:color w:val="auto"/>
                <w:highlight w:val="none"/>
                <w:lang w:val="zh-CN"/>
              </w:rPr>
            </w:pPr>
            <w:r>
              <w:rPr>
                <w:color w:val="auto"/>
                <w:kern w:val="24"/>
                <w:highlight w:val="none"/>
              </w:rPr>
              <w:t>利用上述模式可以预测分析该项目主要声源同时排放噪声的最为严重影响状况下，这些声源对边界声环境质量叠加影响，各厂界的预测结果见下表</w:t>
            </w:r>
            <w:r>
              <w:rPr>
                <w:color w:val="auto"/>
                <w:kern w:val="24"/>
                <w:highlight w:val="none"/>
                <w:lang w:val="zh-CN"/>
              </w:rPr>
              <w:t>。</w:t>
            </w:r>
          </w:p>
          <w:p>
            <w:pPr>
              <w:spacing w:line="240" w:lineRule="auto"/>
              <w:ind w:firstLine="422"/>
              <w:jc w:val="center"/>
              <w:rPr>
                <w:b/>
                <w:bCs/>
                <w:color w:val="auto"/>
                <w:sz w:val="21"/>
                <w:szCs w:val="21"/>
                <w:highlight w:val="none"/>
              </w:rPr>
            </w:pPr>
            <w:r>
              <w:rPr>
                <w:rFonts w:hint="eastAsia"/>
                <w:b/>
                <w:bCs/>
                <w:color w:val="auto"/>
                <w:sz w:val="21"/>
                <w:szCs w:val="21"/>
                <w:highlight w:val="none"/>
              </w:rPr>
              <w:t>表7-5 项目营运期厂界噪声预测值及达标情况</w:t>
            </w:r>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20"/>
              <w:gridCol w:w="933"/>
              <w:gridCol w:w="963"/>
              <w:gridCol w:w="905"/>
              <w:gridCol w:w="2111"/>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111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厂界</w:t>
                  </w:r>
                </w:p>
                <w:p>
                  <w:pPr>
                    <w:spacing w:line="240" w:lineRule="auto"/>
                    <w:ind w:firstLine="0" w:firstLineChars="0"/>
                    <w:jc w:val="center"/>
                    <w:rPr>
                      <w:color w:val="auto"/>
                      <w:sz w:val="21"/>
                      <w:szCs w:val="21"/>
                      <w:highlight w:val="none"/>
                    </w:rPr>
                  </w:pPr>
                  <w:r>
                    <w:rPr>
                      <w:color w:val="auto"/>
                      <w:sz w:val="21"/>
                      <w:szCs w:val="21"/>
                      <w:highlight w:val="none"/>
                    </w:rPr>
                    <w:t>方位</w:t>
                  </w:r>
                </w:p>
              </w:tc>
              <w:tc>
                <w:tcPr>
                  <w:tcW w:w="1953" w:type="dxa"/>
                  <w:gridSpan w:val="2"/>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背景值</w:t>
                  </w:r>
                  <w:r>
                    <w:rPr>
                      <w:color w:val="auto"/>
                      <w:sz w:val="21"/>
                      <w:szCs w:val="21"/>
                      <w:highlight w:val="none"/>
                      <w:lang w:val="en-GB"/>
                    </w:rPr>
                    <w:t>（</w:t>
                  </w:r>
                  <w:r>
                    <w:rPr>
                      <w:color w:val="auto"/>
                      <w:sz w:val="21"/>
                      <w:szCs w:val="21"/>
                      <w:highlight w:val="none"/>
                    </w:rPr>
                    <w:t>dB(A)</w:t>
                  </w:r>
                  <w:r>
                    <w:rPr>
                      <w:color w:val="auto"/>
                      <w:sz w:val="21"/>
                      <w:szCs w:val="21"/>
                      <w:highlight w:val="none"/>
                      <w:lang w:val="en-GB"/>
                    </w:rPr>
                    <w:t>）</w:t>
                  </w:r>
                </w:p>
              </w:tc>
              <w:tc>
                <w:tcPr>
                  <w:tcW w:w="1868" w:type="dxa"/>
                  <w:gridSpan w:val="2"/>
                  <w:vAlign w:val="center"/>
                </w:tcPr>
                <w:p>
                  <w:pPr>
                    <w:spacing w:line="240" w:lineRule="auto"/>
                    <w:ind w:firstLine="0" w:firstLineChars="0"/>
                    <w:jc w:val="center"/>
                    <w:rPr>
                      <w:color w:val="auto"/>
                      <w:sz w:val="21"/>
                      <w:szCs w:val="21"/>
                      <w:highlight w:val="none"/>
                    </w:rPr>
                  </w:pPr>
                  <w:r>
                    <w:rPr>
                      <w:color w:val="auto"/>
                      <w:sz w:val="21"/>
                      <w:szCs w:val="21"/>
                      <w:highlight w:val="none"/>
                    </w:rPr>
                    <w:t>正常工况</w:t>
                  </w:r>
                </w:p>
              </w:tc>
              <w:tc>
                <w:tcPr>
                  <w:tcW w:w="211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标准值</w:t>
                  </w:r>
                </w:p>
              </w:tc>
              <w:tc>
                <w:tcPr>
                  <w:tcW w:w="2020"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1119" w:type="dxa"/>
                  <w:vMerge w:val="continue"/>
                  <w:vAlign w:val="center"/>
                </w:tcPr>
                <w:p>
                  <w:pPr>
                    <w:spacing w:line="240" w:lineRule="auto"/>
                    <w:ind w:firstLine="0" w:firstLineChars="0"/>
                    <w:jc w:val="center"/>
                    <w:rPr>
                      <w:color w:val="auto"/>
                      <w:sz w:val="21"/>
                      <w:szCs w:val="21"/>
                      <w:highlight w:val="none"/>
                    </w:rPr>
                  </w:pPr>
                </w:p>
              </w:tc>
              <w:tc>
                <w:tcPr>
                  <w:tcW w:w="1953" w:type="dxa"/>
                  <w:gridSpan w:val="2"/>
                  <w:vMerge w:val="continue"/>
                  <w:vAlign w:val="center"/>
                </w:tcPr>
                <w:p>
                  <w:pPr>
                    <w:spacing w:line="240" w:lineRule="auto"/>
                    <w:ind w:firstLine="0" w:firstLineChars="0"/>
                    <w:jc w:val="center"/>
                    <w:rPr>
                      <w:color w:val="auto"/>
                      <w:sz w:val="21"/>
                      <w:szCs w:val="21"/>
                      <w:highlight w:val="none"/>
                    </w:rPr>
                  </w:pPr>
                </w:p>
              </w:tc>
              <w:tc>
                <w:tcPr>
                  <w:tcW w:w="963" w:type="dxa"/>
                  <w:vAlign w:val="center"/>
                </w:tcPr>
                <w:p>
                  <w:pPr>
                    <w:spacing w:line="240" w:lineRule="auto"/>
                    <w:ind w:firstLine="0" w:firstLineChars="0"/>
                    <w:jc w:val="center"/>
                    <w:rPr>
                      <w:color w:val="auto"/>
                      <w:sz w:val="21"/>
                      <w:szCs w:val="21"/>
                      <w:highlight w:val="none"/>
                    </w:rPr>
                  </w:pPr>
                  <w:r>
                    <w:rPr>
                      <w:color w:val="auto"/>
                      <w:sz w:val="21"/>
                      <w:szCs w:val="21"/>
                      <w:highlight w:val="none"/>
                    </w:rPr>
                    <w:t>贡献值</w:t>
                  </w:r>
                </w:p>
              </w:tc>
              <w:tc>
                <w:tcPr>
                  <w:tcW w:w="905" w:type="dxa"/>
                  <w:vAlign w:val="center"/>
                </w:tcPr>
                <w:p>
                  <w:pPr>
                    <w:spacing w:line="240" w:lineRule="auto"/>
                    <w:ind w:firstLine="0" w:firstLineChars="0"/>
                    <w:jc w:val="center"/>
                    <w:rPr>
                      <w:color w:val="auto"/>
                      <w:sz w:val="21"/>
                      <w:szCs w:val="21"/>
                      <w:highlight w:val="none"/>
                    </w:rPr>
                  </w:pPr>
                  <w:r>
                    <w:rPr>
                      <w:color w:val="auto"/>
                      <w:sz w:val="21"/>
                      <w:szCs w:val="21"/>
                      <w:highlight w:val="none"/>
                    </w:rPr>
                    <w:t>预测值</w:t>
                  </w:r>
                </w:p>
              </w:tc>
              <w:tc>
                <w:tcPr>
                  <w:tcW w:w="2111" w:type="dxa"/>
                  <w:vMerge w:val="continue"/>
                  <w:vAlign w:val="center"/>
                </w:tcPr>
                <w:p>
                  <w:pPr>
                    <w:spacing w:line="240" w:lineRule="auto"/>
                    <w:ind w:firstLine="0" w:firstLineChars="0"/>
                    <w:jc w:val="center"/>
                    <w:rPr>
                      <w:color w:val="auto"/>
                      <w:sz w:val="21"/>
                      <w:szCs w:val="21"/>
                      <w:highlight w:val="none"/>
                    </w:rPr>
                  </w:pPr>
                </w:p>
              </w:tc>
              <w:tc>
                <w:tcPr>
                  <w:tcW w:w="2020" w:type="dxa"/>
                  <w:vMerge w:val="continue"/>
                  <w:vAlign w:val="center"/>
                </w:tcPr>
                <w:p>
                  <w:pPr>
                    <w:spacing w:line="240" w:lineRule="auto"/>
                    <w:ind w:firstLine="0" w:firstLineChars="0"/>
                    <w:jc w:val="center"/>
                    <w:rPr>
                      <w:color w:val="auto"/>
                      <w:spacing w:val="-6"/>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东厂界</w:t>
                  </w:r>
                </w:p>
              </w:tc>
              <w:tc>
                <w:tcPr>
                  <w:tcW w:w="1020" w:type="dxa"/>
                  <w:vAlign w:val="center"/>
                </w:tcPr>
                <w:p>
                  <w:pPr>
                    <w:spacing w:line="240" w:lineRule="auto"/>
                    <w:ind w:firstLine="0" w:firstLineChars="0"/>
                    <w:jc w:val="center"/>
                    <w:rPr>
                      <w:color w:val="auto"/>
                      <w:sz w:val="21"/>
                      <w:szCs w:val="21"/>
                      <w:highlight w:val="none"/>
                    </w:rPr>
                  </w:pPr>
                  <w:r>
                    <w:rPr>
                      <w:color w:val="auto"/>
                      <w:sz w:val="21"/>
                      <w:szCs w:val="21"/>
                      <w:highlight w:val="none"/>
                    </w:rPr>
                    <w:t>昼间</w:t>
                  </w:r>
                </w:p>
              </w:tc>
              <w:tc>
                <w:tcPr>
                  <w:tcW w:w="933" w:type="dxa"/>
                  <w:vAlign w:val="center"/>
                </w:tcPr>
                <w:p>
                  <w:pPr>
                    <w:spacing w:line="240" w:lineRule="auto"/>
                    <w:ind w:firstLine="0" w:firstLineChars="0"/>
                    <w:jc w:val="center"/>
                    <w:rPr>
                      <w:color w:val="auto"/>
                      <w:sz w:val="21"/>
                      <w:szCs w:val="21"/>
                      <w:highlight w:val="none"/>
                    </w:rPr>
                  </w:pPr>
                  <w:r>
                    <w:rPr>
                      <w:color w:val="auto"/>
                      <w:sz w:val="21"/>
                      <w:szCs w:val="21"/>
                      <w:highlight w:val="none"/>
                    </w:rPr>
                    <w:t>56.7</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47.66</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47.66</w:t>
                  </w:r>
                </w:p>
              </w:tc>
              <w:tc>
                <w:tcPr>
                  <w:tcW w:w="211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昼间：</w:t>
                  </w:r>
                  <w:r>
                    <w:rPr>
                      <w:rFonts w:hint="eastAsia"/>
                      <w:color w:val="auto"/>
                      <w:sz w:val="21"/>
                      <w:szCs w:val="21"/>
                      <w:highlight w:val="none"/>
                    </w:rPr>
                    <w:t>60</w:t>
                  </w:r>
                  <w:r>
                    <w:rPr>
                      <w:color w:val="auto"/>
                      <w:sz w:val="21"/>
                      <w:szCs w:val="21"/>
                      <w:highlight w:val="none"/>
                    </w:rPr>
                    <w:t xml:space="preserve"> dB(A)</w:t>
                  </w:r>
                </w:p>
                <w:p>
                  <w:pPr>
                    <w:spacing w:line="240" w:lineRule="auto"/>
                    <w:ind w:firstLine="0" w:firstLineChars="0"/>
                    <w:jc w:val="center"/>
                    <w:rPr>
                      <w:color w:val="auto"/>
                      <w:sz w:val="21"/>
                      <w:szCs w:val="21"/>
                      <w:highlight w:val="none"/>
                    </w:rPr>
                  </w:pPr>
                  <w:r>
                    <w:rPr>
                      <w:rFonts w:hint="eastAsia"/>
                      <w:color w:val="auto"/>
                      <w:sz w:val="21"/>
                      <w:szCs w:val="21"/>
                      <w:highlight w:val="none"/>
                    </w:rPr>
                    <w:t>夜间：50</w:t>
                  </w:r>
                  <w:r>
                    <w:rPr>
                      <w:color w:val="auto"/>
                      <w:sz w:val="21"/>
                      <w:szCs w:val="21"/>
                      <w:highlight w:val="none"/>
                    </w:rPr>
                    <w:t xml:space="preserve"> dB(A)</w:t>
                  </w:r>
                </w:p>
              </w:tc>
              <w:tc>
                <w:tcPr>
                  <w:tcW w:w="2020" w:type="dxa"/>
                  <w:vAlign w:val="center"/>
                </w:tcPr>
                <w:p>
                  <w:pPr>
                    <w:spacing w:line="240" w:lineRule="auto"/>
                    <w:ind w:firstLine="0" w:firstLineChars="0"/>
                    <w:jc w:val="center"/>
                    <w:rPr>
                      <w:color w:val="auto"/>
                      <w:sz w:val="21"/>
                      <w:szCs w:val="21"/>
                      <w:highlight w:val="none"/>
                    </w:rPr>
                  </w:pPr>
                  <w:r>
                    <w:rPr>
                      <w:color w:val="auto"/>
                      <w:spacing w:val="-6"/>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continue"/>
                  <w:vAlign w:val="center"/>
                </w:tcPr>
                <w:p>
                  <w:pPr>
                    <w:spacing w:line="240" w:lineRule="auto"/>
                    <w:ind w:firstLine="0" w:firstLineChars="0"/>
                    <w:jc w:val="center"/>
                    <w:rPr>
                      <w:color w:val="auto"/>
                      <w:sz w:val="21"/>
                      <w:szCs w:val="21"/>
                      <w:highlight w:val="none"/>
                    </w:rPr>
                  </w:pPr>
                </w:p>
              </w:tc>
              <w:tc>
                <w:tcPr>
                  <w:tcW w:w="102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夜间</w:t>
                  </w:r>
                </w:p>
              </w:tc>
              <w:tc>
                <w:tcPr>
                  <w:tcW w:w="93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44.1</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47.66</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47.66</w:t>
                  </w:r>
                </w:p>
              </w:tc>
              <w:tc>
                <w:tcPr>
                  <w:tcW w:w="2111" w:type="dxa"/>
                  <w:vMerge w:val="continue"/>
                  <w:vAlign w:val="center"/>
                </w:tcPr>
                <w:p>
                  <w:pPr>
                    <w:spacing w:line="240" w:lineRule="auto"/>
                    <w:ind w:firstLine="0" w:firstLineChars="0"/>
                    <w:jc w:val="center"/>
                    <w:rPr>
                      <w:color w:val="auto"/>
                      <w:sz w:val="21"/>
                      <w:szCs w:val="21"/>
                      <w:highlight w:val="none"/>
                    </w:rPr>
                  </w:pPr>
                </w:p>
              </w:tc>
              <w:tc>
                <w:tcPr>
                  <w:tcW w:w="2020" w:type="dxa"/>
                  <w:vAlign w:val="center"/>
                </w:tcPr>
                <w:p>
                  <w:pPr>
                    <w:spacing w:line="240" w:lineRule="auto"/>
                    <w:ind w:firstLine="0" w:firstLineChars="0"/>
                    <w:jc w:val="center"/>
                    <w:rPr>
                      <w:color w:val="auto"/>
                      <w:spacing w:val="-6"/>
                      <w:sz w:val="21"/>
                      <w:szCs w:val="21"/>
                      <w:highlight w:val="none"/>
                    </w:rPr>
                  </w:pPr>
                  <w:r>
                    <w:rPr>
                      <w:color w:val="auto"/>
                      <w:spacing w:val="-6"/>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南厂界</w:t>
                  </w:r>
                </w:p>
              </w:tc>
              <w:tc>
                <w:tcPr>
                  <w:tcW w:w="1020" w:type="dxa"/>
                  <w:vAlign w:val="center"/>
                </w:tcPr>
                <w:p>
                  <w:pPr>
                    <w:spacing w:line="240" w:lineRule="auto"/>
                    <w:ind w:firstLine="0" w:firstLineChars="0"/>
                    <w:jc w:val="center"/>
                    <w:rPr>
                      <w:color w:val="auto"/>
                      <w:sz w:val="21"/>
                      <w:szCs w:val="21"/>
                      <w:highlight w:val="none"/>
                    </w:rPr>
                  </w:pPr>
                  <w:r>
                    <w:rPr>
                      <w:color w:val="auto"/>
                      <w:sz w:val="21"/>
                      <w:szCs w:val="21"/>
                      <w:highlight w:val="none"/>
                    </w:rPr>
                    <w:t>昼间</w:t>
                  </w:r>
                </w:p>
              </w:tc>
              <w:tc>
                <w:tcPr>
                  <w:tcW w:w="93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54.6</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46.3</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46.3</w:t>
                  </w:r>
                </w:p>
              </w:tc>
              <w:tc>
                <w:tcPr>
                  <w:tcW w:w="2111" w:type="dxa"/>
                  <w:vMerge w:val="continue"/>
                  <w:vAlign w:val="center"/>
                </w:tcPr>
                <w:p>
                  <w:pPr>
                    <w:spacing w:line="240" w:lineRule="auto"/>
                    <w:ind w:firstLine="0" w:firstLineChars="0"/>
                    <w:jc w:val="center"/>
                    <w:rPr>
                      <w:b/>
                      <w:bCs/>
                      <w:color w:val="auto"/>
                      <w:sz w:val="21"/>
                      <w:szCs w:val="21"/>
                      <w:highlight w:val="none"/>
                    </w:rPr>
                  </w:pPr>
                </w:p>
              </w:tc>
              <w:tc>
                <w:tcPr>
                  <w:tcW w:w="2020" w:type="dxa"/>
                  <w:vAlign w:val="center"/>
                </w:tcPr>
                <w:p>
                  <w:pPr>
                    <w:spacing w:line="240" w:lineRule="auto"/>
                    <w:ind w:firstLine="0" w:firstLineChars="0"/>
                    <w:jc w:val="center"/>
                    <w:rPr>
                      <w:color w:val="auto"/>
                      <w:sz w:val="21"/>
                      <w:szCs w:val="21"/>
                      <w:highlight w:val="none"/>
                    </w:rPr>
                  </w:pPr>
                  <w:r>
                    <w:rPr>
                      <w:color w:val="auto"/>
                      <w:spacing w:val="-6"/>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continue"/>
                  <w:vAlign w:val="center"/>
                </w:tcPr>
                <w:p>
                  <w:pPr>
                    <w:spacing w:line="240" w:lineRule="auto"/>
                    <w:ind w:firstLine="0" w:firstLineChars="0"/>
                    <w:jc w:val="center"/>
                    <w:rPr>
                      <w:color w:val="auto"/>
                      <w:sz w:val="21"/>
                      <w:szCs w:val="21"/>
                      <w:highlight w:val="none"/>
                    </w:rPr>
                  </w:pPr>
                </w:p>
              </w:tc>
              <w:tc>
                <w:tcPr>
                  <w:tcW w:w="102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夜间</w:t>
                  </w:r>
                </w:p>
              </w:tc>
              <w:tc>
                <w:tcPr>
                  <w:tcW w:w="93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43.2</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46.3</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46.3</w:t>
                  </w:r>
                </w:p>
              </w:tc>
              <w:tc>
                <w:tcPr>
                  <w:tcW w:w="2111" w:type="dxa"/>
                  <w:vMerge w:val="continue"/>
                  <w:vAlign w:val="center"/>
                </w:tcPr>
                <w:p>
                  <w:pPr>
                    <w:spacing w:line="240" w:lineRule="auto"/>
                    <w:ind w:firstLine="0" w:firstLineChars="0"/>
                    <w:jc w:val="center"/>
                    <w:rPr>
                      <w:b/>
                      <w:bCs/>
                      <w:color w:val="auto"/>
                      <w:sz w:val="21"/>
                      <w:szCs w:val="21"/>
                      <w:highlight w:val="none"/>
                    </w:rPr>
                  </w:pPr>
                </w:p>
              </w:tc>
              <w:tc>
                <w:tcPr>
                  <w:tcW w:w="2020" w:type="dxa"/>
                  <w:vAlign w:val="center"/>
                </w:tcPr>
                <w:p>
                  <w:pPr>
                    <w:spacing w:line="240" w:lineRule="auto"/>
                    <w:ind w:firstLine="0" w:firstLineChars="0"/>
                    <w:jc w:val="center"/>
                    <w:rPr>
                      <w:color w:val="auto"/>
                      <w:spacing w:val="-6"/>
                      <w:sz w:val="21"/>
                      <w:szCs w:val="21"/>
                      <w:highlight w:val="none"/>
                    </w:rPr>
                  </w:pPr>
                  <w:r>
                    <w:rPr>
                      <w:color w:val="auto"/>
                      <w:spacing w:val="-6"/>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西厂界</w:t>
                  </w:r>
                </w:p>
              </w:tc>
              <w:tc>
                <w:tcPr>
                  <w:tcW w:w="1020" w:type="dxa"/>
                  <w:vAlign w:val="center"/>
                </w:tcPr>
                <w:p>
                  <w:pPr>
                    <w:spacing w:line="240" w:lineRule="auto"/>
                    <w:ind w:firstLine="0" w:firstLineChars="0"/>
                    <w:jc w:val="center"/>
                    <w:rPr>
                      <w:color w:val="auto"/>
                      <w:sz w:val="21"/>
                      <w:szCs w:val="21"/>
                      <w:highlight w:val="none"/>
                    </w:rPr>
                  </w:pPr>
                  <w:r>
                    <w:rPr>
                      <w:color w:val="auto"/>
                      <w:sz w:val="21"/>
                      <w:szCs w:val="21"/>
                      <w:highlight w:val="none"/>
                    </w:rPr>
                    <w:t>昼间</w:t>
                  </w:r>
                </w:p>
              </w:tc>
              <w:tc>
                <w:tcPr>
                  <w:tcW w:w="93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54.1</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48.26</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48.26</w:t>
                  </w:r>
                </w:p>
              </w:tc>
              <w:tc>
                <w:tcPr>
                  <w:tcW w:w="2111" w:type="dxa"/>
                  <w:vMerge w:val="continue"/>
                  <w:vAlign w:val="center"/>
                </w:tcPr>
                <w:p>
                  <w:pPr>
                    <w:spacing w:line="240" w:lineRule="auto"/>
                    <w:ind w:firstLine="0" w:firstLineChars="0"/>
                    <w:jc w:val="center"/>
                    <w:rPr>
                      <w:b/>
                      <w:bCs/>
                      <w:color w:val="auto"/>
                      <w:sz w:val="21"/>
                      <w:szCs w:val="21"/>
                      <w:highlight w:val="none"/>
                    </w:rPr>
                  </w:pPr>
                </w:p>
              </w:tc>
              <w:tc>
                <w:tcPr>
                  <w:tcW w:w="2020" w:type="dxa"/>
                  <w:vAlign w:val="center"/>
                </w:tcPr>
                <w:p>
                  <w:pPr>
                    <w:spacing w:line="240" w:lineRule="auto"/>
                    <w:ind w:firstLine="0" w:firstLineChars="0"/>
                    <w:jc w:val="center"/>
                    <w:rPr>
                      <w:color w:val="auto"/>
                      <w:spacing w:val="-6"/>
                      <w:sz w:val="21"/>
                      <w:szCs w:val="21"/>
                      <w:highlight w:val="none"/>
                    </w:rPr>
                  </w:pPr>
                  <w:r>
                    <w:rPr>
                      <w:color w:val="auto"/>
                      <w:spacing w:val="-6"/>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continue"/>
                  <w:vAlign w:val="center"/>
                </w:tcPr>
                <w:p>
                  <w:pPr>
                    <w:spacing w:line="240" w:lineRule="auto"/>
                    <w:ind w:firstLine="0" w:firstLineChars="0"/>
                    <w:jc w:val="center"/>
                    <w:rPr>
                      <w:color w:val="auto"/>
                      <w:sz w:val="21"/>
                      <w:szCs w:val="21"/>
                      <w:highlight w:val="none"/>
                    </w:rPr>
                  </w:pPr>
                </w:p>
              </w:tc>
              <w:tc>
                <w:tcPr>
                  <w:tcW w:w="102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夜间</w:t>
                  </w:r>
                </w:p>
              </w:tc>
              <w:tc>
                <w:tcPr>
                  <w:tcW w:w="93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43.2</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48.26</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48.26</w:t>
                  </w:r>
                </w:p>
              </w:tc>
              <w:tc>
                <w:tcPr>
                  <w:tcW w:w="2111" w:type="dxa"/>
                  <w:vMerge w:val="continue"/>
                  <w:vAlign w:val="center"/>
                </w:tcPr>
                <w:p>
                  <w:pPr>
                    <w:spacing w:line="240" w:lineRule="auto"/>
                    <w:ind w:firstLine="0" w:firstLineChars="0"/>
                    <w:jc w:val="center"/>
                    <w:rPr>
                      <w:color w:val="auto"/>
                      <w:sz w:val="21"/>
                      <w:szCs w:val="21"/>
                      <w:highlight w:val="none"/>
                    </w:rPr>
                  </w:pPr>
                </w:p>
              </w:tc>
              <w:tc>
                <w:tcPr>
                  <w:tcW w:w="2020" w:type="dxa"/>
                  <w:vAlign w:val="center"/>
                </w:tcPr>
                <w:p>
                  <w:pPr>
                    <w:spacing w:line="240" w:lineRule="auto"/>
                    <w:ind w:firstLine="0" w:firstLineChars="0"/>
                    <w:jc w:val="center"/>
                    <w:rPr>
                      <w:color w:val="auto"/>
                      <w:sz w:val="21"/>
                      <w:szCs w:val="21"/>
                      <w:highlight w:val="none"/>
                    </w:rPr>
                  </w:pPr>
                  <w:r>
                    <w:rPr>
                      <w:color w:val="auto"/>
                      <w:spacing w:val="-6"/>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北厂界</w:t>
                  </w:r>
                </w:p>
              </w:tc>
              <w:tc>
                <w:tcPr>
                  <w:tcW w:w="1020" w:type="dxa"/>
                  <w:vAlign w:val="center"/>
                </w:tcPr>
                <w:p>
                  <w:pPr>
                    <w:spacing w:line="240" w:lineRule="auto"/>
                    <w:ind w:firstLine="0" w:firstLineChars="0"/>
                    <w:jc w:val="center"/>
                    <w:rPr>
                      <w:color w:val="auto"/>
                      <w:sz w:val="21"/>
                      <w:szCs w:val="21"/>
                      <w:highlight w:val="none"/>
                    </w:rPr>
                  </w:pPr>
                  <w:r>
                    <w:rPr>
                      <w:color w:val="auto"/>
                      <w:sz w:val="21"/>
                      <w:szCs w:val="21"/>
                      <w:highlight w:val="none"/>
                    </w:rPr>
                    <w:t>昼间</w:t>
                  </w:r>
                </w:p>
              </w:tc>
              <w:tc>
                <w:tcPr>
                  <w:tcW w:w="93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54.1</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45.86</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45.86</w:t>
                  </w:r>
                </w:p>
              </w:tc>
              <w:tc>
                <w:tcPr>
                  <w:tcW w:w="2111" w:type="dxa"/>
                  <w:vMerge w:val="continue"/>
                  <w:vAlign w:val="center"/>
                </w:tcPr>
                <w:p>
                  <w:pPr>
                    <w:spacing w:line="240" w:lineRule="auto"/>
                    <w:ind w:firstLine="0" w:firstLineChars="0"/>
                    <w:jc w:val="center"/>
                    <w:rPr>
                      <w:color w:val="auto"/>
                      <w:sz w:val="21"/>
                      <w:szCs w:val="21"/>
                      <w:highlight w:val="none"/>
                    </w:rPr>
                  </w:pPr>
                </w:p>
              </w:tc>
              <w:tc>
                <w:tcPr>
                  <w:tcW w:w="2020" w:type="dxa"/>
                  <w:vAlign w:val="center"/>
                </w:tcPr>
                <w:p>
                  <w:pPr>
                    <w:spacing w:line="240" w:lineRule="auto"/>
                    <w:ind w:firstLine="0" w:firstLineChars="0"/>
                    <w:jc w:val="center"/>
                    <w:rPr>
                      <w:color w:val="auto"/>
                      <w:sz w:val="21"/>
                      <w:szCs w:val="21"/>
                      <w:highlight w:val="none"/>
                    </w:rPr>
                  </w:pPr>
                  <w:r>
                    <w:rPr>
                      <w:color w:val="auto"/>
                      <w:spacing w:val="-6"/>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19" w:type="dxa"/>
                  <w:vMerge w:val="continue"/>
                  <w:vAlign w:val="center"/>
                </w:tcPr>
                <w:p>
                  <w:pPr>
                    <w:spacing w:line="240" w:lineRule="auto"/>
                    <w:ind w:firstLine="0" w:firstLineChars="0"/>
                    <w:jc w:val="center"/>
                    <w:rPr>
                      <w:color w:val="auto"/>
                      <w:sz w:val="21"/>
                      <w:szCs w:val="21"/>
                      <w:highlight w:val="none"/>
                    </w:rPr>
                  </w:pPr>
                </w:p>
              </w:tc>
              <w:tc>
                <w:tcPr>
                  <w:tcW w:w="102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夜间</w:t>
                  </w:r>
                </w:p>
              </w:tc>
              <w:tc>
                <w:tcPr>
                  <w:tcW w:w="93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42.6</w:t>
                  </w:r>
                </w:p>
              </w:tc>
              <w:tc>
                <w:tcPr>
                  <w:tcW w:w="963"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45.86</w:t>
                  </w:r>
                </w:p>
              </w:tc>
              <w:tc>
                <w:tcPr>
                  <w:tcW w:w="90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45.86</w:t>
                  </w:r>
                </w:p>
              </w:tc>
              <w:tc>
                <w:tcPr>
                  <w:tcW w:w="2111" w:type="dxa"/>
                  <w:vMerge w:val="continue"/>
                  <w:vAlign w:val="center"/>
                </w:tcPr>
                <w:p>
                  <w:pPr>
                    <w:spacing w:line="240" w:lineRule="auto"/>
                    <w:ind w:firstLine="0" w:firstLineChars="0"/>
                    <w:jc w:val="center"/>
                    <w:rPr>
                      <w:color w:val="auto"/>
                      <w:sz w:val="21"/>
                      <w:szCs w:val="21"/>
                      <w:highlight w:val="none"/>
                    </w:rPr>
                  </w:pPr>
                </w:p>
              </w:tc>
              <w:tc>
                <w:tcPr>
                  <w:tcW w:w="2020" w:type="dxa"/>
                  <w:vAlign w:val="center"/>
                </w:tcPr>
                <w:p>
                  <w:pPr>
                    <w:spacing w:line="240" w:lineRule="auto"/>
                    <w:ind w:firstLine="0" w:firstLineChars="0"/>
                    <w:jc w:val="center"/>
                    <w:rPr>
                      <w:color w:val="auto"/>
                      <w:spacing w:val="-6"/>
                      <w:sz w:val="21"/>
                      <w:szCs w:val="21"/>
                      <w:highlight w:val="none"/>
                    </w:rPr>
                  </w:pPr>
                  <w:r>
                    <w:rPr>
                      <w:color w:val="auto"/>
                      <w:spacing w:val="-6"/>
                      <w:sz w:val="21"/>
                      <w:szCs w:val="21"/>
                      <w:highlight w:val="none"/>
                    </w:rPr>
                    <w:t>达标</w:t>
                  </w:r>
                </w:p>
              </w:tc>
            </w:tr>
          </w:tbl>
          <w:p>
            <w:pPr>
              <w:spacing w:line="360" w:lineRule="auto"/>
              <w:rPr>
                <w:color w:val="auto"/>
                <w:highlight w:val="none"/>
                <w:lang w:val="zh-CN"/>
              </w:rPr>
            </w:pPr>
            <w:r>
              <w:rPr>
                <w:rFonts w:hint="eastAsia"/>
                <w:color w:val="auto"/>
                <w:highlight w:val="none"/>
                <w:lang w:val="zh-CN"/>
              </w:rPr>
              <w:t>为了减少污水处理设备噪声、车辆行驶噪声和鸣笛声对周边环境敏感点造成影响，环评建议采取以下噪声防治措施：</w:t>
            </w:r>
          </w:p>
          <w:p>
            <w:pPr>
              <w:spacing w:line="360" w:lineRule="auto"/>
              <w:rPr>
                <w:color w:val="auto"/>
                <w:highlight w:val="none"/>
                <w:lang w:val="zh-CN"/>
              </w:rPr>
            </w:pPr>
            <w:r>
              <w:rPr>
                <w:rFonts w:hint="eastAsia"/>
                <w:color w:val="auto"/>
                <w:highlight w:val="none"/>
                <w:lang w:val="zh-CN"/>
              </w:rPr>
              <w:t>（1）选择低噪声设备：在设备选型上，尽可能选用低转速水泵和低噪声水泵、三叶风机等低噪声设备，使设备的声功率级尽量降低。</w:t>
            </w:r>
          </w:p>
          <w:p>
            <w:pPr>
              <w:spacing w:line="360" w:lineRule="auto"/>
              <w:rPr>
                <w:color w:val="auto"/>
                <w:highlight w:val="none"/>
                <w:lang w:val="zh-CN"/>
              </w:rPr>
            </w:pPr>
            <w:r>
              <w:rPr>
                <w:rFonts w:hint="eastAsia"/>
                <w:color w:val="auto"/>
                <w:highlight w:val="none"/>
                <w:lang w:val="zh-CN"/>
              </w:rPr>
              <w:t>（2）对噪声源采取隔声和消声措施：对主要噪声源加隔声罩和消声器，基础采用减振措施(地脚螺栓下安装弹性衬垫和保护套)；对空气动力产生的噪声，可加装节流器及消音器等；对裸露在外的噪声设备应设置隔声罩等；对高噪声设备风机等应采用结构隔声，如封闭墙或双层窗结构的机房，房内墙壁采用吸音材料等措施。</w:t>
            </w:r>
          </w:p>
          <w:p>
            <w:pPr>
              <w:spacing w:line="360" w:lineRule="auto"/>
              <w:rPr>
                <w:color w:val="auto"/>
                <w:highlight w:val="none"/>
                <w:lang w:val="zh-CN"/>
              </w:rPr>
            </w:pPr>
            <w:r>
              <w:rPr>
                <w:rFonts w:hint="eastAsia"/>
                <w:color w:val="auto"/>
                <w:highlight w:val="none"/>
                <w:lang w:val="zh-CN"/>
              </w:rPr>
              <w:t>（3）合理布局噪声设备：尽可能地将轴流风机等高噪声设备，布置在远离厂界的区域内，减少对周围环境的影响。</w:t>
            </w:r>
          </w:p>
          <w:p>
            <w:pPr>
              <w:spacing w:line="360" w:lineRule="auto"/>
              <w:rPr>
                <w:color w:val="auto"/>
                <w:highlight w:val="none"/>
                <w:lang w:val="zh-CN"/>
              </w:rPr>
            </w:pPr>
            <w:r>
              <w:rPr>
                <w:rFonts w:hint="eastAsia"/>
                <w:color w:val="auto"/>
                <w:highlight w:val="none"/>
                <w:lang w:val="zh-CN"/>
              </w:rPr>
              <w:t>（</w:t>
            </w:r>
            <w:r>
              <w:rPr>
                <w:rFonts w:hint="eastAsia"/>
                <w:color w:val="auto"/>
                <w:highlight w:val="none"/>
              </w:rPr>
              <w:t>4</w:t>
            </w:r>
            <w:r>
              <w:rPr>
                <w:rFonts w:hint="eastAsia"/>
                <w:color w:val="auto"/>
                <w:highlight w:val="none"/>
                <w:lang w:val="zh-CN"/>
              </w:rPr>
              <w:t>）</w:t>
            </w:r>
            <w:r>
              <w:rPr>
                <w:color w:val="auto"/>
                <w:highlight w:val="none"/>
                <w:lang w:val="zh-CN"/>
              </w:rPr>
              <w:t>加强设备的日常维护，保证设备的正常运行</w:t>
            </w:r>
            <w:r>
              <w:rPr>
                <w:rFonts w:hint="eastAsia"/>
                <w:color w:val="auto"/>
                <w:highlight w:val="none"/>
                <w:lang w:val="zh-CN"/>
              </w:rPr>
              <w:t>，以免由于设备故障原因产生大噪声扰民现象</w:t>
            </w:r>
            <w:r>
              <w:rPr>
                <w:color w:val="auto"/>
                <w:highlight w:val="none"/>
                <w:lang w:val="zh-CN"/>
              </w:rPr>
              <w:t>；</w:t>
            </w:r>
          </w:p>
          <w:p>
            <w:pPr>
              <w:spacing w:line="360" w:lineRule="auto"/>
              <w:rPr>
                <w:color w:val="auto"/>
                <w:highlight w:val="none"/>
                <w:lang w:val="zh-CN"/>
              </w:rPr>
            </w:pPr>
            <w:r>
              <w:rPr>
                <w:rFonts w:hint="eastAsia"/>
                <w:color w:val="auto"/>
                <w:highlight w:val="none"/>
                <w:lang w:val="zh-CN"/>
              </w:rPr>
              <w:t>（</w:t>
            </w:r>
            <w:r>
              <w:rPr>
                <w:rFonts w:hint="eastAsia"/>
                <w:color w:val="auto"/>
                <w:highlight w:val="none"/>
              </w:rPr>
              <w:t>5</w:t>
            </w:r>
            <w:r>
              <w:rPr>
                <w:rFonts w:hint="eastAsia"/>
                <w:color w:val="auto"/>
                <w:highlight w:val="none"/>
                <w:lang w:val="zh-CN"/>
              </w:rPr>
              <w:t xml:space="preserve">）保持良好的交通秩序，在自来水厂进出口处，应设立明显的减速禁鸣标记，杜绝车辆在场内的鸣喇叭现象，停车场内保持低速行驶； </w:t>
            </w:r>
          </w:p>
          <w:p>
            <w:pPr>
              <w:spacing w:line="360" w:lineRule="auto"/>
              <w:rPr>
                <w:color w:val="auto"/>
                <w:highlight w:val="none"/>
              </w:rPr>
            </w:pPr>
            <w:r>
              <w:rPr>
                <w:rFonts w:hint="eastAsia"/>
                <w:color w:val="auto"/>
                <w:highlight w:val="none"/>
                <w:lang w:val="zh-CN"/>
              </w:rPr>
              <w:t>（</w:t>
            </w:r>
            <w:r>
              <w:rPr>
                <w:rFonts w:hint="eastAsia"/>
                <w:color w:val="auto"/>
                <w:highlight w:val="none"/>
              </w:rPr>
              <w:t>6</w:t>
            </w:r>
            <w:r>
              <w:rPr>
                <w:rFonts w:hint="eastAsia"/>
                <w:color w:val="auto"/>
                <w:highlight w:val="none"/>
                <w:lang w:val="zh-CN"/>
              </w:rPr>
              <w:t>）项目四周临建筑退后红线一定距离，在边界布置绿化带，搞好绿化，在标准厂房四周设置乔木绿化林带，以降低噪声的传播和干扰，减少对周围环境的影响。</w:t>
            </w:r>
          </w:p>
          <w:p>
            <w:pPr>
              <w:spacing w:line="360" w:lineRule="auto"/>
              <w:ind w:firstLine="482"/>
              <w:jc w:val="left"/>
              <w:rPr>
                <w:color w:val="auto"/>
                <w:highlight w:val="none"/>
              </w:rPr>
            </w:pPr>
            <w:r>
              <w:rPr>
                <w:rFonts w:hint="eastAsia"/>
                <w:b/>
                <w:bCs/>
                <w:color w:val="auto"/>
                <w:highlight w:val="none"/>
              </w:rPr>
              <w:t>2.5</w:t>
            </w:r>
            <w:r>
              <w:rPr>
                <w:b/>
                <w:color w:val="auto"/>
                <w:highlight w:val="none"/>
              </w:rPr>
              <w:t>固体废物环境影响分析</w:t>
            </w:r>
          </w:p>
          <w:p>
            <w:pPr>
              <w:spacing w:line="360" w:lineRule="auto"/>
              <w:rPr>
                <w:color w:val="auto"/>
                <w:szCs w:val="21"/>
                <w:highlight w:val="none"/>
              </w:rPr>
            </w:pPr>
            <w:r>
              <w:rPr>
                <w:rFonts w:hint="eastAsia"/>
                <w:color w:val="auto"/>
                <w:szCs w:val="21"/>
                <w:highlight w:val="none"/>
              </w:rPr>
              <w:t>本项目营运期</w:t>
            </w:r>
            <w:r>
              <w:rPr>
                <w:rFonts w:hint="eastAsia"/>
                <w:color w:val="auto"/>
                <w:highlight w:val="none"/>
                <w:lang w:val="zh-CN"/>
              </w:rPr>
              <w:t>自来水厂</w:t>
            </w:r>
            <w:r>
              <w:rPr>
                <w:rFonts w:hint="eastAsia"/>
                <w:color w:val="auto"/>
                <w:szCs w:val="21"/>
                <w:highlight w:val="none"/>
              </w:rPr>
              <w:t>固体废物主要为净水厂</w:t>
            </w:r>
            <w:r>
              <w:rPr>
                <w:rFonts w:hint="eastAsia"/>
                <w:color w:val="auto"/>
                <w:highlight w:val="none"/>
                <w:lang w:val="zh-CN"/>
              </w:rPr>
              <w:t>运行产生的污泥、废润滑油以及厂区产生的员工生活垃圾。</w:t>
            </w:r>
          </w:p>
          <w:p>
            <w:pPr>
              <w:spacing w:line="360" w:lineRule="auto"/>
              <w:ind w:firstLine="482"/>
              <w:rPr>
                <w:b/>
                <w:bCs/>
                <w:color w:val="auto"/>
                <w:szCs w:val="21"/>
                <w:highlight w:val="none"/>
              </w:rPr>
            </w:pPr>
            <w:r>
              <w:rPr>
                <w:rFonts w:hint="eastAsia"/>
                <w:b/>
                <w:bCs/>
                <w:color w:val="auto"/>
                <w:szCs w:val="21"/>
                <w:highlight w:val="none"/>
              </w:rPr>
              <w:t>（1）一般固废</w:t>
            </w:r>
          </w:p>
          <w:p>
            <w:pPr>
              <w:spacing w:line="360" w:lineRule="auto"/>
              <w:rPr>
                <w:color w:val="auto"/>
                <w:szCs w:val="21"/>
                <w:highlight w:val="none"/>
              </w:rPr>
            </w:pPr>
            <w:r>
              <w:rPr>
                <w:rFonts w:hint="eastAsia"/>
                <w:color w:val="auto"/>
                <w:szCs w:val="21"/>
                <w:highlight w:val="none"/>
              </w:rPr>
              <w:t>本项目水厂污泥（干泥）产生量为9.035t/d（3297.775t/a），污泥主要是泥沙性质的物质，不具有危险特性，考虑目前祁阳垃圾填埋场已满负荷，祁阳规划建设祁阳县污泥集中处置中心，因此，近期：污泥经脱水后外运至祁阳海螺水泥厂同生活垃圾焚烧处理，远期：污泥经脱水后外运至祁阳县污泥集中处置中心处置。</w:t>
            </w:r>
            <w:r>
              <w:rPr>
                <w:rFonts w:hint="eastAsia"/>
                <w:color w:val="auto"/>
                <w:highlight w:val="none"/>
              </w:rPr>
              <w:t>取水泵站值班人员和净水厂员工生活垃圾产生量为15kg/d（5.475t/a），经定期清理，委托当地乡镇环卫部门进行清运处理。</w:t>
            </w:r>
          </w:p>
          <w:p>
            <w:pPr>
              <w:pStyle w:val="2"/>
              <w:spacing w:line="360" w:lineRule="auto"/>
              <w:ind w:firstLine="482" w:firstLineChars="200"/>
              <w:rPr>
                <w:b/>
                <w:bCs/>
                <w:color w:val="auto"/>
                <w:highlight w:val="none"/>
              </w:rPr>
            </w:pPr>
            <w:r>
              <w:rPr>
                <w:rFonts w:hint="eastAsia"/>
                <w:b/>
                <w:bCs/>
                <w:color w:val="auto"/>
                <w:highlight w:val="none"/>
              </w:rPr>
              <w:t>（2）危险固废</w:t>
            </w:r>
          </w:p>
          <w:p>
            <w:pPr>
              <w:pStyle w:val="2"/>
              <w:spacing w:line="360" w:lineRule="auto"/>
              <w:ind w:firstLine="480" w:firstLineChars="200"/>
              <w:rPr>
                <w:b/>
                <w:bCs/>
                <w:color w:val="auto"/>
                <w:highlight w:val="none"/>
              </w:rPr>
            </w:pPr>
            <w:r>
              <w:rPr>
                <w:rFonts w:hint="eastAsia"/>
                <w:color w:val="auto"/>
                <w:highlight w:val="none"/>
              </w:rPr>
              <w:t>取水泵站</w:t>
            </w:r>
            <w:r>
              <w:rPr>
                <w:rFonts w:hint="eastAsia"/>
                <w:color w:val="auto"/>
                <w:highlight w:val="none"/>
                <w:lang w:eastAsia="zh-CN"/>
              </w:rPr>
              <w:t>、</w:t>
            </w:r>
            <w:r>
              <w:rPr>
                <w:rFonts w:hint="eastAsia"/>
                <w:color w:val="auto"/>
                <w:highlight w:val="none"/>
                <w:lang w:val="en-US" w:eastAsia="zh-CN"/>
              </w:rPr>
              <w:t>净水厂、加压泵站</w:t>
            </w:r>
            <w:r>
              <w:rPr>
                <w:rFonts w:hint="eastAsia"/>
                <w:color w:val="auto"/>
                <w:highlight w:val="none"/>
              </w:rPr>
              <w:t>中水泵在运行过程中会产生0.005t/a废润滑油，</w:t>
            </w:r>
            <w:r>
              <w:rPr>
                <w:color w:val="auto"/>
                <w:highlight w:val="none"/>
              </w:rPr>
              <w:t xml:space="preserve">根据查询《国家危险废物名录》（2016年），废油属于HW08废矿物油与含矿物油废物，危规号为900-214-08，经专门的收集桶收集后放置在危废暂存间中暂存，须按危险废物管理有关规定送至有资质的单位进行无害化处理。 </w:t>
            </w:r>
          </w:p>
          <w:p>
            <w:pPr>
              <w:spacing w:line="360" w:lineRule="auto"/>
              <w:rPr>
                <w:color w:val="auto"/>
                <w:highlight w:val="none"/>
              </w:rPr>
            </w:pPr>
            <w:r>
              <w:rPr>
                <w:color w:val="auto"/>
                <w:highlight w:val="none"/>
              </w:rPr>
              <w:t>根据《危险废物贮存污染控制标准》（GB18597-2001）和《危险废物收集贮存运输技术规范》（HJ2025-2012）的要求，本项目危废贮存场所应按以下要求设置：</w:t>
            </w:r>
          </w:p>
          <w:p>
            <w:pPr>
              <w:spacing w:line="360" w:lineRule="auto"/>
              <w:rPr>
                <w:color w:val="auto"/>
                <w:highlight w:val="none"/>
              </w:rPr>
            </w:pPr>
            <w:r>
              <w:rPr>
                <w:color w:val="auto"/>
                <w:highlight w:val="none"/>
              </w:rPr>
              <w:t>①产生危废的车间，必须使用专用储存设施，并将危险废物装入专用容器中，无法装入常用容器的危险废物可用防漏胶袋等盛装，盛装危险废物的容器和胶带必须贴符合《危险废物贮存污染控制标准》（GB18597-2001）附录A所示的标签等，防止造成二次污染。危险废物暂存时需有塑料内衬密封，并设有专用暂存区，不得混存，且须做好防淋防渗措施，以避免固废中的挥发物质对环境造成污染。</w:t>
            </w:r>
          </w:p>
          <w:p>
            <w:pPr>
              <w:spacing w:line="360" w:lineRule="auto"/>
              <w:rPr>
                <w:color w:val="auto"/>
                <w:highlight w:val="none"/>
              </w:rPr>
            </w:pPr>
            <w:r>
              <w:rPr>
                <w:color w:val="auto"/>
                <w:highlight w:val="none"/>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spacing w:line="360" w:lineRule="auto"/>
              <w:rPr>
                <w:color w:val="auto"/>
                <w:highlight w:val="none"/>
              </w:rPr>
            </w:pPr>
            <w:r>
              <w:rPr>
                <w:color w:val="auto"/>
                <w:highlight w:val="none"/>
              </w:rPr>
              <w:t>③危险废物的收集和转运过程中，应采取相应的安全防护和污染防治措施，包括防爆、 防火、防中毒、防感染、防泄露、防飞扬、防雨或其它防止污染环境的措施。</w:t>
            </w:r>
          </w:p>
          <w:p>
            <w:pPr>
              <w:spacing w:line="360" w:lineRule="auto"/>
              <w:rPr>
                <w:color w:val="auto"/>
                <w:highlight w:val="none"/>
              </w:rPr>
            </w:pPr>
            <w:r>
              <w:rPr>
                <w:color w:val="auto"/>
                <w:highlight w:val="none"/>
              </w:rPr>
              <w:t>④危险废物贮存设施要符合国家危险固废贮存场所的建设要求，危险固废贮存设施要建有堵截泄漏的裙脚，地面与裙脚用坚固的防渗材料建造，并建有隔离设施和防风、防晒、防雨设施，基础防渗层用 2mm 的高密度聚乙烯材料组成，表面用耐腐蚀材料硬化，衬层上建有渗滤液收集清除系统、径流导出系统、雨水收集池。储存间内清理出来的泄漏物也属于危险废物，必须按照危险废物处理原则处理。</w:t>
            </w:r>
          </w:p>
          <w:p>
            <w:pPr>
              <w:spacing w:line="360" w:lineRule="auto"/>
              <w:rPr>
                <w:color w:val="auto"/>
                <w:highlight w:val="none"/>
              </w:rPr>
            </w:pPr>
            <w:r>
              <w:rPr>
                <w:color w:val="auto"/>
                <w:highlight w:val="none"/>
              </w:rPr>
              <w:t>⑤地面与墙角要用坚固、防渗、防腐的材料建造； 危险废物存放间场地防渗处理后，渗透系统要小于1×10</w:t>
            </w:r>
            <w:r>
              <w:rPr>
                <w:color w:val="auto"/>
                <w:highlight w:val="none"/>
                <w:vertAlign w:val="superscript"/>
              </w:rPr>
              <w:t>-10</w:t>
            </w:r>
            <w:r>
              <w:rPr>
                <w:color w:val="auto"/>
                <w:highlight w:val="none"/>
              </w:rPr>
              <w:t>cm/s。</w:t>
            </w:r>
          </w:p>
          <w:p>
            <w:pPr>
              <w:spacing w:line="360" w:lineRule="auto"/>
              <w:rPr>
                <w:color w:val="auto"/>
                <w:highlight w:val="none"/>
              </w:rPr>
            </w:pPr>
            <w:r>
              <w:rPr>
                <w:color w:val="auto"/>
                <w:highlight w:val="none"/>
              </w:rPr>
              <w:t>⑥公司应设置专门的危险固废处置机构，作为厂内环境管理、监测的重要组成部分，主要负责危险固废的收集、贮存及处置。</w:t>
            </w:r>
          </w:p>
          <w:p>
            <w:pPr>
              <w:spacing w:line="360" w:lineRule="auto"/>
              <w:rPr>
                <w:color w:val="auto"/>
                <w:highlight w:val="none"/>
              </w:rPr>
            </w:pPr>
            <w:r>
              <w:rPr>
                <w:color w:val="auto"/>
                <w:highlight w:val="none"/>
              </w:rPr>
              <w:t>⑦按月统计公司各车间的危险废物种类、产生量、暂存时间、交由处置时间等除此之外，危险废物存放间还要记录危险废物的名称、来源、数量、特性和包装容器的类别、入库日期、存放库位、出库日期及接受单位名称。</w:t>
            </w:r>
          </w:p>
          <w:p>
            <w:pPr>
              <w:tabs>
                <w:tab w:val="left" w:pos="1440"/>
                <w:tab w:val="left" w:pos="1800"/>
              </w:tabs>
              <w:adjustRightInd w:val="0"/>
              <w:spacing w:line="360" w:lineRule="auto"/>
              <w:ind w:firstLine="482"/>
              <w:jc w:val="left"/>
              <w:rPr>
                <w:b/>
                <w:bCs/>
                <w:color w:val="auto"/>
                <w:highlight w:val="none"/>
              </w:rPr>
            </w:pPr>
            <w:r>
              <w:rPr>
                <w:b/>
                <w:bCs/>
                <w:color w:val="auto"/>
                <w:highlight w:val="none"/>
              </w:rPr>
              <w:t>贮存安全管理规定：</w:t>
            </w:r>
          </w:p>
          <w:p>
            <w:pPr>
              <w:spacing w:line="360" w:lineRule="auto"/>
              <w:rPr>
                <w:color w:val="auto"/>
                <w:highlight w:val="none"/>
              </w:rPr>
            </w:pPr>
            <w:r>
              <w:rPr>
                <w:color w:val="auto"/>
                <w:highlight w:val="none"/>
              </w:rPr>
              <w:t>根据《危险废物贮存污染控制标准》（GB18597-2001），本项目产生的废润滑油和废机油应存放于阴凉、通风、干燥的场所，储存于专用收集容器，防止阳光直射，保持容器密封。</w:t>
            </w:r>
          </w:p>
          <w:p>
            <w:pPr>
              <w:spacing w:line="360" w:lineRule="auto"/>
              <w:ind w:firstLine="482"/>
              <w:rPr>
                <w:b/>
                <w:bCs/>
                <w:color w:val="auto"/>
                <w:highlight w:val="none"/>
              </w:rPr>
            </w:pPr>
            <w:r>
              <w:rPr>
                <w:b/>
                <w:bCs/>
                <w:color w:val="auto"/>
                <w:highlight w:val="none"/>
              </w:rPr>
              <w:t>运输注意事项：</w:t>
            </w:r>
          </w:p>
          <w:p>
            <w:pPr>
              <w:tabs>
                <w:tab w:val="left" w:pos="1440"/>
                <w:tab w:val="left" w:pos="1800"/>
              </w:tabs>
              <w:adjustRightInd w:val="0"/>
              <w:spacing w:line="360" w:lineRule="auto"/>
              <w:rPr>
                <w:color w:val="auto"/>
                <w:highlight w:val="none"/>
              </w:rPr>
            </w:pPr>
            <w:r>
              <w:rPr>
                <w:color w:val="auto"/>
                <w:highlight w:val="none"/>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 槽（罐）车应有接地链，槽内可设孔隔板以减少震荡产生静电；运输途中应防曝晒、雨淋，防高温。中途停留时应远离火种、热源、 高温区；装运该物品的车辆排气管必须配备阻火装置，禁止使用易产生火花的机械设备和工具装卸；公路运输时要按规定路线行驶，勿在居民区和人口稠密区停留。</w:t>
            </w:r>
          </w:p>
          <w:p>
            <w:pPr>
              <w:tabs>
                <w:tab w:val="left" w:pos="1440"/>
                <w:tab w:val="left" w:pos="1800"/>
              </w:tabs>
              <w:adjustRightInd w:val="0"/>
              <w:spacing w:line="360" w:lineRule="auto"/>
              <w:rPr>
                <w:color w:val="auto"/>
                <w:highlight w:val="none"/>
              </w:rPr>
            </w:pPr>
            <w:r>
              <w:rPr>
                <w:color w:val="auto"/>
                <w:highlight w:val="none"/>
              </w:rPr>
              <w:t>本项目固废得到了合理处置和处理，满足《一般工业固体废物贮存、处置场污染控制标准》（GB 18599-2001）和《危险废物贮存污染控制标准》（GB18597-2001）（2013年修改单）要求，对周边环境影响较小。</w:t>
            </w:r>
          </w:p>
          <w:p>
            <w:pPr>
              <w:spacing w:line="360" w:lineRule="auto"/>
              <w:ind w:firstLine="482"/>
              <w:jc w:val="left"/>
              <w:rPr>
                <w:rFonts w:hint="eastAsia" w:eastAsia="宋体"/>
                <w:b/>
                <w:bCs/>
                <w:color w:val="auto"/>
                <w:highlight w:val="none"/>
                <w:lang w:val="en-US" w:eastAsia="zh-CN"/>
              </w:rPr>
            </w:pPr>
            <w:r>
              <w:rPr>
                <w:rFonts w:hint="eastAsia"/>
                <w:b/>
                <w:bCs/>
                <w:color w:val="auto"/>
                <w:highlight w:val="none"/>
                <w:lang w:val="en-US" w:eastAsia="zh-CN"/>
              </w:rPr>
              <w:t>2.6</w:t>
            </w:r>
            <w:r>
              <w:rPr>
                <w:rFonts w:hint="eastAsia"/>
                <w:b/>
                <w:bCs/>
                <w:color w:val="auto"/>
                <w:highlight w:val="none"/>
              </w:rPr>
              <w:t>外环境</w:t>
            </w:r>
            <w:r>
              <w:rPr>
                <w:rFonts w:hint="eastAsia"/>
                <w:b/>
                <w:bCs/>
                <w:color w:val="auto"/>
                <w:highlight w:val="none"/>
                <w:lang w:val="en-US" w:eastAsia="zh-CN"/>
              </w:rPr>
              <w:t>对本项目影响分析</w:t>
            </w:r>
          </w:p>
          <w:p>
            <w:pPr>
              <w:spacing w:line="360" w:lineRule="auto"/>
              <w:rPr>
                <w:rFonts w:hint="eastAsia" w:eastAsia="宋体"/>
                <w:b/>
                <w:bCs w:val="0"/>
                <w:color w:val="auto"/>
                <w:highlight w:val="none"/>
                <w:lang w:eastAsia="zh-CN"/>
              </w:rPr>
            </w:pPr>
            <w:r>
              <w:rPr>
                <w:rFonts w:hint="eastAsia"/>
                <w:b/>
                <w:bCs w:val="0"/>
                <w:color w:val="auto"/>
                <w:highlight w:val="none"/>
                <w:lang w:eastAsia="zh-CN"/>
              </w:rPr>
              <w:t>（</w:t>
            </w:r>
            <w:r>
              <w:rPr>
                <w:rFonts w:hint="eastAsia"/>
                <w:b/>
                <w:bCs w:val="0"/>
                <w:color w:val="auto"/>
                <w:highlight w:val="none"/>
                <w:lang w:val="en-US" w:eastAsia="zh-CN"/>
              </w:rPr>
              <w:t>1</w:t>
            </w:r>
            <w:r>
              <w:rPr>
                <w:rFonts w:hint="eastAsia"/>
                <w:b/>
                <w:bCs w:val="0"/>
                <w:color w:val="auto"/>
                <w:highlight w:val="none"/>
                <w:lang w:eastAsia="zh-CN"/>
              </w:rPr>
              <w:t>）外环境对本项目影响分析</w:t>
            </w:r>
          </w:p>
          <w:p>
            <w:pPr>
              <w:spacing w:line="360" w:lineRule="auto"/>
              <w:rPr>
                <w:bCs/>
                <w:color w:val="auto"/>
                <w:highlight w:val="none"/>
              </w:rPr>
            </w:pPr>
            <w:r>
              <w:rPr>
                <w:rFonts w:hint="eastAsia"/>
                <w:bCs/>
                <w:color w:val="auto"/>
                <w:highlight w:val="none"/>
              </w:rPr>
              <w:t>本项目位于</w:t>
            </w:r>
            <w:r>
              <w:rPr>
                <w:rFonts w:hint="eastAsia"/>
                <w:color w:val="auto"/>
                <w:kern w:val="0"/>
                <w:szCs w:val="21"/>
                <w:highlight w:val="none"/>
              </w:rPr>
              <w:t>湖南省永州市祁阳县潘市镇</w:t>
            </w:r>
            <w:r>
              <w:rPr>
                <w:rFonts w:hint="eastAsia"/>
                <w:color w:val="FF0000"/>
                <w:kern w:val="0"/>
                <w:szCs w:val="21"/>
                <w:highlight w:val="none"/>
                <w:u w:val="single"/>
                <w:lang w:eastAsia="zh-CN"/>
              </w:rPr>
              <w:t>董家埠村</w:t>
            </w:r>
            <w:r>
              <w:rPr>
                <w:rFonts w:hint="eastAsia"/>
                <w:color w:val="auto"/>
                <w:kern w:val="0"/>
                <w:szCs w:val="21"/>
                <w:highlight w:val="none"/>
              </w:rPr>
              <w:t>泗山塘与庙门前之间</w:t>
            </w:r>
            <w:r>
              <w:rPr>
                <w:rFonts w:hint="eastAsia"/>
                <w:bCs/>
                <w:color w:val="auto"/>
                <w:highlight w:val="none"/>
              </w:rPr>
              <w:t>，场地高程在</w:t>
            </w:r>
            <w:r>
              <w:rPr>
                <w:rFonts w:hint="eastAsia"/>
                <w:color w:val="auto"/>
                <w:highlight w:val="none"/>
              </w:rPr>
              <w:t>83.71~100.70m</w:t>
            </w:r>
            <w:r>
              <w:rPr>
                <w:rFonts w:hint="eastAsia"/>
                <w:bCs/>
                <w:color w:val="auto"/>
                <w:highlight w:val="none"/>
              </w:rPr>
              <w:t>，此处地势较缓，距取水点的距离为100m，处于供水区域的上游，地势较好，无不良工程地质现象，无民房，没有拆迁工作。经过现场勘查，本项目外环境关系情况如下：</w:t>
            </w:r>
          </w:p>
          <w:p>
            <w:pPr>
              <w:spacing w:line="360" w:lineRule="auto"/>
              <w:rPr>
                <w:bCs/>
                <w:color w:val="auto"/>
                <w:highlight w:val="none"/>
              </w:rPr>
            </w:pPr>
            <w:r>
              <w:rPr>
                <w:rFonts w:hint="eastAsia"/>
                <w:bCs/>
                <w:color w:val="auto"/>
                <w:highlight w:val="none"/>
              </w:rPr>
              <w:t>厂界东面190m处为泗山塘居民点，约有4户居民居住。</w:t>
            </w:r>
          </w:p>
          <w:p>
            <w:pPr>
              <w:spacing w:line="360" w:lineRule="auto"/>
              <w:rPr>
                <w:bCs/>
                <w:color w:val="auto"/>
                <w:highlight w:val="none"/>
              </w:rPr>
            </w:pPr>
            <w:r>
              <w:rPr>
                <w:rFonts w:hint="eastAsia"/>
                <w:bCs/>
                <w:color w:val="auto"/>
                <w:highlight w:val="none"/>
              </w:rPr>
              <w:t>厂界东北面250m处为谢家冲居民点，约有20户居民居住。</w:t>
            </w:r>
          </w:p>
          <w:p>
            <w:pPr>
              <w:spacing w:line="360" w:lineRule="auto"/>
              <w:rPr>
                <w:bCs/>
                <w:color w:val="auto"/>
                <w:highlight w:val="none"/>
              </w:rPr>
            </w:pPr>
            <w:r>
              <w:rPr>
                <w:rFonts w:hint="eastAsia"/>
                <w:bCs/>
                <w:color w:val="auto"/>
                <w:highlight w:val="none"/>
              </w:rPr>
              <w:t>厂界西北面270m处为庙门前居民点，约有15户居民居住。</w:t>
            </w:r>
          </w:p>
          <w:p>
            <w:pPr>
              <w:spacing w:line="360" w:lineRule="auto"/>
              <w:rPr>
                <w:bCs/>
                <w:color w:val="auto"/>
                <w:highlight w:val="none"/>
              </w:rPr>
            </w:pPr>
            <w:r>
              <w:rPr>
                <w:rFonts w:hint="eastAsia"/>
                <w:bCs/>
                <w:color w:val="auto"/>
                <w:highlight w:val="none"/>
              </w:rPr>
              <w:t>厂界南面为湘江。</w:t>
            </w:r>
          </w:p>
          <w:p>
            <w:pPr>
              <w:spacing w:line="360" w:lineRule="auto"/>
              <w:jc w:val="left"/>
              <w:rPr>
                <w:rFonts w:hint="eastAsia" w:ascii="Times New Roman" w:hAnsi="Times New Roman" w:eastAsia="宋体" w:cs="Times New Roman"/>
                <w:color w:val="FF0000"/>
                <w:highlight w:val="none"/>
                <w:u w:val="single"/>
                <w:lang w:val="en-US" w:eastAsia="zh-CN"/>
              </w:rPr>
            </w:pPr>
            <w:r>
              <w:rPr>
                <w:rFonts w:hint="eastAsia"/>
                <w:color w:val="auto"/>
                <w:sz w:val="24"/>
                <w:highlight w:val="none"/>
                <w:lang w:eastAsia="zh-CN"/>
              </w:rPr>
              <w:t>根据调查</w:t>
            </w:r>
            <w:r>
              <w:rPr>
                <w:rFonts w:hint="eastAsia"/>
                <w:color w:val="auto"/>
                <w:highlight w:val="none"/>
              </w:rPr>
              <w:t>水源地3km范围内无排污口、无油库、垃圾厂等污染源存在</w:t>
            </w:r>
            <w:r>
              <w:rPr>
                <w:rFonts w:hint="eastAsia"/>
                <w:color w:val="auto"/>
                <w:highlight w:val="none"/>
                <w:lang w:eastAsia="zh-CN"/>
              </w:rPr>
              <w:t>，</w:t>
            </w:r>
            <w:r>
              <w:rPr>
                <w:rFonts w:hint="eastAsia"/>
                <w:color w:val="FF0000"/>
                <w:highlight w:val="none"/>
                <w:u w:val="single"/>
                <w:lang w:eastAsia="zh-CN"/>
              </w:rPr>
              <w:t>项</w:t>
            </w:r>
            <w:r>
              <w:rPr>
                <w:rFonts w:hint="eastAsia" w:ascii="Times New Roman" w:hAnsi="Times New Roman" w:eastAsia="宋体" w:cs="Times New Roman"/>
                <w:color w:val="FF0000"/>
                <w:highlight w:val="none"/>
                <w:u w:val="single"/>
                <w:lang w:eastAsia="zh-CN"/>
              </w:rPr>
              <w:t>目</w:t>
            </w:r>
            <w:r>
              <w:rPr>
                <w:rFonts w:hint="eastAsia" w:ascii="Times New Roman" w:hAnsi="Times New Roman" w:eastAsia="宋体" w:cs="Times New Roman"/>
                <w:color w:val="FF0000"/>
                <w:highlight w:val="none"/>
                <w:u w:val="single"/>
              </w:rPr>
              <w:t>北面约1.46km</w:t>
            </w:r>
            <w:r>
              <w:rPr>
                <w:rFonts w:hint="eastAsia" w:ascii="Times New Roman" w:hAnsi="Times New Roman" w:eastAsia="宋体" w:cs="Times New Roman"/>
                <w:color w:val="FF0000"/>
                <w:highlight w:val="none"/>
                <w:u w:val="single"/>
                <w:lang w:eastAsia="zh-CN"/>
              </w:rPr>
              <w:t>为</w:t>
            </w:r>
            <w:r>
              <w:rPr>
                <w:rFonts w:hint="eastAsia" w:ascii="Times New Roman" w:hAnsi="Times New Roman" w:eastAsia="宋体" w:cs="Times New Roman"/>
                <w:color w:val="FF0000"/>
                <w:highlight w:val="none"/>
                <w:u w:val="single"/>
              </w:rPr>
              <w:t>祁阳鑫茂新型建材有限公司</w:t>
            </w:r>
            <w:r>
              <w:rPr>
                <w:rFonts w:hint="eastAsia" w:ascii="Times New Roman" w:hAnsi="Times New Roman" w:eastAsia="宋体" w:cs="Times New Roman"/>
                <w:color w:val="FF0000"/>
                <w:highlight w:val="none"/>
                <w:u w:val="single"/>
                <w:lang w:eastAsia="zh-CN"/>
              </w:rPr>
              <w:t>，该公司生产方案为：</w:t>
            </w:r>
            <w:r>
              <w:rPr>
                <w:rFonts w:hint="eastAsia" w:ascii="Times New Roman" w:hAnsi="Times New Roman" w:eastAsia="宋体" w:cs="Times New Roman"/>
                <w:color w:val="FF0000"/>
                <w:highlight w:val="none"/>
                <w:u w:val="single"/>
                <w:lang w:val="zh-CN" w:eastAsia="zh-CN"/>
              </w:rPr>
              <w:t>年产</w:t>
            </w:r>
            <w:r>
              <w:rPr>
                <w:rFonts w:hint="eastAsia" w:ascii="Times New Roman" w:hAnsi="Times New Roman" w:eastAsia="宋体" w:cs="Times New Roman"/>
                <w:color w:val="FF0000"/>
                <w:highlight w:val="none"/>
                <w:u w:val="single"/>
                <w:lang w:val="en-US" w:eastAsia="zh-CN"/>
              </w:rPr>
              <w:t>3000万块</w:t>
            </w:r>
            <w:r>
              <w:rPr>
                <w:rFonts w:hint="eastAsia" w:ascii="Times New Roman" w:hAnsi="Times New Roman" w:eastAsia="宋体" w:cs="Times New Roman"/>
                <w:color w:val="FF0000"/>
                <w:highlight w:val="none"/>
                <w:u w:val="single"/>
                <w:lang w:eastAsia="zh-CN"/>
              </w:rPr>
              <w:t>页岩标砖，主要污染为隧道窑废气、原料破碎粉尘、生活污水，根据调查，</w:t>
            </w:r>
            <w:r>
              <w:rPr>
                <w:rFonts w:hint="eastAsia" w:ascii="Times New Roman" w:hAnsi="Times New Roman" w:eastAsia="宋体" w:cs="Times New Roman"/>
                <w:color w:val="FF0000"/>
                <w:highlight w:val="none"/>
                <w:u w:val="single"/>
              </w:rPr>
              <w:t>祁阳鑫茂新型建材有限公司</w:t>
            </w:r>
            <w:r>
              <w:rPr>
                <w:rFonts w:hint="eastAsia" w:ascii="Times New Roman" w:hAnsi="Times New Roman" w:eastAsia="宋体" w:cs="Times New Roman"/>
                <w:color w:val="FF0000"/>
                <w:highlight w:val="none"/>
                <w:u w:val="single"/>
                <w:lang w:eastAsia="zh-CN"/>
              </w:rPr>
              <w:t>隧道窑烟气已安装脱硫塔除尘，</w:t>
            </w:r>
            <w:r>
              <w:rPr>
                <w:rFonts w:hint="eastAsia" w:ascii="Times New Roman" w:hAnsi="Times New Roman" w:eastAsia="宋体" w:cs="Times New Roman"/>
                <w:color w:val="FF0000"/>
                <w:highlight w:val="none"/>
                <w:u w:val="single"/>
                <w:lang w:val="en-US" w:eastAsia="zh-CN"/>
              </w:rPr>
              <w:t>原料破碎粉尘采取生产车间密闭，运输皮带和筛分设备上安装物化喷水装置，破碎粉尘经集气罩收集后由布袋除尘器处理，生活废水经化粪池处理后定期清掏回用于厂区绿化和西北面山林浇灌，该厂目前已通过环竣工环保验收，环保设施到位，无废水外排，该项目距离本项目较远，且有山体阻隔，对水源地基本无影响，项目东面约1.5km为河埠塘渡口，位于本项目取水口下游，距离较远，符合生活饮用水集中式供水单位卫生规范中要求</w:t>
            </w:r>
            <w:r>
              <w:rPr>
                <w:rFonts w:hint="eastAsia" w:ascii="Times New Roman" w:hAnsi="Times New Roman" w:eastAsia="宋体" w:cs="Times New Roman"/>
                <w:color w:val="FF0000"/>
                <w:kern w:val="2"/>
                <w:sz w:val="24"/>
                <w:szCs w:val="24"/>
                <w:highlight w:val="none"/>
                <w:u w:val="single"/>
                <w:lang w:val="en-US" w:eastAsia="zh-CN" w:bidi="ar-SA"/>
              </w:rPr>
              <w:t>取水点周围半径100米的水域内，严禁停靠船只要求。</w:t>
            </w:r>
          </w:p>
          <w:p>
            <w:pPr>
              <w:pStyle w:val="19"/>
              <w:spacing w:line="360" w:lineRule="auto"/>
              <w:ind w:firstLine="480" w:firstLineChars="200"/>
              <w:jc w:val="both"/>
              <w:rPr>
                <w:b/>
                <w:color w:val="auto"/>
                <w:sz w:val="24"/>
                <w:highlight w:val="none"/>
              </w:rPr>
            </w:pPr>
            <w:r>
              <w:rPr>
                <w:color w:val="auto"/>
                <w:sz w:val="24"/>
                <w:highlight w:val="none"/>
              </w:rPr>
              <w:t>综上</w:t>
            </w:r>
            <w:r>
              <w:rPr>
                <w:rFonts w:hint="eastAsia"/>
                <w:color w:val="auto"/>
                <w:sz w:val="24"/>
                <w:highlight w:val="none"/>
              </w:rPr>
              <w:t>所述</w:t>
            </w:r>
            <w:r>
              <w:rPr>
                <w:color w:val="auto"/>
                <w:sz w:val="24"/>
                <w:highlight w:val="none"/>
              </w:rPr>
              <w:t>，本项目外环境主要为居民住宅及农业用地为主，不涉及自然保护区、风景名胜区等环境敏感点，外环境对本项目的主要影响为乡道上行驶的运输车辆带来的噪声及扬尘等污染</w:t>
            </w:r>
            <w:r>
              <w:rPr>
                <w:rFonts w:hint="eastAsia"/>
                <w:color w:val="auto"/>
                <w:sz w:val="24"/>
                <w:highlight w:val="none"/>
                <w:lang w:eastAsia="zh-CN"/>
              </w:rPr>
              <w:t>，</w:t>
            </w:r>
            <w:r>
              <w:rPr>
                <w:color w:val="auto"/>
                <w:sz w:val="24"/>
                <w:highlight w:val="none"/>
              </w:rPr>
              <w:t>本项目与周边环境相容，无重大环境制约因素。</w:t>
            </w:r>
          </w:p>
          <w:p>
            <w:pPr>
              <w:pStyle w:val="19"/>
              <w:spacing w:line="360" w:lineRule="auto"/>
              <w:ind w:firstLine="482" w:firstLineChars="200"/>
              <w:jc w:val="both"/>
              <w:rPr>
                <w:rFonts w:hint="eastAsia" w:eastAsia="宋体"/>
                <w:b/>
                <w:bCs/>
                <w:color w:val="FF0000"/>
                <w:sz w:val="24"/>
                <w:highlight w:val="none"/>
                <w:lang w:eastAsia="zh-CN"/>
              </w:rPr>
            </w:pPr>
            <w:r>
              <w:rPr>
                <w:rFonts w:hint="eastAsia"/>
                <w:b/>
                <w:bCs/>
                <w:color w:val="FF0000"/>
                <w:sz w:val="24"/>
                <w:highlight w:val="none"/>
                <w:lang w:eastAsia="zh-CN"/>
              </w:rPr>
              <w:t>（</w:t>
            </w:r>
            <w:r>
              <w:rPr>
                <w:rFonts w:hint="eastAsia"/>
                <w:b/>
                <w:bCs/>
                <w:color w:val="FF0000"/>
                <w:sz w:val="24"/>
                <w:highlight w:val="none"/>
                <w:lang w:val="en-US" w:eastAsia="zh-CN"/>
              </w:rPr>
              <w:t>2</w:t>
            </w:r>
            <w:r>
              <w:rPr>
                <w:rFonts w:hint="eastAsia"/>
                <w:b/>
                <w:bCs/>
                <w:color w:val="FF0000"/>
                <w:sz w:val="24"/>
                <w:highlight w:val="none"/>
                <w:lang w:eastAsia="zh-CN"/>
              </w:rPr>
              <w:t>）</w:t>
            </w:r>
            <w:r>
              <w:rPr>
                <w:rFonts w:hint="eastAsia" w:eastAsia="宋体"/>
                <w:b/>
                <w:bCs/>
                <w:color w:val="FF0000"/>
                <w:sz w:val="24"/>
                <w:highlight w:val="none"/>
                <w:lang w:eastAsia="zh-CN"/>
              </w:rPr>
              <w:t>水厂</w:t>
            </w:r>
            <w:r>
              <w:rPr>
                <w:rFonts w:hint="eastAsia"/>
                <w:b/>
                <w:bCs/>
                <w:color w:val="FF0000"/>
                <w:sz w:val="24"/>
                <w:highlight w:val="none"/>
                <w:lang w:eastAsia="zh-CN"/>
              </w:rPr>
              <w:t>水源卫生防护要求</w:t>
            </w:r>
          </w:p>
          <w:p>
            <w:pPr>
              <w:pStyle w:val="19"/>
              <w:spacing w:line="360" w:lineRule="auto"/>
              <w:ind w:firstLine="480" w:firstLineChars="200"/>
              <w:jc w:val="both"/>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本项目为集中式供水工程，为保证饮用水符合有关卫生规范，地表水水源卫生防护应严格按照国家卫生部《生活饮用水集中式供水单位卫生规范》中要求：</w:t>
            </w:r>
          </w:p>
          <w:p>
            <w:pPr>
              <w:pStyle w:val="19"/>
              <w:spacing w:line="360" w:lineRule="auto"/>
              <w:ind w:firstLine="480" w:firstLineChars="200"/>
              <w:jc w:val="both"/>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①取水点周围半径100米的水域内，严禁捕捞、网箱养殖、停靠船只、游泳和从事其他可能污染水源的任何活动；</w:t>
            </w:r>
          </w:p>
          <w:p>
            <w:pPr>
              <w:pStyle w:val="19"/>
              <w:spacing w:line="360" w:lineRule="auto"/>
              <w:ind w:firstLine="480" w:firstLineChars="200"/>
              <w:jc w:val="both"/>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②取水点上游1000米至下游100米的水域不得排入工业废水和生活污水；其沿岸防护范围内不得堆放废渣，不得设立有毒、有害化学物品仓库、堆栈，不得设立装卸垃圾、粪便和有毒有害化学物品的码头，不得使用工业废水或生活污水灌溉及施用难降解或剧毒的农药，不得排放有毒气体、放射性物质，不得从事放牧等有可能污染该段水域水质的活动；</w:t>
            </w:r>
          </w:p>
          <w:p>
            <w:pPr>
              <w:pStyle w:val="19"/>
              <w:spacing w:line="360" w:lineRule="auto"/>
              <w:ind w:firstLine="480" w:firstLineChars="200"/>
              <w:jc w:val="both"/>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③以河流为给水水源的集中式供水，由供水单位及其主管部门会同卫生、环保、水利等部门，根据实际需要，可把取水点上游1000米以外的一定范围河段划为水源保护区，严格控制上游污染物排放量；</w:t>
            </w:r>
          </w:p>
          <w:p>
            <w:pPr>
              <w:pStyle w:val="19"/>
              <w:spacing w:line="360" w:lineRule="auto"/>
              <w:ind w:firstLine="480" w:firstLineChars="200"/>
              <w:jc w:val="both"/>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④作为生活饮用水水源的水库和湖泊，应根据不同情况，将取水点周围部分水域或整个水域及其沿岸划为水源保护区；</w:t>
            </w:r>
          </w:p>
          <w:p>
            <w:pPr>
              <w:pStyle w:val="19"/>
              <w:spacing w:line="360" w:lineRule="auto"/>
              <w:ind w:firstLine="480" w:firstLineChars="200"/>
              <w:jc w:val="both"/>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⑤集中式供水单位应划定生产区的范围。生产区外围30米范围内应保持良好的卫生状况，不得设置生活居住区，不得修建渗水厕所和渗水坑，不得堆放垃圾、粪便、废渣和铺设污水渠道；</w:t>
            </w:r>
          </w:p>
          <w:p>
            <w:pPr>
              <w:pStyle w:val="19"/>
              <w:spacing w:line="360" w:lineRule="auto"/>
              <w:ind w:firstLine="480" w:firstLineChars="200"/>
              <w:jc w:val="both"/>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⑥单独设立的泵站、沉淀池和清水池的外围30米的范围内，其卫生要求与集中式供水单位生产区相同；</w:t>
            </w:r>
          </w:p>
          <w:p>
            <w:pPr>
              <w:pStyle w:val="2"/>
              <w:spacing w:line="360" w:lineRule="auto"/>
              <w:ind w:firstLine="480" w:firstLineChars="200"/>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⑦集中式供水单位应针对取水、输水、净水、蓄水和配水等可能发生污染的环节，制订和落实防范措施，加强检查，严防污染事件发生；</w:t>
            </w:r>
          </w:p>
          <w:p>
            <w:pPr>
              <w:pStyle w:val="2"/>
              <w:spacing w:line="360" w:lineRule="auto"/>
              <w:ind w:firstLine="480" w:firstLineChars="200"/>
              <w:rPr>
                <w:rFonts w:hint="eastAsia" w:ascii="Times New Roman" w:hAnsi="Times New Roman" w:eastAsia="宋体" w:cs="Times New Roman"/>
                <w:color w:val="FF0000"/>
                <w:kern w:val="2"/>
                <w:sz w:val="24"/>
                <w:szCs w:val="24"/>
                <w:highlight w:val="none"/>
                <w:u w:val="single"/>
                <w:lang w:val="en-US" w:eastAsia="zh-CN" w:bidi="ar-SA"/>
              </w:rPr>
            </w:pPr>
            <w:r>
              <w:rPr>
                <w:rFonts w:hint="eastAsia" w:ascii="Times New Roman" w:hAnsi="Times New Roman" w:eastAsia="宋体" w:cs="Times New Roman"/>
                <w:color w:val="FF0000"/>
                <w:kern w:val="2"/>
                <w:sz w:val="24"/>
                <w:szCs w:val="24"/>
                <w:highlight w:val="none"/>
                <w:u w:val="single"/>
                <w:lang w:val="en-US" w:eastAsia="zh-CN" w:bidi="ar-SA"/>
              </w:rPr>
              <w:t>⑧遇生活饮用水水质污染或不明原因水质突然恶化及水源性疾病暴发事件时，集中式供水单位须在发现上述情况后立即采取应急措施，以最快的方式报告当地卫生行政部门、建设行政部门。并及时进行水质检测，报送处理报告。</w:t>
            </w:r>
          </w:p>
          <w:p>
            <w:pPr>
              <w:pStyle w:val="32"/>
              <w:wordWrap w:val="0"/>
              <w:spacing w:line="360" w:lineRule="auto"/>
              <w:ind w:firstLine="482"/>
              <w:rPr>
                <w:b/>
                <w:bCs/>
                <w:color w:val="FF0000"/>
                <w:highlight w:val="none"/>
                <w:u w:val="single"/>
              </w:rPr>
            </w:pPr>
            <w:r>
              <w:rPr>
                <w:rFonts w:hint="eastAsia"/>
                <w:b/>
                <w:bCs/>
                <w:color w:val="FF0000"/>
                <w:highlight w:val="none"/>
                <w:u w:val="single"/>
              </w:rPr>
              <w:t>（</w:t>
            </w:r>
            <w:r>
              <w:rPr>
                <w:rFonts w:hint="eastAsia"/>
                <w:b/>
                <w:bCs/>
                <w:color w:val="FF0000"/>
                <w:highlight w:val="none"/>
                <w:u w:val="single"/>
                <w:lang w:val="en-US" w:eastAsia="zh-CN"/>
              </w:rPr>
              <w:t>3</w:t>
            </w:r>
            <w:r>
              <w:rPr>
                <w:rFonts w:hint="eastAsia"/>
                <w:b/>
                <w:bCs/>
                <w:color w:val="FF0000"/>
                <w:highlight w:val="none"/>
                <w:u w:val="single"/>
              </w:rPr>
              <w:t>）水源保护</w:t>
            </w:r>
          </w:p>
          <w:p>
            <w:pPr>
              <w:spacing w:line="360" w:lineRule="auto"/>
              <w:rPr>
                <w:color w:val="FF0000"/>
                <w:highlight w:val="none"/>
                <w:u w:val="single"/>
              </w:rPr>
            </w:pPr>
            <w:r>
              <w:rPr>
                <w:rFonts w:hint="eastAsia"/>
                <w:color w:val="FF0000"/>
                <w:highlight w:val="none"/>
                <w:u w:val="single"/>
              </w:rPr>
              <w:t>当地政府应严格按照《湖南省集中式饮用水水源保护区划分工作指南》</w:t>
            </w:r>
            <w:r>
              <w:rPr>
                <w:rFonts w:hint="eastAsia"/>
                <w:color w:val="FF0000"/>
                <w:highlight w:val="none"/>
                <w:u w:val="single"/>
                <w:lang w:eastAsia="zh-CN"/>
              </w:rPr>
              <w:t>（</w:t>
            </w:r>
            <w:r>
              <w:rPr>
                <w:rFonts w:hint="eastAsia"/>
                <w:color w:val="FF0000"/>
                <w:highlight w:val="none"/>
                <w:u w:val="single"/>
              </w:rPr>
              <w:t>湘环函〔2016〕196号</w:t>
            </w:r>
            <w:r>
              <w:rPr>
                <w:rFonts w:hint="eastAsia"/>
                <w:color w:val="FF0000"/>
                <w:highlight w:val="none"/>
                <w:u w:val="single"/>
                <w:lang w:eastAsia="zh-CN"/>
              </w:rPr>
              <w:t>）</w:t>
            </w:r>
            <w:r>
              <w:rPr>
                <w:rFonts w:hint="eastAsia"/>
                <w:color w:val="FF0000"/>
                <w:highlight w:val="none"/>
                <w:u w:val="single"/>
              </w:rPr>
              <w:t>要求，尽快划定饮用水水源保护的一级、二级及准保护区，并明确其地理界线，饮用水源必须在保护区边界设置标志牌或标志桩。根据《饮用水水源保护区污染防治管理规定》（2010年12月22日修正版）：</w:t>
            </w:r>
          </w:p>
          <w:p>
            <w:pPr>
              <w:spacing w:line="360" w:lineRule="auto"/>
              <w:rPr>
                <w:color w:val="FF0000"/>
                <w:highlight w:val="none"/>
                <w:u w:val="single"/>
              </w:rPr>
            </w:pPr>
            <w:r>
              <w:rPr>
                <w:rFonts w:hint="eastAsia"/>
                <w:color w:val="FF0000"/>
                <w:highlight w:val="none"/>
                <w:u w:val="single"/>
              </w:rPr>
              <w:t>（1）一级保护区内：</w:t>
            </w:r>
          </w:p>
          <w:p>
            <w:pPr>
              <w:spacing w:line="360" w:lineRule="auto"/>
              <w:rPr>
                <w:color w:val="FF0000"/>
                <w:highlight w:val="none"/>
                <w:u w:val="single"/>
              </w:rPr>
            </w:pPr>
            <w:r>
              <w:rPr>
                <w:rFonts w:hint="eastAsia"/>
                <w:color w:val="FF0000"/>
                <w:highlight w:val="none"/>
                <w:u w:val="single"/>
              </w:rPr>
              <w:t>禁止新建、扩建与供水设施和保护水源无关的建设项目；</w:t>
            </w:r>
          </w:p>
          <w:p>
            <w:pPr>
              <w:spacing w:line="360" w:lineRule="auto"/>
              <w:rPr>
                <w:color w:val="FF0000"/>
                <w:highlight w:val="none"/>
                <w:u w:val="single"/>
              </w:rPr>
            </w:pPr>
            <w:r>
              <w:rPr>
                <w:rFonts w:hint="eastAsia"/>
                <w:color w:val="FF0000"/>
                <w:highlight w:val="none"/>
                <w:u w:val="single"/>
              </w:rPr>
              <w:t>禁止向水域排放污水，已设置的排污口必须拆除；</w:t>
            </w:r>
          </w:p>
          <w:p>
            <w:pPr>
              <w:spacing w:line="360" w:lineRule="auto"/>
              <w:rPr>
                <w:color w:val="FF0000"/>
                <w:highlight w:val="none"/>
                <w:u w:val="single"/>
              </w:rPr>
            </w:pPr>
            <w:r>
              <w:rPr>
                <w:rFonts w:hint="eastAsia"/>
                <w:color w:val="FF0000"/>
                <w:highlight w:val="none"/>
                <w:u w:val="single"/>
              </w:rPr>
              <w:t>不得设置与供水需要无关的码头，禁止停靠船舶；</w:t>
            </w:r>
          </w:p>
          <w:p>
            <w:pPr>
              <w:spacing w:line="360" w:lineRule="auto"/>
              <w:rPr>
                <w:color w:val="FF0000"/>
                <w:highlight w:val="none"/>
                <w:u w:val="single"/>
              </w:rPr>
            </w:pPr>
            <w:r>
              <w:rPr>
                <w:rFonts w:hint="eastAsia"/>
                <w:color w:val="FF0000"/>
                <w:highlight w:val="none"/>
                <w:u w:val="single"/>
              </w:rPr>
              <w:t>禁止堆置和存放工业废渣、城市垃圾、粪便和其他废弃物；</w:t>
            </w:r>
          </w:p>
          <w:p>
            <w:pPr>
              <w:spacing w:line="360" w:lineRule="auto"/>
              <w:rPr>
                <w:color w:val="FF0000"/>
                <w:highlight w:val="none"/>
                <w:u w:val="single"/>
              </w:rPr>
            </w:pPr>
            <w:r>
              <w:rPr>
                <w:rFonts w:hint="eastAsia"/>
                <w:color w:val="FF0000"/>
                <w:highlight w:val="none"/>
                <w:u w:val="single"/>
              </w:rPr>
              <w:t>禁止设置油库；</w:t>
            </w:r>
          </w:p>
          <w:p>
            <w:pPr>
              <w:spacing w:line="360" w:lineRule="auto"/>
              <w:rPr>
                <w:color w:val="FF0000"/>
                <w:highlight w:val="none"/>
                <w:u w:val="single"/>
              </w:rPr>
            </w:pPr>
            <w:r>
              <w:rPr>
                <w:rFonts w:hint="eastAsia"/>
                <w:color w:val="FF0000"/>
                <w:highlight w:val="none"/>
                <w:u w:val="single"/>
              </w:rPr>
              <w:t>禁止从事种植、放养畜禽和网箱养殖活动；</w:t>
            </w:r>
          </w:p>
          <w:p>
            <w:pPr>
              <w:spacing w:line="360" w:lineRule="auto"/>
              <w:rPr>
                <w:color w:val="FF0000"/>
                <w:highlight w:val="none"/>
                <w:u w:val="single"/>
              </w:rPr>
            </w:pPr>
            <w:r>
              <w:rPr>
                <w:rFonts w:hint="eastAsia"/>
                <w:color w:val="FF0000"/>
                <w:highlight w:val="none"/>
                <w:u w:val="single"/>
              </w:rPr>
              <w:t>禁止可能污染水源的旅游活动和其他活动。</w:t>
            </w:r>
          </w:p>
          <w:p>
            <w:pPr>
              <w:spacing w:line="360" w:lineRule="auto"/>
              <w:rPr>
                <w:color w:val="FF0000"/>
                <w:highlight w:val="none"/>
                <w:u w:val="single"/>
              </w:rPr>
            </w:pPr>
            <w:r>
              <w:rPr>
                <w:rFonts w:hint="eastAsia"/>
                <w:color w:val="FF0000"/>
                <w:highlight w:val="none"/>
                <w:u w:val="single"/>
              </w:rPr>
              <w:t>（2）二级保护区内</w:t>
            </w:r>
          </w:p>
          <w:p>
            <w:pPr>
              <w:spacing w:line="360" w:lineRule="auto"/>
              <w:rPr>
                <w:color w:val="FF0000"/>
                <w:highlight w:val="none"/>
                <w:u w:val="single"/>
              </w:rPr>
            </w:pPr>
            <w:r>
              <w:rPr>
                <w:rFonts w:hint="eastAsia"/>
                <w:color w:val="FF0000"/>
                <w:highlight w:val="none"/>
                <w:u w:val="single"/>
              </w:rPr>
              <w:t>禁止新建、改建、扩建排放污染物的建设项目；</w:t>
            </w:r>
          </w:p>
          <w:p>
            <w:pPr>
              <w:spacing w:line="360" w:lineRule="auto"/>
              <w:rPr>
                <w:color w:val="FF0000"/>
                <w:highlight w:val="none"/>
                <w:u w:val="single"/>
              </w:rPr>
            </w:pPr>
            <w:r>
              <w:rPr>
                <w:rFonts w:hint="eastAsia"/>
                <w:color w:val="FF0000"/>
                <w:highlight w:val="none"/>
                <w:u w:val="single"/>
              </w:rPr>
              <w:t>原有排污口依法拆除或者关闭；</w:t>
            </w:r>
          </w:p>
          <w:p>
            <w:pPr>
              <w:spacing w:line="360" w:lineRule="auto"/>
              <w:rPr>
                <w:color w:val="FF0000"/>
                <w:highlight w:val="none"/>
                <w:u w:val="single"/>
              </w:rPr>
            </w:pPr>
            <w:r>
              <w:rPr>
                <w:rFonts w:hint="eastAsia"/>
                <w:color w:val="FF0000"/>
                <w:highlight w:val="none"/>
                <w:u w:val="single"/>
              </w:rPr>
              <w:t>禁止设立装卸垃圾、粪便、油类和有毒物品的码头。</w:t>
            </w:r>
          </w:p>
          <w:p>
            <w:pPr>
              <w:spacing w:line="360" w:lineRule="auto"/>
              <w:rPr>
                <w:color w:val="FF0000"/>
                <w:highlight w:val="none"/>
                <w:u w:val="single"/>
              </w:rPr>
            </w:pPr>
            <w:r>
              <w:rPr>
                <w:rFonts w:hint="eastAsia"/>
                <w:color w:val="FF0000"/>
                <w:highlight w:val="none"/>
                <w:u w:val="single"/>
              </w:rPr>
              <w:t>（3）准保护区内</w:t>
            </w:r>
          </w:p>
          <w:p>
            <w:pPr>
              <w:spacing w:line="360" w:lineRule="auto"/>
              <w:rPr>
                <w:color w:val="FF0000"/>
                <w:highlight w:val="none"/>
                <w:u w:val="single"/>
              </w:rPr>
            </w:pPr>
            <w:r>
              <w:rPr>
                <w:rFonts w:hint="eastAsia"/>
                <w:color w:val="FF0000"/>
                <w:highlight w:val="none"/>
                <w:u w:val="single"/>
              </w:rPr>
              <w:t>禁止新建、扩建对水体污染严重的建设项目:改建建设项目，不得增加排污；</w:t>
            </w:r>
          </w:p>
          <w:p>
            <w:pPr>
              <w:spacing w:line="360" w:lineRule="auto"/>
              <w:rPr>
                <w:color w:val="FF0000"/>
                <w:highlight w:val="none"/>
                <w:u w:val="single"/>
              </w:rPr>
            </w:pPr>
            <w:r>
              <w:rPr>
                <w:rFonts w:hint="eastAsia"/>
                <w:color w:val="FF0000"/>
                <w:highlight w:val="none"/>
                <w:u w:val="single"/>
              </w:rPr>
              <w:t>（4）水厂生产区的范围应明确规定并设明显标志，在水厂生产区外围不小于10m范围内不得设置生活居民区和修建禽育饲养厂，渗水则所、渗水坑，不得堆放垃圾、粪便、废渣或铺设污水渠道，应保持良好的卫生状况，搞好绿化。</w:t>
            </w:r>
          </w:p>
          <w:p>
            <w:pPr>
              <w:spacing w:line="360" w:lineRule="auto"/>
              <w:rPr>
                <w:color w:val="FF0000"/>
                <w:highlight w:val="none"/>
                <w:u w:val="single"/>
              </w:rPr>
            </w:pPr>
            <w:r>
              <w:rPr>
                <w:rFonts w:hint="eastAsia"/>
                <w:color w:val="FF0000"/>
                <w:highlight w:val="none"/>
                <w:u w:val="single"/>
              </w:rPr>
              <w:t>（5）排污单位发生事故或者其它突发性事件，造成或者可能造成污染事故的，必须立即采取紧急措施，消除或者减轻污染，及时通报水厂，并向当地环保部门报告。</w:t>
            </w:r>
          </w:p>
          <w:p>
            <w:pPr>
              <w:spacing w:line="360" w:lineRule="auto"/>
              <w:rPr>
                <w:color w:val="FF0000"/>
                <w:highlight w:val="none"/>
                <w:u w:val="single"/>
              </w:rPr>
            </w:pPr>
            <w:r>
              <w:rPr>
                <w:rFonts w:hint="eastAsia"/>
                <w:color w:val="FF0000"/>
                <w:highlight w:val="none"/>
                <w:u w:val="single"/>
              </w:rPr>
              <w:t>（6）加强取水口水源的水质监测工作，确保生活饮用水水原水质达标，配置专职环保人员，负责水源保护的日常管理和监督工作。</w:t>
            </w:r>
          </w:p>
          <w:p>
            <w:pPr>
              <w:spacing w:line="360" w:lineRule="auto"/>
              <w:rPr>
                <w:color w:val="FF0000"/>
                <w:highlight w:val="none"/>
                <w:u w:val="single"/>
              </w:rPr>
            </w:pPr>
            <w:r>
              <w:rPr>
                <w:rFonts w:hint="eastAsia"/>
                <w:color w:val="FF0000"/>
                <w:highlight w:val="none"/>
                <w:u w:val="single"/>
              </w:rPr>
              <w:t>本环评要求加强对饮用水源区域保护，严格按照《饮用水水源保护区污染防治管理规定》(2010年12月22日修正版)要求执行。并且在水源处必须采取以下防治措施</w:t>
            </w:r>
          </w:p>
          <w:p>
            <w:pPr>
              <w:spacing w:line="360" w:lineRule="auto"/>
              <w:rPr>
                <w:color w:val="FF0000"/>
                <w:highlight w:val="none"/>
                <w:u w:val="single"/>
              </w:rPr>
            </w:pPr>
            <w:r>
              <w:rPr>
                <w:rFonts w:hint="eastAsia"/>
                <w:color w:val="FF0000"/>
                <w:highlight w:val="none"/>
                <w:u w:val="single"/>
              </w:rPr>
              <w:t>①禁止在拟划分水源保护区内清洗施工设备。</w:t>
            </w:r>
          </w:p>
          <w:p>
            <w:pPr>
              <w:spacing w:line="360" w:lineRule="auto"/>
              <w:rPr>
                <w:color w:val="FF0000"/>
                <w:highlight w:val="none"/>
                <w:u w:val="single"/>
              </w:rPr>
            </w:pPr>
            <w:r>
              <w:rPr>
                <w:rFonts w:hint="eastAsia"/>
                <w:color w:val="FF0000"/>
                <w:highlight w:val="none"/>
                <w:u w:val="single"/>
              </w:rPr>
              <w:t>②施工废水、施工废渣严禁排入饮用水水源保护区。</w:t>
            </w:r>
          </w:p>
          <w:p>
            <w:pPr>
              <w:spacing w:line="360" w:lineRule="auto"/>
              <w:rPr>
                <w:color w:val="FF0000"/>
                <w:highlight w:val="none"/>
                <w:u w:val="single"/>
              </w:rPr>
            </w:pPr>
            <w:r>
              <w:rPr>
                <w:rFonts w:hint="eastAsia"/>
                <w:color w:val="FF0000"/>
                <w:highlight w:val="none"/>
                <w:u w:val="single"/>
              </w:rPr>
              <w:t>③沿岸施工时应设置挡土墙，防止顺坡冲刷的泥土进入水库区。</w:t>
            </w:r>
          </w:p>
          <w:p>
            <w:pPr>
              <w:spacing w:line="360" w:lineRule="auto"/>
              <w:rPr>
                <w:color w:val="FF0000"/>
                <w:highlight w:val="none"/>
                <w:u w:val="single"/>
              </w:rPr>
            </w:pPr>
            <w:r>
              <w:rPr>
                <w:rFonts w:hint="eastAsia"/>
                <w:color w:val="FF0000"/>
                <w:highlight w:val="none"/>
                <w:u w:val="single"/>
              </w:rPr>
              <w:t>④沿水源附近应修建排水沟、集水池，防止在降雨条件下，表层土壤通过地表径流进入水体。</w:t>
            </w:r>
          </w:p>
          <w:p>
            <w:pPr>
              <w:pStyle w:val="32"/>
              <w:wordWrap w:val="0"/>
              <w:spacing w:line="360" w:lineRule="auto"/>
              <w:rPr>
                <w:color w:val="FF0000"/>
                <w:highlight w:val="none"/>
                <w:u w:val="single"/>
              </w:rPr>
            </w:pPr>
            <w:r>
              <w:rPr>
                <w:rFonts w:hint="eastAsia"/>
                <w:color w:val="FF0000"/>
                <w:highlight w:val="none"/>
                <w:u w:val="single"/>
              </w:rPr>
              <w:t>⑤禁止在水源处建设与项目该区段建设内容无关的工程。</w:t>
            </w:r>
          </w:p>
          <w:p>
            <w:pPr>
              <w:pStyle w:val="2"/>
              <w:spacing w:line="360" w:lineRule="auto"/>
              <w:ind w:firstLine="480" w:firstLineChars="200"/>
              <w:rPr>
                <w:rFonts w:hint="eastAsia"/>
                <w:color w:val="FF0000"/>
                <w:highlight w:val="none"/>
                <w:u w:val="single"/>
              </w:rPr>
            </w:pPr>
            <w:r>
              <w:rPr>
                <w:rFonts w:hint="eastAsia"/>
                <w:color w:val="FF0000"/>
                <w:highlight w:val="none"/>
                <w:u w:val="single"/>
              </w:rPr>
              <w:t>⑥项目建设之后，需加强监管，严格按照《饮用水水源保护区污染防治管理规定》要求执行。</w:t>
            </w:r>
          </w:p>
          <w:p>
            <w:pPr>
              <w:spacing w:line="360" w:lineRule="auto"/>
              <w:ind w:firstLine="482"/>
              <w:jc w:val="left"/>
              <w:rPr>
                <w:rFonts w:hint="eastAsia" w:eastAsia="宋体"/>
                <w:b/>
                <w:bCs/>
                <w:color w:val="FF0000"/>
                <w:highlight w:val="none"/>
                <w:u w:val="single"/>
                <w:lang w:val="en-US" w:eastAsia="zh-CN"/>
              </w:rPr>
            </w:pPr>
            <w:r>
              <w:rPr>
                <w:rFonts w:hint="eastAsia"/>
                <w:b/>
                <w:bCs/>
                <w:color w:val="FF0000"/>
                <w:highlight w:val="none"/>
                <w:u w:val="single"/>
                <w:lang w:val="en-US" w:eastAsia="zh-CN"/>
              </w:rPr>
              <w:t>2.7社会影响分析</w:t>
            </w:r>
          </w:p>
          <w:p>
            <w:pPr>
              <w:pStyle w:val="2"/>
              <w:spacing w:line="360" w:lineRule="auto"/>
              <w:ind w:firstLine="480" w:firstLineChars="200"/>
              <w:rPr>
                <w:rFonts w:hint="eastAsia" w:eastAsia="宋体"/>
                <w:color w:val="FF0000"/>
                <w:highlight w:val="none"/>
                <w:u w:val="single"/>
                <w:lang w:val="en-US" w:eastAsia="zh-CN"/>
              </w:rPr>
            </w:pPr>
            <w:r>
              <w:rPr>
                <w:rFonts w:hint="eastAsia"/>
                <w:color w:val="FF0000"/>
                <w:highlight w:val="none"/>
                <w:u w:val="single"/>
                <w:lang w:val="en-US" w:eastAsia="zh-CN"/>
              </w:rPr>
              <w:t>本项目属于城镇基础设施建设，本项目建设后</w:t>
            </w:r>
            <w:r>
              <w:rPr>
                <w:rFonts w:hint="eastAsia" w:eastAsia="宋体"/>
                <w:color w:val="FF0000"/>
                <w:highlight w:val="none"/>
                <w:u w:val="single"/>
                <w:lang w:val="en-US" w:eastAsia="zh-CN"/>
              </w:rPr>
              <w:t>将大幅度地提高祁阳县用水质量和用水安全，解决农村饮水安全问题，改善农民生存环境和生活条件，保障农村饮水安全解决村镇区域自来水的供需矛盾，提高人民群众的生活质量，保障农村社会经济的可持续发展</w:t>
            </w:r>
            <w:r>
              <w:rPr>
                <w:rFonts w:hint="eastAsia"/>
                <w:color w:val="FF0000"/>
                <w:highlight w:val="none"/>
                <w:u w:val="single"/>
                <w:lang w:val="en-US" w:eastAsia="zh-CN"/>
              </w:rPr>
              <w:t>。</w:t>
            </w:r>
          </w:p>
          <w:p>
            <w:pPr>
              <w:pStyle w:val="2"/>
              <w:spacing w:line="360" w:lineRule="auto"/>
              <w:ind w:firstLine="482" w:firstLineChars="200"/>
              <w:rPr>
                <w:b/>
                <w:bCs/>
                <w:color w:val="auto"/>
                <w:highlight w:val="none"/>
              </w:rPr>
            </w:pPr>
            <w:r>
              <w:rPr>
                <w:rFonts w:hint="eastAsia"/>
                <w:b/>
                <w:bCs/>
                <w:color w:val="auto"/>
                <w:highlight w:val="none"/>
              </w:rPr>
              <w:t>3、环境风险分析</w:t>
            </w:r>
          </w:p>
          <w:p>
            <w:pPr>
              <w:spacing w:line="360" w:lineRule="auto"/>
              <w:rPr>
                <w:color w:val="auto"/>
                <w:highlight w:val="none"/>
              </w:rPr>
            </w:pPr>
            <w:bookmarkStart w:id="64" w:name="_Toc18517"/>
            <w:bookmarkStart w:id="65" w:name="_Toc17843"/>
            <w:bookmarkStart w:id="66" w:name="_Toc1940"/>
            <w:r>
              <w:rPr>
                <w:color w:val="auto"/>
                <w:highlight w:val="none"/>
              </w:rPr>
              <w:t>按照《建设项目环境风险评价技术导则》（HJ169-2018）的要求，环境风险评价应 以突发性事故导致的危险物质环境急性损害防控为目标，对建设项目的环境风险进行分 析、预测和评估，提出环境风险预防、控制、减缓措施，明确环境风险监控及应急建议要求，为建设项目环境风险防控提供科学依据。</w:t>
            </w:r>
          </w:p>
          <w:bookmarkEnd w:id="64"/>
          <w:bookmarkEnd w:id="65"/>
          <w:bookmarkEnd w:id="66"/>
          <w:p>
            <w:pPr>
              <w:tabs>
                <w:tab w:val="left" w:pos="1440"/>
                <w:tab w:val="left" w:pos="1800"/>
              </w:tabs>
              <w:adjustRightInd w:val="0"/>
              <w:spacing w:line="360" w:lineRule="auto"/>
              <w:ind w:firstLine="482"/>
              <w:rPr>
                <w:b/>
                <w:bCs/>
                <w:color w:val="auto"/>
                <w:highlight w:val="none"/>
              </w:rPr>
            </w:pPr>
            <w:r>
              <w:rPr>
                <w:rFonts w:hint="eastAsia"/>
                <w:b/>
                <w:bCs/>
                <w:color w:val="auto"/>
                <w:highlight w:val="none"/>
              </w:rPr>
              <w:t>3.1</w:t>
            </w:r>
            <w:r>
              <w:rPr>
                <w:b/>
                <w:bCs/>
                <w:color w:val="auto"/>
                <w:highlight w:val="none"/>
              </w:rPr>
              <w:t>风险调查</w:t>
            </w:r>
          </w:p>
          <w:p>
            <w:pPr>
              <w:spacing w:line="360" w:lineRule="auto"/>
              <w:ind w:firstLine="482"/>
              <w:rPr>
                <w:b/>
                <w:bCs/>
                <w:color w:val="auto"/>
                <w:highlight w:val="none"/>
              </w:rPr>
            </w:pPr>
            <w:r>
              <w:rPr>
                <w:rFonts w:hint="eastAsia"/>
                <w:b/>
                <w:bCs/>
                <w:color w:val="auto"/>
                <w:highlight w:val="none"/>
              </w:rPr>
              <w:t>3.1.1</w:t>
            </w:r>
            <w:r>
              <w:rPr>
                <w:b/>
                <w:bCs/>
                <w:color w:val="auto"/>
                <w:highlight w:val="none"/>
              </w:rPr>
              <w:t>建设项目风险调查</w:t>
            </w:r>
          </w:p>
          <w:p>
            <w:pPr>
              <w:tabs>
                <w:tab w:val="left" w:pos="1440"/>
                <w:tab w:val="left" w:pos="1800"/>
              </w:tabs>
              <w:adjustRightInd w:val="0"/>
              <w:spacing w:line="360" w:lineRule="auto"/>
              <w:rPr>
                <w:color w:val="auto"/>
                <w:highlight w:val="none"/>
              </w:rPr>
            </w:pPr>
            <w:r>
              <w:rPr>
                <w:rFonts w:hint="eastAsia"/>
                <w:color w:val="auto"/>
                <w:highlight w:val="none"/>
              </w:rPr>
              <w:t>本项目在生产过程中使用盐酸（浓度为31%）经对照《建设项目环境风险评价技术导则》</w:t>
            </w:r>
            <w:r>
              <w:rPr>
                <w:color w:val="auto"/>
                <w:highlight w:val="none"/>
              </w:rPr>
              <w:t>（HJ169-2018）</w:t>
            </w:r>
            <w:r>
              <w:rPr>
                <w:rFonts w:hint="eastAsia"/>
                <w:color w:val="auto"/>
                <w:highlight w:val="none"/>
              </w:rPr>
              <w:t>附录</w:t>
            </w:r>
            <w:r>
              <w:rPr>
                <w:color w:val="auto"/>
                <w:highlight w:val="none"/>
              </w:rPr>
              <w:t>B</w:t>
            </w:r>
            <w:r>
              <w:rPr>
                <w:rFonts w:hint="eastAsia"/>
                <w:color w:val="auto"/>
                <w:highlight w:val="none"/>
              </w:rPr>
              <w:t>，浓度≤37%的盐酸不属于风险物质，但属于有毒有害物质，本项目辅助材料亚氯酸钠、润滑油易燃物质，属于突发环境风险物质。</w:t>
            </w:r>
          </w:p>
          <w:p>
            <w:pPr>
              <w:pStyle w:val="2"/>
              <w:spacing w:line="240" w:lineRule="auto"/>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rPr>
              <w:t xml:space="preserve">7-6 </w:t>
            </w:r>
            <w:r>
              <w:rPr>
                <w:b/>
                <w:bCs/>
                <w:color w:val="auto"/>
                <w:sz w:val="21"/>
                <w:szCs w:val="21"/>
                <w:highlight w:val="none"/>
              </w:rPr>
              <w:t xml:space="preserve">  项目实施后全厂主要有毒有害物质一览表</w:t>
            </w:r>
          </w:p>
          <w:tbl>
            <w:tblPr>
              <w:tblStyle w:val="27"/>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16"/>
              <w:gridCol w:w="1448"/>
              <w:gridCol w:w="1498"/>
              <w:gridCol w:w="1273"/>
              <w:gridCol w:w="1273"/>
              <w:gridCol w:w="1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tcBorders>
                    <w:tl2br w:val="nil"/>
                    <w:tr2bl w:val="nil"/>
                  </w:tcBorders>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位置</w:t>
                  </w:r>
                </w:p>
              </w:tc>
              <w:tc>
                <w:tcPr>
                  <w:tcW w:w="131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名称</w:t>
                  </w:r>
                </w:p>
              </w:tc>
              <w:tc>
                <w:tcPr>
                  <w:tcW w:w="1448"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危险性</w:t>
                  </w:r>
                </w:p>
              </w:tc>
              <w:tc>
                <w:tcPr>
                  <w:tcW w:w="1498"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最大储存量</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年使用量</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临界量</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restart"/>
                  <w:tcBorders>
                    <w:tl2br w:val="nil"/>
                    <w:tr2bl w:val="nil"/>
                  </w:tcBorders>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FF0000"/>
                      <w:sz w:val="21"/>
                      <w:szCs w:val="21"/>
                      <w:highlight w:val="none"/>
                      <w:u w:val="single"/>
                      <w:lang w:eastAsia="zh-CN"/>
                    </w:rPr>
                    <w:t>取水泵、净水厂</w:t>
                  </w:r>
                </w:p>
              </w:tc>
              <w:tc>
                <w:tcPr>
                  <w:tcW w:w="1316"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盐酸</w:t>
                  </w:r>
                </w:p>
              </w:tc>
              <w:tc>
                <w:tcPr>
                  <w:tcW w:w="1448"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有毒有害</w:t>
                  </w:r>
                </w:p>
              </w:tc>
              <w:tc>
                <w:tcPr>
                  <w:tcW w:w="1498"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2t</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69.5t/a</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auto"/>
                      <w:sz w:val="21"/>
                      <w:szCs w:val="21"/>
                      <w:highlight w:val="none"/>
                      <w:lang w:val="en-US" w:eastAsia="zh-CN"/>
                    </w:rPr>
                  </w:pPr>
                </w:p>
              </w:tc>
              <w:tc>
                <w:tcPr>
                  <w:tcW w:w="1316" w:type="dxa"/>
                  <w:tcBorders>
                    <w:tl2br w:val="nil"/>
                    <w:tr2bl w:val="nil"/>
                  </w:tcBorders>
                  <w:vAlign w:val="center"/>
                </w:tcPr>
                <w:p>
                  <w:pPr>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val="en-US" w:eastAsia="zh-CN"/>
                    </w:rPr>
                    <w:t xml:space="preserve"> </w:t>
                  </w:r>
                  <w:r>
                    <w:rPr>
                      <w:rFonts w:hint="eastAsia"/>
                      <w:color w:val="auto"/>
                      <w:sz w:val="21"/>
                      <w:szCs w:val="21"/>
                      <w:highlight w:val="none"/>
                    </w:rPr>
                    <w:t>亚氯酸钠</w:t>
                  </w:r>
                </w:p>
              </w:tc>
              <w:tc>
                <w:tcPr>
                  <w:tcW w:w="1448" w:type="dxa"/>
                  <w:tcBorders>
                    <w:tl2br w:val="nil"/>
                    <w:tr2bl w:val="nil"/>
                  </w:tcBorders>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易燃易爆</w:t>
                  </w:r>
                </w:p>
              </w:tc>
              <w:tc>
                <w:tcPr>
                  <w:tcW w:w="1498" w:type="dxa"/>
                  <w:tcBorders>
                    <w:tl2br w:val="nil"/>
                    <w:tr2bl w:val="nil"/>
                  </w:tcBorders>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rPr>
                    <w:t>0.5</w:t>
                  </w:r>
                  <w:r>
                    <w:rPr>
                      <w:rFonts w:hint="eastAsia"/>
                      <w:color w:val="auto"/>
                      <w:sz w:val="21"/>
                      <w:szCs w:val="21"/>
                      <w:highlight w:val="none"/>
                      <w:lang w:val="en-US" w:eastAsia="zh-CN"/>
                    </w:rPr>
                    <w:t>t</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u w:val="single"/>
                    </w:rPr>
                    <w:t>1.76t/a</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auto"/>
                      <w:sz w:val="21"/>
                      <w:szCs w:val="21"/>
                      <w:highlight w:val="none"/>
                    </w:rPr>
                  </w:pPr>
                </w:p>
              </w:tc>
              <w:tc>
                <w:tcPr>
                  <w:tcW w:w="1316" w:type="dxa"/>
                  <w:tcBorders>
                    <w:tl2br w:val="nil"/>
                    <w:tr2bl w:val="nil"/>
                  </w:tcBorders>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废润滑油</w:t>
                  </w:r>
                </w:p>
              </w:tc>
              <w:tc>
                <w:tcPr>
                  <w:tcW w:w="1448" w:type="dxa"/>
                  <w:tcBorders>
                    <w:tl2br w:val="nil"/>
                    <w:tr2bl w:val="nil"/>
                  </w:tcBorders>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易燃</w:t>
                  </w:r>
                </w:p>
              </w:tc>
              <w:tc>
                <w:tcPr>
                  <w:tcW w:w="1498" w:type="dxa"/>
                  <w:tcBorders>
                    <w:tl2br w:val="nil"/>
                    <w:tr2bl w:val="nil"/>
                  </w:tcBorders>
                  <w:vAlign w:val="center"/>
                </w:tcPr>
                <w:p>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0.05t/a</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u w:val="single"/>
                    </w:rPr>
                    <w:t>0.</w:t>
                  </w:r>
                  <w:r>
                    <w:rPr>
                      <w:rFonts w:hint="eastAsia"/>
                      <w:color w:val="auto"/>
                      <w:sz w:val="21"/>
                      <w:szCs w:val="21"/>
                      <w:highlight w:val="none"/>
                      <w:u w:val="single"/>
                    </w:rPr>
                    <w:t>1t/a</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u w:val="single"/>
                    </w:rPr>
                    <w:t>2500t</w:t>
                  </w:r>
                </w:p>
              </w:tc>
              <w:tc>
                <w:tcPr>
                  <w:tcW w:w="1273"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u w:val="single"/>
                    </w:rPr>
                    <w:t>0.0000</w:t>
                  </w:r>
                  <w:r>
                    <w:rPr>
                      <w:rFonts w:hint="eastAsia"/>
                      <w:color w:val="auto"/>
                      <w:sz w:val="21"/>
                      <w:szCs w:val="21"/>
                      <w:highlight w:val="none"/>
                      <w:u w:val="singl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restart"/>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1</w:t>
                  </w: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有毒有害</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4.38</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亚氯酸钠</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易燃易爆</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0.12</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restart"/>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2</w:t>
                  </w: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有毒有害</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10.95</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亚氯酸钠</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易燃易爆</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0.292</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restart"/>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3</w:t>
                  </w: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有毒有害</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8.75</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亚氯酸钠</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易燃易爆</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0.23</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restart"/>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4</w:t>
                  </w: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有毒有害</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4.16</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亚氯酸钠</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易燃易爆</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0.11</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restart"/>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5</w:t>
                  </w: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有毒有害</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5.47</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亚氯酸钠</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易燃易爆</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0.14</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restart"/>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eastAsia="zh-CN"/>
                    </w:rPr>
                    <w:t>加压泵站</w:t>
                  </w:r>
                  <w:r>
                    <w:rPr>
                      <w:rFonts w:hint="eastAsia"/>
                      <w:bCs/>
                      <w:color w:val="FF0000"/>
                      <w:sz w:val="21"/>
                      <w:szCs w:val="21"/>
                      <w:highlight w:val="none"/>
                      <w:u w:val="single"/>
                      <w:lang w:val="en-US" w:eastAsia="zh-CN"/>
                    </w:rPr>
                    <w:t>6</w:t>
                  </w: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盐酸</w:t>
                  </w:r>
                  <w:r>
                    <w:rPr>
                      <w:rFonts w:hint="eastAsia"/>
                      <w:bCs/>
                      <w:color w:val="FF0000"/>
                      <w:sz w:val="21"/>
                      <w:szCs w:val="21"/>
                      <w:highlight w:val="none"/>
                      <w:u w:val="single"/>
                    </w:rPr>
                    <w:t>(</w:t>
                  </w:r>
                  <w:r>
                    <w:rPr>
                      <w:bCs/>
                      <w:color w:val="FF0000"/>
                      <w:sz w:val="21"/>
                      <w:szCs w:val="21"/>
                      <w:highlight w:val="none"/>
                      <w:u w:val="single"/>
                    </w:rPr>
                    <w:t>31%</w:t>
                  </w:r>
                  <w:r>
                    <w:rPr>
                      <w:rFonts w:hint="eastAsia"/>
                      <w:bCs/>
                      <w:color w:val="FF0000"/>
                      <w:sz w:val="21"/>
                      <w:szCs w:val="21"/>
                      <w:highlight w:val="none"/>
                      <w:u w:val="single"/>
                    </w:rPr>
                    <w:t>)</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有毒有害</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5.47</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90" w:type="dxa"/>
                  <w:vMerge w:val="continue"/>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p>
              </w:tc>
              <w:tc>
                <w:tcPr>
                  <w:tcW w:w="1316"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bCs/>
                      <w:color w:val="FF0000"/>
                      <w:sz w:val="21"/>
                      <w:szCs w:val="21"/>
                      <w:highlight w:val="none"/>
                      <w:u w:val="single"/>
                    </w:rPr>
                    <w:t>亚氯酸钠</w:t>
                  </w:r>
                </w:p>
              </w:tc>
              <w:tc>
                <w:tcPr>
                  <w:tcW w:w="144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color w:val="FF0000"/>
                      <w:sz w:val="21"/>
                      <w:szCs w:val="21"/>
                      <w:highlight w:val="none"/>
                      <w:u w:val="single"/>
                    </w:rPr>
                    <w:t>易燃易爆</w:t>
                  </w:r>
                </w:p>
              </w:tc>
              <w:tc>
                <w:tcPr>
                  <w:tcW w:w="1498" w:type="dxa"/>
                  <w:tcBorders>
                    <w:tl2br w:val="nil"/>
                    <w:tr2bl w:val="nil"/>
                  </w:tcBorders>
                  <w:vAlign w:val="center"/>
                </w:tcPr>
                <w:p>
                  <w:pPr>
                    <w:spacing w:line="240" w:lineRule="auto"/>
                    <w:ind w:firstLine="0" w:firstLineChars="0"/>
                    <w:jc w:val="center"/>
                    <w:rPr>
                      <w:rFonts w:hint="eastAsia"/>
                      <w:color w:val="FF0000"/>
                      <w:sz w:val="21"/>
                      <w:szCs w:val="21"/>
                      <w:highlight w:val="none"/>
                      <w:u w:val="single"/>
                    </w:rPr>
                  </w:pPr>
                  <w:r>
                    <w:rPr>
                      <w:rFonts w:hint="eastAsia"/>
                      <w:bCs/>
                      <w:color w:val="FF0000"/>
                      <w:sz w:val="21"/>
                      <w:szCs w:val="21"/>
                      <w:highlight w:val="none"/>
                      <w:u w:val="single"/>
                      <w:lang w:val="en-US" w:eastAsia="zh-CN"/>
                    </w:rPr>
                    <w:t>0.05</w:t>
                  </w:r>
                  <w:r>
                    <w:rPr>
                      <w:rFonts w:hint="eastAsia"/>
                      <w:color w:val="FF0000"/>
                      <w:sz w:val="21"/>
                      <w:szCs w:val="21"/>
                      <w:highlight w:val="none"/>
                      <w:u w:val="single"/>
                      <w:lang w:val="en-US" w:eastAsia="zh-CN"/>
                    </w:rPr>
                    <w:t>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rFonts w:hint="eastAsia"/>
                      <w:bCs/>
                      <w:color w:val="FF0000"/>
                      <w:sz w:val="21"/>
                      <w:szCs w:val="21"/>
                      <w:highlight w:val="none"/>
                      <w:u w:val="single"/>
                      <w:lang w:val="en-US" w:eastAsia="zh-CN"/>
                    </w:rPr>
                    <w:t>0.14</w:t>
                  </w:r>
                  <w:r>
                    <w:rPr>
                      <w:rFonts w:hint="eastAsia"/>
                      <w:color w:val="FF0000"/>
                      <w:sz w:val="21"/>
                      <w:szCs w:val="21"/>
                      <w:highlight w:val="none"/>
                      <w:u w:val="single"/>
                    </w:rPr>
                    <w:t>t/a</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w:t>
                  </w:r>
                </w:p>
              </w:tc>
              <w:tc>
                <w:tcPr>
                  <w:tcW w:w="1273" w:type="dxa"/>
                  <w:tcBorders>
                    <w:tl2br w:val="nil"/>
                    <w:tr2bl w:val="nil"/>
                  </w:tcBorders>
                  <w:vAlign w:val="center"/>
                </w:tcPr>
                <w:p>
                  <w:pPr>
                    <w:spacing w:line="240" w:lineRule="auto"/>
                    <w:ind w:firstLine="0" w:firstLineChars="0"/>
                    <w:jc w:val="center"/>
                    <w:rPr>
                      <w:color w:val="FF0000"/>
                      <w:sz w:val="21"/>
                      <w:szCs w:val="21"/>
                      <w:highlight w:val="none"/>
                      <w:u w:val="single"/>
                    </w:rPr>
                  </w:pPr>
                  <w:r>
                    <w:rPr>
                      <w:color w:val="FF0000"/>
                      <w:sz w:val="21"/>
                      <w:szCs w:val="21"/>
                      <w:highlight w:val="none"/>
                      <w:u w:val="single"/>
                    </w:rPr>
                    <w:t>0</w:t>
                  </w:r>
                </w:p>
              </w:tc>
            </w:tr>
          </w:tbl>
          <w:p>
            <w:pPr>
              <w:spacing w:line="360" w:lineRule="auto"/>
              <w:ind w:firstLine="482"/>
              <w:rPr>
                <w:b/>
                <w:bCs/>
                <w:color w:val="auto"/>
                <w:highlight w:val="none"/>
              </w:rPr>
            </w:pPr>
            <w:r>
              <w:rPr>
                <w:rFonts w:hint="eastAsia"/>
                <w:b/>
                <w:bCs/>
                <w:color w:val="auto"/>
                <w:highlight w:val="none"/>
              </w:rPr>
              <w:t>3.1.2</w:t>
            </w:r>
            <w:r>
              <w:rPr>
                <w:b/>
                <w:bCs/>
                <w:color w:val="auto"/>
                <w:highlight w:val="none"/>
              </w:rPr>
              <w:t>风险潜势初判</w:t>
            </w:r>
          </w:p>
          <w:p>
            <w:pPr>
              <w:tabs>
                <w:tab w:val="left" w:pos="1440"/>
                <w:tab w:val="left" w:pos="1800"/>
              </w:tabs>
              <w:adjustRightInd w:val="0"/>
              <w:spacing w:line="360" w:lineRule="auto"/>
              <w:rPr>
                <w:color w:val="auto"/>
                <w:highlight w:val="none"/>
              </w:rPr>
            </w:pPr>
            <w:r>
              <w:rPr>
                <w:rFonts w:hint="eastAsia"/>
                <w:color w:val="auto"/>
                <w:highlight w:val="none"/>
              </w:rPr>
              <w:t>根据HJ169-2018附录B有关规定：计算所涉及的每种危险物质在厂界内的最大存在总量与其在附录 B 中对应临界量的比值Q。在不同厂区的同一种物质，按其在厂界内的最大存在总量计算。对于长输管线项目，按照两个截断阀室之间管段危险物质最大存在总量计算。</w:t>
            </w:r>
          </w:p>
          <w:p>
            <w:pPr>
              <w:tabs>
                <w:tab w:val="left" w:pos="1440"/>
                <w:tab w:val="left" w:pos="1800"/>
              </w:tabs>
              <w:adjustRightInd w:val="0"/>
              <w:spacing w:line="360" w:lineRule="auto"/>
              <w:rPr>
                <w:color w:val="auto"/>
                <w:highlight w:val="none"/>
              </w:rPr>
            </w:pPr>
            <w:r>
              <w:rPr>
                <w:rFonts w:hint="eastAsia"/>
                <w:color w:val="auto"/>
                <w:highlight w:val="none"/>
              </w:rPr>
              <w:t xml:space="preserve">当只涉及一种危险物质时，计算该物质的总量与其临界量比值，即为 Q； </w:t>
            </w:r>
          </w:p>
          <w:p>
            <w:pPr>
              <w:tabs>
                <w:tab w:val="left" w:pos="1440"/>
                <w:tab w:val="left" w:pos="1800"/>
              </w:tabs>
              <w:adjustRightInd w:val="0"/>
              <w:spacing w:line="360" w:lineRule="auto"/>
              <w:rPr>
                <w:color w:val="auto"/>
                <w:highlight w:val="none"/>
              </w:rPr>
            </w:pPr>
            <w:r>
              <w:rPr>
                <w:rFonts w:hint="eastAsia"/>
                <w:color w:val="auto"/>
                <w:highlight w:val="none"/>
              </w:rPr>
              <w:t>当存在多种危险物质时，则按式（C.1）计算物质总量与其临界量比值（Q）：</w:t>
            </w:r>
          </w:p>
          <w:p>
            <w:pPr>
              <w:tabs>
                <w:tab w:val="left" w:pos="1440"/>
                <w:tab w:val="left" w:pos="1800"/>
              </w:tabs>
              <w:adjustRightInd w:val="0"/>
              <w:spacing w:line="360" w:lineRule="auto"/>
              <w:rPr>
                <w:color w:val="auto"/>
                <w:highlight w:val="none"/>
              </w:rPr>
            </w:pPr>
            <w:r>
              <w:rPr>
                <w:rFonts w:hint="eastAsia"/>
                <w:color w:val="auto"/>
                <w:highlight w:val="none"/>
              </w:rPr>
              <w:drawing>
                <wp:inline distT="0" distB="0" distL="114300" distR="114300">
                  <wp:extent cx="3534410" cy="524510"/>
                  <wp:effectExtent l="0" t="0" r="8890" b="8890"/>
                  <wp:docPr id="5" name="图片 6" descr="QQ截图2019030115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QQ截图20190301152416"/>
                          <pic:cNvPicPr>
                            <a:picLocks noChangeAspect="1"/>
                          </pic:cNvPicPr>
                        </pic:nvPicPr>
                        <pic:blipFill>
                          <a:blip r:embed="rId27"/>
                          <a:stretch>
                            <a:fillRect/>
                          </a:stretch>
                        </pic:blipFill>
                        <pic:spPr>
                          <a:xfrm>
                            <a:off x="0" y="0"/>
                            <a:ext cx="3534410" cy="524510"/>
                          </a:xfrm>
                          <a:prstGeom prst="rect">
                            <a:avLst/>
                          </a:prstGeom>
                          <a:noFill/>
                          <a:ln w="9525">
                            <a:noFill/>
                          </a:ln>
                        </pic:spPr>
                      </pic:pic>
                    </a:graphicData>
                  </a:graphic>
                </wp:inline>
              </w:drawing>
            </w:r>
          </w:p>
          <w:p>
            <w:pPr>
              <w:tabs>
                <w:tab w:val="left" w:pos="1440"/>
                <w:tab w:val="left" w:pos="1800"/>
              </w:tabs>
              <w:adjustRightInd w:val="0"/>
              <w:spacing w:line="360" w:lineRule="auto"/>
              <w:rPr>
                <w:color w:val="auto"/>
                <w:highlight w:val="none"/>
              </w:rPr>
            </w:pPr>
            <w:r>
              <w:rPr>
                <w:rFonts w:hint="eastAsia"/>
                <w:color w:val="auto"/>
                <w:highlight w:val="none"/>
              </w:rPr>
              <w:t>式中：q1，q2，...，qn——每种危险物质的最大存在总量，t；</w:t>
            </w:r>
          </w:p>
          <w:p>
            <w:pPr>
              <w:tabs>
                <w:tab w:val="left" w:pos="1440"/>
                <w:tab w:val="left" w:pos="1800"/>
              </w:tabs>
              <w:adjustRightInd w:val="0"/>
              <w:spacing w:line="360" w:lineRule="auto"/>
              <w:rPr>
                <w:color w:val="auto"/>
                <w:highlight w:val="none"/>
              </w:rPr>
            </w:pPr>
            <w:r>
              <w:rPr>
                <w:rFonts w:hint="eastAsia"/>
                <w:color w:val="auto"/>
                <w:highlight w:val="none"/>
              </w:rPr>
              <w:t xml:space="preserve">Q1， Q2，... ，Qn——每种危险物质的临界量，t。 </w:t>
            </w:r>
          </w:p>
          <w:p>
            <w:pPr>
              <w:tabs>
                <w:tab w:val="left" w:pos="1440"/>
                <w:tab w:val="left" w:pos="1800"/>
              </w:tabs>
              <w:adjustRightInd w:val="0"/>
              <w:spacing w:line="360" w:lineRule="auto"/>
              <w:rPr>
                <w:color w:val="auto"/>
                <w:highlight w:val="none"/>
              </w:rPr>
            </w:pPr>
            <w:r>
              <w:rPr>
                <w:rFonts w:hint="eastAsia"/>
                <w:color w:val="auto"/>
                <w:highlight w:val="none"/>
              </w:rPr>
              <w:t>当Q＜1时，该项目环境风险潜势为Ⅰ。</w:t>
            </w:r>
          </w:p>
          <w:p>
            <w:pPr>
              <w:tabs>
                <w:tab w:val="left" w:pos="1440"/>
                <w:tab w:val="left" w:pos="1800"/>
              </w:tabs>
              <w:adjustRightInd w:val="0"/>
              <w:spacing w:line="360" w:lineRule="auto"/>
              <w:rPr>
                <w:color w:val="auto"/>
                <w:highlight w:val="none"/>
              </w:rPr>
            </w:pPr>
            <w:r>
              <w:rPr>
                <w:rFonts w:hint="eastAsia"/>
                <w:color w:val="auto"/>
                <w:highlight w:val="none"/>
              </w:rPr>
              <w:t>当Q≥1时，将Q值划分为：（1）1≤Q＜10；（2）10≤Q＜100；（3）Q≥100。</w:t>
            </w:r>
          </w:p>
          <w:p>
            <w:pPr>
              <w:tabs>
                <w:tab w:val="left" w:pos="1440"/>
                <w:tab w:val="left" w:pos="1800"/>
              </w:tabs>
              <w:adjustRightInd w:val="0"/>
              <w:spacing w:line="360" w:lineRule="auto"/>
              <w:rPr>
                <w:color w:val="auto"/>
                <w:highlight w:val="none"/>
              </w:rPr>
            </w:pPr>
            <w:r>
              <w:rPr>
                <w:rFonts w:hint="eastAsia"/>
                <w:color w:val="auto"/>
                <w:highlight w:val="none"/>
              </w:rPr>
              <w:t>根据</w:t>
            </w:r>
            <w:r>
              <w:rPr>
                <w:color w:val="auto"/>
                <w:highlight w:val="none"/>
              </w:rPr>
              <w:t>《建设项目环境风险评价技术导则》（HJ 169-2018）附录B1中规定，本项目生产过程Q</w:t>
            </w:r>
            <w:r>
              <w:rPr>
                <w:rFonts w:hint="eastAsia"/>
                <w:color w:val="auto"/>
                <w:highlight w:val="none"/>
              </w:rPr>
              <w:t>值为</w:t>
            </w:r>
            <w:r>
              <w:rPr>
                <w:color w:val="auto"/>
                <w:highlight w:val="none"/>
              </w:rPr>
              <w:t>0.0000</w:t>
            </w:r>
            <w:r>
              <w:rPr>
                <w:rFonts w:hint="eastAsia"/>
                <w:color w:val="auto"/>
                <w:highlight w:val="none"/>
              </w:rPr>
              <w:t>2</w:t>
            </w:r>
            <w:r>
              <w:rPr>
                <w:color w:val="auto"/>
                <w:highlight w:val="none"/>
              </w:rPr>
              <w:t>＜1</w:t>
            </w:r>
            <w:r>
              <w:rPr>
                <w:rFonts w:hint="eastAsia"/>
                <w:color w:val="auto"/>
                <w:highlight w:val="none"/>
              </w:rPr>
              <w:t>，</w:t>
            </w:r>
            <w:r>
              <w:rPr>
                <w:color w:val="auto"/>
                <w:highlight w:val="none"/>
              </w:rPr>
              <w:t>项目的环境风险潜势为Ⅰ。</w:t>
            </w:r>
          </w:p>
          <w:p>
            <w:pPr>
              <w:spacing w:line="360" w:lineRule="auto"/>
              <w:ind w:firstLine="482"/>
              <w:rPr>
                <w:b/>
                <w:bCs/>
                <w:color w:val="auto"/>
                <w:highlight w:val="none"/>
              </w:rPr>
            </w:pPr>
            <w:r>
              <w:rPr>
                <w:rFonts w:hint="eastAsia"/>
                <w:b/>
                <w:bCs/>
                <w:color w:val="auto"/>
                <w:highlight w:val="none"/>
              </w:rPr>
              <w:t>3.1.3</w:t>
            </w:r>
            <w:r>
              <w:rPr>
                <w:b/>
                <w:bCs/>
                <w:color w:val="auto"/>
                <w:highlight w:val="none"/>
              </w:rPr>
              <w:t>评价等级</w:t>
            </w:r>
          </w:p>
          <w:p>
            <w:pPr>
              <w:tabs>
                <w:tab w:val="left" w:pos="1440"/>
                <w:tab w:val="left" w:pos="1800"/>
              </w:tabs>
              <w:adjustRightInd w:val="0"/>
              <w:spacing w:line="360" w:lineRule="auto"/>
              <w:rPr>
                <w:color w:val="auto"/>
                <w:highlight w:val="none"/>
              </w:rPr>
            </w:pPr>
            <w:r>
              <w:rPr>
                <w:color w:val="auto"/>
                <w:highlight w:val="none"/>
              </w:rPr>
              <w:t>根据HJ169-2018中4.3风险评价等级划分见下表：</w:t>
            </w:r>
          </w:p>
          <w:p>
            <w:pPr>
              <w:spacing w:line="240" w:lineRule="auto"/>
              <w:ind w:firstLine="422"/>
              <w:jc w:val="center"/>
              <w:rPr>
                <w:b/>
                <w:color w:val="auto"/>
                <w:sz w:val="21"/>
                <w:szCs w:val="21"/>
                <w:highlight w:val="none"/>
              </w:rPr>
            </w:pPr>
            <w:r>
              <w:rPr>
                <w:b/>
                <w:color w:val="auto"/>
                <w:sz w:val="21"/>
                <w:szCs w:val="21"/>
                <w:highlight w:val="none"/>
                <w:lang w:bidi="ar"/>
              </w:rPr>
              <w:t>7-</w:t>
            </w:r>
            <w:r>
              <w:rPr>
                <w:rFonts w:hint="eastAsia"/>
                <w:b/>
                <w:color w:val="auto"/>
                <w:sz w:val="21"/>
                <w:szCs w:val="21"/>
                <w:highlight w:val="none"/>
                <w:lang w:bidi="ar"/>
              </w:rPr>
              <w:t xml:space="preserve">6 </w:t>
            </w:r>
            <w:r>
              <w:rPr>
                <w:b/>
                <w:color w:val="auto"/>
                <w:sz w:val="21"/>
                <w:szCs w:val="21"/>
                <w:highlight w:val="none"/>
                <w:lang w:bidi="ar"/>
              </w:rPr>
              <w:t xml:space="preserve"> 环境风险评价工作等级划分表</w:t>
            </w:r>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476"/>
              <w:gridCol w:w="2033"/>
              <w:gridCol w:w="1883"/>
              <w:gridCol w:w="1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96" w:type="dxa"/>
                  <w:tcBorders>
                    <w:top w:val="single" w:color="auto" w:sz="12" w:space="0"/>
                    <w:left w:val="single" w:color="auto" w:sz="12"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环境风险潜势</w:t>
                  </w:r>
                </w:p>
              </w:tc>
              <w:tc>
                <w:tcPr>
                  <w:tcW w:w="1476" w:type="dxa"/>
                  <w:tcBorders>
                    <w:top w:val="single" w:color="auto" w:sz="12"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Ⅳ、Ⅳ+</w:t>
                  </w:r>
                </w:p>
              </w:tc>
              <w:tc>
                <w:tcPr>
                  <w:tcW w:w="2033" w:type="dxa"/>
                  <w:tcBorders>
                    <w:top w:val="single" w:color="auto" w:sz="12"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Ⅲ</w:t>
                  </w:r>
                </w:p>
              </w:tc>
              <w:tc>
                <w:tcPr>
                  <w:tcW w:w="1883" w:type="dxa"/>
                  <w:tcBorders>
                    <w:top w:val="single" w:color="auto" w:sz="12"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Ⅱ</w:t>
                  </w:r>
                </w:p>
              </w:tc>
              <w:tc>
                <w:tcPr>
                  <w:tcW w:w="1883" w:type="dxa"/>
                  <w:tcBorders>
                    <w:top w:val="single" w:color="auto" w:sz="12" w:space="0"/>
                    <w:left w:val="single" w:color="auto" w:sz="4" w:space="0"/>
                    <w:bottom w:val="single" w:color="auto" w:sz="4" w:space="0"/>
                    <w:right w:val="single" w:color="auto" w:sz="12"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96"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评价工作等级</w:t>
                  </w:r>
                </w:p>
              </w:tc>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一</w:t>
                  </w:r>
                </w:p>
              </w:tc>
              <w:tc>
                <w:tcPr>
                  <w:tcW w:w="203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二</w:t>
                  </w:r>
                </w:p>
              </w:tc>
              <w:tc>
                <w:tcPr>
                  <w:tcW w:w="18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三</w:t>
                  </w:r>
                </w:p>
              </w:tc>
              <w:tc>
                <w:tcPr>
                  <w:tcW w:w="1883" w:type="dxa"/>
                  <w:tcBorders>
                    <w:top w:val="single" w:color="auto" w:sz="4" w:space="0"/>
                    <w:left w:val="single" w:color="auto" w:sz="4" w:space="0"/>
                    <w:bottom w:val="single" w:color="auto" w:sz="4" w:space="0"/>
                    <w:right w:val="single" w:color="auto" w:sz="12" w:space="0"/>
                  </w:tcBorders>
                  <w:vAlign w:val="center"/>
                </w:tcPr>
                <w:p>
                  <w:pPr>
                    <w:spacing w:line="240" w:lineRule="auto"/>
                    <w:ind w:firstLine="0" w:firstLineChars="0"/>
                    <w:jc w:val="center"/>
                    <w:rPr>
                      <w:color w:val="auto"/>
                      <w:sz w:val="21"/>
                      <w:szCs w:val="21"/>
                      <w:highlight w:val="none"/>
                    </w:rPr>
                  </w:pPr>
                  <w:r>
                    <w:rPr>
                      <w:color w:val="auto"/>
                      <w:sz w:val="21"/>
                      <w:szCs w:val="21"/>
                      <w:highlight w:val="none"/>
                      <w:lang w:bidi="ar"/>
                    </w:rPr>
                    <w:t>简单分析a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71" w:type="dxa"/>
                  <w:gridSpan w:val="5"/>
                  <w:tcBorders>
                    <w:top w:val="single" w:color="auto" w:sz="4" w:space="0"/>
                    <w:left w:val="single" w:color="auto" w:sz="12" w:space="0"/>
                    <w:bottom w:val="single" w:color="auto" w:sz="12" w:space="0"/>
                    <w:right w:val="single" w:color="auto" w:sz="12" w:space="0"/>
                  </w:tcBorders>
                  <w:vAlign w:val="center"/>
                </w:tcPr>
                <w:p>
                  <w:pPr>
                    <w:spacing w:line="240" w:lineRule="auto"/>
                    <w:ind w:firstLine="0" w:firstLineChars="0"/>
                    <w:jc w:val="left"/>
                    <w:rPr>
                      <w:color w:val="auto"/>
                      <w:sz w:val="21"/>
                      <w:szCs w:val="21"/>
                      <w:highlight w:val="none"/>
                    </w:rPr>
                  </w:pPr>
                  <w:r>
                    <w:rPr>
                      <w:color w:val="auto"/>
                      <w:sz w:val="21"/>
                      <w:szCs w:val="21"/>
                      <w:highlight w:val="none"/>
                      <w:lang w:bidi="ar"/>
                    </w:rPr>
                    <w:t>a是相对于详细评价工作内容而言，在描述危险物质、环境影响途径、环境危害后果、风险防范措施等方面给出定性的说明。见附录A。</w:t>
                  </w:r>
                </w:p>
              </w:tc>
            </w:tr>
          </w:tbl>
          <w:p>
            <w:pPr>
              <w:tabs>
                <w:tab w:val="left" w:pos="1440"/>
                <w:tab w:val="left" w:pos="1800"/>
              </w:tabs>
              <w:adjustRightInd w:val="0"/>
              <w:spacing w:line="360" w:lineRule="auto"/>
              <w:rPr>
                <w:color w:val="auto"/>
                <w:highlight w:val="none"/>
              </w:rPr>
            </w:pPr>
            <w:r>
              <w:rPr>
                <w:color w:val="auto"/>
                <w:highlight w:val="none"/>
              </w:rPr>
              <w:t>本项目环境风险潜势为Ⅰ级，因此风险评价工作等级为简单分析。</w:t>
            </w:r>
          </w:p>
          <w:p>
            <w:pPr>
              <w:spacing w:line="360" w:lineRule="auto"/>
              <w:ind w:firstLine="482"/>
              <w:rPr>
                <w:b/>
                <w:bCs/>
                <w:color w:val="auto"/>
                <w:highlight w:val="none"/>
              </w:rPr>
            </w:pPr>
            <w:r>
              <w:rPr>
                <w:rFonts w:hint="eastAsia"/>
                <w:b/>
                <w:bCs/>
                <w:color w:val="auto"/>
                <w:highlight w:val="none"/>
              </w:rPr>
              <w:t>3.1.4环境敏感目标调查</w:t>
            </w:r>
          </w:p>
          <w:p>
            <w:pPr>
              <w:tabs>
                <w:tab w:val="left" w:pos="1440"/>
                <w:tab w:val="left" w:pos="1800"/>
              </w:tabs>
              <w:adjustRightInd w:val="0"/>
              <w:spacing w:line="360" w:lineRule="auto"/>
              <w:rPr>
                <w:color w:val="auto"/>
                <w:highlight w:val="none"/>
              </w:rPr>
            </w:pPr>
            <w:r>
              <w:rPr>
                <w:color w:val="auto"/>
                <w:highlight w:val="none"/>
                <w:lang w:val="zh-CN"/>
              </w:rPr>
              <w:t>本项目位于</w:t>
            </w:r>
            <w:r>
              <w:rPr>
                <w:rFonts w:hint="eastAsia"/>
                <w:color w:val="auto"/>
                <w:highlight w:val="none"/>
              </w:rPr>
              <w:t>湖南省永州市祁阳县潘市镇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color w:val="auto"/>
                <w:highlight w:val="none"/>
              </w:rPr>
              <w:t>，主要环境保护目标见表</w:t>
            </w:r>
            <w:r>
              <w:rPr>
                <w:rFonts w:hint="eastAsia"/>
                <w:color w:val="auto"/>
                <w:highlight w:val="none"/>
              </w:rPr>
              <w:t>3-7。</w:t>
            </w:r>
          </w:p>
          <w:p>
            <w:pPr>
              <w:spacing w:line="360" w:lineRule="auto"/>
              <w:ind w:firstLine="482"/>
              <w:rPr>
                <w:b/>
                <w:bCs/>
                <w:color w:val="auto"/>
                <w:highlight w:val="none"/>
              </w:rPr>
            </w:pPr>
            <w:r>
              <w:rPr>
                <w:rFonts w:hint="eastAsia"/>
                <w:b/>
                <w:bCs/>
                <w:color w:val="auto"/>
                <w:highlight w:val="none"/>
              </w:rPr>
              <w:t>3.2环境风险识别</w:t>
            </w:r>
          </w:p>
          <w:p>
            <w:pPr>
              <w:spacing w:line="240" w:lineRule="auto"/>
              <w:ind w:firstLine="373" w:firstLineChars="177"/>
              <w:jc w:val="center"/>
              <w:rPr>
                <w:b/>
                <w:bCs/>
                <w:color w:val="auto"/>
                <w:kern w:val="24"/>
                <w:sz w:val="21"/>
                <w:szCs w:val="21"/>
                <w:highlight w:val="none"/>
              </w:rPr>
            </w:pPr>
            <w:r>
              <w:rPr>
                <w:rFonts w:hint="eastAsia"/>
                <w:b/>
                <w:bCs/>
                <w:color w:val="auto"/>
                <w:kern w:val="24"/>
                <w:sz w:val="21"/>
                <w:szCs w:val="21"/>
                <w:highlight w:val="none"/>
              </w:rPr>
              <w:t>表7-7   项目物质风险识别表</w:t>
            </w:r>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1"/>
              <w:gridCol w:w="4436"/>
              <w:gridCol w:w="539"/>
              <w:gridCol w:w="611"/>
              <w:gridCol w:w="458"/>
              <w:gridCol w:w="521"/>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名称</w:t>
                  </w:r>
                </w:p>
              </w:tc>
              <w:tc>
                <w:tcPr>
                  <w:tcW w:w="4436"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理化性质</w:t>
                  </w:r>
                </w:p>
              </w:tc>
              <w:tc>
                <w:tcPr>
                  <w:tcW w:w="53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燃烧性</w:t>
                  </w:r>
                </w:p>
              </w:tc>
              <w:tc>
                <w:tcPr>
                  <w:tcW w:w="61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爆炸性</w:t>
                  </w:r>
                </w:p>
              </w:tc>
              <w:tc>
                <w:tcPr>
                  <w:tcW w:w="458"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毒性</w:t>
                  </w:r>
                </w:p>
              </w:tc>
              <w:tc>
                <w:tcPr>
                  <w:tcW w:w="52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腐蚀性</w:t>
                  </w:r>
                </w:p>
              </w:tc>
              <w:tc>
                <w:tcPr>
                  <w:tcW w:w="16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判定结果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盐酸</w:t>
                  </w:r>
                </w:p>
              </w:tc>
              <w:tc>
                <w:tcPr>
                  <w:tcW w:w="4436"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氯化氢(HCl)气体的水溶液，为无色透明的一元强酸。盐酸具有极强的挥发性，因此打开盛有浓盐酸的容器后能在其上方看到白雾，实际为氯化氢挥发后与空气中的水蒸气结合产生的盐酸小液滴。接触其蒸气或烟雾，可引起急性中毒:出现眼结膜炎，鼻及口腔粘膜有烧灼感，鼻出血、齿龈出血，气管炎等。误服可引起消化道灼伤、溃疡形成，有可能引起胃穿孔、腹膜炎等。眼和皮肤接触可致灼伤。</w:t>
                  </w:r>
                </w:p>
              </w:tc>
              <w:tc>
                <w:tcPr>
                  <w:tcW w:w="53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61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458"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有毒</w:t>
                  </w:r>
                </w:p>
              </w:tc>
              <w:tc>
                <w:tcPr>
                  <w:tcW w:w="521" w:type="dxa"/>
                  <w:tcBorders>
                    <w:tl2br w:val="nil"/>
                    <w:tr2bl w:val="nil"/>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易</w:t>
                  </w:r>
                  <w:r>
                    <w:rPr>
                      <w:color w:val="auto"/>
                      <w:sz w:val="21"/>
                      <w:szCs w:val="21"/>
                      <w:highlight w:val="none"/>
                    </w:rPr>
                    <w:t>腐蚀性</w:t>
                  </w:r>
                </w:p>
              </w:tc>
              <w:tc>
                <w:tcPr>
                  <w:tcW w:w="16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是有毒物质*</w:t>
                  </w:r>
                </w:p>
                <w:p>
                  <w:pPr>
                    <w:spacing w:line="240" w:lineRule="auto"/>
                    <w:ind w:firstLine="0" w:firstLineChars="0"/>
                    <w:jc w:val="center"/>
                    <w:rPr>
                      <w:color w:val="auto"/>
                      <w:sz w:val="21"/>
                      <w:szCs w:val="21"/>
                      <w:highlight w:val="none"/>
                    </w:rPr>
                  </w:pPr>
                  <w:r>
                    <w:rPr>
                      <w:rFonts w:hint="eastAsia"/>
                      <w:color w:val="auto"/>
                      <w:sz w:val="21"/>
                      <w:szCs w:val="21"/>
                      <w:highlight w:val="none"/>
                    </w:rPr>
                    <w:t>不是易燃易爆物质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亚氯酸钠</w:t>
                  </w:r>
                </w:p>
              </w:tc>
              <w:tc>
                <w:tcPr>
                  <w:tcW w:w="4436"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易溶于水(5 ℃时为34%；30℃时为46%)。无水物加热至350℃时尚不分解，一般产品因含有水分，加热到180～200℃即分解。碱性水溶液对光稳定，酸性水溶液受光影响则产生爆炸性分解，并放出二氧化氯。强氧化剂，其氧化能力为漂白粉的4～5倍，是漂粉精的2～3倍。与可燃物接触和有机物混合能引起爆炸；本品粉尘对呼吸器官黏膜、眼睛和皮肤有刺激作用。吸入本品粉尘，因积累在体内而引起中毒，会出现恶心、大量呕吐、下泻、 呼吸困难、肾脏损害等症状.</w:t>
                  </w:r>
                </w:p>
              </w:tc>
              <w:tc>
                <w:tcPr>
                  <w:tcW w:w="53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易燃</w:t>
                  </w:r>
                </w:p>
              </w:tc>
              <w:tc>
                <w:tcPr>
                  <w:tcW w:w="61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易</w:t>
                  </w:r>
                  <w:r>
                    <w:rPr>
                      <w:rFonts w:hint="eastAsia"/>
                      <w:color w:val="auto"/>
                      <w:sz w:val="21"/>
                      <w:szCs w:val="21"/>
                      <w:highlight w:val="none"/>
                    </w:rPr>
                    <w:t>爆</w:t>
                  </w:r>
                </w:p>
              </w:tc>
              <w:tc>
                <w:tcPr>
                  <w:tcW w:w="458"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52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16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不是有毒物质*</w:t>
                  </w:r>
                </w:p>
                <w:p>
                  <w:pPr>
                    <w:spacing w:line="240" w:lineRule="auto"/>
                    <w:ind w:firstLine="0" w:firstLineChars="0"/>
                    <w:jc w:val="center"/>
                    <w:rPr>
                      <w:color w:val="auto"/>
                      <w:sz w:val="21"/>
                      <w:szCs w:val="21"/>
                      <w:highlight w:val="none"/>
                    </w:rPr>
                  </w:pPr>
                  <w:r>
                    <w:rPr>
                      <w:color w:val="auto"/>
                      <w:sz w:val="21"/>
                      <w:szCs w:val="21"/>
                      <w:highlight w:val="none"/>
                    </w:rPr>
                    <w:t>2类可燃物质</w:t>
                  </w:r>
                </w:p>
                <w:p>
                  <w:pPr>
                    <w:spacing w:line="240" w:lineRule="auto"/>
                    <w:ind w:firstLine="0" w:firstLineChars="0"/>
                    <w:jc w:val="center"/>
                    <w:rPr>
                      <w:color w:val="auto"/>
                      <w:sz w:val="21"/>
                      <w:szCs w:val="21"/>
                      <w:highlight w:val="none"/>
                    </w:rPr>
                  </w:pPr>
                  <w:r>
                    <w:rPr>
                      <w:color w:val="auto"/>
                      <w:sz w:val="21"/>
                      <w:szCs w:val="21"/>
                      <w:highlight w:val="none"/>
                    </w:rPr>
                    <w:t>与可燃物接触和有机物混合能引起爆炸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润滑油</w:t>
                  </w:r>
                </w:p>
              </w:tc>
              <w:tc>
                <w:tcPr>
                  <w:tcW w:w="4436"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润滑油一般由基础油和添加剂两部分组成。基础油是润滑油的主要成分，基础油的化学成分包括高沸点、高分子量烃类和非烃类混合物。其组成一般为烷烃（直链、支链、多支链）、环烷烃（单环、双环、多环）、</w:t>
                  </w:r>
                  <w:r>
                    <w:rPr>
                      <w:color w:val="auto"/>
                      <w:highlight w:val="none"/>
                    </w:rPr>
                    <w:fldChar w:fldCharType="begin"/>
                  </w:r>
                  <w:r>
                    <w:rPr>
                      <w:color w:val="auto"/>
                      <w:highlight w:val="none"/>
                    </w:rPr>
                    <w:instrText xml:space="preserve"> HYPERLINK "https://baike.baidu.com/item/%E8%8A%B3%E7%83%83" \t "https://baike.baidu.com/item/%E6%B6%A6%E6%BB%91%E6%B2%B9/_blank" </w:instrText>
                  </w:r>
                  <w:r>
                    <w:rPr>
                      <w:color w:val="auto"/>
                      <w:highlight w:val="none"/>
                    </w:rPr>
                    <w:fldChar w:fldCharType="separate"/>
                  </w:r>
                  <w:r>
                    <w:rPr>
                      <w:color w:val="auto"/>
                      <w:sz w:val="21"/>
                      <w:szCs w:val="21"/>
                      <w:highlight w:val="none"/>
                    </w:rPr>
                    <w:t>芳烃</w:t>
                  </w:r>
                  <w:r>
                    <w:rPr>
                      <w:color w:val="auto"/>
                      <w:sz w:val="21"/>
                      <w:szCs w:val="21"/>
                      <w:highlight w:val="none"/>
                    </w:rPr>
                    <w:fldChar w:fldCharType="end"/>
                  </w:r>
                  <w:r>
                    <w:rPr>
                      <w:color w:val="auto"/>
                      <w:sz w:val="21"/>
                      <w:szCs w:val="21"/>
                      <w:highlight w:val="none"/>
                    </w:rPr>
                    <w:t>（单环芳烃、多环芳烃）、环烷基芳烃以及含氧、含氮、含硫有机化合物和胶质、沥青质等非烃类化合物</w:t>
                  </w:r>
                </w:p>
              </w:tc>
              <w:tc>
                <w:tcPr>
                  <w:tcW w:w="539"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可燃</w:t>
                  </w:r>
                </w:p>
              </w:tc>
              <w:tc>
                <w:tcPr>
                  <w:tcW w:w="61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458"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521"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c>
                <w:tcPr>
                  <w:tcW w:w="1625" w:type="dxa"/>
                  <w:tcBorders>
                    <w:tl2br w:val="nil"/>
                    <w:tr2bl w:val="nil"/>
                  </w:tcBorders>
                  <w:vAlign w:val="center"/>
                </w:tcPr>
                <w:p>
                  <w:pPr>
                    <w:spacing w:line="240" w:lineRule="auto"/>
                    <w:ind w:firstLine="0" w:firstLineChars="0"/>
                    <w:jc w:val="center"/>
                    <w:rPr>
                      <w:color w:val="auto"/>
                      <w:sz w:val="21"/>
                      <w:szCs w:val="21"/>
                      <w:highlight w:val="none"/>
                    </w:rPr>
                  </w:pPr>
                  <w:r>
                    <w:rPr>
                      <w:color w:val="auto"/>
                      <w:sz w:val="21"/>
                      <w:szCs w:val="21"/>
                      <w:highlight w:val="none"/>
                    </w:rPr>
                    <w:t>不是有毒物质*</w:t>
                  </w:r>
                </w:p>
                <w:p>
                  <w:pPr>
                    <w:spacing w:line="240" w:lineRule="auto"/>
                    <w:ind w:firstLine="0" w:firstLineChars="0"/>
                    <w:jc w:val="center"/>
                    <w:rPr>
                      <w:color w:val="auto"/>
                      <w:sz w:val="21"/>
                      <w:szCs w:val="21"/>
                      <w:highlight w:val="none"/>
                    </w:rPr>
                  </w:pPr>
                  <w:r>
                    <w:rPr>
                      <w:color w:val="auto"/>
                      <w:sz w:val="21"/>
                      <w:szCs w:val="21"/>
                      <w:highlight w:val="none"/>
                    </w:rPr>
                    <w:t>2类可燃物质</w:t>
                  </w:r>
                </w:p>
                <w:p>
                  <w:pPr>
                    <w:spacing w:line="240" w:lineRule="auto"/>
                    <w:ind w:firstLine="0" w:firstLineChars="0"/>
                    <w:jc w:val="center"/>
                    <w:rPr>
                      <w:color w:val="auto"/>
                      <w:sz w:val="21"/>
                      <w:szCs w:val="21"/>
                      <w:highlight w:val="none"/>
                    </w:rPr>
                  </w:pPr>
                  <w:r>
                    <w:rPr>
                      <w:color w:val="auto"/>
                      <w:sz w:val="21"/>
                      <w:szCs w:val="21"/>
                      <w:highlight w:val="none"/>
                    </w:rPr>
                    <w:t>不是爆炸性物质</w:t>
                  </w:r>
                </w:p>
              </w:tc>
            </w:tr>
          </w:tbl>
          <w:p>
            <w:pPr>
              <w:spacing w:line="240" w:lineRule="auto"/>
              <w:ind w:firstLine="373" w:firstLineChars="177"/>
              <w:rPr>
                <w:b/>
                <w:bCs/>
                <w:color w:val="auto"/>
                <w:kern w:val="24"/>
                <w:sz w:val="21"/>
                <w:szCs w:val="21"/>
                <w:highlight w:val="none"/>
              </w:rPr>
            </w:pPr>
            <w:r>
              <w:rPr>
                <w:b/>
                <w:bCs/>
                <w:color w:val="auto"/>
                <w:kern w:val="24"/>
                <w:sz w:val="21"/>
                <w:szCs w:val="21"/>
                <w:highlight w:val="none"/>
              </w:rPr>
              <w:t>备注：*不是有毒物质是指该化学品不属于《建设项目环境风险评价技术导则》（HJ 169-2018）附录B1规定的有毒物质范围之内。</w:t>
            </w:r>
          </w:p>
          <w:p>
            <w:pPr>
              <w:spacing w:line="360" w:lineRule="auto"/>
              <w:rPr>
                <w:rFonts w:hint="eastAsia" w:eastAsia="宋体"/>
                <w:color w:val="FF0000"/>
                <w:highlight w:val="none"/>
                <w:u w:val="single"/>
                <w:lang w:eastAsia="zh-CN"/>
              </w:rPr>
            </w:pPr>
            <w:r>
              <w:rPr>
                <w:rFonts w:ascii="宋体" w:hAnsi="宋体" w:cs="宋体"/>
                <w:color w:val="auto"/>
                <w:highlight w:val="none"/>
              </w:rPr>
              <w:t>根据类比调查，本项目发生可能性较大的环境风险事故有：</w:t>
            </w:r>
            <w:r>
              <w:rPr>
                <w:rFonts w:hint="eastAsia"/>
                <w:color w:val="auto"/>
                <w:highlight w:val="none"/>
              </w:rPr>
              <w:t>①盐酸运输、储存、使用过程中泄露腐蚀设备及地面、灼伤人员；亚氯酸钠运输、储存、使用过程中</w:t>
            </w:r>
            <w:r>
              <w:rPr>
                <w:color w:val="auto"/>
                <w:highlight w:val="none"/>
              </w:rPr>
              <w:t>泄漏易产生火灾和爆炸</w:t>
            </w:r>
            <w:r>
              <w:rPr>
                <w:rFonts w:hint="eastAsia"/>
                <w:color w:val="auto"/>
                <w:highlight w:val="none"/>
                <w:lang w:eastAsia="zh-CN"/>
              </w:rPr>
              <w:t>；</w:t>
            </w:r>
            <w:r>
              <w:rPr>
                <w:rFonts w:hint="eastAsia"/>
                <w:color w:val="FF0000"/>
                <w:highlight w:val="none"/>
                <w:u w:val="single"/>
                <w:lang w:eastAsia="zh-CN"/>
              </w:rPr>
              <w:t>②</w:t>
            </w:r>
            <w:r>
              <w:rPr>
                <w:rFonts w:hint="eastAsia"/>
                <w:color w:val="FF0000"/>
                <w:sz w:val="24"/>
                <w:u w:val="single"/>
              </w:rPr>
              <w:t>二氧化氯泄露</w:t>
            </w:r>
            <w:r>
              <w:rPr>
                <w:color w:val="FF0000"/>
                <w:sz w:val="24"/>
                <w:u w:val="single"/>
              </w:rPr>
              <w:t>（非正常工况）</w:t>
            </w:r>
            <w:r>
              <w:rPr>
                <w:rFonts w:hint="eastAsia"/>
                <w:color w:val="FF0000"/>
                <w:sz w:val="24"/>
                <w:u w:val="single"/>
                <w:lang w:eastAsia="zh-CN"/>
              </w:rPr>
              <w:t>。</w:t>
            </w:r>
          </w:p>
          <w:p>
            <w:pPr>
              <w:spacing w:line="360" w:lineRule="auto"/>
              <w:ind w:firstLine="482"/>
              <w:jc w:val="left"/>
              <w:rPr>
                <w:b/>
                <w:bCs/>
                <w:color w:val="auto"/>
                <w:highlight w:val="none"/>
              </w:rPr>
            </w:pPr>
            <w:r>
              <w:rPr>
                <w:rFonts w:hint="eastAsia"/>
                <w:b/>
                <w:bCs/>
                <w:color w:val="auto"/>
                <w:highlight w:val="none"/>
              </w:rPr>
              <w:t>3.3环境风险防范措施</w:t>
            </w:r>
          </w:p>
          <w:p>
            <w:pPr>
              <w:spacing w:line="360" w:lineRule="auto"/>
              <w:jc w:val="left"/>
              <w:rPr>
                <w:color w:val="auto"/>
                <w:highlight w:val="none"/>
              </w:rPr>
            </w:pPr>
            <w:r>
              <w:rPr>
                <w:rFonts w:hint="eastAsia"/>
                <w:color w:val="auto"/>
                <w:highlight w:val="none"/>
              </w:rPr>
              <w:t>为使环境风险减小到最低限度，必须加强劳动、安全、卫生和环境的管理。可以从人、物、环境和管理四个方面寻找影响事故的原因，制定完备、有效的安全防范措施，尽可能降低本项目环境风险事故发生的概率，减少事故的损失和危害。</w:t>
            </w:r>
          </w:p>
          <w:p>
            <w:pPr>
              <w:spacing w:line="360" w:lineRule="auto"/>
              <w:jc w:val="left"/>
              <w:rPr>
                <w:color w:val="auto"/>
                <w:highlight w:val="none"/>
              </w:rPr>
            </w:pPr>
            <w:r>
              <w:rPr>
                <w:rFonts w:hint="eastAsia"/>
                <w:color w:val="auto"/>
                <w:highlight w:val="none"/>
              </w:rPr>
              <w:t>（1）</w:t>
            </w:r>
            <w:r>
              <w:rPr>
                <w:rFonts w:hint="eastAsia"/>
                <w:color w:val="FF0000"/>
                <w:highlight w:val="none"/>
                <w:u w:val="single"/>
                <w:lang w:eastAsia="zh-CN"/>
              </w:rPr>
              <w:t>盐酸、</w:t>
            </w:r>
            <w:r>
              <w:rPr>
                <w:rFonts w:hint="eastAsia"/>
                <w:color w:val="FF0000"/>
                <w:highlight w:val="none"/>
                <w:u w:val="single"/>
              </w:rPr>
              <w:t>亚氯酸钠</w:t>
            </w:r>
            <w:r>
              <w:rPr>
                <w:rFonts w:hint="eastAsia"/>
                <w:color w:val="auto"/>
                <w:highlight w:val="none"/>
              </w:rPr>
              <w:t xml:space="preserve">运输、仓储过程中的事故防范措施 </w:t>
            </w:r>
          </w:p>
          <w:p>
            <w:pPr>
              <w:spacing w:line="360" w:lineRule="auto"/>
              <w:jc w:val="left"/>
              <w:rPr>
                <w:color w:val="auto"/>
                <w:highlight w:val="none"/>
              </w:rPr>
            </w:pPr>
            <w:r>
              <w:rPr>
                <w:rFonts w:hint="eastAsia"/>
                <w:color w:val="auto"/>
                <w:highlight w:val="none"/>
              </w:rPr>
              <w:t>亚氯酸钠在运输过程中不得与酸、还原性物质混运，应贮存在阴凉干燥处，远离火源、热源，不得与酸、还原性物质混贮。失火时可用水、砂土、各种灭火器扑救。储区应备有合适的材料收容泄漏物，存放处须加锁。</w:t>
            </w:r>
          </w:p>
          <w:p>
            <w:pPr>
              <w:spacing w:line="360" w:lineRule="auto"/>
              <w:jc w:val="left"/>
              <w:rPr>
                <w:color w:val="auto"/>
                <w:highlight w:val="none"/>
              </w:rPr>
            </w:pPr>
            <w:r>
              <w:rPr>
                <w:rFonts w:hint="eastAsia"/>
                <w:color w:val="auto"/>
                <w:highlight w:val="none"/>
              </w:rPr>
              <w:t>盐酸储罐</w:t>
            </w:r>
            <w:r>
              <w:rPr>
                <w:rFonts w:hint="eastAsia"/>
                <w:color w:val="auto"/>
                <w:highlight w:val="none"/>
                <w:lang w:val="en-US" w:eastAsia="zh-CN"/>
              </w:rPr>
              <w:t>使用</w:t>
            </w:r>
            <w:r>
              <w:rPr>
                <w:rFonts w:hint="eastAsia"/>
                <w:color w:val="auto"/>
                <w:highlight w:val="none"/>
              </w:rPr>
              <w:t>用聚乙烯、钢衬聚乙烯、塑料材质的储罐</w:t>
            </w:r>
            <w:r>
              <w:rPr>
                <w:rFonts w:hint="eastAsia"/>
                <w:color w:val="auto"/>
                <w:highlight w:val="none"/>
                <w:lang w:eastAsia="zh-CN"/>
              </w:rPr>
              <w:t>，</w:t>
            </w:r>
            <w:r>
              <w:rPr>
                <w:rFonts w:hint="eastAsia"/>
                <w:color w:val="auto"/>
                <w:highlight w:val="none"/>
              </w:rPr>
              <w:t>输过程中要确保容器不泄漏、不倒塌、不坠落、不损坏。严禁与碱类、胺类、碱金属、易燃物或可燃物、食用化学品等混装混运。运输时运输车辆应配备泄漏应急处理设备。运输途中应防曝晒、雨淋，防高温。运输车辆，需要有消防部门易燃易爆化学品准运证，驾驶员经过消防安全培训，押运员持有化学品押运证。运输车辆需要符合消防安全要求，阻火器、危险品标示、挂静电导链，配备相关消防器材。</w:t>
            </w:r>
          </w:p>
          <w:p>
            <w:pPr>
              <w:spacing w:line="360" w:lineRule="auto"/>
              <w:jc w:val="left"/>
              <w:rPr>
                <w:color w:val="auto"/>
                <w:highlight w:val="none"/>
              </w:rPr>
            </w:pPr>
            <w:r>
              <w:rPr>
                <w:rFonts w:hint="eastAsia"/>
                <w:color w:val="auto"/>
                <w:highlight w:val="none"/>
              </w:rPr>
              <w:t>盐酸贮存场所周围应设置密闭式防泄漏集水沟，集水沟应连接到应急收集水池。</w:t>
            </w:r>
            <w:r>
              <w:rPr>
                <w:color w:val="auto"/>
                <w:highlight w:val="none"/>
              </w:rPr>
              <w:t>贮存场所地面、收集水沟和收集池应硬化、防渗、防腐处理。库房应具备良好的通风条件，如果自然通风效果不好（库房内温度超过40℃），应设强制性机械通风；</w:t>
            </w:r>
          </w:p>
          <w:p>
            <w:pPr>
              <w:spacing w:line="360" w:lineRule="auto"/>
              <w:jc w:val="left"/>
              <w:rPr>
                <w:color w:val="auto"/>
                <w:highlight w:val="none"/>
              </w:rPr>
            </w:pPr>
            <w:r>
              <w:rPr>
                <w:rFonts w:hint="eastAsia"/>
                <w:color w:val="auto"/>
                <w:highlight w:val="none"/>
                <w:u w:val="none"/>
                <w:lang w:val="en-US" w:eastAsia="zh-CN"/>
              </w:rPr>
              <w:t>本项目盐酸使用塑料材质的储罐贮存在加药间，储存于阴凉、通风的库房。库温不超过30℃，相对湿度不超过85%。保持容器密封。应与碱类、胺类、碱金属、易（可）燃物分开存放，切忌混储，亚氯酸钠袋装贮存在阴凉、通风、干燥的库房内，远离火种、热源.包装密封.应与易（可）燃物、还原剂、醇类等分开存放，切忌混储，</w:t>
            </w:r>
            <w:r>
              <w:rPr>
                <w:rFonts w:hint="eastAsia"/>
                <w:color w:val="auto"/>
                <w:highlight w:val="none"/>
              </w:rPr>
              <w:t xml:space="preserve">如在盐酸、亚氯酸钠在运输过程中发生泄漏，应积极主动采取措施处理，防止事态进一步扩大，如处理不了，应立即报告当地公安机关和有关部门请求支援。运输按规定的线路行驶，雨天不宜运输。 </w:t>
            </w:r>
          </w:p>
          <w:p>
            <w:pPr>
              <w:spacing w:line="360" w:lineRule="auto"/>
              <w:jc w:val="left"/>
              <w:rPr>
                <w:rFonts w:hint="eastAsia" w:eastAsia="宋体"/>
                <w:color w:val="FF0000"/>
                <w:highlight w:val="none"/>
                <w:u w:val="single"/>
                <w:lang w:eastAsia="zh-CN"/>
              </w:rPr>
            </w:pPr>
            <w:r>
              <w:rPr>
                <w:rFonts w:hint="eastAsia" w:eastAsia="宋体"/>
                <w:color w:val="FF0000"/>
                <w:highlight w:val="none"/>
                <w:u w:val="single"/>
                <w:lang w:eastAsia="zh-CN"/>
              </w:rPr>
              <w:t>（</w:t>
            </w:r>
            <w:r>
              <w:rPr>
                <w:rFonts w:hint="eastAsia" w:eastAsia="宋体"/>
                <w:color w:val="FF0000"/>
                <w:highlight w:val="none"/>
                <w:u w:val="single"/>
                <w:lang w:val="en-US" w:eastAsia="zh-CN"/>
              </w:rPr>
              <w:t>2</w:t>
            </w:r>
            <w:r>
              <w:rPr>
                <w:rFonts w:hint="eastAsia" w:eastAsia="宋体"/>
                <w:color w:val="FF0000"/>
                <w:highlight w:val="none"/>
                <w:u w:val="single"/>
                <w:lang w:eastAsia="zh-CN"/>
              </w:rPr>
              <w:t>）</w:t>
            </w:r>
            <w:r>
              <w:rPr>
                <w:rFonts w:hint="eastAsia" w:eastAsia="宋体"/>
                <w:color w:val="FF0000"/>
                <w:highlight w:val="none"/>
                <w:u w:val="single"/>
              </w:rPr>
              <w:t>二氧化氯泄露（非正常工况）</w:t>
            </w:r>
            <w:r>
              <w:rPr>
                <w:rFonts w:hint="eastAsia" w:eastAsia="宋体"/>
                <w:color w:val="FF0000"/>
                <w:highlight w:val="none"/>
                <w:u w:val="single"/>
                <w:lang w:eastAsia="zh-CN"/>
              </w:rPr>
              <w:t>风险防范措施</w:t>
            </w:r>
          </w:p>
          <w:p>
            <w:pPr>
              <w:pStyle w:val="45"/>
              <w:spacing w:line="360" w:lineRule="auto"/>
              <w:ind w:firstLine="480"/>
              <w:jc w:val="both"/>
              <w:rPr>
                <w:rFonts w:hint="eastAsia" w:eastAsia="宋体"/>
                <w:color w:val="FF0000"/>
                <w:highlight w:val="none"/>
                <w:u w:val="single"/>
                <w:lang w:eastAsia="zh-CN"/>
              </w:rPr>
            </w:pPr>
            <w:r>
              <w:rPr>
                <w:rFonts w:hint="eastAsia" w:eastAsia="宋体"/>
                <w:color w:val="FF0000"/>
                <w:highlight w:val="none"/>
                <w:u w:val="single"/>
                <w:lang w:eastAsia="zh-CN"/>
              </w:rPr>
              <w:t>项目消毒采用全封闭的加氯设备，正常工况下工程无二氧化氯产生。本工程二氧化氯主要为非正常工况装置泄露产生二氧化氯。本次评价二氧化氯泄露源强以单台加氯机泄露估算，每台加氯机的最大加氯量为5kg/h，本工程单台加氯机发生泄露产生的二氧化氯量为0.5kg/h。为防止二氧化氯泄漏对周围环境产生影响，</w:t>
            </w:r>
            <w:r>
              <w:rPr>
                <w:color w:val="FF0000"/>
                <w:highlight w:val="none"/>
                <w:u w:val="single"/>
              </w:rPr>
              <w:t>项目加氯加药间设置了漏氯报警器和快速冲洗装置等。一旦发生事故性泄漏，漏氯报警系统即会自动报警(报警浓度为1ppm(0.3158mg/Nm</w:t>
            </w:r>
            <w:r>
              <w:rPr>
                <w:color w:val="FF0000"/>
                <w:highlight w:val="none"/>
                <w:u w:val="single"/>
                <w:vertAlign w:val="superscript"/>
              </w:rPr>
              <w:t>3</w:t>
            </w:r>
            <w:r>
              <w:rPr>
                <w:color w:val="FF0000"/>
                <w:highlight w:val="none"/>
                <w:u w:val="single"/>
              </w:rPr>
              <w:t>)，同时漏氯吸收处理装置会自动运行，将泄漏的氯气进行收集和吸收处理</w:t>
            </w:r>
            <w:r>
              <w:rPr>
                <w:rFonts w:hint="eastAsia"/>
                <w:color w:val="FF0000"/>
                <w:highlight w:val="none"/>
                <w:u w:val="single"/>
                <w:lang w:eastAsia="zh-CN"/>
              </w:rPr>
              <w:t>，</w:t>
            </w:r>
            <w:r>
              <w:rPr>
                <w:rFonts w:hint="eastAsia" w:eastAsia="宋体"/>
                <w:color w:val="FF0000"/>
                <w:highlight w:val="none"/>
                <w:u w:val="single"/>
                <w:lang w:eastAsia="zh-CN"/>
              </w:rPr>
              <w:t>防止泄露二氧化氯泄露至外环境。</w:t>
            </w:r>
          </w:p>
          <w:p>
            <w:pPr>
              <w:pStyle w:val="9"/>
              <w:spacing w:line="360" w:lineRule="auto"/>
              <w:ind w:firstLine="480"/>
              <w:rPr>
                <w:color w:val="FF0000"/>
                <w:sz w:val="24"/>
                <w:u w:val="single"/>
              </w:rPr>
            </w:pPr>
            <w:r>
              <w:rPr>
                <w:color w:val="FF0000"/>
                <w:sz w:val="24"/>
                <w:u w:val="single"/>
              </w:rPr>
              <w:t>二氧化氯吸收和中和装置原理：</w:t>
            </w:r>
          </w:p>
          <w:p>
            <w:pPr>
              <w:pStyle w:val="9"/>
              <w:spacing w:line="360" w:lineRule="auto"/>
              <w:ind w:firstLine="480"/>
              <w:rPr>
                <w:color w:val="FF0000"/>
                <w:sz w:val="24"/>
                <w:u w:val="single"/>
              </w:rPr>
            </w:pPr>
            <w:r>
              <w:rPr>
                <w:color w:val="FF0000"/>
                <w:sz w:val="24"/>
                <w:u w:val="single"/>
              </w:rPr>
              <w:t>当</w:t>
            </w:r>
            <w:r>
              <w:rPr>
                <w:rFonts w:hint="eastAsia"/>
                <w:color w:val="FF0000"/>
                <w:sz w:val="24"/>
                <w:u w:val="single"/>
              </w:rPr>
              <w:t>加药间</w:t>
            </w:r>
            <w:r>
              <w:rPr>
                <w:color w:val="FF0000"/>
                <w:sz w:val="24"/>
                <w:u w:val="single"/>
              </w:rPr>
              <w:t>中发生二氧化氯泄漏时，安装</w:t>
            </w:r>
            <w:r>
              <w:rPr>
                <w:rFonts w:ascii="宋体" w:hAnsi="宋体" w:eastAsia="宋体" w:cs="宋体"/>
                <w:color w:val="FF0000"/>
                <w:sz w:val="24"/>
                <w:u w:val="single"/>
              </w:rPr>
              <w:t>在</w:t>
            </w:r>
            <w:r>
              <w:rPr>
                <w:rFonts w:hint="eastAsia" w:ascii="宋体" w:hAnsi="宋体" w:eastAsia="宋体" w:cs="宋体"/>
                <w:color w:val="FF0000"/>
                <w:sz w:val="24"/>
                <w:u w:val="single"/>
              </w:rPr>
              <w:t>加药间</w:t>
            </w:r>
            <w:r>
              <w:rPr>
                <w:rFonts w:ascii="宋体" w:hAnsi="宋体" w:eastAsia="宋体" w:cs="宋体"/>
                <w:color w:val="FF0000"/>
                <w:sz w:val="24"/>
                <w:u w:val="single"/>
              </w:rPr>
              <w:t>内的探头检测到</w:t>
            </w:r>
            <w:r>
              <w:rPr>
                <w:color w:val="FF0000"/>
                <w:sz w:val="24"/>
                <w:u w:val="single"/>
              </w:rPr>
              <w:t>二氧化氯浓度超标，设备自动启动，风机将</w:t>
            </w:r>
            <w:r>
              <w:rPr>
                <w:rFonts w:hint="eastAsia"/>
                <w:color w:val="FF0000"/>
                <w:sz w:val="24"/>
                <w:u w:val="single"/>
                <w:lang w:eastAsia="zh-CN"/>
              </w:rPr>
              <w:t>加氯加药间</w:t>
            </w:r>
            <w:r>
              <w:rPr>
                <w:color w:val="FF0000"/>
                <w:sz w:val="24"/>
                <w:u w:val="single"/>
              </w:rPr>
              <w:t>内的含氯混合气体通过地管道送到反应吸收塔，吸收塔内气液两相之间发生传质反应，二氧化氯被吸收液吸收，反应后的液体又流回储液再生箱，经过再生后吸收液又可与二氧化氯反应，循环使用，吸收液无需更换。本次评价漏氯收集和中和装置吸收和处理二氧化氯的效率按 90%计，未被收集处理的二氧化氯约占泄露二氧化氯的10%，即发生二氧化氯泄露时约0.05kg/h 的二氧化氯直接以无组织形式排放。二氧化氯量较小，非正常工况泄露的二氧化氯对大气环境影响小。</w:t>
            </w:r>
          </w:p>
          <w:p>
            <w:pPr>
              <w:spacing w:line="360" w:lineRule="auto"/>
              <w:ind w:firstLine="480" w:firstLineChars="200"/>
              <w:rPr>
                <w:color w:val="FF0000"/>
                <w:sz w:val="24"/>
                <w:u w:val="single"/>
              </w:rPr>
            </w:pPr>
            <w:r>
              <w:rPr>
                <w:color w:val="FF0000"/>
                <w:sz w:val="24"/>
                <w:u w:val="single"/>
              </w:rPr>
              <w:t>类比调查可知项目运营期最大可信事故是</w:t>
            </w:r>
            <w:r>
              <w:rPr>
                <w:rFonts w:hAnsi="宋体"/>
                <w:color w:val="FF0000"/>
                <w:highlight w:val="none"/>
                <w:u w:val="single"/>
              </w:rPr>
              <w:t>制取设备产生故障或阀门、管道锈蚀情况下溢漏</w:t>
            </w:r>
            <w:r>
              <w:rPr>
                <w:color w:val="FF0000"/>
                <w:sz w:val="24"/>
                <w:u w:val="single"/>
              </w:rPr>
              <w:t>，导致二氧化氯泄露事故。根据国外常见的典型泄露孔径分类，以及用于重大危险源定量风险评价的泄露概率，泄露概率为5.00×10</w:t>
            </w:r>
            <w:r>
              <w:rPr>
                <w:color w:val="FF0000"/>
                <w:sz w:val="24"/>
                <w:u w:val="single"/>
                <w:vertAlign w:val="superscript"/>
              </w:rPr>
              <w:t>-6</w:t>
            </w:r>
            <w:r>
              <w:rPr>
                <w:color w:val="FF0000"/>
                <w:sz w:val="24"/>
                <w:u w:val="single"/>
              </w:rPr>
              <w:t>次/年。为避免物质发生泄露等对周围环境和人身健康造成影响和损害，本评价对项目可能产生的环境风险提出以下防范措施：</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val="en-US" w:eastAsia="zh-CN"/>
              </w:rPr>
              <w:t>1）</w:t>
            </w:r>
            <w:r>
              <w:rPr>
                <w:rFonts w:hint="eastAsia" w:ascii="Times New Roman" w:hAnsi="Times New Roman" w:eastAsia="宋体" w:cs="Times New Roman"/>
                <w:color w:val="FF0000"/>
                <w:highlight w:val="none"/>
                <w:u w:val="single"/>
                <w:lang w:eastAsia="zh-CN"/>
              </w:rPr>
              <w:t>设计环节应该采取的风险防范措施</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①加氯加药间建设必须符合《建筑设计防火规范》（GB50016-2006）的有关规定，其卫生条件和环境条件应符合《工业企业设计卫生标准》（GBZ1-2002）的有关规定；</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②严格划分水厂的危险区域，加氯加药间粘贴危险标识；</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③加氯加药间采用封闭式建筑并安装轴流风机，加强通风以防二氧化氯聚集；</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④采用真空加氯机器自动投加氯；</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⑤加氯间安装泄氯检测仪和泄氯自动报警系统。</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val="en-US" w:eastAsia="zh-CN"/>
              </w:rPr>
              <w:t>2）</w:t>
            </w:r>
            <w:r>
              <w:rPr>
                <w:rFonts w:hint="eastAsia" w:ascii="Times New Roman" w:hAnsi="Times New Roman" w:eastAsia="宋体" w:cs="Times New Roman"/>
                <w:color w:val="FF0000"/>
                <w:highlight w:val="none"/>
                <w:u w:val="single"/>
                <w:lang w:eastAsia="zh-CN"/>
              </w:rPr>
              <w:t>运行环节应该采取的风险防范措施</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①二氧化氯使用、贮存、运输等作业人员必须经过专业培训并取得特种作业合格证后方可上岗；</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②加氯加药间间配备必要的防毒口罩、面具、护目镜、防护服、防护靴以及防护手套等人员防护用品；</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③加强加氯系统的设备定期检查，检查管道、阀门和垫片等，定期进行检漏实验，纺织设备的破损老化引起的泄漏；</w:t>
            </w:r>
          </w:p>
          <w:p>
            <w:pPr>
              <w:spacing w:line="360" w:lineRule="auto"/>
              <w:jc w:val="left"/>
              <w:rPr>
                <w:rFonts w:hint="eastAsia" w:ascii="Times New Roman" w:hAnsi="Times New Roman" w:eastAsia="宋体" w:cs="Times New Roman"/>
                <w:color w:val="FF0000"/>
                <w:highlight w:val="none"/>
                <w:u w:val="single"/>
                <w:lang w:eastAsia="zh-CN"/>
              </w:rPr>
            </w:pPr>
            <w:r>
              <w:rPr>
                <w:rFonts w:hint="eastAsia" w:ascii="Times New Roman" w:hAnsi="Times New Roman" w:eastAsia="宋体" w:cs="Times New Roman"/>
                <w:color w:val="FF0000"/>
                <w:highlight w:val="none"/>
                <w:u w:val="single"/>
                <w:lang w:eastAsia="zh-CN"/>
              </w:rPr>
              <w:t>④</w:t>
            </w:r>
            <w:r>
              <w:rPr>
                <w:rFonts w:hint="eastAsia"/>
                <w:color w:val="FF0000"/>
                <w:highlight w:val="none"/>
                <w:u w:val="single"/>
              </w:rPr>
              <w:t>加强对操作人员的培训，提高操作技能，严格按操作规程操作</w:t>
            </w:r>
            <w:r>
              <w:rPr>
                <w:rFonts w:hint="eastAsia" w:ascii="Times New Roman" w:hAnsi="Times New Roman" w:eastAsia="宋体" w:cs="Times New Roman"/>
                <w:color w:val="FF0000"/>
                <w:highlight w:val="none"/>
                <w:u w:val="single"/>
                <w:lang w:eastAsia="zh-CN"/>
              </w:rPr>
              <w:t>，避免操作失误引起二氧化氯泄漏；</w:t>
            </w:r>
          </w:p>
          <w:p>
            <w:pPr>
              <w:spacing w:line="360" w:lineRule="auto"/>
              <w:jc w:val="left"/>
              <w:rPr>
                <w:rFonts w:hint="eastAsia"/>
                <w:color w:val="auto"/>
                <w:highlight w:val="none"/>
              </w:rPr>
            </w:pPr>
            <w:r>
              <w:rPr>
                <w:rFonts w:hint="eastAsia" w:ascii="Times New Roman" w:hAnsi="Times New Roman" w:eastAsia="宋体" w:cs="Times New Roman"/>
                <w:color w:val="FF0000"/>
                <w:highlight w:val="none"/>
                <w:u w:val="single"/>
                <w:lang w:eastAsia="zh-CN"/>
              </w:rPr>
              <w:t>⑤</w:t>
            </w:r>
            <w:r>
              <w:rPr>
                <w:rFonts w:hint="eastAsia"/>
                <w:color w:val="auto"/>
                <w:highlight w:val="none"/>
              </w:rPr>
              <w:t xml:space="preserve">加氯设备必须配备相应的报警系统，配备自动喷水系统等应急防止措施，一旦发生事故性泄漏，报警系统即会自动报警，并可开启机械通风设备，抽取含氯空气，再经喷淋设备处理后排空。自动喷水池的废水需进行单独处理，经中和处理，沉淀后排放。在厂区四周种植一些常绿高大抗性树种，形成绿色屏障。 </w:t>
            </w:r>
          </w:p>
          <w:p>
            <w:pPr>
              <w:spacing w:line="360" w:lineRule="auto"/>
              <w:jc w:val="left"/>
              <w:rPr>
                <w:rFonts w:hint="eastAsia" w:ascii="Times New Roman" w:hAnsi="Times New Roman" w:eastAsia="宋体" w:cs="Times New Roman"/>
                <w:color w:val="FF0000"/>
                <w:highlight w:val="none"/>
                <w:u w:val="single"/>
                <w:lang w:val="en-US" w:eastAsia="zh-CN"/>
              </w:rPr>
            </w:pPr>
            <w:r>
              <w:rPr>
                <w:rFonts w:hint="eastAsia" w:ascii="Times New Roman" w:hAnsi="Times New Roman" w:eastAsia="宋体" w:cs="Times New Roman"/>
                <w:color w:val="FF0000"/>
                <w:highlight w:val="none"/>
                <w:u w:val="single"/>
                <w:lang w:eastAsia="zh-CN"/>
              </w:rPr>
              <w:t>⑥制订事故应急预案，建立应急抢险救援队伍，配备必要的卫生防护及救援设施，对职工进行事故应急救援教育，告知从业</w:t>
            </w:r>
            <w:r>
              <w:rPr>
                <w:rFonts w:hint="eastAsia" w:ascii="Times New Roman" w:hAnsi="Times New Roman" w:eastAsia="宋体" w:cs="Times New Roman"/>
                <w:color w:val="FF0000"/>
                <w:highlight w:val="none"/>
                <w:u w:val="single"/>
                <w:lang w:val="en-US" w:eastAsia="zh-CN"/>
              </w:rPr>
              <w:t>人员和相关人员在紧急情况下应当采取的应急措施，并定期组织演练。</w:t>
            </w:r>
          </w:p>
          <w:p>
            <w:pPr>
              <w:spacing w:line="360" w:lineRule="auto"/>
              <w:jc w:val="left"/>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）小结 </w:t>
            </w:r>
          </w:p>
          <w:p>
            <w:pPr>
              <w:spacing w:line="360" w:lineRule="auto"/>
              <w:jc w:val="left"/>
              <w:rPr>
                <w:color w:val="auto"/>
                <w:highlight w:val="none"/>
              </w:rPr>
            </w:pPr>
            <w:r>
              <w:rPr>
                <w:rFonts w:hint="eastAsia"/>
                <w:color w:val="auto"/>
                <w:highlight w:val="none"/>
              </w:rPr>
              <w:t>该工程项目应按本报告所提建议做好风险防范工作，建立完善风险管理制度，安排专人，加强建成营运后的风险管理，组织全站职工加强学习，提高环保及环境风险意识，对本报告所提出的应急预案还应定期组织演练，杜绝风险事故的发生。</w:t>
            </w:r>
          </w:p>
          <w:p>
            <w:pPr>
              <w:spacing w:line="360" w:lineRule="auto"/>
              <w:ind w:firstLine="482"/>
              <w:jc w:val="left"/>
              <w:rPr>
                <w:b/>
                <w:bCs/>
                <w:color w:val="auto"/>
                <w:highlight w:val="none"/>
              </w:rPr>
            </w:pPr>
            <w:r>
              <w:rPr>
                <w:rFonts w:hint="eastAsia"/>
                <w:b/>
                <w:bCs/>
                <w:color w:val="auto"/>
                <w:highlight w:val="none"/>
              </w:rPr>
              <w:t>3.4风险应急预案</w:t>
            </w:r>
          </w:p>
          <w:p>
            <w:pPr>
              <w:spacing w:line="360" w:lineRule="auto"/>
              <w:jc w:val="left"/>
              <w:rPr>
                <w:color w:val="auto"/>
                <w:highlight w:val="none"/>
              </w:rPr>
            </w:pPr>
            <w:r>
              <w:rPr>
                <w:rFonts w:hint="eastAsia"/>
                <w:color w:val="auto"/>
                <w:highlight w:val="none"/>
              </w:rPr>
              <w:t>①指挥结构</w:t>
            </w:r>
          </w:p>
          <w:p>
            <w:pPr>
              <w:spacing w:line="360" w:lineRule="auto"/>
              <w:jc w:val="left"/>
              <w:rPr>
                <w:color w:val="auto"/>
                <w:highlight w:val="none"/>
              </w:rPr>
            </w:pPr>
            <w:r>
              <w:rPr>
                <w:rFonts w:hint="eastAsia"/>
                <w:color w:val="auto"/>
                <w:highlight w:val="none"/>
              </w:rPr>
              <w:t>设置环境管理机构和专门的应急领导小组，由企业负责人任组长，并配专职环保管理人员。</w:t>
            </w:r>
          </w:p>
          <w:p>
            <w:pPr>
              <w:spacing w:line="360" w:lineRule="auto"/>
              <w:jc w:val="left"/>
              <w:rPr>
                <w:color w:val="auto"/>
                <w:highlight w:val="none"/>
              </w:rPr>
            </w:pPr>
            <w:r>
              <w:rPr>
                <w:rFonts w:hint="eastAsia"/>
                <w:color w:val="auto"/>
                <w:highlight w:val="none"/>
              </w:rPr>
              <w:t>一旦发生风险事故，岗位人员应立即报告装置应急领导小组；各级应急指挥领导、成员接到报告后，立即赶赴现场按照各自的职责分工和应急处理程序进行应急处理；处理期间根据事态的发展，应急领导小组现场对事故险情进行评估，根据评估结果确定是否需要上级主管部门的协助救援。</w:t>
            </w:r>
          </w:p>
          <w:p>
            <w:pPr>
              <w:spacing w:line="360" w:lineRule="auto"/>
              <w:jc w:val="left"/>
              <w:rPr>
                <w:color w:val="auto"/>
                <w:highlight w:val="none"/>
              </w:rPr>
            </w:pPr>
            <w:r>
              <w:rPr>
                <w:rFonts w:hint="eastAsia"/>
                <w:color w:val="auto"/>
                <w:highlight w:val="none"/>
              </w:rPr>
              <w:t>②事故上报程序和内容</w:t>
            </w:r>
          </w:p>
          <w:p>
            <w:pPr>
              <w:spacing w:line="360" w:lineRule="auto"/>
              <w:jc w:val="left"/>
              <w:rPr>
                <w:color w:val="auto"/>
                <w:highlight w:val="none"/>
              </w:rPr>
            </w:pPr>
            <w:r>
              <w:rPr>
                <w:rFonts w:hint="eastAsia"/>
                <w:color w:val="auto"/>
                <w:highlight w:val="none"/>
              </w:rPr>
              <w:t>报告程序：事故发生后24h内将事故概况迅速上报环保、劳动、卫生等相关部门。</w:t>
            </w:r>
          </w:p>
          <w:p>
            <w:pPr>
              <w:spacing w:line="360" w:lineRule="auto"/>
              <w:jc w:val="left"/>
              <w:rPr>
                <w:color w:val="auto"/>
                <w:highlight w:val="none"/>
              </w:rPr>
            </w:pPr>
            <w:r>
              <w:rPr>
                <w:rFonts w:hint="eastAsia"/>
                <w:color w:val="auto"/>
                <w:highlight w:val="none"/>
              </w:rPr>
              <w:t>报告内容：发生事故的单位、时间、地点、事故原因、对环境影响、灾情损失情况和抢险情况。</w:t>
            </w:r>
          </w:p>
          <w:p>
            <w:pPr>
              <w:spacing w:line="360" w:lineRule="auto"/>
              <w:jc w:val="left"/>
              <w:rPr>
                <w:color w:val="auto"/>
                <w:highlight w:val="none"/>
              </w:rPr>
            </w:pPr>
            <w:r>
              <w:rPr>
                <w:rFonts w:hint="eastAsia"/>
                <w:color w:val="auto"/>
                <w:highlight w:val="none"/>
              </w:rPr>
              <w:t>③信息传递</w:t>
            </w:r>
          </w:p>
          <w:p>
            <w:pPr>
              <w:spacing w:line="360" w:lineRule="auto"/>
              <w:jc w:val="left"/>
              <w:rPr>
                <w:color w:val="auto"/>
                <w:highlight w:val="none"/>
              </w:rPr>
            </w:pPr>
            <w:r>
              <w:rPr>
                <w:rFonts w:hint="eastAsia"/>
                <w:color w:val="auto"/>
                <w:highlight w:val="none"/>
              </w:rPr>
              <w:t>按照从紧急情况现场与指挥线路一致的线路上报和下传，确保管理层及当地环保部门及时得到信息。</w:t>
            </w:r>
          </w:p>
          <w:p>
            <w:pPr>
              <w:spacing w:line="360" w:lineRule="auto"/>
              <w:jc w:val="left"/>
              <w:rPr>
                <w:color w:val="auto"/>
                <w:highlight w:val="none"/>
              </w:rPr>
            </w:pPr>
            <w:r>
              <w:rPr>
                <w:rFonts w:hint="eastAsia"/>
                <w:color w:val="auto"/>
                <w:highlight w:val="none"/>
              </w:rPr>
              <w:t>④现场警戒措施</w:t>
            </w:r>
          </w:p>
          <w:p>
            <w:pPr>
              <w:spacing w:line="360" w:lineRule="auto"/>
              <w:jc w:val="left"/>
              <w:rPr>
                <w:color w:val="auto"/>
                <w:highlight w:val="none"/>
              </w:rPr>
            </w:pPr>
            <w:r>
              <w:rPr>
                <w:rFonts w:hint="eastAsia"/>
                <w:color w:val="auto"/>
                <w:highlight w:val="none"/>
              </w:rPr>
              <w:t>由环境管理机构和应急领导小组根据现场实际情况指挥事故单位划定警戒区域，并用警戒绳圈定，并安排人员负责把守，警戒人员必须佩带安全防护用具。禁止无关人员进入危险区域，同时通知公安保卫处禁止无关人员及车辆进入危险区域。</w:t>
            </w:r>
          </w:p>
          <w:p>
            <w:pPr>
              <w:spacing w:line="360" w:lineRule="auto"/>
              <w:jc w:val="left"/>
              <w:rPr>
                <w:color w:val="auto"/>
                <w:highlight w:val="none"/>
              </w:rPr>
            </w:pPr>
            <w:r>
              <w:rPr>
                <w:rFonts w:hint="eastAsia"/>
                <w:color w:val="auto"/>
                <w:highlight w:val="none"/>
              </w:rPr>
              <w:t>⑤善后处理</w:t>
            </w:r>
          </w:p>
          <w:p>
            <w:pPr>
              <w:spacing w:line="360" w:lineRule="auto"/>
              <w:jc w:val="left"/>
              <w:rPr>
                <w:color w:val="auto"/>
                <w:highlight w:val="none"/>
              </w:rPr>
            </w:pPr>
            <w:r>
              <w:rPr>
                <w:rFonts w:hint="eastAsia"/>
                <w:color w:val="auto"/>
                <w:highlight w:val="none"/>
              </w:rPr>
              <w:t>突发事件结束后，由有关部门迅速成立事故调查小组，进行调查处理；组织恢复污水厂运行，做好恢复运行的各项措施；突发事件结束后，根据突发事件的影响范围由污水厂办公室或指定人员统一对外发布信息。</w:t>
            </w:r>
          </w:p>
          <w:p>
            <w:pPr>
              <w:spacing w:line="360" w:lineRule="auto"/>
              <w:jc w:val="left"/>
              <w:rPr>
                <w:color w:val="auto"/>
                <w:highlight w:val="none"/>
              </w:rPr>
            </w:pPr>
            <w:r>
              <w:rPr>
                <w:rFonts w:hint="eastAsia"/>
                <w:color w:val="auto"/>
                <w:highlight w:val="none"/>
              </w:rPr>
              <w:t>⑥应急监测</w:t>
            </w:r>
          </w:p>
          <w:p>
            <w:pPr>
              <w:spacing w:line="360" w:lineRule="auto"/>
              <w:jc w:val="left"/>
              <w:rPr>
                <w:color w:val="auto"/>
                <w:highlight w:val="none"/>
              </w:rPr>
            </w:pPr>
            <w:r>
              <w:rPr>
                <w:rFonts w:hint="eastAsia"/>
                <w:color w:val="auto"/>
                <w:highlight w:val="none"/>
              </w:rPr>
              <w:t>事故发生时，应迅速通知环境监测部门进行现场应急监测，净水厂人员积极配合。事故排放发生时，每2小时采一次样进行监测，事故排放得到控制后，每天采一次样进行监测，直至影响水域水环境质量恢复到事故排放前的水平。</w:t>
            </w:r>
          </w:p>
          <w:p>
            <w:pPr>
              <w:spacing w:line="360" w:lineRule="auto"/>
              <w:jc w:val="left"/>
              <w:rPr>
                <w:color w:val="auto"/>
                <w:highlight w:val="none"/>
              </w:rPr>
            </w:pPr>
            <w:r>
              <w:rPr>
                <w:rFonts w:hint="eastAsia"/>
                <w:color w:val="auto"/>
                <w:highlight w:val="none"/>
              </w:rPr>
              <w:t>⑦应急终止</w:t>
            </w:r>
          </w:p>
          <w:p>
            <w:pPr>
              <w:spacing w:line="360" w:lineRule="auto"/>
              <w:jc w:val="left"/>
              <w:rPr>
                <w:color w:val="auto"/>
                <w:highlight w:val="none"/>
              </w:rPr>
            </w:pPr>
            <w:r>
              <w:rPr>
                <w:rFonts w:hint="eastAsia"/>
                <w:color w:val="auto"/>
                <w:highlight w:val="none"/>
              </w:rPr>
              <w:t>事故排放满足应急终止条件包括净水厂事故排放得到控制，造成事故排放诱发因素已经消除，净水厂排放口水质恢复至事故排放前水平，且净水厂事故排放无继发可能。</w:t>
            </w:r>
          </w:p>
          <w:p>
            <w:pPr>
              <w:spacing w:line="360" w:lineRule="auto"/>
              <w:jc w:val="left"/>
              <w:rPr>
                <w:color w:val="auto"/>
                <w:highlight w:val="none"/>
              </w:rPr>
            </w:pPr>
            <w:r>
              <w:rPr>
                <w:rFonts w:hint="eastAsia"/>
                <w:color w:val="auto"/>
                <w:highlight w:val="none"/>
              </w:rPr>
              <w:t>⑧应急终止程序</w:t>
            </w:r>
          </w:p>
          <w:p>
            <w:pPr>
              <w:spacing w:line="360" w:lineRule="auto"/>
              <w:jc w:val="left"/>
              <w:rPr>
                <w:color w:val="auto"/>
                <w:highlight w:val="none"/>
              </w:rPr>
            </w:pPr>
            <w:r>
              <w:rPr>
                <w:rFonts w:hint="eastAsia"/>
                <w:color w:val="auto"/>
                <w:highlight w:val="none"/>
              </w:rPr>
              <w:t>由应急指挥部确定应急终止时机，并向各部门下达应急终止命令。应急状态终止后，应继续进行环境监测和评价工作，直至其他补偿措施无需继续进行为止，终止后应评估污染造成的损害，确定事故赔偿，并编制事故调查报告，备案上报相关材料。</w:t>
            </w:r>
          </w:p>
          <w:p>
            <w:pPr>
              <w:spacing w:line="360" w:lineRule="auto"/>
              <w:jc w:val="left"/>
              <w:rPr>
                <w:color w:val="auto"/>
                <w:highlight w:val="none"/>
              </w:rPr>
            </w:pPr>
            <w:r>
              <w:rPr>
                <w:rFonts w:hint="eastAsia"/>
                <w:color w:val="auto"/>
                <w:highlight w:val="none"/>
              </w:rPr>
              <w:t>⑨应急预案</w:t>
            </w:r>
          </w:p>
          <w:p>
            <w:pPr>
              <w:spacing w:line="240" w:lineRule="auto"/>
              <w:ind w:firstLine="422"/>
              <w:jc w:val="center"/>
              <w:rPr>
                <w:b/>
                <w:bCs/>
                <w:color w:val="auto"/>
                <w:sz w:val="21"/>
                <w:szCs w:val="21"/>
                <w:highlight w:val="none"/>
              </w:rPr>
            </w:pPr>
            <w:r>
              <w:rPr>
                <w:rFonts w:hint="eastAsia"/>
                <w:b/>
                <w:bCs/>
                <w:color w:val="auto"/>
                <w:sz w:val="21"/>
                <w:szCs w:val="21"/>
                <w:highlight w:val="none"/>
              </w:rPr>
              <w:t>表7-8   环境风险突发事故应急预案</w:t>
            </w:r>
          </w:p>
          <w:tbl>
            <w:tblPr>
              <w:tblStyle w:val="26"/>
              <w:tblW w:w="90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54"/>
              <w:gridCol w:w="2087"/>
              <w:gridCol w:w="6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序号</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项目</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05"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1</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总则</w:t>
                  </w:r>
                </w:p>
              </w:tc>
              <w:tc>
                <w:tcPr>
                  <w:tcW w:w="6259" w:type="dxa"/>
                  <w:vAlign w:val="center"/>
                </w:tcPr>
                <w:p>
                  <w:pPr>
                    <w:pStyle w:val="49"/>
                    <w:spacing w:line="240" w:lineRule="auto"/>
                    <w:ind w:firstLine="0" w:firstLineChars="0"/>
                    <w:rPr>
                      <w:rFonts w:eastAsia="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05"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2</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危险源概况</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危险源类型、数量及分布及对环境的风险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822"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3</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应急计划区</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运营期事故主要为</w:t>
                  </w:r>
                  <w:r>
                    <w:rPr>
                      <w:rFonts w:hint="eastAsia" w:eastAsia="宋体"/>
                      <w:color w:val="auto"/>
                      <w:sz w:val="21"/>
                      <w:szCs w:val="21"/>
                      <w:highlight w:val="none"/>
                    </w:rPr>
                    <w:t>净水过程中投加消毒剂在存贮和使用过程中泄漏造成燃烧爆炸；净水厂在净水、蓄水过程中遭受外界污染物污染。</w:t>
                  </w:r>
                  <w:r>
                    <w:rPr>
                      <w:rFonts w:eastAsia="宋体"/>
                      <w:color w:val="auto"/>
                      <w:sz w:val="21"/>
                      <w:szCs w:val="21"/>
                      <w:highlight w:val="none"/>
                    </w:rPr>
                    <w:t>，环境保护目标为工作人员、设备、水质、周围居民等敏感点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05"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4</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应急组织</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成立应急指挥部，环保、消防、水利为主要响应机构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51"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5</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应急状态分类及应急响应程序</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规定事故的级别及相应的应急分类响应程序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51"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6</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应急设施设备材料</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防未达标废水外溢、直排，主要应急设备是流速、流量测定仪、便携式多功能水质检测仪、</w:t>
                  </w:r>
                  <w:r>
                    <w:rPr>
                      <w:rFonts w:hint="eastAsia" w:eastAsia="宋体"/>
                      <w:color w:val="auto"/>
                      <w:sz w:val="21"/>
                      <w:szCs w:val="21"/>
                      <w:highlight w:val="none"/>
                    </w:rPr>
                    <w:t>C</w:t>
                  </w:r>
                  <w:r>
                    <w:rPr>
                      <w:rFonts w:eastAsia="宋体"/>
                      <w:color w:val="auto"/>
                      <w:sz w:val="21"/>
                      <w:szCs w:val="21"/>
                      <w:highlight w:val="none"/>
                    </w:rPr>
                    <w:t>OD</w:t>
                  </w:r>
                  <w:r>
                    <w:rPr>
                      <w:rFonts w:hint="eastAsia" w:eastAsia="宋体"/>
                      <w:color w:val="auto"/>
                      <w:sz w:val="21"/>
                      <w:szCs w:val="21"/>
                      <w:highlight w:val="none"/>
                    </w:rPr>
                    <w:t>、氨氮</w:t>
                  </w:r>
                  <w:r>
                    <w:rPr>
                      <w:rFonts w:eastAsia="宋体"/>
                      <w:color w:val="auto"/>
                      <w:sz w:val="21"/>
                      <w:szCs w:val="21"/>
                      <w:highlight w:val="none"/>
                    </w:rPr>
                    <w:t>快速测定仪、便携式pH计等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51"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7</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报警通讯、通知方式和交通</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规定应急状态下的报警通讯方式、通知方式、通知对象(周围群众与政府部门)和交通保障、管制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51"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8</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应急环境监测及事故后果评估</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由专业队伍负责对事故现场进行环境应急监测，对事故性质、参数与后果进行评估，组织专家组为指挥部门提供决策依据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51" w:hRule="atLeast"/>
                <w:tblHeader/>
                <w:jc w:val="center"/>
              </w:trPr>
              <w:tc>
                <w:tcPr>
                  <w:tcW w:w="654" w:type="dxa"/>
                  <w:vMerge w:val="restart"/>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9</w:t>
                  </w:r>
                </w:p>
              </w:tc>
              <w:tc>
                <w:tcPr>
                  <w:tcW w:w="2087" w:type="dxa"/>
                  <w:vMerge w:val="restart"/>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应急防护措施、清除泄漏措施方法和器材</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事故现场：控制事故，防止扩大、蔓延及连锁反应。清除现场泄漏物，降低危害，相应的设施器材配备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05" w:hRule="atLeast"/>
                <w:tblHeader/>
                <w:jc w:val="center"/>
              </w:trPr>
              <w:tc>
                <w:tcPr>
                  <w:tcW w:w="654" w:type="dxa"/>
                  <w:vMerge w:val="continue"/>
                  <w:vAlign w:val="center"/>
                </w:tcPr>
                <w:p>
                  <w:pPr>
                    <w:pStyle w:val="49"/>
                    <w:spacing w:line="240" w:lineRule="auto"/>
                    <w:ind w:firstLine="0" w:firstLineChars="0"/>
                    <w:rPr>
                      <w:rFonts w:eastAsia="宋体"/>
                      <w:color w:val="auto"/>
                      <w:sz w:val="21"/>
                      <w:szCs w:val="21"/>
                      <w:highlight w:val="none"/>
                    </w:rPr>
                  </w:pPr>
                </w:p>
              </w:tc>
              <w:tc>
                <w:tcPr>
                  <w:tcW w:w="2087" w:type="dxa"/>
                  <w:vMerge w:val="continue"/>
                  <w:vAlign w:val="center"/>
                </w:tcPr>
                <w:p>
                  <w:pPr>
                    <w:pStyle w:val="49"/>
                    <w:spacing w:line="240" w:lineRule="auto"/>
                    <w:ind w:firstLine="0" w:firstLineChars="0"/>
                    <w:rPr>
                      <w:rFonts w:eastAsia="宋体"/>
                      <w:color w:val="auto"/>
                      <w:sz w:val="21"/>
                      <w:szCs w:val="21"/>
                      <w:highlight w:val="none"/>
                    </w:rPr>
                  </w:pP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邻近区域：控制防火区域，控制和清除污染措施及相应设备配备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51" w:hRule="atLeast"/>
                <w:tblHeader/>
                <w:jc w:val="center"/>
              </w:trPr>
              <w:tc>
                <w:tcPr>
                  <w:tcW w:w="654" w:type="dxa"/>
                  <w:vMerge w:val="restart"/>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10</w:t>
                  </w:r>
                </w:p>
              </w:tc>
              <w:tc>
                <w:tcPr>
                  <w:tcW w:w="2087" w:type="dxa"/>
                  <w:vMerge w:val="restart"/>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应急剂量控制、撤离组织计划、医疗救护与公众健康</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事故现场：控制事故发展，阻止扩大、蔓延及连锁反应，相应的设备器材配置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05" w:hRule="atLeast"/>
                <w:tblHeader/>
                <w:jc w:val="center"/>
              </w:trPr>
              <w:tc>
                <w:tcPr>
                  <w:tcW w:w="654" w:type="dxa"/>
                  <w:vMerge w:val="continue"/>
                  <w:vAlign w:val="center"/>
                </w:tcPr>
                <w:p>
                  <w:pPr>
                    <w:pStyle w:val="49"/>
                    <w:spacing w:line="240" w:lineRule="auto"/>
                    <w:ind w:firstLine="0" w:firstLineChars="0"/>
                    <w:rPr>
                      <w:rFonts w:eastAsia="宋体"/>
                      <w:color w:val="auto"/>
                      <w:sz w:val="21"/>
                      <w:szCs w:val="21"/>
                      <w:highlight w:val="none"/>
                    </w:rPr>
                  </w:pPr>
                </w:p>
              </w:tc>
              <w:tc>
                <w:tcPr>
                  <w:tcW w:w="2087" w:type="dxa"/>
                  <w:vMerge w:val="continue"/>
                  <w:vAlign w:val="center"/>
                </w:tcPr>
                <w:p>
                  <w:pPr>
                    <w:pStyle w:val="49"/>
                    <w:spacing w:line="240" w:lineRule="auto"/>
                    <w:ind w:firstLine="0" w:firstLineChars="0"/>
                    <w:rPr>
                      <w:rFonts w:eastAsia="宋体"/>
                      <w:color w:val="auto"/>
                      <w:sz w:val="21"/>
                      <w:szCs w:val="21"/>
                      <w:highlight w:val="none"/>
                    </w:rPr>
                  </w:pP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邻近区：控制和消除环境污染的措施及相应的设备配备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822"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11</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应急状态终止与恢复措施</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规定应急状态终止程序</w:t>
                  </w:r>
                </w:p>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事故现场善后处理，恢复措施</w:t>
                  </w:r>
                </w:p>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05"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12</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人员培训与演练</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应急计划制定后，平时安排人员培训与演练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05"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13</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公众教育和信息</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对工厂邻近地区开展公众教育、培训和发布有关信息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51"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14</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记录和报告</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设置应急事故专门记录，建档案和专门报告制度，设专门部门和负责管理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blHeader/>
                <w:jc w:val="center"/>
              </w:trPr>
              <w:tc>
                <w:tcPr>
                  <w:tcW w:w="654"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15</w:t>
                  </w:r>
                </w:p>
              </w:tc>
              <w:tc>
                <w:tcPr>
                  <w:tcW w:w="2087"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附件</w:t>
                  </w:r>
                </w:p>
              </w:tc>
              <w:tc>
                <w:tcPr>
                  <w:tcW w:w="6259" w:type="dxa"/>
                  <w:vAlign w:val="center"/>
                </w:tcPr>
                <w:p>
                  <w:pPr>
                    <w:pStyle w:val="49"/>
                    <w:spacing w:line="240" w:lineRule="auto"/>
                    <w:ind w:firstLine="0" w:firstLineChars="0"/>
                    <w:rPr>
                      <w:rFonts w:eastAsia="宋体"/>
                      <w:color w:val="auto"/>
                      <w:sz w:val="21"/>
                      <w:szCs w:val="21"/>
                      <w:highlight w:val="none"/>
                    </w:rPr>
                  </w:pPr>
                  <w:r>
                    <w:rPr>
                      <w:rFonts w:eastAsia="宋体"/>
                      <w:color w:val="auto"/>
                      <w:sz w:val="21"/>
                      <w:szCs w:val="21"/>
                      <w:highlight w:val="none"/>
                    </w:rPr>
                    <w:t>与应急事故有关的多种附件材料的准备和形成</w:t>
                  </w:r>
                </w:p>
              </w:tc>
            </w:tr>
          </w:tbl>
          <w:p>
            <w:pPr>
              <w:spacing w:line="360" w:lineRule="auto"/>
              <w:ind w:firstLine="482"/>
              <w:jc w:val="left"/>
              <w:rPr>
                <w:b/>
                <w:bCs/>
                <w:color w:val="auto"/>
                <w:highlight w:val="none"/>
              </w:rPr>
            </w:pPr>
            <w:r>
              <w:rPr>
                <w:rFonts w:hint="eastAsia"/>
                <w:b/>
                <w:bCs/>
                <w:color w:val="auto"/>
                <w:highlight w:val="none"/>
              </w:rPr>
              <w:t>3.5风险总结</w:t>
            </w:r>
          </w:p>
          <w:p>
            <w:pPr>
              <w:spacing w:line="360" w:lineRule="auto"/>
              <w:jc w:val="left"/>
              <w:rPr>
                <w:color w:val="auto"/>
                <w:highlight w:val="none"/>
              </w:rPr>
            </w:pPr>
            <w:r>
              <w:rPr>
                <w:rFonts w:hint="eastAsia"/>
                <w:color w:val="auto"/>
                <w:highlight w:val="none"/>
              </w:rPr>
              <w:t>根据项目的物质危险性和重大危险源判定结果，确定本项目环境风险潜势为Ⅰ，可展开简单分析。建设单位应采用严格的国际通用的安全防范体系，有一套完整的管理规程、作业规章和应急计划，可最大限度地降低环境风险，一旦意外事件发生，也能最大限度地减少环境污染危害和人们生命财产的损失。根据湖南众多同类净水厂的实际情况，净水厂的风险事故并不突出。环境风险主要是人为事件，完全可以通过政府各有关职能部门加强监督指导，厂区内部制定严格的管理条例和岗位责任制，加强职工的安全生产教育，提高风险意识，从而最大限度地减少可能发生的环境风险。</w:t>
            </w:r>
          </w:p>
          <w:p>
            <w:pPr>
              <w:spacing w:line="240" w:lineRule="auto"/>
              <w:ind w:firstLine="422"/>
              <w:jc w:val="center"/>
              <w:rPr>
                <w:b/>
                <w:bCs/>
                <w:color w:val="auto"/>
                <w:sz w:val="21"/>
                <w:szCs w:val="21"/>
                <w:highlight w:val="none"/>
              </w:rPr>
            </w:pPr>
            <w:r>
              <w:rPr>
                <w:rFonts w:hint="eastAsia"/>
                <w:b/>
                <w:bCs/>
                <w:color w:val="auto"/>
                <w:sz w:val="21"/>
                <w:szCs w:val="21"/>
                <w:highlight w:val="none"/>
              </w:rPr>
              <w:t>表7-8  建设项目环境风险简单分析内容表</w:t>
            </w:r>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364"/>
              <w:gridCol w:w="1708"/>
              <w:gridCol w:w="1247"/>
              <w:gridCol w:w="1246"/>
              <w:gridCol w:w="1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59"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建设项目名称</w:t>
                  </w:r>
                </w:p>
              </w:tc>
              <w:tc>
                <w:tcPr>
                  <w:tcW w:w="6812" w:type="dxa"/>
                  <w:gridSpan w:val="5"/>
                  <w:tcBorders>
                    <w:tl2br w:val="nil"/>
                    <w:tr2bl w:val="nil"/>
                  </w:tcBorders>
                  <w:vAlign w:val="center"/>
                </w:tcPr>
                <w:p>
                  <w:pPr>
                    <w:ind w:firstLine="420"/>
                    <w:jc w:val="center"/>
                    <w:rPr>
                      <w:color w:val="auto"/>
                      <w:sz w:val="21"/>
                      <w:szCs w:val="21"/>
                      <w:highlight w:val="none"/>
                    </w:rPr>
                  </w:pPr>
                  <w:r>
                    <w:rPr>
                      <w:rFonts w:hint="eastAsia"/>
                      <w:color w:val="auto"/>
                      <w:sz w:val="21"/>
                      <w:szCs w:val="21"/>
                      <w:highlight w:val="none"/>
                    </w:rPr>
                    <w:t>祁阳县城乡供水一体化</w:t>
                  </w:r>
                  <w:bookmarkStart w:id="98" w:name="_GoBack"/>
                  <w:bookmarkEnd w:id="98"/>
                  <w:r>
                    <w:rPr>
                      <w:rFonts w:hint="eastAsia"/>
                      <w:color w:val="auto"/>
                      <w:sz w:val="21"/>
                      <w:szCs w:val="21"/>
                      <w:highlight w:val="none"/>
                    </w:rPr>
                    <w:t xml:space="preserve">（二期）工程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59"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建设地点</w:t>
                  </w:r>
                </w:p>
              </w:tc>
              <w:tc>
                <w:tcPr>
                  <w:tcW w:w="1364"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w:t>
                  </w:r>
                  <w:r>
                    <w:rPr>
                      <w:rFonts w:hint="eastAsia"/>
                      <w:color w:val="auto"/>
                      <w:sz w:val="21"/>
                      <w:szCs w:val="21"/>
                      <w:highlight w:val="none"/>
                    </w:rPr>
                    <w:t>湖南</w:t>
                  </w:r>
                  <w:r>
                    <w:rPr>
                      <w:color w:val="auto"/>
                      <w:sz w:val="21"/>
                      <w:szCs w:val="21"/>
                      <w:highlight w:val="none"/>
                    </w:rPr>
                    <w:t>）省</w:t>
                  </w:r>
                </w:p>
              </w:tc>
              <w:tc>
                <w:tcPr>
                  <w:tcW w:w="1708"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w:t>
                  </w:r>
                  <w:r>
                    <w:rPr>
                      <w:rFonts w:hint="eastAsia"/>
                      <w:color w:val="auto"/>
                      <w:sz w:val="21"/>
                      <w:szCs w:val="21"/>
                      <w:highlight w:val="none"/>
                    </w:rPr>
                    <w:t>永州</w:t>
                  </w:r>
                  <w:r>
                    <w:rPr>
                      <w:color w:val="auto"/>
                      <w:sz w:val="21"/>
                      <w:szCs w:val="21"/>
                      <w:highlight w:val="none"/>
                    </w:rPr>
                    <w:t>）市</w:t>
                  </w:r>
                </w:p>
              </w:tc>
              <w:tc>
                <w:tcPr>
                  <w:tcW w:w="1247"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w:t>
                  </w:r>
                  <w:r>
                    <w:rPr>
                      <w:rFonts w:hint="eastAsia"/>
                      <w:color w:val="auto"/>
                      <w:sz w:val="21"/>
                      <w:szCs w:val="21"/>
                      <w:highlight w:val="none"/>
                    </w:rPr>
                    <w:t>祁阳县</w:t>
                  </w:r>
                  <w:r>
                    <w:rPr>
                      <w:color w:val="auto"/>
                      <w:sz w:val="21"/>
                      <w:szCs w:val="21"/>
                      <w:highlight w:val="none"/>
                    </w:rPr>
                    <w:t>）区</w:t>
                  </w:r>
                </w:p>
              </w:tc>
              <w:tc>
                <w:tcPr>
                  <w:tcW w:w="1246"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w:t>
                  </w:r>
                  <w:r>
                    <w:rPr>
                      <w:rFonts w:hint="eastAsia"/>
                      <w:color w:val="auto"/>
                      <w:sz w:val="21"/>
                      <w:szCs w:val="21"/>
                      <w:highlight w:val="none"/>
                    </w:rPr>
                    <w:t>潘市</w:t>
                  </w:r>
                  <w:r>
                    <w:rPr>
                      <w:color w:val="auto"/>
                      <w:sz w:val="21"/>
                      <w:szCs w:val="21"/>
                      <w:highlight w:val="none"/>
                    </w:rPr>
                    <w:t>）镇</w:t>
                  </w:r>
                </w:p>
              </w:tc>
              <w:tc>
                <w:tcPr>
                  <w:tcW w:w="1247"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泗山塘与庙门前之间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59"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地理坐标</w:t>
                  </w:r>
                </w:p>
              </w:tc>
              <w:tc>
                <w:tcPr>
                  <w:tcW w:w="1364"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经度</w:t>
                  </w:r>
                </w:p>
              </w:tc>
              <w:tc>
                <w:tcPr>
                  <w:tcW w:w="1708"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rFonts w:hint="eastAsia"/>
                      <w:color w:val="auto"/>
                      <w:highlight w:val="none"/>
                    </w:rPr>
                    <w:t>112.040656</w:t>
                  </w:r>
                </w:p>
              </w:tc>
              <w:tc>
                <w:tcPr>
                  <w:tcW w:w="1247"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纬度</w:t>
                  </w:r>
                </w:p>
              </w:tc>
              <w:tc>
                <w:tcPr>
                  <w:tcW w:w="2493" w:type="dxa"/>
                  <w:gridSpan w:val="2"/>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26.467903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59"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主要危险物质及分布</w:t>
                  </w:r>
                </w:p>
              </w:tc>
              <w:tc>
                <w:tcPr>
                  <w:tcW w:w="6812" w:type="dxa"/>
                  <w:gridSpan w:val="5"/>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rFonts w:hint="eastAsia"/>
                      <w:color w:val="auto"/>
                      <w:sz w:val="21"/>
                      <w:szCs w:val="21"/>
                      <w:highlight w:val="none"/>
                    </w:rPr>
                    <w:t>亚氯酸钠、盐酸</w:t>
                  </w:r>
                  <w:r>
                    <w:rPr>
                      <w:color w:val="auto"/>
                      <w:sz w:val="21"/>
                      <w:szCs w:val="21"/>
                      <w:highlight w:val="none"/>
                    </w:rPr>
                    <w:t>等化学品贮存于</w:t>
                  </w:r>
                  <w:r>
                    <w:rPr>
                      <w:rFonts w:hint="eastAsia"/>
                      <w:color w:val="auto"/>
                      <w:sz w:val="21"/>
                      <w:szCs w:val="21"/>
                      <w:highlight w:val="none"/>
                    </w:rPr>
                    <w:t>厂区加药间内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59"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环境影响途径及危害后果（大气、地表水、地下水等）</w:t>
                  </w:r>
                </w:p>
              </w:tc>
              <w:tc>
                <w:tcPr>
                  <w:tcW w:w="6812" w:type="dxa"/>
                  <w:gridSpan w:val="5"/>
                  <w:tcBorders>
                    <w:tl2br w:val="nil"/>
                    <w:tr2bl w:val="nil"/>
                  </w:tcBorders>
                  <w:vAlign w:val="center"/>
                </w:tcPr>
                <w:p>
                  <w:pPr>
                    <w:widowControl/>
                    <w:spacing w:line="240" w:lineRule="auto"/>
                    <w:ind w:firstLine="0" w:firstLineChars="0"/>
                    <w:jc w:val="left"/>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亚氯酸钠属于强氧化剂，</w:t>
                  </w:r>
                  <w:r>
                    <w:rPr>
                      <w:rFonts w:hint="eastAsia" w:ascii="宋体" w:hAnsi="宋体" w:cs="宋体"/>
                      <w:color w:val="auto"/>
                      <w:kern w:val="0"/>
                      <w:sz w:val="21"/>
                      <w:szCs w:val="21"/>
                      <w:highlight w:val="none"/>
                      <w:lang w:bidi="ar"/>
                    </w:rPr>
                    <w:t>与强酸接触时即发生爆炸</w:t>
                  </w:r>
                  <w:r>
                    <w:rPr>
                      <w:rFonts w:hint="eastAsia"/>
                      <w:color w:val="auto"/>
                      <w:sz w:val="21"/>
                      <w:szCs w:val="21"/>
                      <w:highlight w:val="none"/>
                    </w:rPr>
                    <w:t>，易发生火灾事故，燃烧会产生有毒有害的气体，造成次生污染；</w:t>
                  </w:r>
                </w:p>
                <w:p>
                  <w:pPr>
                    <w:keepNext/>
                    <w:keepLines/>
                    <w:adjustRightInd w:val="0"/>
                    <w:spacing w:line="240" w:lineRule="auto"/>
                    <w:ind w:firstLine="0" w:firstLineChars="0"/>
                    <w:textAlignment w:val="baseline"/>
                    <w:rPr>
                      <w:snapToGrid w:val="0"/>
                      <w:color w:val="auto"/>
                      <w:kern w:val="0"/>
                      <w:sz w:val="21"/>
                      <w:szCs w:val="21"/>
                      <w:highlight w:val="none"/>
                    </w:rPr>
                  </w:pPr>
                  <w:r>
                    <w:rPr>
                      <w:snapToGrid w:val="0"/>
                      <w:color w:val="auto"/>
                      <w:kern w:val="0"/>
                      <w:sz w:val="21"/>
                      <w:szCs w:val="21"/>
                      <w:highlight w:val="none"/>
                    </w:rPr>
                    <w:t>（</w:t>
                  </w:r>
                  <w:r>
                    <w:rPr>
                      <w:rFonts w:hint="eastAsia"/>
                      <w:snapToGrid w:val="0"/>
                      <w:color w:val="auto"/>
                      <w:kern w:val="0"/>
                      <w:sz w:val="21"/>
                      <w:szCs w:val="21"/>
                      <w:highlight w:val="none"/>
                    </w:rPr>
                    <w:t>2</w:t>
                  </w:r>
                  <w:r>
                    <w:rPr>
                      <w:snapToGrid w:val="0"/>
                      <w:color w:val="auto"/>
                      <w:kern w:val="0"/>
                      <w:sz w:val="21"/>
                      <w:szCs w:val="21"/>
                      <w:highlight w:val="none"/>
                    </w:rPr>
                    <w:t>）</w:t>
                  </w:r>
                  <w:r>
                    <w:rPr>
                      <w:rFonts w:hint="eastAsia"/>
                      <w:snapToGrid w:val="0"/>
                      <w:color w:val="auto"/>
                      <w:kern w:val="0"/>
                      <w:sz w:val="21"/>
                      <w:szCs w:val="21"/>
                      <w:highlight w:val="none"/>
                    </w:rPr>
                    <w:t>加药间</w:t>
                  </w:r>
                  <w:r>
                    <w:rPr>
                      <w:snapToGrid w:val="0"/>
                      <w:color w:val="auto"/>
                      <w:kern w:val="0"/>
                      <w:sz w:val="21"/>
                      <w:szCs w:val="21"/>
                      <w:highlight w:val="none"/>
                    </w:rPr>
                    <w:t>没有做好防雨、防渗、防腐措施，导致发生泄露进入周围环境</w:t>
                  </w:r>
                  <w:r>
                    <w:rPr>
                      <w:rFonts w:hint="eastAsia"/>
                      <w:snapToGrid w:val="0"/>
                      <w:color w:val="auto"/>
                      <w:kern w:val="0"/>
                      <w:sz w:val="21"/>
                      <w:szCs w:val="21"/>
                      <w:highlight w:val="none"/>
                    </w:rPr>
                    <w:t>，</w:t>
                  </w:r>
                  <w:r>
                    <w:rPr>
                      <w:snapToGrid w:val="0"/>
                      <w:color w:val="auto"/>
                      <w:kern w:val="0"/>
                      <w:sz w:val="21"/>
                      <w:szCs w:val="21"/>
                      <w:highlight w:val="none"/>
                    </w:rPr>
                    <w:t>具有腐蚀性或遇水具有渗透性的泄漏物通过地面径流经厂区内雨水管网外排至厂外地表水体中，影响地表水环境，对水生生物生产一定程度的影响；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59" w:type="dxa"/>
                  <w:tcBorders>
                    <w:tl2br w:val="nil"/>
                    <w:tr2bl w:val="nil"/>
                  </w:tcBorders>
                  <w:vAlign w:val="center"/>
                </w:tcPr>
                <w:p>
                  <w:pPr>
                    <w:keepNext/>
                    <w:keepLines/>
                    <w:adjustRightInd w:val="0"/>
                    <w:spacing w:line="240" w:lineRule="auto"/>
                    <w:ind w:firstLine="0" w:firstLineChars="0"/>
                    <w:jc w:val="center"/>
                    <w:textAlignment w:val="baseline"/>
                    <w:rPr>
                      <w:color w:val="auto"/>
                      <w:sz w:val="21"/>
                      <w:szCs w:val="21"/>
                      <w:highlight w:val="none"/>
                    </w:rPr>
                  </w:pPr>
                  <w:r>
                    <w:rPr>
                      <w:color w:val="auto"/>
                      <w:sz w:val="21"/>
                      <w:szCs w:val="21"/>
                      <w:highlight w:val="none"/>
                    </w:rPr>
                    <w:t>风险防范措施要求</w:t>
                  </w:r>
                </w:p>
              </w:tc>
              <w:tc>
                <w:tcPr>
                  <w:tcW w:w="6812" w:type="dxa"/>
                  <w:gridSpan w:val="5"/>
                  <w:tcBorders>
                    <w:tl2br w:val="nil"/>
                    <w:tr2bl w:val="nil"/>
                  </w:tcBorders>
                  <w:vAlign w:val="center"/>
                </w:tcPr>
                <w:p>
                  <w:pPr>
                    <w:keepNext/>
                    <w:keepLines/>
                    <w:adjustRightInd w:val="0"/>
                    <w:spacing w:line="240" w:lineRule="auto"/>
                    <w:ind w:firstLine="0" w:firstLineChars="0"/>
                    <w:textAlignment w:val="baseline"/>
                    <w:rPr>
                      <w:color w:val="auto"/>
                      <w:sz w:val="21"/>
                      <w:szCs w:val="21"/>
                      <w:highlight w:val="none"/>
                    </w:rPr>
                  </w:pPr>
                  <w:r>
                    <w:rPr>
                      <w:color w:val="auto"/>
                      <w:sz w:val="21"/>
                      <w:szCs w:val="21"/>
                      <w:highlight w:val="none"/>
                    </w:rPr>
                    <w:t>（1）总图布置和建筑安全严格按照相关设计规范进行设计和建设；</w:t>
                  </w:r>
                </w:p>
                <w:p>
                  <w:pPr>
                    <w:keepNext/>
                    <w:keepLines/>
                    <w:adjustRightInd w:val="0"/>
                    <w:spacing w:line="240" w:lineRule="auto"/>
                    <w:ind w:firstLine="0" w:firstLineChars="0"/>
                    <w:textAlignment w:val="baseline"/>
                    <w:rPr>
                      <w:color w:val="auto"/>
                      <w:sz w:val="21"/>
                      <w:szCs w:val="21"/>
                      <w:highlight w:val="none"/>
                    </w:rPr>
                  </w:pPr>
                  <w:r>
                    <w:rPr>
                      <w:color w:val="auto"/>
                      <w:sz w:val="21"/>
                      <w:szCs w:val="21"/>
                      <w:highlight w:val="none"/>
                    </w:rPr>
                    <w:t>（2）化学品严格按照相关技术规范进行贮运、使用；</w:t>
                  </w:r>
                </w:p>
                <w:p>
                  <w:pPr>
                    <w:keepNext/>
                    <w:keepLines/>
                    <w:adjustRightInd w:val="0"/>
                    <w:spacing w:line="240" w:lineRule="auto"/>
                    <w:ind w:firstLine="0" w:firstLineChars="0"/>
                    <w:textAlignment w:val="baseline"/>
                    <w:rPr>
                      <w:color w:val="auto"/>
                      <w:kern w:val="0"/>
                      <w:sz w:val="21"/>
                      <w:szCs w:val="21"/>
                      <w:highlight w:val="none"/>
                    </w:rPr>
                  </w:pPr>
                  <w:r>
                    <w:rPr>
                      <w:color w:val="auto"/>
                      <w:sz w:val="21"/>
                      <w:szCs w:val="21"/>
                      <w:highlight w:val="none"/>
                    </w:rPr>
                    <w:t>（</w:t>
                  </w:r>
                  <w:r>
                    <w:rPr>
                      <w:rFonts w:hint="eastAsia"/>
                      <w:color w:val="auto"/>
                      <w:sz w:val="21"/>
                      <w:szCs w:val="21"/>
                      <w:highlight w:val="none"/>
                    </w:rPr>
                    <w:t>3</w:t>
                  </w:r>
                  <w:r>
                    <w:rPr>
                      <w:color w:val="auto"/>
                      <w:sz w:val="21"/>
                      <w:szCs w:val="21"/>
                      <w:highlight w:val="none"/>
                    </w:rPr>
                    <w:t>）环保处理设施定期维护和保养，及时更换处理物以及风机等重要设备要一用一备；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071" w:type="dxa"/>
                  <w:gridSpan w:val="6"/>
                  <w:tcBorders>
                    <w:tl2br w:val="nil"/>
                    <w:tr2bl w:val="nil"/>
                  </w:tcBorders>
                  <w:vAlign w:val="center"/>
                </w:tcPr>
                <w:p>
                  <w:pPr>
                    <w:keepNext/>
                    <w:keepLines/>
                    <w:adjustRightInd w:val="0"/>
                    <w:spacing w:line="240" w:lineRule="auto"/>
                    <w:ind w:firstLine="0" w:firstLineChars="0"/>
                    <w:jc w:val="left"/>
                    <w:textAlignment w:val="baseline"/>
                    <w:rPr>
                      <w:color w:val="auto"/>
                      <w:sz w:val="21"/>
                      <w:szCs w:val="21"/>
                      <w:highlight w:val="none"/>
                    </w:rPr>
                  </w:pPr>
                  <w:r>
                    <w:rPr>
                      <w:color w:val="auto"/>
                      <w:sz w:val="21"/>
                      <w:szCs w:val="21"/>
                      <w:highlight w:val="none"/>
                    </w:rPr>
                    <w:t>填表说明（列出项目相关信息及评价说明）：</w:t>
                  </w:r>
                </w:p>
                <w:p>
                  <w:pPr>
                    <w:spacing w:line="240" w:lineRule="auto"/>
                    <w:ind w:firstLine="420"/>
                    <w:rPr>
                      <w:snapToGrid w:val="0"/>
                      <w:color w:val="auto"/>
                      <w:kern w:val="0"/>
                      <w:sz w:val="21"/>
                      <w:szCs w:val="21"/>
                      <w:highlight w:val="none"/>
                    </w:rPr>
                  </w:pPr>
                  <w:r>
                    <w:rPr>
                      <w:snapToGrid w:val="0"/>
                      <w:color w:val="auto"/>
                      <w:kern w:val="0"/>
                      <w:sz w:val="21"/>
                      <w:szCs w:val="21"/>
                      <w:highlight w:val="none"/>
                    </w:rPr>
                    <w:t>项目涉及到一定数量的化学品，主要事故风险是运输、贮存、使用过程中化学品或危险废物的泄露以及废水、废气的事故排放。</w:t>
                  </w:r>
                </w:p>
                <w:p>
                  <w:pPr>
                    <w:keepNext/>
                    <w:keepLines/>
                    <w:spacing w:line="240" w:lineRule="auto"/>
                    <w:ind w:firstLine="420"/>
                    <w:jc w:val="left"/>
                    <w:textAlignment w:val="baseline"/>
                    <w:rPr>
                      <w:color w:val="auto"/>
                      <w:sz w:val="21"/>
                      <w:szCs w:val="21"/>
                      <w:highlight w:val="none"/>
                    </w:rPr>
                  </w:pPr>
                  <w:r>
                    <w:rPr>
                      <w:snapToGrid w:val="0"/>
                      <w:color w:val="auto"/>
                      <w:kern w:val="0"/>
                      <w:sz w:val="21"/>
                      <w:szCs w:val="21"/>
                      <w:highlight w:val="none"/>
                    </w:rPr>
                    <w:t>项目必须按环评要求落实风险事故防范措施，在此情况下，风险事故发生的几率不大，对环境的不利影响可以得到有效的控制，风险水平在可接受的范围内。</w:t>
                  </w:r>
                </w:p>
              </w:tc>
            </w:tr>
          </w:tbl>
          <w:p>
            <w:pPr>
              <w:spacing w:line="360" w:lineRule="auto"/>
              <w:ind w:firstLine="482"/>
              <w:jc w:val="left"/>
              <w:rPr>
                <w:b/>
                <w:bCs/>
                <w:color w:val="auto"/>
                <w:highlight w:val="none"/>
              </w:rPr>
            </w:pPr>
            <w:r>
              <w:rPr>
                <w:rFonts w:hint="eastAsia"/>
                <w:b/>
                <w:bCs/>
                <w:color w:val="auto"/>
                <w:highlight w:val="none"/>
              </w:rPr>
              <w:t>4、选址合理性分析</w:t>
            </w:r>
          </w:p>
          <w:p>
            <w:pPr>
              <w:tabs>
                <w:tab w:val="left" w:pos="6687"/>
              </w:tabs>
              <w:spacing w:line="360" w:lineRule="auto"/>
              <w:rPr>
                <w:color w:val="auto"/>
                <w:highlight w:val="none"/>
                <w:lang w:val="zh-CN"/>
              </w:rPr>
            </w:pPr>
            <w:r>
              <w:rPr>
                <w:rFonts w:hint="eastAsia"/>
                <w:color w:val="auto"/>
                <w:highlight w:val="none"/>
                <w:lang w:val="zh-CN"/>
              </w:rPr>
              <w:t>①水源合理性分析</w:t>
            </w:r>
          </w:p>
          <w:p>
            <w:pPr>
              <w:tabs>
                <w:tab w:val="left" w:pos="6687"/>
              </w:tabs>
              <w:spacing w:line="360" w:lineRule="auto"/>
              <w:rPr>
                <w:color w:val="auto"/>
                <w:highlight w:val="none"/>
                <w:lang w:val="zh-CN"/>
              </w:rPr>
            </w:pPr>
            <w:r>
              <w:rPr>
                <w:rFonts w:hint="eastAsia"/>
                <w:color w:val="auto"/>
                <w:highlight w:val="none"/>
                <w:lang w:val="zh-CN"/>
              </w:rPr>
              <w:t>本项目取水水源为湘江，取水口选址为湘江北岸的</w:t>
            </w:r>
            <w:r>
              <w:rPr>
                <w:rFonts w:hint="eastAsia"/>
                <w:color w:val="auto"/>
                <w:highlight w:val="none"/>
              </w:rPr>
              <w:t>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rFonts w:hint="eastAsia"/>
                <w:color w:val="auto"/>
                <w:highlight w:val="none"/>
                <w:lang w:val="zh-CN"/>
              </w:rPr>
              <w:t>，</w:t>
            </w:r>
            <w:r>
              <w:rPr>
                <w:rFonts w:hint="eastAsia"/>
                <w:color w:val="FF0000"/>
                <w:highlight w:val="none"/>
                <w:u w:val="single"/>
                <w:lang w:val="zh-CN"/>
              </w:rPr>
              <w:t>根据水源水质检测，</w:t>
            </w:r>
            <w:r>
              <w:rPr>
                <w:rFonts w:hint="eastAsia"/>
                <w:color w:val="FF0000"/>
                <w:highlight w:val="none"/>
                <w:u w:val="single"/>
              </w:rPr>
              <w:t>本项目水源水质指标基本项目均符合国家《生活饮用水水源水质标准》（CJ3020-93）的二级水源标准</w:t>
            </w:r>
            <w:r>
              <w:rPr>
                <w:rFonts w:hint="eastAsia"/>
                <w:color w:val="FF0000"/>
                <w:highlight w:val="none"/>
                <w:u w:val="single"/>
                <w:lang w:eastAsia="zh-CN"/>
              </w:rPr>
              <w:t>，</w:t>
            </w:r>
            <w:r>
              <w:rPr>
                <w:rFonts w:hint="eastAsia"/>
                <w:color w:val="FF0000"/>
                <w:highlight w:val="none"/>
                <w:u w:val="single"/>
                <w:lang w:val="zh-CN"/>
              </w:rPr>
              <w:t>项目取水规模为61000m</w:t>
            </w:r>
            <w:r>
              <w:rPr>
                <w:rFonts w:hint="eastAsia"/>
                <w:color w:val="FF0000"/>
                <w:highlight w:val="none"/>
                <w:u w:val="single"/>
                <w:vertAlign w:val="superscript"/>
                <w:lang w:val="zh-CN"/>
              </w:rPr>
              <w:t>3</w:t>
            </w:r>
            <w:r>
              <w:rPr>
                <w:rFonts w:hint="eastAsia"/>
                <w:color w:val="FF0000"/>
                <w:highlight w:val="none"/>
                <w:u w:val="single"/>
                <w:lang w:val="zh-CN"/>
              </w:rPr>
              <w:t>/d，</w:t>
            </w:r>
            <w:r>
              <w:rPr>
                <w:rFonts w:hint="eastAsia"/>
                <w:color w:val="FF0000"/>
                <w:highlight w:val="none"/>
                <w:u w:val="single"/>
                <w:lang w:eastAsia="zh-CN"/>
              </w:rPr>
              <w:t>取水</w:t>
            </w:r>
            <w:r>
              <w:rPr>
                <w:rFonts w:hint="eastAsia"/>
                <w:color w:val="FF0000"/>
                <w:highlight w:val="none"/>
                <w:u w:val="single"/>
              </w:rPr>
              <w:t>点断面以上控制流域面积23297 km</w:t>
            </w:r>
            <w:r>
              <w:rPr>
                <w:rFonts w:hint="eastAsia"/>
                <w:color w:val="FF0000"/>
                <w:highlight w:val="none"/>
                <w:u w:val="single"/>
                <w:vertAlign w:val="superscript"/>
              </w:rPr>
              <w:t>2</w:t>
            </w:r>
            <w:r>
              <w:rPr>
                <w:rFonts w:hint="eastAsia"/>
                <w:color w:val="FF0000"/>
                <w:highlight w:val="none"/>
                <w:u w:val="single"/>
              </w:rPr>
              <w:t>，多年平均流量693.7 m</w:t>
            </w:r>
            <w:r>
              <w:rPr>
                <w:rFonts w:hint="eastAsia"/>
                <w:color w:val="FF0000"/>
                <w:highlight w:val="none"/>
                <w:u w:val="single"/>
                <w:vertAlign w:val="superscript"/>
              </w:rPr>
              <w:t>3</w:t>
            </w:r>
            <w:r>
              <w:rPr>
                <w:rFonts w:hint="eastAsia"/>
                <w:color w:val="FF0000"/>
                <w:highlight w:val="none"/>
                <w:u w:val="single"/>
              </w:rPr>
              <w:t>/s，多年平均径流量218.8亿m</w:t>
            </w:r>
            <w:r>
              <w:rPr>
                <w:rFonts w:hint="eastAsia"/>
                <w:color w:val="FF0000"/>
                <w:highlight w:val="none"/>
                <w:u w:val="single"/>
                <w:vertAlign w:val="superscript"/>
              </w:rPr>
              <w:t>3</w:t>
            </w:r>
            <w:r>
              <w:rPr>
                <w:rFonts w:hint="eastAsia"/>
                <w:color w:val="FF0000"/>
                <w:highlight w:val="none"/>
                <w:u w:val="single"/>
              </w:rPr>
              <w:t>。设计供水保证率为95%，取水泵房处95%保证率下年可供流量为356.6m</w:t>
            </w:r>
            <w:r>
              <w:rPr>
                <w:rFonts w:hint="eastAsia"/>
                <w:color w:val="FF0000"/>
                <w:highlight w:val="none"/>
                <w:u w:val="single"/>
                <w:vertAlign w:val="superscript"/>
              </w:rPr>
              <w:t>3</w:t>
            </w:r>
            <w:r>
              <w:rPr>
                <w:rFonts w:hint="eastAsia"/>
                <w:color w:val="FF0000"/>
                <w:highlight w:val="none"/>
                <w:u w:val="single"/>
              </w:rPr>
              <w:t>/s，年可供水量为112.5亿m</w:t>
            </w:r>
            <w:r>
              <w:rPr>
                <w:rFonts w:hint="eastAsia"/>
                <w:color w:val="FF0000"/>
                <w:highlight w:val="none"/>
                <w:u w:val="single"/>
                <w:vertAlign w:val="superscript"/>
              </w:rPr>
              <w:t>3</w:t>
            </w:r>
            <w:r>
              <w:rPr>
                <w:rFonts w:hint="eastAsia"/>
                <w:color w:val="FF0000"/>
                <w:highlight w:val="none"/>
                <w:u w:val="single"/>
                <w:lang w:eastAsia="zh-CN"/>
              </w:rPr>
              <w:t>。</w:t>
            </w:r>
            <w:r>
              <w:rPr>
                <w:rFonts w:hint="eastAsia"/>
                <w:color w:val="FF0000"/>
                <w:highlight w:val="none"/>
                <w:u w:val="single"/>
                <w:lang w:val="zh-CN"/>
              </w:rPr>
              <w:t>湘江水质和水量能满足项目取水需求，项目取水量相对湘江水量较小</w:t>
            </w:r>
            <w:r>
              <w:rPr>
                <w:rFonts w:hint="eastAsia"/>
                <w:color w:val="FF0000"/>
                <w:highlight w:val="none"/>
                <w:lang w:val="zh-CN"/>
              </w:rPr>
              <w:t>，对</w:t>
            </w:r>
            <w:r>
              <w:rPr>
                <w:rFonts w:hint="eastAsia"/>
                <w:color w:val="auto"/>
                <w:highlight w:val="none"/>
                <w:lang w:val="zh-CN"/>
              </w:rPr>
              <w:t>湘江影响较小，因此项目水源选址合理。</w:t>
            </w:r>
          </w:p>
          <w:p>
            <w:pPr>
              <w:tabs>
                <w:tab w:val="left" w:pos="6687"/>
              </w:tabs>
              <w:spacing w:line="360" w:lineRule="auto"/>
              <w:rPr>
                <w:color w:val="auto"/>
                <w:highlight w:val="none"/>
                <w:lang w:val="zh-CN"/>
              </w:rPr>
            </w:pPr>
            <w:r>
              <w:rPr>
                <w:rFonts w:hint="eastAsia"/>
                <w:color w:val="auto"/>
                <w:highlight w:val="none"/>
                <w:lang w:val="zh-CN"/>
              </w:rPr>
              <w:t>②选址合理性分析</w:t>
            </w:r>
          </w:p>
          <w:p>
            <w:pPr>
              <w:tabs>
                <w:tab w:val="left" w:pos="6687"/>
              </w:tabs>
              <w:spacing w:line="360" w:lineRule="auto"/>
              <w:rPr>
                <w:color w:val="auto"/>
                <w:highlight w:val="none"/>
                <w:lang w:val="zh-CN"/>
              </w:rPr>
            </w:pPr>
            <w:r>
              <w:rPr>
                <w:rFonts w:hint="eastAsia"/>
                <w:color w:val="auto"/>
                <w:highlight w:val="none"/>
                <w:lang w:val="zh-CN"/>
              </w:rPr>
              <w:t>项目净水厂位于</w:t>
            </w:r>
            <w:r>
              <w:rPr>
                <w:rFonts w:hint="eastAsia"/>
                <w:color w:val="auto"/>
                <w:highlight w:val="none"/>
              </w:rPr>
              <w:t>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rFonts w:hint="eastAsia"/>
                <w:color w:val="auto"/>
                <w:highlight w:val="none"/>
                <w:lang w:val="zh-CN"/>
              </w:rPr>
              <w:t>，建厂山体顶部面积较大，方便水厂布置。此地距离水源地湘江较近，约</w:t>
            </w:r>
            <w:r>
              <w:rPr>
                <w:rFonts w:hint="eastAsia"/>
                <w:color w:val="auto"/>
                <w:highlight w:val="none"/>
              </w:rPr>
              <w:t>10</w:t>
            </w:r>
            <w:r>
              <w:rPr>
                <w:rFonts w:hint="eastAsia"/>
                <w:color w:val="auto"/>
                <w:highlight w:val="none"/>
                <w:lang w:val="zh-CN"/>
              </w:rPr>
              <w:t>0m，方便取水。而且此位置的高程适中，比大部分供水区域的地势高，能实现尽可能大范围内重力供水、减少加压供水。水厂位置经自建出厂道路连接乡道，交通便利。根据《建筑抗震设计规范》（GB50011-2001），此位置土的类型为中软土，覆盖层厚度薄，属Ⅱ类建筑场地，为可进行建设的一般场地。</w:t>
            </w:r>
          </w:p>
          <w:p>
            <w:pPr>
              <w:spacing w:line="360" w:lineRule="auto"/>
              <w:rPr>
                <w:color w:val="auto"/>
                <w:highlight w:val="none"/>
                <w:lang w:val="zh-CN"/>
              </w:rPr>
            </w:pPr>
            <w:r>
              <w:rPr>
                <w:rFonts w:hint="eastAsia"/>
                <w:color w:val="auto"/>
                <w:highlight w:val="none"/>
                <w:lang w:val="zh-CN"/>
              </w:rPr>
              <w:t>项目用地</w:t>
            </w:r>
            <w:r>
              <w:rPr>
                <w:rFonts w:hint="eastAsia"/>
                <w:color w:val="FF0000"/>
                <w:highlight w:val="none"/>
                <w:u w:val="single"/>
              </w:rPr>
              <w:t>用</w:t>
            </w:r>
            <w:r>
              <w:rPr>
                <w:color w:val="FF0000"/>
                <w:highlight w:val="none"/>
                <w:u w:val="single"/>
              </w:rPr>
              <w:t>地类型</w:t>
            </w:r>
            <w:r>
              <w:rPr>
                <w:rFonts w:hint="eastAsia"/>
                <w:color w:val="FF0000"/>
                <w:highlight w:val="none"/>
                <w:u w:val="single"/>
              </w:rPr>
              <w:t>主要</w:t>
            </w:r>
            <w:r>
              <w:rPr>
                <w:color w:val="FF0000"/>
                <w:highlight w:val="none"/>
                <w:u w:val="single"/>
              </w:rPr>
              <w:t>为</w:t>
            </w:r>
            <w:r>
              <w:rPr>
                <w:rFonts w:hint="eastAsia"/>
                <w:color w:val="FF0000"/>
                <w:highlight w:val="none"/>
                <w:u w:val="single"/>
                <w:lang w:eastAsia="zh-CN"/>
              </w:rPr>
              <w:t>园地、林地（非公益林）、其他农用地、其他土地，不占用基本农田</w:t>
            </w:r>
            <w:r>
              <w:rPr>
                <w:rFonts w:hint="eastAsia"/>
                <w:color w:val="auto"/>
                <w:highlight w:val="none"/>
                <w:lang w:val="zh-CN"/>
              </w:rPr>
              <w:t>，厂址周边无自然保护区、文物景观等环境敏感点，且项目已取得</w:t>
            </w:r>
            <w:r>
              <w:rPr>
                <w:rFonts w:hint="eastAsia"/>
                <w:color w:val="auto"/>
                <w:highlight w:val="none"/>
              </w:rPr>
              <w:t>祁阳县自然资源局关于《祁阳县城乡一体化二期工程项目用地审查意见（祁自然资用字【2019】甲01号）》</w:t>
            </w:r>
            <w:r>
              <w:rPr>
                <w:rFonts w:hint="eastAsia"/>
                <w:color w:val="auto"/>
                <w:highlight w:val="none"/>
                <w:lang w:eastAsia="zh-CN"/>
              </w:rPr>
              <w:t>和</w:t>
            </w:r>
            <w:r>
              <w:rPr>
                <w:rFonts w:hint="eastAsia"/>
                <w:color w:val="FF0000"/>
                <w:highlight w:val="none"/>
                <w:u w:val="single"/>
                <w:lang w:val="en-US" w:eastAsia="zh-CN"/>
              </w:rPr>
              <w:t xml:space="preserve"> 祁阳县自然资源局、 祁阳县发展和改革局、永州市生态环境局祁阳分局、祁阳县林业局、祁阳县农业农村局、祁阳县住房和城乡建设局、祁阳县水利局关于《祁阳县城乡供水一体化(二期)工程项目涉及潘市镇土地利用总体规划（2006-2020 年）（2016年修订版）修改方案》的审查意见</w:t>
            </w:r>
            <w:r>
              <w:rPr>
                <w:rFonts w:hint="eastAsia"/>
                <w:color w:val="auto"/>
                <w:highlight w:val="none"/>
              </w:rPr>
              <w:t>，</w:t>
            </w:r>
            <w:r>
              <w:rPr>
                <w:rFonts w:hint="eastAsia"/>
                <w:color w:val="auto"/>
                <w:highlight w:val="none"/>
                <w:lang w:val="zh-CN"/>
              </w:rPr>
              <w:t>详见附件，本项目建成后，废气、废水、噪声和固废带给周围环境一定影响，但采取相应的环保措施后，环境的影响程度降到最低程度，满足国家规定的环保标准要求。综上可知，净水厂的选址合理。</w:t>
            </w:r>
          </w:p>
          <w:p>
            <w:pPr>
              <w:tabs>
                <w:tab w:val="left" w:pos="6687"/>
              </w:tabs>
              <w:spacing w:line="360" w:lineRule="auto"/>
              <w:rPr>
                <w:color w:val="auto"/>
                <w:highlight w:val="none"/>
                <w:lang w:val="zh-CN"/>
              </w:rPr>
            </w:pPr>
            <w:r>
              <w:rPr>
                <w:rFonts w:hint="eastAsia"/>
                <w:color w:val="auto"/>
                <w:highlight w:val="none"/>
                <w:lang w:val="zh-CN"/>
              </w:rPr>
              <w:t>总体而言，拟建项目选址具有良好的区位优势，在落实本评价提出的环境保护措施的前提下，本项目建设对周边环境影响较小。因此，从环保的角度考虑，拟建项目的选址是合理的。</w:t>
            </w:r>
          </w:p>
          <w:p>
            <w:pPr>
              <w:spacing w:line="360" w:lineRule="auto"/>
              <w:ind w:firstLine="482"/>
              <w:jc w:val="left"/>
              <w:rPr>
                <w:b/>
                <w:bCs/>
                <w:color w:val="auto"/>
                <w:highlight w:val="none"/>
              </w:rPr>
            </w:pPr>
            <w:r>
              <w:rPr>
                <w:rFonts w:hint="eastAsia"/>
                <w:b/>
                <w:bCs/>
                <w:color w:val="auto"/>
                <w:highlight w:val="none"/>
              </w:rPr>
              <w:t>5、产业政策可行性分析</w:t>
            </w:r>
          </w:p>
          <w:p>
            <w:pPr>
              <w:tabs>
                <w:tab w:val="left" w:pos="6687"/>
              </w:tabs>
              <w:spacing w:line="360" w:lineRule="auto"/>
              <w:rPr>
                <w:color w:val="auto"/>
                <w:highlight w:val="none"/>
                <w:lang w:val="zh-CN"/>
              </w:rPr>
            </w:pPr>
            <w:r>
              <w:rPr>
                <w:rFonts w:hint="eastAsia"/>
                <w:color w:val="auto"/>
                <w:highlight w:val="none"/>
                <w:lang w:val="zh-CN"/>
              </w:rPr>
              <w:t>根据查询《产业结构调整指导目录（201</w:t>
            </w:r>
            <w:r>
              <w:rPr>
                <w:rFonts w:hint="eastAsia"/>
                <w:color w:val="auto"/>
                <w:highlight w:val="none"/>
              </w:rPr>
              <w:t>9</w:t>
            </w:r>
            <w:r>
              <w:rPr>
                <w:rFonts w:hint="eastAsia"/>
                <w:color w:val="auto"/>
                <w:highlight w:val="none"/>
                <w:lang w:val="zh-CN"/>
              </w:rPr>
              <w:t>年本）》，</w:t>
            </w:r>
            <w:r>
              <w:rPr>
                <w:rFonts w:hint="eastAsia"/>
                <w:color w:val="auto"/>
                <w:highlight w:val="none"/>
              </w:rPr>
              <w:t>祁阳县水利局建设的祁阳县城乡供水一体化（二期）工程</w:t>
            </w:r>
            <w:r>
              <w:rPr>
                <w:rFonts w:hint="eastAsia"/>
                <w:color w:val="auto"/>
                <w:highlight w:val="none"/>
                <w:lang w:val="zh-CN"/>
              </w:rPr>
              <w:t>属于鼓励类中二十二、城镇基础设施中</w:t>
            </w:r>
            <w:r>
              <w:rPr>
                <w:rFonts w:hint="eastAsia"/>
                <w:color w:val="auto"/>
                <w:highlight w:val="none"/>
              </w:rPr>
              <w:t>7、城镇安全饮水工程、供水水源及净水厂工程和9、城镇供排水管网工程，</w:t>
            </w:r>
            <w:r>
              <w:rPr>
                <w:color w:val="auto"/>
                <w:highlight w:val="none"/>
                <w:lang w:val="zh-CN"/>
              </w:rPr>
              <w:t>因此，本项目符合国家现行产业政策要求。</w:t>
            </w:r>
          </w:p>
          <w:p>
            <w:pPr>
              <w:spacing w:line="360" w:lineRule="auto"/>
              <w:ind w:firstLine="482"/>
              <w:jc w:val="left"/>
              <w:rPr>
                <w:b/>
                <w:bCs/>
                <w:color w:val="auto"/>
                <w:highlight w:val="none"/>
              </w:rPr>
            </w:pPr>
            <w:r>
              <w:rPr>
                <w:rFonts w:hint="eastAsia"/>
                <w:b/>
                <w:bCs/>
                <w:color w:val="auto"/>
                <w:highlight w:val="none"/>
              </w:rPr>
              <w:t>6、本项目与生态保护红线符合性分析</w:t>
            </w:r>
          </w:p>
          <w:p>
            <w:pPr>
              <w:spacing w:line="360" w:lineRule="auto"/>
              <w:rPr>
                <w:color w:val="auto"/>
                <w:highlight w:val="none"/>
                <w:lang w:val="zh-CN"/>
              </w:rPr>
            </w:pPr>
            <w:r>
              <w:rPr>
                <w:rFonts w:hint="eastAsia"/>
                <w:color w:val="auto"/>
                <w:highlight w:val="none"/>
                <w:lang w:val="zh-CN"/>
              </w:rPr>
              <w:t>本项目位于</w:t>
            </w:r>
            <w:r>
              <w:rPr>
                <w:rFonts w:hint="eastAsia"/>
                <w:color w:val="auto"/>
                <w:highlight w:val="none"/>
              </w:rPr>
              <w:t>祁阳县潘市镇</w:t>
            </w:r>
            <w:r>
              <w:rPr>
                <w:rFonts w:hint="eastAsia"/>
                <w:color w:val="FF0000"/>
                <w:kern w:val="0"/>
                <w:szCs w:val="21"/>
                <w:highlight w:val="none"/>
                <w:u w:val="single"/>
                <w:lang w:eastAsia="zh-CN"/>
              </w:rPr>
              <w:t>董家埠村</w:t>
            </w:r>
            <w:r>
              <w:rPr>
                <w:rFonts w:hint="eastAsia"/>
                <w:color w:val="auto"/>
                <w:highlight w:val="none"/>
              </w:rPr>
              <w:t>泗山塘与庙门前之间，根据咨询永州市生态环境局祁阳分局</w:t>
            </w:r>
            <w:r>
              <w:rPr>
                <w:rFonts w:hint="eastAsia"/>
                <w:color w:val="auto"/>
                <w:highlight w:val="none"/>
                <w:lang w:val="zh-CN"/>
              </w:rPr>
              <w:t>，</w:t>
            </w:r>
            <w:r>
              <w:rPr>
                <w:color w:val="auto"/>
                <w:highlight w:val="none"/>
                <w:lang w:val="zh-CN"/>
              </w:rPr>
              <w:t>本项目</w:t>
            </w:r>
            <w:r>
              <w:rPr>
                <w:rFonts w:hint="eastAsia"/>
                <w:color w:val="auto"/>
                <w:highlight w:val="none"/>
                <w:lang w:val="zh-CN"/>
              </w:rPr>
              <w:t>建设地</w:t>
            </w:r>
            <w:r>
              <w:rPr>
                <w:color w:val="auto"/>
                <w:highlight w:val="none"/>
                <w:lang w:val="zh-CN"/>
              </w:rPr>
              <w:t>不涉及被划入的生态红线内的管控区域</w:t>
            </w:r>
            <w:r>
              <w:rPr>
                <w:rFonts w:hint="eastAsia"/>
                <w:color w:val="auto"/>
                <w:highlight w:val="none"/>
                <w:lang w:val="zh-CN"/>
              </w:rPr>
              <w:t>（详见附件</w:t>
            </w:r>
            <w:r>
              <w:rPr>
                <w:rFonts w:hint="eastAsia"/>
                <w:color w:val="auto"/>
                <w:highlight w:val="none"/>
              </w:rPr>
              <w:t>5</w:t>
            </w:r>
            <w:r>
              <w:rPr>
                <w:rFonts w:hint="eastAsia"/>
                <w:color w:val="auto"/>
                <w:highlight w:val="none"/>
                <w:lang w:val="zh-CN"/>
              </w:rPr>
              <w:t>）</w:t>
            </w:r>
            <w:r>
              <w:rPr>
                <w:color w:val="auto"/>
                <w:highlight w:val="none"/>
                <w:lang w:val="zh-CN"/>
              </w:rPr>
              <w:t>，因此，建设项目与该区域生态红线规划符合。</w:t>
            </w:r>
          </w:p>
          <w:p>
            <w:pPr>
              <w:spacing w:line="360" w:lineRule="auto"/>
              <w:ind w:firstLine="482"/>
              <w:rPr>
                <w:b/>
                <w:bCs/>
                <w:color w:val="auto"/>
                <w:highlight w:val="none"/>
              </w:rPr>
            </w:pPr>
            <w:r>
              <w:rPr>
                <w:rFonts w:hint="eastAsia"/>
                <w:b/>
                <w:bCs/>
                <w:color w:val="auto"/>
                <w:highlight w:val="none"/>
              </w:rPr>
              <w:t>7</w:t>
            </w:r>
            <w:r>
              <w:rPr>
                <w:b/>
                <w:bCs/>
                <w:color w:val="auto"/>
                <w:highlight w:val="none"/>
              </w:rPr>
              <w:t>、平面布局合理性分析</w:t>
            </w:r>
          </w:p>
          <w:p>
            <w:pPr>
              <w:spacing w:line="360" w:lineRule="auto"/>
              <w:rPr>
                <w:color w:val="auto"/>
                <w:highlight w:val="none"/>
                <w:lang w:val="zh-CN"/>
              </w:rPr>
            </w:pPr>
            <w:r>
              <w:rPr>
                <w:rFonts w:hint="eastAsia"/>
                <w:color w:val="auto"/>
                <w:highlight w:val="none"/>
                <w:lang w:val="zh-CN"/>
              </w:rPr>
              <w:t>根据建设方提供的项目厂区平面布置图可知，净水厂平面布置遵循了以下原则：（1）尽量将主体净水构筑物布置在厂平面较宽地段，以便使净水构筑物水流顺畅、平面尺寸及布局合理；（2）按功能分区相对集中布置，在保证生产需要及必需绿化面积的前提下构筑物尽量靠近，便于管理操作和联系；（3）各生产构（建）筑物考虑与现有构筑物的配合协调；（4）节水处理构筑物流程力求简洁，避免迂回重复；（5）厂区道路设计满足运输、施工和消防方便；（6）因地制宜，节约用地，运转经济。</w:t>
            </w:r>
          </w:p>
          <w:p>
            <w:pPr>
              <w:spacing w:line="360" w:lineRule="auto"/>
              <w:rPr>
                <w:color w:val="auto"/>
                <w:highlight w:val="none"/>
                <w:lang w:val="zh-CN"/>
              </w:rPr>
            </w:pPr>
            <w:r>
              <w:rPr>
                <w:rFonts w:hint="eastAsia"/>
                <w:color w:val="FF0000"/>
                <w:highlight w:val="none"/>
                <w:u w:val="single"/>
                <w:lang w:val="zh-CN"/>
              </w:rPr>
              <w:t>本项目净水厂布呈不规则状，厂区西面为远期预留用地，南面地块从北往南依次分布为配水井、絮凝沉淀池、气水反冲洗砂滤池、清水池，综合楼位于北面，加氯加药间位于厂区西面，</w:t>
            </w:r>
            <w:r>
              <w:rPr>
                <w:rFonts w:hint="eastAsia"/>
                <w:color w:val="auto"/>
                <w:highlight w:val="none"/>
                <w:lang w:val="zh-CN"/>
              </w:rPr>
              <w:t>厂区沿围墙设置绿化隔离带，种植高大乔木。主大门设置在厂区西北面，接乡村道路。厂区平面布置情况详见附图。水厂构筑物池体地下埋深适当，整个水厂流程较为顺畅，生产联络管线短，管理方便。生产区与管理区之间用绿化带相隔，用道路相连接，厂内管网严格按照设计建设，满足工艺简洁、流畅和方便生产的要求，总体布置合理。厂内各构（建）筑物周围均设置了绿地，种植各种乔木、灌木和花卉、丛植、花坛、行道树片、草坪等，按设计的总图，厂内高噪声源经隔声后影响很小，化学品贮存及使用场所对厂外保护目标不构成潜在威胁，即总图对外环境影响不明显。</w:t>
            </w:r>
          </w:p>
          <w:p>
            <w:pPr>
              <w:spacing w:line="360" w:lineRule="auto"/>
              <w:rPr>
                <w:color w:val="auto"/>
                <w:highlight w:val="none"/>
                <w:lang w:val="zh-CN"/>
              </w:rPr>
            </w:pPr>
            <w:r>
              <w:rPr>
                <w:rFonts w:hint="eastAsia"/>
                <w:color w:val="auto"/>
                <w:highlight w:val="none"/>
                <w:lang w:val="zh-CN"/>
              </w:rPr>
              <w:t>综上所述，净水厂总图布置各处理区功能分区明确、相对集中布置，便于工作、管理，对外环境无明显影响，该净水厂平面布局从环保角度合理。</w:t>
            </w:r>
          </w:p>
          <w:p>
            <w:pPr>
              <w:spacing w:line="360" w:lineRule="auto"/>
              <w:ind w:firstLine="482"/>
              <w:rPr>
                <w:b/>
                <w:bCs/>
                <w:color w:val="auto"/>
                <w:highlight w:val="none"/>
              </w:rPr>
            </w:pPr>
            <w:r>
              <w:rPr>
                <w:rFonts w:hint="eastAsia"/>
                <w:b/>
                <w:bCs/>
                <w:color w:val="auto"/>
                <w:highlight w:val="none"/>
              </w:rPr>
              <w:t>8、环保投资</w:t>
            </w:r>
          </w:p>
          <w:p>
            <w:pPr>
              <w:spacing w:line="360" w:lineRule="auto"/>
              <w:rPr>
                <w:color w:val="auto"/>
                <w:highlight w:val="none"/>
                <w:lang w:val="zh-CN"/>
              </w:rPr>
            </w:pPr>
            <w:r>
              <w:rPr>
                <w:rFonts w:hint="eastAsia"/>
                <w:color w:val="auto"/>
                <w:highlight w:val="none"/>
                <w:lang w:val="zh-CN"/>
              </w:rPr>
              <w:t>本项目总投资变为66222.50万元，环保投资为</w:t>
            </w:r>
            <w:r>
              <w:rPr>
                <w:rFonts w:hint="eastAsia"/>
                <w:color w:val="auto"/>
                <w:highlight w:val="none"/>
              </w:rPr>
              <w:t>82</w:t>
            </w:r>
            <w:r>
              <w:rPr>
                <w:rFonts w:hint="eastAsia"/>
                <w:color w:val="auto"/>
                <w:highlight w:val="none"/>
                <w:lang w:val="zh-CN"/>
              </w:rPr>
              <w:t>万元，环保投资占总投资的</w:t>
            </w:r>
            <w:r>
              <w:rPr>
                <w:rFonts w:hint="eastAsia"/>
                <w:color w:val="auto"/>
                <w:highlight w:val="none"/>
              </w:rPr>
              <w:t>0.12</w:t>
            </w:r>
            <w:r>
              <w:rPr>
                <w:rFonts w:hint="eastAsia"/>
                <w:color w:val="auto"/>
                <w:highlight w:val="none"/>
                <w:lang w:val="zh-CN"/>
              </w:rPr>
              <w:t>%，具体环保投资分享估算见表7-9。</w:t>
            </w:r>
          </w:p>
          <w:p>
            <w:pPr>
              <w:spacing w:line="240" w:lineRule="auto"/>
              <w:ind w:firstLine="422"/>
              <w:jc w:val="center"/>
              <w:rPr>
                <w:rFonts w:hint="eastAsia"/>
                <w:b/>
                <w:bCs/>
                <w:color w:val="auto"/>
                <w:sz w:val="21"/>
                <w:szCs w:val="21"/>
                <w:highlight w:val="none"/>
                <w:lang w:val="zh-CN"/>
              </w:rPr>
            </w:pPr>
          </w:p>
          <w:p>
            <w:pPr>
              <w:spacing w:line="240" w:lineRule="auto"/>
              <w:ind w:firstLine="422"/>
              <w:jc w:val="center"/>
              <w:rPr>
                <w:rFonts w:hint="eastAsia"/>
                <w:b/>
                <w:bCs/>
                <w:color w:val="auto"/>
                <w:sz w:val="21"/>
                <w:szCs w:val="21"/>
                <w:highlight w:val="none"/>
                <w:lang w:val="zh-CN"/>
              </w:rPr>
            </w:pPr>
          </w:p>
          <w:p>
            <w:pPr>
              <w:spacing w:line="240" w:lineRule="auto"/>
              <w:ind w:firstLine="422"/>
              <w:jc w:val="center"/>
              <w:rPr>
                <w:rFonts w:hint="eastAsia"/>
                <w:b/>
                <w:bCs/>
                <w:color w:val="auto"/>
                <w:sz w:val="21"/>
                <w:szCs w:val="21"/>
                <w:highlight w:val="none"/>
                <w:lang w:val="zh-CN"/>
              </w:rPr>
            </w:pPr>
          </w:p>
          <w:p>
            <w:pPr>
              <w:spacing w:line="240" w:lineRule="auto"/>
              <w:ind w:firstLine="422"/>
              <w:jc w:val="center"/>
              <w:rPr>
                <w:b/>
                <w:bCs/>
                <w:color w:val="auto"/>
                <w:sz w:val="21"/>
                <w:szCs w:val="21"/>
                <w:highlight w:val="none"/>
                <w:lang w:val="zh-CN"/>
              </w:rPr>
            </w:pPr>
            <w:r>
              <w:rPr>
                <w:rFonts w:hint="eastAsia"/>
                <w:b/>
                <w:bCs/>
                <w:color w:val="auto"/>
                <w:sz w:val="21"/>
                <w:szCs w:val="21"/>
                <w:highlight w:val="none"/>
                <w:lang w:val="zh-CN"/>
              </w:rPr>
              <w:t>表7-9 项目环保投资一览表     单位：万元</w:t>
            </w:r>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040"/>
              <w:gridCol w:w="2226"/>
              <w:gridCol w:w="3487"/>
              <w:gridCol w:w="1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091" w:type="dxa"/>
                  <w:gridSpan w:val="2"/>
                  <w:vAlign w:val="center"/>
                </w:tcPr>
                <w:p>
                  <w:pPr>
                    <w:spacing w:line="240" w:lineRule="auto"/>
                    <w:ind w:firstLine="420"/>
                    <w:jc w:val="center"/>
                    <w:rPr>
                      <w:color w:val="auto"/>
                      <w:sz w:val="21"/>
                      <w:szCs w:val="21"/>
                      <w:highlight w:val="none"/>
                    </w:rPr>
                  </w:pPr>
                  <w:r>
                    <w:rPr>
                      <w:color w:val="auto"/>
                      <w:sz w:val="21"/>
                      <w:szCs w:val="21"/>
                      <w:highlight w:val="none"/>
                    </w:rPr>
                    <w:t>污染源</w:t>
                  </w:r>
                </w:p>
              </w:tc>
              <w:tc>
                <w:tcPr>
                  <w:tcW w:w="2226" w:type="dxa"/>
                  <w:vAlign w:val="center"/>
                </w:tcPr>
                <w:p>
                  <w:pPr>
                    <w:spacing w:line="240" w:lineRule="auto"/>
                    <w:ind w:firstLine="420"/>
                    <w:jc w:val="center"/>
                    <w:rPr>
                      <w:color w:val="auto"/>
                      <w:sz w:val="21"/>
                      <w:szCs w:val="21"/>
                      <w:highlight w:val="none"/>
                    </w:rPr>
                  </w:pPr>
                  <w:r>
                    <w:rPr>
                      <w:color w:val="auto"/>
                      <w:sz w:val="21"/>
                      <w:szCs w:val="21"/>
                      <w:highlight w:val="none"/>
                    </w:rPr>
                    <w:t>治理项目</w:t>
                  </w:r>
                </w:p>
              </w:tc>
              <w:tc>
                <w:tcPr>
                  <w:tcW w:w="3487" w:type="dxa"/>
                  <w:vAlign w:val="center"/>
                </w:tcPr>
                <w:p>
                  <w:pPr>
                    <w:spacing w:line="240" w:lineRule="auto"/>
                    <w:ind w:firstLine="420"/>
                    <w:jc w:val="center"/>
                    <w:rPr>
                      <w:color w:val="auto"/>
                      <w:sz w:val="21"/>
                      <w:szCs w:val="21"/>
                      <w:highlight w:val="none"/>
                    </w:rPr>
                  </w:pPr>
                  <w:r>
                    <w:rPr>
                      <w:color w:val="auto"/>
                      <w:sz w:val="21"/>
                      <w:szCs w:val="21"/>
                      <w:highlight w:val="none"/>
                    </w:rPr>
                    <w:t>环保治理措施</w:t>
                  </w:r>
                </w:p>
              </w:tc>
              <w:tc>
                <w:tcPr>
                  <w:tcW w:w="1267" w:type="dxa"/>
                  <w:vAlign w:val="center"/>
                </w:tcPr>
                <w:p>
                  <w:pPr>
                    <w:spacing w:line="240" w:lineRule="auto"/>
                    <w:ind w:firstLine="0" w:firstLineChars="0"/>
                    <w:jc w:val="center"/>
                    <w:rPr>
                      <w:color w:val="auto"/>
                      <w:sz w:val="21"/>
                      <w:szCs w:val="21"/>
                      <w:highlight w:val="none"/>
                    </w:rPr>
                  </w:pPr>
                  <w:r>
                    <w:rPr>
                      <w:color w:val="auto"/>
                      <w:sz w:val="21"/>
                      <w:szCs w:val="21"/>
                      <w:highlight w:val="none"/>
                    </w:rPr>
                    <w:t>资金</w:t>
                  </w:r>
                </w:p>
                <w:p>
                  <w:pPr>
                    <w:spacing w:line="240" w:lineRule="auto"/>
                    <w:ind w:firstLine="0" w:firstLineChars="0"/>
                    <w:jc w:val="center"/>
                    <w:rPr>
                      <w:color w:val="auto"/>
                      <w:sz w:val="21"/>
                      <w:szCs w:val="21"/>
                      <w:highlight w:val="none"/>
                    </w:rPr>
                  </w:pPr>
                  <w:r>
                    <w:rPr>
                      <w:color w:val="auto"/>
                      <w:sz w:val="21"/>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restart"/>
                  <w:vAlign w:val="center"/>
                </w:tcPr>
                <w:p>
                  <w:pPr>
                    <w:pStyle w:val="50"/>
                    <w:snapToGrid/>
                    <w:spacing w:line="240" w:lineRule="auto"/>
                    <w:ind w:firstLine="0" w:firstLineChars="0"/>
                    <w:rPr>
                      <w:color w:val="auto"/>
                      <w:sz w:val="21"/>
                      <w:szCs w:val="21"/>
                      <w:highlight w:val="none"/>
                    </w:rPr>
                  </w:pPr>
                  <w:r>
                    <w:rPr>
                      <w:color w:val="auto"/>
                      <w:sz w:val="21"/>
                      <w:szCs w:val="21"/>
                      <w:highlight w:val="none"/>
                    </w:rPr>
                    <w:t>营运期</w:t>
                  </w:r>
                </w:p>
              </w:tc>
              <w:tc>
                <w:tcPr>
                  <w:tcW w:w="1040" w:type="dxa"/>
                  <w:vMerge w:val="restart"/>
                  <w:vAlign w:val="center"/>
                </w:tcPr>
                <w:p>
                  <w:pPr>
                    <w:pStyle w:val="50"/>
                    <w:snapToGrid/>
                    <w:spacing w:line="240" w:lineRule="auto"/>
                    <w:ind w:firstLine="0" w:firstLineChars="0"/>
                    <w:rPr>
                      <w:color w:val="auto"/>
                      <w:sz w:val="21"/>
                      <w:szCs w:val="21"/>
                      <w:highlight w:val="none"/>
                    </w:rPr>
                  </w:pPr>
                  <w:r>
                    <w:rPr>
                      <w:color w:val="auto"/>
                      <w:sz w:val="21"/>
                      <w:szCs w:val="21"/>
                      <w:highlight w:val="none"/>
                    </w:rPr>
                    <w:t>废气</w:t>
                  </w:r>
                </w:p>
              </w:tc>
              <w:tc>
                <w:tcPr>
                  <w:tcW w:w="2226"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二氧化氯废气</w:t>
                  </w:r>
                </w:p>
              </w:tc>
              <w:tc>
                <w:tcPr>
                  <w:tcW w:w="348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加药间设置排风扇</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Merge w:val="continue"/>
                  <w:vAlign w:val="center"/>
                </w:tcPr>
                <w:p>
                  <w:pPr>
                    <w:pStyle w:val="50"/>
                    <w:snapToGrid/>
                    <w:spacing w:line="240" w:lineRule="auto"/>
                    <w:ind w:firstLine="0" w:firstLineChars="0"/>
                    <w:rPr>
                      <w:color w:val="auto"/>
                      <w:sz w:val="21"/>
                      <w:szCs w:val="21"/>
                      <w:highlight w:val="none"/>
                    </w:rPr>
                  </w:pPr>
                </w:p>
              </w:tc>
              <w:tc>
                <w:tcPr>
                  <w:tcW w:w="2226"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食堂油烟废气</w:t>
                  </w:r>
                </w:p>
              </w:tc>
              <w:tc>
                <w:tcPr>
                  <w:tcW w:w="348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油烟净化器</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Merge w:val="restart"/>
                  <w:vAlign w:val="center"/>
                </w:tcPr>
                <w:p>
                  <w:pPr>
                    <w:pStyle w:val="50"/>
                    <w:snapToGrid/>
                    <w:spacing w:line="240" w:lineRule="auto"/>
                    <w:ind w:firstLine="0" w:firstLineChars="0"/>
                    <w:rPr>
                      <w:color w:val="auto"/>
                      <w:sz w:val="21"/>
                      <w:szCs w:val="21"/>
                      <w:highlight w:val="none"/>
                    </w:rPr>
                  </w:pPr>
                  <w:r>
                    <w:rPr>
                      <w:color w:val="auto"/>
                      <w:sz w:val="21"/>
                      <w:szCs w:val="21"/>
                      <w:highlight w:val="none"/>
                    </w:rPr>
                    <w:t>废水</w:t>
                  </w:r>
                </w:p>
              </w:tc>
              <w:tc>
                <w:tcPr>
                  <w:tcW w:w="2226" w:type="dxa"/>
                  <w:vAlign w:val="center"/>
                </w:tcPr>
                <w:p>
                  <w:pPr>
                    <w:pStyle w:val="50"/>
                    <w:snapToGrid/>
                    <w:spacing w:line="240" w:lineRule="auto"/>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化验室废水</w:t>
                  </w:r>
                </w:p>
              </w:tc>
              <w:tc>
                <w:tcPr>
                  <w:tcW w:w="3487" w:type="dxa"/>
                  <w:vAlign w:val="center"/>
                </w:tcPr>
                <w:p>
                  <w:pPr>
                    <w:pStyle w:val="50"/>
                    <w:snapToGrid/>
                    <w:spacing w:line="240" w:lineRule="auto"/>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中和池（0.5m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w:t>
                  </w:r>
                </w:p>
              </w:tc>
              <w:tc>
                <w:tcPr>
                  <w:tcW w:w="1267" w:type="dxa"/>
                  <w:vAlign w:val="center"/>
                </w:tcPr>
                <w:p>
                  <w:pPr>
                    <w:pStyle w:val="50"/>
                    <w:snapToGrid/>
                    <w:spacing w:line="240" w:lineRule="auto"/>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Merge w:val="continue"/>
                  <w:vAlign w:val="center"/>
                </w:tcPr>
                <w:p>
                  <w:pPr>
                    <w:pStyle w:val="50"/>
                    <w:snapToGrid/>
                    <w:spacing w:line="240" w:lineRule="auto"/>
                    <w:ind w:firstLine="0" w:firstLineChars="0"/>
                    <w:rPr>
                      <w:color w:val="auto"/>
                      <w:sz w:val="21"/>
                      <w:szCs w:val="21"/>
                      <w:highlight w:val="none"/>
                    </w:rPr>
                  </w:pPr>
                </w:p>
              </w:tc>
              <w:tc>
                <w:tcPr>
                  <w:tcW w:w="2226"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员工生活污水</w:t>
                  </w:r>
                </w:p>
              </w:tc>
              <w:tc>
                <w:tcPr>
                  <w:tcW w:w="348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地埋式一体化污水处理设施（5t/d）、隔油池（1m</w:t>
                  </w:r>
                  <w:r>
                    <w:rPr>
                      <w:rFonts w:hint="eastAsia"/>
                      <w:color w:val="auto"/>
                      <w:sz w:val="21"/>
                      <w:szCs w:val="21"/>
                      <w:highlight w:val="none"/>
                      <w:vertAlign w:val="superscript"/>
                    </w:rPr>
                    <w:t>3</w:t>
                  </w:r>
                  <w:r>
                    <w:rPr>
                      <w:rFonts w:hint="eastAsia"/>
                      <w:color w:val="auto"/>
                      <w:sz w:val="21"/>
                      <w:szCs w:val="21"/>
                      <w:highlight w:val="none"/>
                    </w:rPr>
                    <w:t>）</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Align w:val="center"/>
                </w:tcPr>
                <w:p>
                  <w:pPr>
                    <w:pStyle w:val="50"/>
                    <w:snapToGrid/>
                    <w:spacing w:line="240" w:lineRule="auto"/>
                    <w:ind w:firstLine="0" w:firstLineChars="0"/>
                    <w:rPr>
                      <w:color w:val="auto"/>
                      <w:sz w:val="21"/>
                      <w:szCs w:val="21"/>
                      <w:highlight w:val="none"/>
                    </w:rPr>
                  </w:pPr>
                  <w:r>
                    <w:rPr>
                      <w:color w:val="auto"/>
                      <w:sz w:val="21"/>
                      <w:szCs w:val="21"/>
                      <w:highlight w:val="none"/>
                    </w:rPr>
                    <w:t>噪声</w:t>
                  </w:r>
                </w:p>
              </w:tc>
              <w:tc>
                <w:tcPr>
                  <w:tcW w:w="2226"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轴流风机、回转式格栅除污机、搅拌机、次氯酸钠发生器、水泵、潜水排污泵等设备运行时产生的机械噪声</w:t>
                  </w:r>
                </w:p>
              </w:tc>
              <w:tc>
                <w:tcPr>
                  <w:tcW w:w="348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选用低噪声设备，</w:t>
                  </w:r>
                  <w:r>
                    <w:rPr>
                      <w:color w:val="auto"/>
                      <w:sz w:val="21"/>
                      <w:szCs w:val="21"/>
                      <w:highlight w:val="none"/>
                    </w:rPr>
                    <w:t>设备</w:t>
                  </w:r>
                  <w:r>
                    <w:rPr>
                      <w:rFonts w:hint="eastAsia"/>
                      <w:color w:val="auto"/>
                      <w:sz w:val="21"/>
                      <w:szCs w:val="21"/>
                      <w:highlight w:val="none"/>
                    </w:rPr>
                    <w:t>隔音</w:t>
                  </w:r>
                  <w:r>
                    <w:rPr>
                      <w:color w:val="auto"/>
                      <w:sz w:val="21"/>
                      <w:szCs w:val="21"/>
                      <w:highlight w:val="none"/>
                    </w:rPr>
                    <w:t>减振、减噪</w:t>
                  </w:r>
                  <w:r>
                    <w:rPr>
                      <w:rFonts w:hint="eastAsia"/>
                      <w:color w:val="auto"/>
                      <w:sz w:val="21"/>
                      <w:szCs w:val="21"/>
                      <w:highlight w:val="none"/>
                    </w:rPr>
                    <w:t>，合理平面布局，墙体隔音</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Merge w:val="restart"/>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固体废弃物</w:t>
                  </w:r>
                </w:p>
              </w:tc>
              <w:tc>
                <w:tcPr>
                  <w:tcW w:w="22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污泥</w:t>
                  </w:r>
                </w:p>
              </w:tc>
              <w:tc>
                <w:tcPr>
                  <w:tcW w:w="348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污泥浓缩池、板框压滤机</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Merge w:val="continue"/>
                  <w:vAlign w:val="center"/>
                </w:tcPr>
                <w:p>
                  <w:pPr>
                    <w:pStyle w:val="50"/>
                    <w:snapToGrid/>
                    <w:spacing w:line="240" w:lineRule="auto"/>
                    <w:ind w:firstLine="0" w:firstLineChars="0"/>
                    <w:rPr>
                      <w:color w:val="auto"/>
                      <w:sz w:val="21"/>
                      <w:szCs w:val="21"/>
                      <w:highlight w:val="none"/>
                    </w:rPr>
                  </w:pPr>
                </w:p>
              </w:tc>
              <w:tc>
                <w:tcPr>
                  <w:tcW w:w="22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废润滑油</w:t>
                  </w:r>
                </w:p>
              </w:tc>
              <w:tc>
                <w:tcPr>
                  <w:tcW w:w="348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危险固废间</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Merge w:val="continue"/>
                  <w:vAlign w:val="center"/>
                </w:tcPr>
                <w:p>
                  <w:pPr>
                    <w:pStyle w:val="50"/>
                    <w:snapToGrid/>
                    <w:spacing w:line="240" w:lineRule="auto"/>
                    <w:ind w:firstLine="0" w:firstLineChars="0"/>
                    <w:rPr>
                      <w:color w:val="auto"/>
                      <w:sz w:val="21"/>
                      <w:szCs w:val="21"/>
                      <w:highlight w:val="none"/>
                    </w:rPr>
                  </w:pPr>
                </w:p>
              </w:tc>
              <w:tc>
                <w:tcPr>
                  <w:tcW w:w="22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生活垃圾</w:t>
                  </w:r>
                </w:p>
              </w:tc>
              <w:tc>
                <w:tcPr>
                  <w:tcW w:w="348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垃圾桶</w:t>
                  </w:r>
                </w:p>
              </w:tc>
              <w:tc>
                <w:tcPr>
                  <w:tcW w:w="1267" w:type="dxa"/>
                  <w:vAlign w:val="center"/>
                </w:tcPr>
                <w:p>
                  <w:pPr>
                    <w:pStyle w:val="50"/>
                    <w:snapToGrid/>
                    <w:spacing w:line="240" w:lineRule="auto"/>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51" w:type="dxa"/>
                  <w:vMerge w:val="continue"/>
                  <w:vAlign w:val="center"/>
                </w:tcPr>
                <w:p>
                  <w:pPr>
                    <w:pStyle w:val="50"/>
                    <w:snapToGrid/>
                    <w:spacing w:line="240" w:lineRule="auto"/>
                    <w:ind w:firstLine="0" w:firstLineChars="0"/>
                    <w:rPr>
                      <w:color w:val="auto"/>
                      <w:sz w:val="21"/>
                      <w:szCs w:val="21"/>
                      <w:highlight w:val="none"/>
                    </w:rPr>
                  </w:pPr>
                </w:p>
              </w:tc>
              <w:tc>
                <w:tcPr>
                  <w:tcW w:w="1040" w:type="dxa"/>
                  <w:vAlign w:val="center"/>
                </w:tcPr>
                <w:p>
                  <w:pPr>
                    <w:spacing w:line="240" w:lineRule="auto"/>
                    <w:ind w:firstLine="0" w:firstLineChars="0"/>
                    <w:jc w:val="center"/>
                    <w:rPr>
                      <w:color w:val="auto"/>
                      <w:sz w:val="21"/>
                      <w:szCs w:val="21"/>
                      <w:highlight w:val="none"/>
                    </w:rPr>
                  </w:pPr>
                  <w:r>
                    <w:rPr>
                      <w:color w:val="auto"/>
                      <w:sz w:val="21"/>
                      <w:szCs w:val="21"/>
                      <w:highlight w:val="none"/>
                    </w:rPr>
                    <w:t>生态</w:t>
                  </w:r>
                </w:p>
                <w:p>
                  <w:pPr>
                    <w:spacing w:line="240" w:lineRule="auto"/>
                    <w:ind w:firstLine="0" w:firstLineChars="0"/>
                    <w:jc w:val="center"/>
                    <w:rPr>
                      <w:color w:val="auto"/>
                      <w:sz w:val="21"/>
                      <w:szCs w:val="21"/>
                      <w:highlight w:val="none"/>
                    </w:rPr>
                  </w:pPr>
                  <w:r>
                    <w:rPr>
                      <w:color w:val="auto"/>
                      <w:sz w:val="21"/>
                      <w:szCs w:val="21"/>
                      <w:highlight w:val="none"/>
                    </w:rPr>
                    <w:t>治理</w:t>
                  </w:r>
                </w:p>
              </w:tc>
              <w:tc>
                <w:tcPr>
                  <w:tcW w:w="5713" w:type="dxa"/>
                  <w:gridSpan w:val="2"/>
                  <w:vAlign w:val="center"/>
                </w:tcPr>
                <w:p>
                  <w:pPr>
                    <w:spacing w:line="240" w:lineRule="auto"/>
                    <w:ind w:firstLine="0" w:firstLineChars="0"/>
                    <w:jc w:val="center"/>
                    <w:textAlignment w:val="center"/>
                    <w:rPr>
                      <w:color w:val="auto"/>
                      <w:sz w:val="21"/>
                      <w:szCs w:val="21"/>
                      <w:highlight w:val="none"/>
                    </w:rPr>
                  </w:pPr>
                  <w:r>
                    <w:rPr>
                      <w:color w:val="auto"/>
                      <w:sz w:val="21"/>
                      <w:szCs w:val="21"/>
                      <w:highlight w:val="none"/>
                    </w:rPr>
                    <w:t>场区绿地率达到21.47%</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04" w:type="dxa"/>
                  <w:gridSpan w:val="4"/>
                  <w:vAlign w:val="center"/>
                </w:tcPr>
                <w:p>
                  <w:pPr>
                    <w:pStyle w:val="50"/>
                    <w:snapToGrid/>
                    <w:spacing w:line="240" w:lineRule="auto"/>
                    <w:ind w:firstLine="0" w:firstLineChars="0"/>
                    <w:rPr>
                      <w:color w:val="auto"/>
                      <w:sz w:val="21"/>
                      <w:szCs w:val="21"/>
                      <w:highlight w:val="none"/>
                    </w:rPr>
                  </w:pPr>
                  <w:r>
                    <w:rPr>
                      <w:color w:val="auto"/>
                      <w:sz w:val="21"/>
                      <w:szCs w:val="21"/>
                      <w:highlight w:val="none"/>
                    </w:rPr>
                    <w:t>总计</w:t>
                  </w:r>
                </w:p>
              </w:tc>
              <w:tc>
                <w:tcPr>
                  <w:tcW w:w="1267" w:type="dxa"/>
                  <w:vAlign w:val="center"/>
                </w:tcPr>
                <w:p>
                  <w:pPr>
                    <w:pStyle w:val="50"/>
                    <w:snapToGrid/>
                    <w:spacing w:line="240" w:lineRule="auto"/>
                    <w:ind w:firstLine="0" w:firstLineChars="0"/>
                    <w:rPr>
                      <w:color w:val="auto"/>
                      <w:sz w:val="21"/>
                      <w:szCs w:val="21"/>
                      <w:highlight w:val="none"/>
                    </w:rPr>
                  </w:pPr>
                  <w:r>
                    <w:rPr>
                      <w:rFonts w:hint="eastAsia"/>
                      <w:color w:val="auto"/>
                      <w:sz w:val="21"/>
                      <w:szCs w:val="21"/>
                      <w:highlight w:val="none"/>
                    </w:rPr>
                    <w:t>82</w:t>
                  </w:r>
                </w:p>
              </w:tc>
            </w:tr>
          </w:tbl>
          <w:p>
            <w:pPr>
              <w:spacing w:line="360" w:lineRule="auto"/>
              <w:ind w:firstLine="482"/>
              <w:jc w:val="left"/>
              <w:rPr>
                <w:b/>
                <w:bCs/>
                <w:color w:val="auto"/>
                <w:highlight w:val="none"/>
              </w:rPr>
            </w:pPr>
            <w:bookmarkStart w:id="67" w:name="_Toc7746"/>
            <w:r>
              <w:rPr>
                <w:rFonts w:hint="eastAsia"/>
                <w:b/>
                <w:bCs/>
                <w:color w:val="auto"/>
                <w:highlight w:val="none"/>
              </w:rPr>
              <w:t>9、环境管理与监测计划</w:t>
            </w:r>
            <w:bookmarkEnd w:id="67"/>
          </w:p>
          <w:p>
            <w:pPr>
              <w:pStyle w:val="5"/>
              <w:spacing w:before="0" w:line="360" w:lineRule="auto"/>
              <w:ind w:firstLine="482"/>
              <w:rPr>
                <w:rFonts w:eastAsia="宋体"/>
                <w:color w:val="auto"/>
                <w:sz w:val="24"/>
                <w:szCs w:val="24"/>
                <w:highlight w:val="none"/>
                <w:shd w:val="clear" w:color="auto" w:fill="FFFFFF"/>
              </w:rPr>
            </w:pPr>
            <w:bookmarkStart w:id="68" w:name="_Toc20682"/>
            <w:bookmarkStart w:id="69" w:name="_Toc27252"/>
            <w:bookmarkStart w:id="70" w:name="_Toc32524"/>
            <w:bookmarkStart w:id="71" w:name="_Toc23151"/>
            <w:r>
              <w:rPr>
                <w:rFonts w:hint="eastAsia" w:eastAsia="宋体"/>
                <w:color w:val="auto"/>
                <w:sz w:val="24"/>
                <w:szCs w:val="24"/>
                <w:highlight w:val="none"/>
                <w:shd w:val="clear" w:color="auto" w:fill="FFFFFF"/>
              </w:rPr>
              <w:t>9.1环境管理</w:t>
            </w:r>
            <w:bookmarkEnd w:id="68"/>
            <w:bookmarkEnd w:id="69"/>
          </w:p>
          <w:bookmarkEnd w:id="70"/>
          <w:bookmarkEnd w:id="71"/>
          <w:p>
            <w:pPr>
              <w:spacing w:line="360" w:lineRule="auto"/>
              <w:ind w:firstLine="482"/>
              <w:rPr>
                <w:b/>
                <w:bCs/>
                <w:color w:val="auto"/>
                <w:highlight w:val="none"/>
                <w:lang w:val="zh-CN"/>
              </w:rPr>
            </w:pPr>
            <w:r>
              <w:rPr>
                <w:rFonts w:hint="eastAsia"/>
                <w:b/>
                <w:bCs/>
                <w:color w:val="auto"/>
                <w:highlight w:val="none"/>
                <w:lang w:val="zh-CN"/>
              </w:rPr>
              <w:t>1）环境管理的基本任务</w:t>
            </w:r>
          </w:p>
          <w:p>
            <w:pPr>
              <w:spacing w:line="360" w:lineRule="auto"/>
              <w:rPr>
                <w:color w:val="auto"/>
                <w:highlight w:val="none"/>
                <w:lang w:val="zh-CN"/>
              </w:rPr>
            </w:pPr>
            <w:r>
              <w:rPr>
                <w:rFonts w:hint="eastAsia"/>
                <w:color w:val="auto"/>
                <w:highlight w:val="none"/>
                <w:lang w:val="zh-CN"/>
              </w:rPr>
              <w:t>本项目环境管理的基本任务是：控制污染物排放量，避免污染物对环境质量的损害。</w:t>
            </w:r>
          </w:p>
          <w:p>
            <w:pPr>
              <w:spacing w:line="360" w:lineRule="auto"/>
              <w:rPr>
                <w:color w:val="auto"/>
                <w:highlight w:val="none"/>
                <w:lang w:val="zh-CN"/>
              </w:rPr>
            </w:pPr>
            <w:r>
              <w:rPr>
                <w:rFonts w:hint="eastAsia"/>
                <w:color w:val="auto"/>
                <w:highlight w:val="none"/>
                <w:lang w:val="zh-CN"/>
              </w:rPr>
              <w:t>为了控制污染物的排放，就需要加强计划、生产、技术、质量、设备、劳动、财务等方面的管理，把环境管理渗透到整个企业管理中，将环境管理溶合在一起，以减少从生产过程中各环节排出的污染物。</w:t>
            </w:r>
          </w:p>
          <w:p>
            <w:pPr>
              <w:spacing w:line="360" w:lineRule="auto"/>
              <w:rPr>
                <w:color w:val="auto"/>
                <w:highlight w:val="none"/>
                <w:lang w:val="zh-CN"/>
              </w:rPr>
            </w:pPr>
            <w:r>
              <w:rPr>
                <w:rFonts w:hint="eastAsia"/>
                <w:color w:val="auto"/>
                <w:highlight w:val="none"/>
                <w:lang w:val="zh-CN"/>
              </w:rPr>
              <w:t>本项目应该将环境管理作为企业管理的重要组成部分，建立环境污染管理系统、制度、环境规划、协调发展生产保护环境的关系，使生产管理系统、制度、环境污染规划协调生产与保护环境的关系，使生产目标与环境目标统一起来，经济效益与环境效益统一起来。</w:t>
            </w:r>
          </w:p>
          <w:p>
            <w:pPr>
              <w:spacing w:line="360" w:lineRule="auto"/>
              <w:ind w:firstLine="482"/>
              <w:rPr>
                <w:b/>
                <w:bCs/>
                <w:color w:val="auto"/>
                <w:highlight w:val="none"/>
                <w:lang w:val="zh-CN"/>
              </w:rPr>
            </w:pPr>
            <w:bookmarkStart w:id="72" w:name="_Toc2576"/>
            <w:bookmarkStart w:id="73" w:name="_Toc6939"/>
            <w:r>
              <w:rPr>
                <w:rFonts w:hint="eastAsia"/>
                <w:b/>
                <w:bCs/>
                <w:color w:val="auto"/>
                <w:highlight w:val="none"/>
                <w:lang w:val="zh-CN"/>
              </w:rPr>
              <w:t>2）环境管理机构设置</w:t>
            </w:r>
            <w:bookmarkEnd w:id="72"/>
            <w:bookmarkEnd w:id="73"/>
          </w:p>
          <w:p>
            <w:pPr>
              <w:spacing w:line="360" w:lineRule="auto"/>
              <w:rPr>
                <w:color w:val="auto"/>
                <w:highlight w:val="none"/>
                <w:lang w:val="zh-CN"/>
              </w:rPr>
            </w:pPr>
            <w:r>
              <w:rPr>
                <w:rFonts w:hint="eastAsia"/>
                <w:color w:val="auto"/>
                <w:highlight w:val="none"/>
                <w:lang w:val="zh-CN"/>
              </w:rPr>
              <w:t>根据国家有关环境保护法规的要求和本项目生产的实际需要，建议该企业在设置组织机构时，考虑设置专门的环保管理机构：环保处（科），配备专职环保管理人员1~2名。环保管理人员应有熟悉企业排污状况、具备一定清洁生产知识、责任心强和组织协调能力强的人员担任，以利于监督管理，负责全场的环境保护管理工作，发现问题能及时解决并向上级环保主管部门报告，其主要职责如下：</w:t>
            </w:r>
          </w:p>
          <w:p>
            <w:pPr>
              <w:spacing w:line="360" w:lineRule="auto"/>
              <w:rPr>
                <w:color w:val="auto"/>
                <w:highlight w:val="none"/>
                <w:lang w:val="zh-CN"/>
              </w:rPr>
            </w:pPr>
            <w:r>
              <w:rPr>
                <w:rFonts w:hint="eastAsia"/>
                <w:color w:val="auto"/>
                <w:highlight w:val="none"/>
                <w:lang w:val="zh-CN"/>
              </w:rPr>
              <w:t>（1）宣传、贯彻和执行环境保护政策、法律法规及环境保护标准。开展环境保护宣传、教育、培训等专业知识普及工作；</w:t>
            </w:r>
          </w:p>
          <w:p>
            <w:pPr>
              <w:spacing w:line="360" w:lineRule="auto"/>
              <w:rPr>
                <w:color w:val="auto"/>
                <w:highlight w:val="none"/>
                <w:lang w:val="zh-CN"/>
              </w:rPr>
            </w:pPr>
            <w:r>
              <w:rPr>
                <w:rFonts w:hint="eastAsia"/>
                <w:color w:val="auto"/>
                <w:highlight w:val="none"/>
                <w:lang w:val="zh-CN"/>
              </w:rPr>
              <w:t>（2）编制并组织实施环境保护规划和计划，并监督执行，负责日常环境保护的管理工作；</w:t>
            </w:r>
          </w:p>
          <w:p>
            <w:pPr>
              <w:spacing w:line="360" w:lineRule="auto"/>
              <w:rPr>
                <w:color w:val="auto"/>
                <w:highlight w:val="none"/>
                <w:lang w:val="zh-CN"/>
              </w:rPr>
            </w:pPr>
            <w:r>
              <w:rPr>
                <w:rFonts w:hint="eastAsia"/>
                <w:color w:val="auto"/>
                <w:highlight w:val="none"/>
                <w:lang w:val="zh-CN"/>
              </w:rPr>
              <w:t>（3）领导并组织企业的环境监测工作，建立监测台帐和档案，编写环保简报，做好环境统计，使企业领导、上级部门及时掌握污染治理动态；</w:t>
            </w:r>
          </w:p>
          <w:p>
            <w:pPr>
              <w:spacing w:line="360" w:lineRule="auto"/>
              <w:rPr>
                <w:color w:val="auto"/>
                <w:highlight w:val="none"/>
                <w:lang w:val="zh-CN"/>
              </w:rPr>
            </w:pPr>
            <w:r>
              <w:rPr>
                <w:rFonts w:hint="eastAsia"/>
                <w:color w:val="auto"/>
                <w:highlight w:val="none"/>
                <w:lang w:val="zh-CN"/>
              </w:rPr>
              <w:t>（4）建立建全环境保护与劳动安全管理制度，监督工程施工期、运行期和服务期满后环保措施的有效实施；</w:t>
            </w:r>
          </w:p>
          <w:p>
            <w:pPr>
              <w:spacing w:line="360" w:lineRule="auto"/>
              <w:rPr>
                <w:color w:val="auto"/>
                <w:highlight w:val="none"/>
                <w:lang w:val="zh-CN"/>
              </w:rPr>
            </w:pPr>
            <w:r>
              <w:rPr>
                <w:rFonts w:hint="eastAsia"/>
                <w:color w:val="auto"/>
                <w:highlight w:val="none"/>
                <w:lang w:val="zh-CN"/>
              </w:rPr>
              <w:t>（5）为保证工程环保设施的正常运转，减少或防范污染事故，制定污染治理设备设施操作规程的检查、维修计划，检查、记录污染治理设施运行及检修情况，并定期检查操作人员的操作技能，在实际工作中检验各项操作规范的可行性；</w:t>
            </w:r>
          </w:p>
          <w:p>
            <w:pPr>
              <w:spacing w:line="360" w:lineRule="auto"/>
              <w:rPr>
                <w:color w:val="auto"/>
                <w:highlight w:val="none"/>
                <w:lang w:val="zh-CN"/>
              </w:rPr>
            </w:pPr>
            <w:r>
              <w:rPr>
                <w:rFonts w:hint="eastAsia"/>
                <w:color w:val="auto"/>
                <w:highlight w:val="none"/>
                <w:lang w:val="zh-CN"/>
              </w:rPr>
              <w:t>（6）检查各环境保护设施的运行情况、负责污染事故性排放的处理和调查。</w:t>
            </w:r>
          </w:p>
          <w:p>
            <w:pPr>
              <w:spacing w:line="360" w:lineRule="auto"/>
              <w:ind w:firstLine="482"/>
              <w:rPr>
                <w:b/>
                <w:bCs/>
                <w:color w:val="auto"/>
                <w:highlight w:val="none"/>
                <w:lang w:val="zh-CN"/>
              </w:rPr>
            </w:pPr>
            <w:bookmarkStart w:id="74" w:name="_Toc5161"/>
            <w:bookmarkStart w:id="75" w:name="_Toc28720"/>
            <w:r>
              <w:rPr>
                <w:rFonts w:hint="eastAsia"/>
                <w:b/>
                <w:bCs/>
                <w:color w:val="auto"/>
                <w:highlight w:val="none"/>
                <w:lang w:val="zh-CN"/>
              </w:rPr>
              <w:t>3）营运期环境管理</w:t>
            </w:r>
            <w:bookmarkEnd w:id="74"/>
            <w:bookmarkEnd w:id="75"/>
          </w:p>
          <w:p>
            <w:pPr>
              <w:spacing w:line="360" w:lineRule="auto"/>
              <w:rPr>
                <w:color w:val="auto"/>
                <w:highlight w:val="none"/>
                <w:lang w:val="zh-CN"/>
              </w:rPr>
            </w:pPr>
            <w:r>
              <w:rPr>
                <w:rFonts w:hint="eastAsia"/>
                <w:color w:val="auto"/>
                <w:highlight w:val="none"/>
                <w:lang w:val="zh-CN"/>
              </w:rPr>
              <w:t>拟建项目必须贯彻执行国家有关方针、政策、法律和法规，必须配备专管环保的工作人员，特别注意对污水、废气和工业固废的监督管理，保证达标排放和符合环保要求。统一安排，积极贯彻“预防为主、防治结合”的方针，形成环境管理经常化、制度化；对运行中产生的问题需即时制定相应对策，加强与环境保护部门的联系与配合，结合环境监测的结果，及时掌握环境质量的变化状况，采取有效措施把污染控制在国家标准允许的范围内。一旦发生环保污染事故、人身健康危害，要速与当地环保、环卫、市政、公安等部门密切结合，及时消除影响，防治环境污染，保证人员的安全。环境污染要及时做出应急处理。以下几项具体工作应特别注意抓好。</w:t>
            </w:r>
          </w:p>
          <w:p>
            <w:pPr>
              <w:spacing w:line="360" w:lineRule="auto"/>
              <w:rPr>
                <w:color w:val="auto"/>
                <w:highlight w:val="none"/>
                <w:lang w:val="zh-CN"/>
              </w:rPr>
            </w:pPr>
            <w:r>
              <w:rPr>
                <w:rFonts w:hint="eastAsia"/>
                <w:color w:val="auto"/>
                <w:highlight w:val="none"/>
                <w:lang w:val="zh-CN"/>
              </w:rPr>
              <w:t>（1）根据国家环保政策、标准及环境监测要求，制定该项目运营期环保管理规章制度、各种污染物排放控制指标；</w:t>
            </w:r>
          </w:p>
          <w:p>
            <w:pPr>
              <w:spacing w:line="360" w:lineRule="auto"/>
              <w:rPr>
                <w:color w:val="auto"/>
                <w:highlight w:val="none"/>
                <w:lang w:val="zh-CN"/>
              </w:rPr>
            </w:pPr>
            <w:r>
              <w:rPr>
                <w:rFonts w:hint="eastAsia"/>
                <w:color w:val="auto"/>
                <w:highlight w:val="none"/>
                <w:lang w:val="zh-CN"/>
              </w:rPr>
              <w:t>（2）负责该项目内所有环保设施的日常运行管理，保障各环保设施的正常运行，并对环保设施的改进提出积极的建议；</w:t>
            </w:r>
          </w:p>
          <w:p>
            <w:pPr>
              <w:spacing w:line="360" w:lineRule="auto"/>
              <w:rPr>
                <w:color w:val="auto"/>
                <w:highlight w:val="none"/>
                <w:lang w:val="zh-CN"/>
              </w:rPr>
            </w:pPr>
            <w:r>
              <w:rPr>
                <w:rFonts w:hint="eastAsia"/>
                <w:color w:val="auto"/>
                <w:highlight w:val="none"/>
                <w:lang w:val="zh-CN"/>
              </w:rPr>
              <w:t>（3）负责该项目运营期环境监测工作，及时掌握该项目污染状况，整理监测数据，建立污染源档案；</w:t>
            </w:r>
          </w:p>
          <w:p>
            <w:pPr>
              <w:spacing w:line="360" w:lineRule="auto"/>
              <w:rPr>
                <w:color w:val="auto"/>
                <w:highlight w:val="none"/>
                <w:lang w:val="zh-CN"/>
              </w:rPr>
            </w:pPr>
            <w:r>
              <w:rPr>
                <w:rFonts w:hint="eastAsia"/>
                <w:color w:val="auto"/>
                <w:highlight w:val="none"/>
                <w:lang w:val="zh-CN"/>
              </w:rPr>
              <w:t>（4）负责对该净水厂职工进行环保宣传教育工作，以及检查、监督各科室环保制度的执行情况；</w:t>
            </w:r>
          </w:p>
          <w:p>
            <w:pPr>
              <w:spacing w:line="360" w:lineRule="auto"/>
              <w:rPr>
                <w:color w:val="auto"/>
                <w:highlight w:val="none"/>
                <w:lang w:val="zh-CN"/>
              </w:rPr>
            </w:pPr>
            <w:r>
              <w:rPr>
                <w:rFonts w:hint="eastAsia"/>
                <w:color w:val="auto"/>
                <w:highlight w:val="none"/>
                <w:lang w:val="zh-CN"/>
              </w:rPr>
              <w:t>（5）在现有规章制度的基础上，建立健全环境档案管理与保密制度、污染防治设施设计技术改进及运行资料、污染源调查技术档案、环境管理及评价资料、项目平面图和给排水管网图等。</w:t>
            </w:r>
          </w:p>
          <w:p>
            <w:pPr>
              <w:pStyle w:val="5"/>
              <w:spacing w:before="0" w:line="360" w:lineRule="auto"/>
              <w:ind w:firstLine="482"/>
              <w:rPr>
                <w:rFonts w:eastAsia="宋体"/>
                <w:color w:val="auto"/>
                <w:sz w:val="24"/>
                <w:szCs w:val="24"/>
                <w:highlight w:val="none"/>
                <w:shd w:val="clear" w:color="auto" w:fill="FFFFFF"/>
              </w:rPr>
            </w:pPr>
            <w:bookmarkStart w:id="76" w:name="_Toc24413"/>
            <w:bookmarkStart w:id="77" w:name="_Toc17265"/>
            <w:bookmarkStart w:id="78" w:name="_Toc139"/>
            <w:bookmarkStart w:id="79" w:name="_Toc22326"/>
            <w:r>
              <w:rPr>
                <w:rFonts w:hint="eastAsia" w:eastAsia="宋体"/>
                <w:color w:val="auto"/>
                <w:sz w:val="24"/>
                <w:szCs w:val="24"/>
                <w:highlight w:val="none"/>
                <w:shd w:val="clear" w:color="auto" w:fill="FFFFFF"/>
              </w:rPr>
              <w:t>9.2监测计划</w:t>
            </w:r>
            <w:bookmarkEnd w:id="76"/>
            <w:bookmarkEnd w:id="77"/>
            <w:bookmarkEnd w:id="78"/>
            <w:bookmarkEnd w:id="79"/>
          </w:p>
          <w:p>
            <w:pPr>
              <w:spacing w:line="360" w:lineRule="auto"/>
              <w:rPr>
                <w:color w:val="auto"/>
                <w:highlight w:val="none"/>
              </w:rPr>
            </w:pPr>
            <w:bookmarkStart w:id="80" w:name="_Toc11301"/>
            <w:bookmarkStart w:id="81" w:name="_Toc9860"/>
            <w:r>
              <w:rPr>
                <w:rFonts w:hint="eastAsia"/>
                <w:color w:val="auto"/>
                <w:highlight w:val="none"/>
                <w:lang w:val="zh-CN"/>
              </w:rPr>
              <w:t>为了加强环境管理，贯彻实施污染物达标排放和总量控制的环保政策，营运期对重点污染应进行监测，可委托专业监测机构进行监督性监测，以便及时客观准确的掌握生产中污染物的排放情况，及时发现和处理非正常排放和事故性排放等环境问题。根据工程分析，应进行定期监测的污染源和污染物如下，具体监测计划见表</w:t>
            </w:r>
            <w:r>
              <w:rPr>
                <w:rFonts w:hint="eastAsia"/>
                <w:color w:val="auto"/>
                <w:highlight w:val="none"/>
              </w:rPr>
              <w:t>7-10。</w:t>
            </w:r>
          </w:p>
          <w:p>
            <w:pPr>
              <w:pStyle w:val="2"/>
              <w:spacing w:line="240" w:lineRule="auto"/>
              <w:jc w:val="center"/>
              <w:rPr>
                <w:b/>
                <w:bCs/>
                <w:color w:val="auto"/>
                <w:sz w:val="21"/>
                <w:szCs w:val="21"/>
                <w:highlight w:val="none"/>
              </w:rPr>
            </w:pPr>
            <w:r>
              <w:rPr>
                <w:b/>
                <w:bCs/>
                <w:color w:val="auto"/>
                <w:sz w:val="21"/>
                <w:szCs w:val="21"/>
                <w:highlight w:val="none"/>
              </w:rPr>
              <w:t>表7-10  运营期环境监测计划</w:t>
            </w:r>
          </w:p>
          <w:tbl>
            <w:tblPr>
              <w:tblStyle w:val="26"/>
              <w:tblW w:w="89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355"/>
              <w:gridCol w:w="4944"/>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9" w:type="dxa"/>
                  <w:vAlign w:val="center"/>
                </w:tcPr>
                <w:p>
                  <w:pPr>
                    <w:spacing w:line="240" w:lineRule="auto"/>
                    <w:ind w:firstLine="0" w:firstLineChars="0"/>
                    <w:jc w:val="center"/>
                    <w:rPr>
                      <w:color w:val="auto"/>
                      <w:sz w:val="21"/>
                      <w:szCs w:val="21"/>
                      <w:highlight w:val="none"/>
                    </w:rPr>
                  </w:pPr>
                  <w:r>
                    <w:rPr>
                      <w:color w:val="auto"/>
                      <w:sz w:val="21"/>
                      <w:szCs w:val="21"/>
                      <w:highlight w:val="none"/>
                    </w:rPr>
                    <w:t>类别</w:t>
                  </w:r>
                </w:p>
              </w:tc>
              <w:tc>
                <w:tcPr>
                  <w:tcW w:w="1355"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监测点位</w:t>
                  </w:r>
                </w:p>
              </w:tc>
              <w:tc>
                <w:tcPr>
                  <w:tcW w:w="4944"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监测指标</w:t>
                  </w:r>
                </w:p>
              </w:tc>
              <w:tc>
                <w:tcPr>
                  <w:tcW w:w="1369" w:type="dxa"/>
                  <w:vAlign w:val="center"/>
                </w:tcPr>
                <w:p>
                  <w:pPr>
                    <w:spacing w:line="240" w:lineRule="auto"/>
                    <w:ind w:firstLine="0" w:firstLineChars="0"/>
                    <w:jc w:val="center"/>
                    <w:rPr>
                      <w:color w:val="auto"/>
                      <w:sz w:val="21"/>
                      <w:szCs w:val="21"/>
                      <w:highlight w:val="none"/>
                    </w:rPr>
                  </w:pPr>
                  <w:r>
                    <w:rPr>
                      <w:color w:val="auto"/>
                      <w:sz w:val="21"/>
                      <w:szCs w:val="21"/>
                      <w:highlight w:val="none"/>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水源水</w:t>
                  </w:r>
                </w:p>
              </w:tc>
              <w:tc>
                <w:tcPr>
                  <w:tcW w:w="1355" w:type="dxa"/>
                  <w:vAlign w:val="center"/>
                </w:tcPr>
                <w:p>
                  <w:pPr>
                    <w:spacing w:line="240" w:lineRule="auto"/>
                    <w:ind w:firstLine="0" w:firstLineChars="0"/>
                    <w:jc w:val="center"/>
                    <w:rPr>
                      <w:color w:val="auto"/>
                      <w:sz w:val="21"/>
                      <w:szCs w:val="21"/>
                      <w:highlight w:val="none"/>
                    </w:rPr>
                  </w:pPr>
                  <w:r>
                    <w:rPr>
                      <w:color w:val="auto"/>
                      <w:sz w:val="21"/>
                      <w:szCs w:val="21"/>
                      <w:highlight w:val="none"/>
                    </w:rPr>
                    <w:t>水厂进水口</w:t>
                  </w:r>
                </w:p>
              </w:tc>
              <w:tc>
                <w:tcPr>
                  <w:tcW w:w="4944"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GB/T-2006规定的监测项目（如色度、浑浊度、嗅和味、肉眼可见物、pH 值、总硬度、铝、铁、锰、铜、锌、硒、砷、汞、镉、Cr6+、铅、氰化物、氟化物、挥发酚、氯化物、硫酸盐、硝酸盐、亚硝酸盐、氨氮、菌落总数、总大肠菌群、溶解性总固体、耗氧量、阴离子合成洗涤剂、总α放射性、总β放射性、二氧化氯、三氯甲烷、四氯化碳、亚氯酸盐等）</w:t>
                  </w:r>
                </w:p>
              </w:tc>
              <w:tc>
                <w:tcPr>
                  <w:tcW w:w="1369"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每月一次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9" w:type="dxa"/>
                  <w:vMerge w:val="continue"/>
                  <w:vAlign w:val="center"/>
                </w:tcPr>
                <w:p>
                  <w:pPr>
                    <w:spacing w:line="240" w:lineRule="auto"/>
                    <w:ind w:firstLine="0" w:firstLineChars="0"/>
                    <w:jc w:val="center"/>
                    <w:rPr>
                      <w:color w:val="auto"/>
                      <w:sz w:val="21"/>
                      <w:szCs w:val="21"/>
                      <w:highlight w:val="none"/>
                    </w:rPr>
                  </w:pPr>
                </w:p>
              </w:tc>
              <w:tc>
                <w:tcPr>
                  <w:tcW w:w="1355" w:type="dxa"/>
                  <w:vAlign w:val="center"/>
                </w:tcPr>
                <w:p>
                  <w:pPr>
                    <w:spacing w:line="240" w:lineRule="auto"/>
                    <w:ind w:firstLine="0" w:firstLineChars="0"/>
                    <w:jc w:val="center"/>
                    <w:rPr>
                      <w:color w:val="auto"/>
                      <w:sz w:val="21"/>
                      <w:szCs w:val="21"/>
                      <w:highlight w:val="none"/>
                    </w:rPr>
                  </w:pPr>
                  <w:r>
                    <w:rPr>
                      <w:color w:val="auto"/>
                      <w:sz w:val="21"/>
                      <w:szCs w:val="21"/>
                      <w:highlight w:val="none"/>
                    </w:rPr>
                    <w:t>水厂出水口</w:t>
                  </w:r>
                </w:p>
              </w:tc>
              <w:tc>
                <w:tcPr>
                  <w:tcW w:w="4944" w:type="dxa"/>
                  <w:vMerge w:val="continue"/>
                  <w:vAlign w:val="center"/>
                </w:tcPr>
                <w:p>
                  <w:pPr>
                    <w:spacing w:line="240" w:lineRule="auto"/>
                    <w:ind w:firstLine="0" w:firstLineChars="0"/>
                    <w:jc w:val="center"/>
                    <w:rPr>
                      <w:color w:val="auto"/>
                      <w:sz w:val="21"/>
                      <w:szCs w:val="21"/>
                      <w:highlight w:val="none"/>
                    </w:rPr>
                  </w:pPr>
                </w:p>
              </w:tc>
              <w:tc>
                <w:tcPr>
                  <w:tcW w:w="1369" w:type="dxa"/>
                  <w:vMerge w:val="continue"/>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9" w:type="dxa"/>
                  <w:vAlign w:val="center"/>
                </w:tcPr>
                <w:p>
                  <w:pPr>
                    <w:spacing w:line="240" w:lineRule="auto"/>
                    <w:ind w:firstLine="0" w:firstLineChars="0"/>
                    <w:jc w:val="center"/>
                    <w:rPr>
                      <w:color w:val="auto"/>
                      <w:sz w:val="21"/>
                      <w:szCs w:val="21"/>
                      <w:highlight w:val="none"/>
                    </w:rPr>
                  </w:pPr>
                  <w:r>
                    <w:rPr>
                      <w:color w:val="auto"/>
                      <w:sz w:val="21"/>
                      <w:szCs w:val="21"/>
                      <w:highlight w:val="none"/>
                    </w:rPr>
                    <w:t>噪声</w:t>
                  </w:r>
                </w:p>
              </w:tc>
              <w:tc>
                <w:tcPr>
                  <w:tcW w:w="1355" w:type="dxa"/>
                  <w:vAlign w:val="center"/>
                </w:tcPr>
                <w:p>
                  <w:pPr>
                    <w:spacing w:line="240" w:lineRule="auto"/>
                    <w:ind w:firstLine="0" w:firstLineChars="0"/>
                    <w:jc w:val="center"/>
                    <w:rPr>
                      <w:color w:val="auto"/>
                      <w:sz w:val="21"/>
                      <w:szCs w:val="21"/>
                      <w:highlight w:val="none"/>
                    </w:rPr>
                  </w:pPr>
                  <w:r>
                    <w:rPr>
                      <w:color w:val="auto"/>
                      <w:sz w:val="21"/>
                      <w:szCs w:val="21"/>
                      <w:highlight w:val="none"/>
                    </w:rPr>
                    <w:t>厂界四周</w:t>
                  </w:r>
                </w:p>
              </w:tc>
              <w:tc>
                <w:tcPr>
                  <w:tcW w:w="4944" w:type="dxa"/>
                  <w:vAlign w:val="center"/>
                </w:tcPr>
                <w:p>
                  <w:pPr>
                    <w:spacing w:line="240" w:lineRule="auto"/>
                    <w:ind w:firstLine="0" w:firstLineChars="0"/>
                    <w:jc w:val="center"/>
                    <w:rPr>
                      <w:color w:val="auto"/>
                      <w:sz w:val="21"/>
                      <w:szCs w:val="21"/>
                      <w:highlight w:val="none"/>
                    </w:rPr>
                  </w:pPr>
                  <w:r>
                    <w:rPr>
                      <w:color w:val="auto"/>
                      <w:sz w:val="21"/>
                      <w:szCs w:val="21"/>
                      <w:highlight w:val="none"/>
                    </w:rPr>
                    <w:t>连续等效A声级</w:t>
                  </w:r>
                </w:p>
              </w:tc>
              <w:tc>
                <w:tcPr>
                  <w:tcW w:w="1369" w:type="dxa"/>
                  <w:vAlign w:val="center"/>
                </w:tcPr>
                <w:p>
                  <w:pPr>
                    <w:spacing w:line="240" w:lineRule="auto"/>
                    <w:ind w:firstLine="0" w:firstLineChars="0"/>
                    <w:jc w:val="center"/>
                    <w:rPr>
                      <w:color w:val="auto"/>
                      <w:sz w:val="21"/>
                      <w:szCs w:val="21"/>
                      <w:highlight w:val="none"/>
                    </w:rPr>
                  </w:pPr>
                  <w:r>
                    <w:rPr>
                      <w:color w:val="auto"/>
                      <w:sz w:val="21"/>
                      <w:szCs w:val="21"/>
                      <w:highlight w:val="none"/>
                    </w:rPr>
                    <w:t>每季度1次，每次2天，昼夜各1次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9" w:type="dxa"/>
                  <w:vAlign w:val="center"/>
                </w:tcPr>
                <w:p>
                  <w:pPr>
                    <w:spacing w:line="240" w:lineRule="auto"/>
                    <w:ind w:firstLine="0" w:firstLineChars="0"/>
                    <w:jc w:val="center"/>
                    <w:rPr>
                      <w:color w:val="auto"/>
                      <w:sz w:val="21"/>
                      <w:szCs w:val="21"/>
                      <w:highlight w:val="none"/>
                    </w:rPr>
                  </w:pPr>
                  <w:r>
                    <w:rPr>
                      <w:color w:val="auto"/>
                      <w:sz w:val="21"/>
                      <w:szCs w:val="21"/>
                      <w:highlight w:val="none"/>
                    </w:rPr>
                    <w:t>固废</w:t>
                  </w:r>
                </w:p>
              </w:tc>
              <w:tc>
                <w:tcPr>
                  <w:tcW w:w="1355" w:type="dxa"/>
                  <w:vAlign w:val="center"/>
                </w:tcPr>
                <w:p>
                  <w:pPr>
                    <w:spacing w:line="240" w:lineRule="auto"/>
                    <w:ind w:firstLine="0" w:firstLineChars="0"/>
                    <w:jc w:val="center"/>
                    <w:rPr>
                      <w:color w:val="auto"/>
                      <w:sz w:val="21"/>
                      <w:szCs w:val="21"/>
                      <w:highlight w:val="none"/>
                    </w:rPr>
                  </w:pPr>
                  <w:r>
                    <w:rPr>
                      <w:color w:val="auto"/>
                      <w:sz w:val="21"/>
                      <w:szCs w:val="21"/>
                      <w:highlight w:val="none"/>
                    </w:rPr>
                    <w:t>污泥脱水间</w:t>
                  </w:r>
                </w:p>
              </w:tc>
              <w:tc>
                <w:tcPr>
                  <w:tcW w:w="4944" w:type="dxa"/>
                  <w:vAlign w:val="center"/>
                </w:tcPr>
                <w:p>
                  <w:pPr>
                    <w:spacing w:line="240" w:lineRule="auto"/>
                    <w:ind w:firstLine="0" w:firstLineChars="0"/>
                    <w:jc w:val="center"/>
                    <w:rPr>
                      <w:color w:val="auto"/>
                      <w:sz w:val="21"/>
                      <w:szCs w:val="21"/>
                      <w:highlight w:val="none"/>
                    </w:rPr>
                  </w:pPr>
                  <w:r>
                    <w:rPr>
                      <w:color w:val="auto"/>
                      <w:sz w:val="21"/>
                      <w:szCs w:val="21"/>
                      <w:highlight w:val="none"/>
                    </w:rPr>
                    <w:t>Cu、Zn、Pb、Cd、Hg、pH</w:t>
                  </w:r>
                </w:p>
              </w:tc>
              <w:tc>
                <w:tcPr>
                  <w:tcW w:w="1369" w:type="dxa"/>
                  <w:vAlign w:val="center"/>
                </w:tcPr>
                <w:p>
                  <w:pPr>
                    <w:spacing w:line="240" w:lineRule="auto"/>
                    <w:ind w:firstLine="0" w:firstLineChars="0"/>
                    <w:jc w:val="center"/>
                    <w:rPr>
                      <w:color w:val="auto"/>
                      <w:sz w:val="21"/>
                      <w:szCs w:val="21"/>
                      <w:highlight w:val="none"/>
                    </w:rPr>
                  </w:pPr>
                  <w:r>
                    <w:rPr>
                      <w:color w:val="auto"/>
                      <w:sz w:val="21"/>
                      <w:szCs w:val="21"/>
                      <w:highlight w:val="none"/>
                    </w:rPr>
                    <w:t>每月1次</w:t>
                  </w:r>
                </w:p>
              </w:tc>
            </w:tr>
            <w:bookmarkEnd w:id="80"/>
            <w:bookmarkEnd w:id="81"/>
          </w:tbl>
          <w:p>
            <w:pPr>
              <w:pStyle w:val="5"/>
              <w:spacing w:before="0" w:line="360" w:lineRule="auto"/>
              <w:ind w:firstLine="482"/>
              <w:rPr>
                <w:rFonts w:eastAsia="宋体"/>
                <w:color w:val="auto"/>
                <w:sz w:val="24"/>
                <w:szCs w:val="24"/>
                <w:highlight w:val="none"/>
                <w:shd w:val="clear" w:color="auto" w:fill="FFFFFF"/>
              </w:rPr>
            </w:pPr>
            <w:bookmarkStart w:id="82" w:name="_Toc28249"/>
            <w:r>
              <w:rPr>
                <w:rFonts w:hint="eastAsia" w:eastAsia="宋体"/>
                <w:color w:val="auto"/>
                <w:sz w:val="24"/>
                <w:szCs w:val="24"/>
                <w:highlight w:val="none"/>
                <w:shd w:val="clear" w:color="auto" w:fill="FFFFFF"/>
              </w:rPr>
              <w:t>10、建设项目环境保护设施竣工验收</w:t>
            </w:r>
            <w:bookmarkEnd w:id="82"/>
          </w:p>
          <w:p>
            <w:pPr>
              <w:pStyle w:val="10"/>
              <w:spacing w:line="360" w:lineRule="auto"/>
              <w:rPr>
                <w:color w:val="auto"/>
                <w:highlight w:val="none"/>
                <w:lang w:val="zh-CN"/>
              </w:rPr>
            </w:pPr>
            <w:r>
              <w:rPr>
                <w:rFonts w:hint="eastAsia"/>
                <w:color w:val="auto"/>
                <w:highlight w:val="none"/>
                <w:lang w:val="zh-CN"/>
              </w:rPr>
              <w:t>本项目环境保护设施竣工验收见表7</w:t>
            </w:r>
            <w:r>
              <w:rPr>
                <w:rFonts w:hint="eastAsia"/>
                <w:color w:val="auto"/>
                <w:highlight w:val="none"/>
              </w:rPr>
              <w:t>-11</w:t>
            </w:r>
            <w:r>
              <w:rPr>
                <w:rFonts w:hint="eastAsia"/>
                <w:color w:val="auto"/>
                <w:highlight w:val="none"/>
                <w:lang w:val="zh-CN"/>
              </w:rPr>
              <w:t>。</w:t>
            </w:r>
          </w:p>
          <w:p>
            <w:pPr>
              <w:pStyle w:val="10"/>
              <w:adjustRightInd w:val="0"/>
              <w:snapToGrid w:val="0"/>
              <w:spacing w:line="240" w:lineRule="auto"/>
              <w:ind w:firstLine="422"/>
              <w:jc w:val="center"/>
              <w:rPr>
                <w:b/>
                <w:bCs/>
                <w:color w:val="auto"/>
                <w:szCs w:val="21"/>
                <w:highlight w:val="none"/>
              </w:rPr>
            </w:pPr>
            <w:r>
              <w:rPr>
                <w:b/>
                <w:bCs/>
                <w:color w:val="auto"/>
                <w:sz w:val="21"/>
                <w:szCs w:val="21"/>
                <w:highlight w:val="none"/>
              </w:rPr>
              <w:t>表</w:t>
            </w:r>
            <w:r>
              <w:rPr>
                <w:rFonts w:hint="eastAsia"/>
                <w:b/>
                <w:bCs/>
                <w:color w:val="auto"/>
                <w:sz w:val="21"/>
                <w:szCs w:val="21"/>
                <w:highlight w:val="none"/>
              </w:rPr>
              <w:t xml:space="preserve">7-11 </w:t>
            </w:r>
            <w:r>
              <w:rPr>
                <w:b/>
                <w:bCs/>
                <w:color w:val="auto"/>
                <w:sz w:val="21"/>
                <w:szCs w:val="21"/>
                <w:highlight w:val="none"/>
              </w:rPr>
              <w:t xml:space="preserve"> 本项目竣工验收一览表</w:t>
            </w:r>
          </w:p>
          <w:tbl>
            <w:tblPr>
              <w:tblStyle w:val="26"/>
              <w:tblW w:w="89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1"/>
              <w:gridCol w:w="1735"/>
              <w:gridCol w:w="2785"/>
              <w:gridCol w:w="32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项目</w:t>
                  </w:r>
                </w:p>
              </w:tc>
              <w:tc>
                <w:tcPr>
                  <w:tcW w:w="1735" w:type="dxa"/>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污染源</w:t>
                  </w:r>
                </w:p>
              </w:tc>
              <w:tc>
                <w:tcPr>
                  <w:tcW w:w="2785" w:type="dxa"/>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验收内容</w:t>
                  </w:r>
                </w:p>
              </w:tc>
              <w:tc>
                <w:tcPr>
                  <w:tcW w:w="3226" w:type="dxa"/>
                  <w:vAlign w:val="center"/>
                </w:tcPr>
                <w:p>
                  <w:pPr>
                    <w:spacing w:line="240" w:lineRule="auto"/>
                    <w:ind w:firstLine="0" w:firstLineChars="0"/>
                    <w:jc w:val="center"/>
                    <w:rPr>
                      <w:b/>
                      <w:bCs/>
                      <w:color w:val="auto"/>
                      <w:sz w:val="21"/>
                      <w:szCs w:val="21"/>
                      <w:highlight w:val="none"/>
                    </w:rPr>
                  </w:pPr>
                  <w:r>
                    <w:rPr>
                      <w:b/>
                      <w:bCs/>
                      <w:color w:val="auto"/>
                      <w:sz w:val="21"/>
                      <w:szCs w:val="21"/>
                      <w:highlight w:val="none"/>
                    </w:rPr>
                    <w:t>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21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废气治理</w:t>
                  </w:r>
                </w:p>
              </w:tc>
              <w:tc>
                <w:tcPr>
                  <w:tcW w:w="1735" w:type="dxa"/>
                  <w:vAlign w:val="center"/>
                </w:tcPr>
                <w:p>
                  <w:pPr>
                    <w:spacing w:line="240" w:lineRule="auto"/>
                    <w:ind w:firstLine="0" w:firstLineChars="0"/>
                    <w:jc w:val="center"/>
                    <w:rPr>
                      <w:color w:val="auto"/>
                      <w:sz w:val="21"/>
                      <w:szCs w:val="21"/>
                      <w:highlight w:val="none"/>
                    </w:rPr>
                  </w:pPr>
                  <w:r>
                    <w:rPr>
                      <w:color w:val="auto"/>
                      <w:sz w:val="21"/>
                      <w:szCs w:val="21"/>
                      <w:highlight w:val="none"/>
                    </w:rPr>
                    <w:t>油烟废气</w:t>
                  </w:r>
                </w:p>
              </w:tc>
              <w:tc>
                <w:tcPr>
                  <w:tcW w:w="278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油烟净化器</w:t>
                  </w:r>
                </w:p>
              </w:tc>
              <w:tc>
                <w:tcPr>
                  <w:tcW w:w="3226" w:type="dxa"/>
                  <w:vAlign w:val="center"/>
                </w:tcPr>
                <w:p>
                  <w:pPr>
                    <w:spacing w:line="240" w:lineRule="auto"/>
                    <w:ind w:firstLine="0" w:firstLineChars="0"/>
                    <w:jc w:val="center"/>
                    <w:rPr>
                      <w:color w:val="auto"/>
                      <w:sz w:val="21"/>
                      <w:szCs w:val="21"/>
                      <w:highlight w:val="none"/>
                    </w:rPr>
                  </w:pPr>
                  <w:r>
                    <w:rPr>
                      <w:color w:val="auto"/>
                      <w:sz w:val="21"/>
                      <w:szCs w:val="21"/>
                      <w:highlight w:val="none"/>
                    </w:rPr>
                    <w:t>满足饮食业油烟排放标准（试行）》（GB18483-2001），达标排放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continue"/>
                  <w:vAlign w:val="center"/>
                </w:tcPr>
                <w:p>
                  <w:pPr>
                    <w:spacing w:line="240" w:lineRule="auto"/>
                    <w:ind w:firstLine="0" w:firstLineChars="0"/>
                    <w:jc w:val="center"/>
                    <w:rPr>
                      <w:color w:val="auto"/>
                      <w:sz w:val="21"/>
                      <w:szCs w:val="21"/>
                      <w:highlight w:val="none"/>
                    </w:rPr>
                  </w:pPr>
                </w:p>
              </w:tc>
              <w:tc>
                <w:tcPr>
                  <w:tcW w:w="17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废气</w:t>
                  </w:r>
                </w:p>
              </w:tc>
              <w:tc>
                <w:tcPr>
                  <w:tcW w:w="278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加药间设置排风扇</w:t>
                  </w:r>
                </w:p>
              </w:tc>
              <w:tc>
                <w:tcPr>
                  <w:tcW w:w="3226"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废水治理</w:t>
                  </w:r>
                </w:p>
              </w:tc>
              <w:tc>
                <w:tcPr>
                  <w:tcW w:w="1735" w:type="dxa"/>
                  <w:vAlign w:val="center"/>
                </w:tcPr>
                <w:p>
                  <w:pPr>
                    <w:pStyle w:val="50"/>
                    <w:snapToGrid/>
                    <w:spacing w:line="240" w:lineRule="auto"/>
                    <w:ind w:firstLine="0" w:firstLineChars="0"/>
                    <w:rPr>
                      <w:rFonts w:hint="eastAsia"/>
                      <w:color w:val="auto"/>
                      <w:sz w:val="21"/>
                      <w:szCs w:val="21"/>
                      <w:highlight w:val="none"/>
                    </w:rPr>
                  </w:pPr>
                  <w:r>
                    <w:rPr>
                      <w:rFonts w:hint="eastAsia"/>
                      <w:color w:val="auto"/>
                      <w:sz w:val="21"/>
                      <w:szCs w:val="21"/>
                      <w:highlight w:val="none"/>
                      <w:lang w:val="en-US" w:eastAsia="zh-CN"/>
                    </w:rPr>
                    <w:t>化验室废水</w:t>
                  </w:r>
                </w:p>
              </w:tc>
              <w:tc>
                <w:tcPr>
                  <w:tcW w:w="2785" w:type="dxa"/>
                  <w:vAlign w:val="center"/>
                </w:tcPr>
                <w:p>
                  <w:pPr>
                    <w:pStyle w:val="50"/>
                    <w:snapToGrid/>
                    <w:spacing w:line="240" w:lineRule="auto"/>
                    <w:ind w:firstLine="0" w:firstLineChars="0"/>
                    <w:rPr>
                      <w:rFonts w:hint="eastAsia"/>
                      <w:color w:val="auto"/>
                      <w:sz w:val="21"/>
                      <w:szCs w:val="21"/>
                      <w:highlight w:val="none"/>
                    </w:rPr>
                  </w:pPr>
                  <w:r>
                    <w:rPr>
                      <w:rFonts w:hint="eastAsia"/>
                      <w:color w:val="auto"/>
                      <w:sz w:val="21"/>
                      <w:szCs w:val="21"/>
                      <w:highlight w:val="none"/>
                      <w:lang w:val="en-US" w:eastAsia="zh-CN"/>
                    </w:rPr>
                    <w:t>中和池（0.5m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w:t>
                  </w:r>
                </w:p>
              </w:tc>
              <w:tc>
                <w:tcPr>
                  <w:tcW w:w="3226" w:type="dxa"/>
                  <w:vMerge w:val="restar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《污水综合排放标准》（GB8978-1996）一级标准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continue"/>
                  <w:vAlign w:val="center"/>
                </w:tcPr>
                <w:p>
                  <w:pPr>
                    <w:spacing w:line="240" w:lineRule="auto"/>
                    <w:ind w:firstLine="0" w:firstLineChars="0"/>
                    <w:jc w:val="center"/>
                    <w:rPr>
                      <w:color w:val="auto"/>
                      <w:sz w:val="21"/>
                      <w:szCs w:val="21"/>
                      <w:highlight w:val="none"/>
                    </w:rPr>
                  </w:pPr>
                </w:p>
              </w:tc>
              <w:tc>
                <w:tcPr>
                  <w:tcW w:w="17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生活污水</w:t>
                  </w:r>
                </w:p>
              </w:tc>
              <w:tc>
                <w:tcPr>
                  <w:tcW w:w="278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地埋式一体化污水处理设施（5t/a）</w:t>
                  </w:r>
                </w:p>
              </w:tc>
              <w:tc>
                <w:tcPr>
                  <w:tcW w:w="3226" w:type="dxa"/>
                  <w:vMerge w:val="continue"/>
                  <w:tcBorders>
                    <w:bottom w:val="single" w:color="auto" w:sz="4" w:space="0"/>
                  </w:tcBorders>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continue"/>
                  <w:vAlign w:val="center"/>
                </w:tcPr>
                <w:p>
                  <w:pPr>
                    <w:spacing w:line="240" w:lineRule="auto"/>
                    <w:ind w:firstLine="0" w:firstLineChars="0"/>
                    <w:jc w:val="center"/>
                    <w:rPr>
                      <w:color w:val="auto"/>
                      <w:sz w:val="21"/>
                      <w:szCs w:val="21"/>
                      <w:highlight w:val="none"/>
                    </w:rPr>
                  </w:pPr>
                </w:p>
              </w:tc>
              <w:tc>
                <w:tcPr>
                  <w:tcW w:w="17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反冲洗废水</w:t>
                  </w:r>
                </w:p>
              </w:tc>
              <w:tc>
                <w:tcPr>
                  <w:tcW w:w="2785" w:type="dxa"/>
                  <w:vAlign w:val="center"/>
                </w:tcPr>
                <w:p>
                  <w:pPr>
                    <w:spacing w:line="240" w:lineRule="auto"/>
                    <w:ind w:firstLine="0" w:firstLineChars="0"/>
                    <w:jc w:val="center"/>
                    <w:rPr>
                      <w:color w:val="auto"/>
                      <w:sz w:val="21"/>
                      <w:szCs w:val="21"/>
                      <w:highlight w:val="none"/>
                    </w:rPr>
                  </w:pPr>
                  <w:r>
                    <w:rPr>
                      <w:color w:val="auto"/>
                      <w:sz w:val="21"/>
                      <w:szCs w:val="21"/>
                      <w:highlight w:val="none"/>
                    </w:rPr>
                    <w:t>经排水池收集后送至</w:t>
                  </w:r>
                  <w:r>
                    <w:rPr>
                      <w:rFonts w:hint="eastAsia"/>
                      <w:color w:val="auto"/>
                      <w:sz w:val="21"/>
                      <w:szCs w:val="21"/>
                      <w:highlight w:val="none"/>
                    </w:rPr>
                    <w:t>网格絮凝斜管沉淀池</w:t>
                  </w:r>
                  <w:r>
                    <w:rPr>
                      <w:color w:val="auto"/>
                      <w:sz w:val="21"/>
                      <w:szCs w:val="21"/>
                      <w:highlight w:val="none"/>
                    </w:rPr>
                    <w:t>回用，不外排。</w:t>
                  </w:r>
                </w:p>
              </w:tc>
              <w:tc>
                <w:tcPr>
                  <w:tcW w:w="3226" w:type="dxa"/>
                  <w:tcBorders>
                    <w:bottom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continue"/>
                  <w:vAlign w:val="center"/>
                </w:tcPr>
                <w:p>
                  <w:pPr>
                    <w:spacing w:line="240" w:lineRule="auto"/>
                    <w:ind w:firstLine="0" w:firstLineChars="0"/>
                    <w:jc w:val="center"/>
                    <w:rPr>
                      <w:color w:val="auto"/>
                      <w:sz w:val="21"/>
                      <w:szCs w:val="21"/>
                      <w:highlight w:val="none"/>
                    </w:rPr>
                  </w:pPr>
                </w:p>
              </w:tc>
              <w:tc>
                <w:tcPr>
                  <w:tcW w:w="17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排泥水</w:t>
                  </w:r>
                </w:p>
              </w:tc>
              <w:tc>
                <w:tcPr>
                  <w:tcW w:w="278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将</w:t>
                  </w:r>
                  <w:r>
                    <w:rPr>
                      <w:color w:val="auto"/>
                      <w:sz w:val="21"/>
                      <w:szCs w:val="21"/>
                      <w:highlight w:val="none"/>
                    </w:rPr>
                    <w:t>排泥废水</w:t>
                  </w:r>
                  <w:r>
                    <w:rPr>
                      <w:rFonts w:hint="eastAsia"/>
                      <w:color w:val="auto"/>
                      <w:sz w:val="21"/>
                      <w:szCs w:val="21"/>
                      <w:highlight w:val="none"/>
                    </w:rPr>
                    <w:t>排入澄清池，上清液回流至原水，不外排</w:t>
                  </w:r>
                </w:p>
              </w:tc>
              <w:tc>
                <w:tcPr>
                  <w:tcW w:w="3226" w:type="dxa"/>
                  <w:tcBorders>
                    <w:bottom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固废处理</w:t>
                  </w:r>
                </w:p>
              </w:tc>
              <w:tc>
                <w:tcPr>
                  <w:tcW w:w="17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生活垃圾</w:t>
                  </w:r>
                </w:p>
              </w:tc>
              <w:tc>
                <w:tcPr>
                  <w:tcW w:w="278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若干垃圾桶</w:t>
                  </w:r>
                </w:p>
              </w:tc>
              <w:tc>
                <w:tcPr>
                  <w:tcW w:w="3226" w:type="dxa"/>
                  <w:tcBorders>
                    <w:bottom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continue"/>
                  <w:vAlign w:val="center"/>
                </w:tcPr>
                <w:p>
                  <w:pPr>
                    <w:spacing w:line="240" w:lineRule="auto"/>
                    <w:ind w:firstLine="0" w:firstLineChars="0"/>
                    <w:jc w:val="center"/>
                    <w:rPr>
                      <w:color w:val="auto"/>
                      <w:sz w:val="21"/>
                      <w:szCs w:val="21"/>
                      <w:highlight w:val="none"/>
                    </w:rPr>
                  </w:pPr>
                </w:p>
              </w:tc>
              <w:tc>
                <w:tcPr>
                  <w:tcW w:w="173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废润滑油</w:t>
                  </w:r>
                </w:p>
              </w:tc>
              <w:tc>
                <w:tcPr>
                  <w:tcW w:w="278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危险固废暂存间</w:t>
                  </w:r>
                </w:p>
              </w:tc>
              <w:tc>
                <w:tcPr>
                  <w:tcW w:w="3226" w:type="dxa"/>
                  <w:tcBorders>
                    <w:bottom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《危险废物贮存污染控制标准》（GB18597-2001）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Merge w:val="continue"/>
                  <w:vAlign w:val="center"/>
                </w:tcPr>
                <w:p>
                  <w:pPr>
                    <w:spacing w:line="240" w:lineRule="auto"/>
                    <w:ind w:firstLine="0" w:firstLineChars="0"/>
                    <w:jc w:val="center"/>
                    <w:rPr>
                      <w:color w:val="auto"/>
                      <w:sz w:val="21"/>
                      <w:szCs w:val="21"/>
                      <w:highlight w:val="none"/>
                    </w:rPr>
                  </w:pPr>
                </w:p>
              </w:tc>
              <w:tc>
                <w:tcPr>
                  <w:tcW w:w="1735" w:type="dxa"/>
                  <w:tcBorders>
                    <w:top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污泥</w:t>
                  </w:r>
                </w:p>
              </w:tc>
              <w:tc>
                <w:tcPr>
                  <w:tcW w:w="2785" w:type="dxa"/>
                  <w:tcBorders>
                    <w:top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污泥浓缩池、板框压滤机</w:t>
                  </w:r>
                </w:p>
              </w:tc>
              <w:tc>
                <w:tcPr>
                  <w:tcW w:w="3226" w:type="dxa"/>
                  <w:tcBorders>
                    <w:top w:val="single" w:color="auto" w:sz="4" w:space="0"/>
                  </w:tcBorders>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《一般工业固体废物贮存、处置场污染控制标准》</w:t>
                  </w:r>
                  <w:r>
                    <w:rPr>
                      <w:color w:val="auto"/>
                      <w:sz w:val="21"/>
                      <w:szCs w:val="21"/>
                      <w:highlight w:val="none"/>
                    </w:rPr>
                    <w:t>(GB18599-2001)2013</w:t>
                  </w:r>
                  <w:r>
                    <w:rPr>
                      <w:rFonts w:hint="eastAsia"/>
                      <w:color w:val="auto"/>
                      <w:sz w:val="21"/>
                      <w:szCs w:val="21"/>
                      <w:highlight w:val="none"/>
                    </w:rPr>
                    <w:t>年修改单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Align w:val="center"/>
                </w:tcPr>
                <w:p>
                  <w:pPr>
                    <w:spacing w:line="240" w:lineRule="auto"/>
                    <w:ind w:firstLine="0" w:firstLineChars="0"/>
                    <w:jc w:val="center"/>
                    <w:rPr>
                      <w:color w:val="auto"/>
                      <w:sz w:val="21"/>
                      <w:szCs w:val="21"/>
                      <w:highlight w:val="none"/>
                    </w:rPr>
                  </w:pPr>
                  <w:r>
                    <w:rPr>
                      <w:color w:val="auto"/>
                      <w:sz w:val="21"/>
                      <w:szCs w:val="21"/>
                      <w:highlight w:val="none"/>
                    </w:rPr>
                    <w:t>噪声治理</w:t>
                  </w:r>
                </w:p>
              </w:tc>
              <w:tc>
                <w:tcPr>
                  <w:tcW w:w="1735" w:type="dxa"/>
                  <w:vAlign w:val="center"/>
                </w:tcPr>
                <w:p>
                  <w:pPr>
                    <w:spacing w:line="240" w:lineRule="auto"/>
                    <w:ind w:firstLine="0" w:firstLineChars="0"/>
                    <w:jc w:val="center"/>
                    <w:rPr>
                      <w:color w:val="auto"/>
                      <w:sz w:val="21"/>
                      <w:szCs w:val="21"/>
                      <w:highlight w:val="none"/>
                    </w:rPr>
                  </w:pPr>
                  <w:r>
                    <w:rPr>
                      <w:color w:val="auto"/>
                      <w:sz w:val="21"/>
                      <w:szCs w:val="21"/>
                      <w:highlight w:val="none"/>
                    </w:rPr>
                    <w:t>生产设备噪声</w:t>
                  </w:r>
                </w:p>
              </w:tc>
              <w:tc>
                <w:tcPr>
                  <w:tcW w:w="2785"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选用低噪声设备，</w:t>
                  </w:r>
                  <w:r>
                    <w:rPr>
                      <w:color w:val="auto"/>
                      <w:sz w:val="21"/>
                      <w:szCs w:val="21"/>
                      <w:highlight w:val="none"/>
                    </w:rPr>
                    <w:t>设备</w:t>
                  </w:r>
                  <w:r>
                    <w:rPr>
                      <w:rFonts w:hint="eastAsia"/>
                      <w:color w:val="auto"/>
                      <w:sz w:val="21"/>
                      <w:szCs w:val="21"/>
                      <w:highlight w:val="none"/>
                    </w:rPr>
                    <w:t>隔音</w:t>
                  </w:r>
                  <w:r>
                    <w:rPr>
                      <w:color w:val="auto"/>
                      <w:sz w:val="21"/>
                      <w:szCs w:val="21"/>
                      <w:highlight w:val="none"/>
                    </w:rPr>
                    <w:t>减振、减噪</w:t>
                  </w:r>
                  <w:r>
                    <w:rPr>
                      <w:rFonts w:hint="eastAsia"/>
                      <w:color w:val="auto"/>
                      <w:sz w:val="21"/>
                      <w:szCs w:val="21"/>
                      <w:highlight w:val="none"/>
                    </w:rPr>
                    <w:t>，合理平面布局，墙体隔音</w:t>
                  </w:r>
                </w:p>
              </w:tc>
              <w:tc>
                <w:tcPr>
                  <w:tcW w:w="3226" w:type="dxa"/>
                  <w:vAlign w:val="center"/>
                </w:tcPr>
                <w:p>
                  <w:pPr>
                    <w:spacing w:line="240" w:lineRule="auto"/>
                    <w:ind w:firstLine="0" w:firstLineChars="0"/>
                    <w:jc w:val="center"/>
                    <w:rPr>
                      <w:color w:val="auto"/>
                      <w:sz w:val="21"/>
                      <w:szCs w:val="21"/>
                      <w:highlight w:val="none"/>
                    </w:rPr>
                  </w:pPr>
                  <w:r>
                    <w:rPr>
                      <w:color w:val="auto"/>
                      <w:sz w:val="21"/>
                      <w:szCs w:val="21"/>
                      <w:highlight w:val="none"/>
                    </w:rPr>
                    <w:t>达到</w:t>
                  </w:r>
                  <w:r>
                    <w:rPr>
                      <w:rFonts w:hint="eastAsia"/>
                      <w:color w:val="auto"/>
                      <w:sz w:val="21"/>
                      <w:szCs w:val="21"/>
                      <w:highlight w:val="none"/>
                    </w:rPr>
                    <w:t>《工业企业厂界环境噪声排放标准》（GB12348-2008）中2类标准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11" w:type="dxa"/>
                  <w:vAlign w:val="center"/>
                </w:tcPr>
                <w:p>
                  <w:pPr>
                    <w:spacing w:line="240" w:lineRule="auto"/>
                    <w:ind w:firstLine="0" w:firstLineChars="0"/>
                    <w:jc w:val="center"/>
                    <w:rPr>
                      <w:color w:val="auto"/>
                      <w:sz w:val="21"/>
                      <w:szCs w:val="21"/>
                      <w:highlight w:val="none"/>
                    </w:rPr>
                  </w:pPr>
                  <w:r>
                    <w:rPr>
                      <w:color w:val="auto"/>
                      <w:sz w:val="21"/>
                      <w:szCs w:val="21"/>
                      <w:highlight w:val="none"/>
                    </w:rPr>
                    <w:t>生态治理</w:t>
                  </w:r>
                </w:p>
              </w:tc>
              <w:tc>
                <w:tcPr>
                  <w:tcW w:w="1735" w:type="dxa"/>
                  <w:vAlign w:val="center"/>
                </w:tcPr>
                <w:p>
                  <w:pPr>
                    <w:spacing w:line="240" w:lineRule="auto"/>
                    <w:ind w:firstLine="0" w:firstLineChars="0"/>
                    <w:jc w:val="center"/>
                    <w:rPr>
                      <w:color w:val="auto"/>
                      <w:sz w:val="21"/>
                      <w:szCs w:val="21"/>
                      <w:highlight w:val="none"/>
                    </w:rPr>
                  </w:pPr>
                  <w:r>
                    <w:rPr>
                      <w:color w:val="auto"/>
                      <w:sz w:val="21"/>
                      <w:szCs w:val="21"/>
                      <w:highlight w:val="none"/>
                    </w:rPr>
                    <w:t>场区绿地率达到</w:t>
                  </w:r>
                  <w:r>
                    <w:rPr>
                      <w:rFonts w:hint="eastAsia"/>
                      <w:color w:val="auto"/>
                      <w:sz w:val="21"/>
                      <w:szCs w:val="21"/>
                      <w:highlight w:val="none"/>
                    </w:rPr>
                    <w:t>21.47</w:t>
                  </w:r>
                  <w:r>
                    <w:rPr>
                      <w:color w:val="auto"/>
                      <w:sz w:val="21"/>
                      <w:szCs w:val="21"/>
                      <w:highlight w:val="none"/>
                    </w:rPr>
                    <w:t>%</w:t>
                  </w:r>
                </w:p>
              </w:tc>
              <w:tc>
                <w:tcPr>
                  <w:tcW w:w="2785" w:type="dxa"/>
                  <w:vAlign w:val="center"/>
                </w:tcPr>
                <w:p>
                  <w:pPr>
                    <w:spacing w:line="240" w:lineRule="auto"/>
                    <w:ind w:firstLine="0" w:firstLineChars="0"/>
                    <w:jc w:val="center"/>
                    <w:rPr>
                      <w:color w:val="auto"/>
                      <w:sz w:val="21"/>
                      <w:szCs w:val="21"/>
                      <w:highlight w:val="none"/>
                    </w:rPr>
                  </w:pPr>
                  <w:r>
                    <w:rPr>
                      <w:color w:val="auto"/>
                      <w:sz w:val="21"/>
                      <w:szCs w:val="21"/>
                      <w:highlight w:val="none"/>
                    </w:rPr>
                    <w:t>绿化带</w:t>
                  </w:r>
                </w:p>
              </w:tc>
              <w:tc>
                <w:tcPr>
                  <w:tcW w:w="3226" w:type="dxa"/>
                  <w:vAlign w:val="center"/>
                </w:tcPr>
                <w:p>
                  <w:pPr>
                    <w:spacing w:line="240" w:lineRule="auto"/>
                    <w:ind w:firstLine="0" w:firstLineChars="0"/>
                    <w:jc w:val="center"/>
                    <w:rPr>
                      <w:color w:val="auto"/>
                      <w:sz w:val="21"/>
                      <w:szCs w:val="21"/>
                      <w:highlight w:val="none"/>
                    </w:rPr>
                  </w:pPr>
                  <w:r>
                    <w:rPr>
                      <w:color w:val="auto"/>
                      <w:sz w:val="21"/>
                      <w:szCs w:val="21"/>
                      <w:highlight w:val="none"/>
                    </w:rPr>
                    <w:t>降噪、净化空气</w:t>
                  </w:r>
                </w:p>
              </w:tc>
            </w:tr>
          </w:tbl>
          <w:p>
            <w:pPr>
              <w:spacing w:line="360" w:lineRule="auto"/>
              <w:ind w:firstLine="0" w:firstLineChars="0"/>
              <w:rPr>
                <w:rFonts w:hint="eastAsia"/>
                <w:color w:val="auto"/>
                <w:highlight w:val="none"/>
                <w:lang w:eastAsia="zh-CN"/>
              </w:rPr>
            </w:pPr>
          </w:p>
          <w:p>
            <w:pPr>
              <w:spacing w:line="360" w:lineRule="auto"/>
              <w:ind w:firstLine="0" w:firstLineChars="0"/>
              <w:rPr>
                <w:rFonts w:hint="eastAsia"/>
                <w:color w:val="auto"/>
                <w:highlight w:val="none"/>
                <w:lang w:eastAsia="zh-CN"/>
              </w:rPr>
            </w:pPr>
          </w:p>
          <w:p>
            <w:pPr>
              <w:spacing w:line="360" w:lineRule="auto"/>
              <w:ind w:firstLine="0" w:firstLineChars="0"/>
              <w:rPr>
                <w:rFonts w:hint="eastAsia"/>
                <w:color w:val="auto"/>
                <w:highlight w:val="none"/>
                <w:lang w:eastAsia="zh-CN"/>
              </w:rPr>
            </w:pPr>
          </w:p>
          <w:p>
            <w:pPr>
              <w:spacing w:line="360" w:lineRule="auto"/>
              <w:ind w:firstLine="0" w:firstLineChars="0"/>
              <w:rPr>
                <w:rFonts w:hint="eastAsia"/>
                <w:color w:val="auto"/>
                <w:highlight w:val="none"/>
                <w:lang w:eastAsia="zh-CN"/>
              </w:rPr>
            </w:pPr>
          </w:p>
          <w:p>
            <w:pPr>
              <w:spacing w:line="360" w:lineRule="auto"/>
              <w:ind w:firstLine="0" w:firstLineChars="0"/>
              <w:rPr>
                <w:rFonts w:hint="eastAsia"/>
                <w:color w:val="auto"/>
                <w:highlight w:val="none"/>
                <w:lang w:eastAsia="zh-CN"/>
              </w:rPr>
            </w:pPr>
          </w:p>
          <w:p>
            <w:pPr>
              <w:spacing w:line="360" w:lineRule="auto"/>
              <w:ind w:firstLine="0" w:firstLineChars="0"/>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pStyle w:val="2"/>
              <w:rPr>
                <w:rFonts w:hint="eastAsia"/>
                <w:color w:val="auto"/>
                <w:highlight w:val="none"/>
                <w:lang w:eastAsia="zh-CN"/>
              </w:rPr>
            </w:pPr>
          </w:p>
          <w:p>
            <w:pPr>
              <w:spacing w:line="360" w:lineRule="auto"/>
              <w:ind w:firstLine="0" w:firstLineChars="0"/>
              <w:rPr>
                <w:rFonts w:hint="eastAsia" w:eastAsia="宋体"/>
                <w:color w:val="auto"/>
                <w:highlight w:val="none"/>
                <w:lang w:eastAsia="zh-CN"/>
              </w:rPr>
            </w:pPr>
          </w:p>
        </w:tc>
      </w:tr>
    </w:tbl>
    <w:p>
      <w:pPr>
        <w:pStyle w:val="3"/>
        <w:spacing w:before="0" w:after="0" w:line="240" w:lineRule="auto"/>
        <w:ind w:firstLine="0" w:firstLineChars="0"/>
        <w:rPr>
          <w:color w:val="auto"/>
          <w:sz w:val="32"/>
          <w:szCs w:val="32"/>
          <w:highlight w:val="none"/>
        </w:rPr>
      </w:pPr>
      <w:bookmarkStart w:id="83" w:name="_Toc28922"/>
      <w:r>
        <w:rPr>
          <w:color w:val="auto"/>
          <w:sz w:val="32"/>
          <w:szCs w:val="32"/>
          <w:highlight w:val="none"/>
        </w:rPr>
        <w:t>建设项目拟采取的防治措施及预期治理效果</w:t>
      </w:r>
      <w:bookmarkEnd w:id="83"/>
    </w:p>
    <w:tbl>
      <w:tblPr>
        <w:tblStyle w:val="26"/>
        <w:tblW w:w="907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8"/>
        <w:gridCol w:w="1008"/>
        <w:gridCol w:w="1345"/>
        <w:gridCol w:w="2737"/>
        <w:gridCol w:w="2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atLeast"/>
          <w:jc w:val="center"/>
        </w:trPr>
        <w:tc>
          <w:tcPr>
            <w:tcW w:w="1148" w:type="dxa"/>
            <w:tcBorders>
              <w:bottom w:val="single" w:color="auto" w:sz="4" w:space="0"/>
              <w:right w:val="single" w:color="auto" w:sz="4" w:space="0"/>
            </w:tcBorders>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spacing w:line="240" w:lineRule="auto"/>
              <w:ind w:firstLine="0" w:firstLineChars="0"/>
              <w:jc w:val="center"/>
              <w:rPr>
                <w:color w:val="auto"/>
                <w:sz w:val="21"/>
                <w:szCs w:val="21"/>
                <w:highlight w:val="none"/>
              </w:rPr>
            </w:pPr>
          </w:p>
          <w:p>
            <w:pPr>
              <w:spacing w:line="240" w:lineRule="auto"/>
              <w:ind w:firstLine="0" w:firstLineChars="0"/>
              <w:jc w:val="center"/>
              <w:rPr>
                <w:color w:val="auto"/>
                <w:sz w:val="21"/>
                <w:szCs w:val="21"/>
                <w:highlight w:val="none"/>
              </w:rPr>
            </w:pPr>
          </w:p>
          <w:p>
            <w:pPr>
              <w:spacing w:line="240" w:lineRule="auto"/>
              <w:ind w:firstLine="0" w:firstLineChars="0"/>
              <w:jc w:val="center"/>
              <w:rPr>
                <w:color w:val="auto"/>
                <w:sz w:val="21"/>
                <w:szCs w:val="21"/>
                <w:highlight w:val="none"/>
              </w:rPr>
            </w:pPr>
            <w:r>
              <w:rPr>
                <w:color w:val="auto"/>
                <w:sz w:val="21"/>
                <w:szCs w:val="21"/>
                <w:highlight w:val="none"/>
              </w:rPr>
              <w:t>内容</w:t>
            </w:r>
          </w:p>
          <w:p>
            <w:pPr>
              <w:snapToGrid w:val="0"/>
              <w:spacing w:line="240" w:lineRule="auto"/>
              <w:ind w:firstLine="0" w:firstLineChars="0"/>
              <w:jc w:val="center"/>
              <mc:AlternateContent>
                <mc:Choice Requires="wpsCustomData">
                  <wpsCustomData:diagonalParaType/>
                </mc:Choice>
              </mc:AlternateContent>
              <w:rPr>
                <w:color w:val="auto"/>
                <w:sz w:val="21"/>
                <w:szCs w:val="21"/>
                <w:highlight w:val="none"/>
              </w:rPr>
            </w:pPr>
          </w:p>
          <w:p>
            <w:pPr>
              <w:spacing w:line="240" w:lineRule="auto"/>
              <w:ind w:firstLine="0" w:firstLineChars="0"/>
              <w:jc w:val="center"/>
              <w:rPr>
                <w:color w:val="auto"/>
                <w:sz w:val="21"/>
                <w:szCs w:val="21"/>
                <w:highlight w:val="none"/>
              </w:rPr>
            </w:pPr>
            <w:r>
              <w:rPr>
                <w:color w:val="auto"/>
                <w:sz w:val="21"/>
                <w:szCs w:val="21"/>
                <w:highlight w:val="none"/>
              </w:rPr>
              <w:t>类型</w:t>
            </w:r>
          </w:p>
          <w:p>
            <w:pPr>
              <w:spacing w:line="240" w:lineRule="auto"/>
              <w:ind w:firstLine="0" w:firstLineChars="0"/>
              <w:jc w:val="center"/>
              <w:rPr>
                <w:color w:val="auto"/>
                <w:sz w:val="21"/>
                <w:szCs w:val="21"/>
                <w:highlight w:val="none"/>
              </w:rPr>
            </w:pPr>
          </w:p>
        </w:tc>
        <w:tc>
          <w:tcPr>
            <w:tcW w:w="1008" w:type="dxa"/>
            <w:tcBorders>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排放源</w:t>
            </w:r>
          </w:p>
        </w:tc>
        <w:tc>
          <w:tcPr>
            <w:tcW w:w="1345" w:type="dxa"/>
            <w:tcBorders>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污染物名称</w:t>
            </w:r>
          </w:p>
        </w:tc>
        <w:tc>
          <w:tcPr>
            <w:tcW w:w="2737" w:type="dxa"/>
            <w:tcBorders>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防治措施</w:t>
            </w:r>
          </w:p>
        </w:tc>
        <w:tc>
          <w:tcPr>
            <w:tcW w:w="2833" w:type="dxa"/>
            <w:tcBorders>
              <w:left w:val="single" w:color="auto" w:sz="4" w:space="0"/>
              <w:bottom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restart"/>
            <w:tcBorders>
              <w:top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大气污</w:t>
            </w:r>
          </w:p>
          <w:p>
            <w:pPr>
              <w:spacing w:line="240" w:lineRule="auto"/>
              <w:ind w:firstLine="0" w:firstLineChars="0"/>
              <w:jc w:val="center"/>
              <w:rPr>
                <w:color w:val="auto"/>
                <w:sz w:val="21"/>
                <w:szCs w:val="21"/>
                <w:highlight w:val="none"/>
              </w:rPr>
            </w:pPr>
            <w:r>
              <w:rPr>
                <w:color w:val="auto"/>
                <w:sz w:val="21"/>
                <w:szCs w:val="21"/>
                <w:highlight w:val="none"/>
              </w:rPr>
              <w:t>染物</w:t>
            </w: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食堂</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油烟</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油烟净化器+屋顶排放</w:t>
            </w:r>
          </w:p>
        </w:tc>
        <w:tc>
          <w:tcPr>
            <w:tcW w:w="2833" w:type="dxa"/>
            <w:tcBorders>
              <w:top w:val="single" w:color="auto" w:sz="4" w:space="0"/>
              <w:left w:val="single" w:color="auto" w:sz="4" w:space="0"/>
              <w:bottom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满足《饮食业油烟排放标准》(GB18483-2001)标准要求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continue"/>
            <w:tcBorders>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加药间</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二氧化氯废气</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加药间设置排风扇</w:t>
            </w:r>
          </w:p>
        </w:tc>
        <w:tc>
          <w:tcPr>
            <w:tcW w:w="2833" w:type="dxa"/>
            <w:tcBorders>
              <w:top w:val="single" w:color="auto" w:sz="4" w:space="0"/>
              <w:left w:val="single" w:color="auto" w:sz="4" w:space="0"/>
              <w:bottom w:val="single" w:color="auto" w:sz="4" w:space="0"/>
            </w:tcBorders>
            <w:tcMar>
              <w:left w:w="28" w:type="dxa"/>
              <w:right w:w="28" w:type="dxa"/>
            </w:tcMar>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restart"/>
            <w:tcBorders>
              <w:top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水污染物</w:t>
            </w: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化验室</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PH</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lang w:val="en-US" w:eastAsia="zh-CN"/>
              </w:rPr>
              <w:t>中和池（0.5m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w:t>
            </w:r>
          </w:p>
        </w:tc>
        <w:tc>
          <w:tcPr>
            <w:tcW w:w="2833" w:type="dxa"/>
            <w:vMerge w:val="restart"/>
            <w:tcBorders>
              <w:top w:val="single" w:color="auto" w:sz="4" w:space="0"/>
              <w:lef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满足</w:t>
            </w:r>
            <w:r>
              <w:rPr>
                <w:color w:val="auto"/>
                <w:sz w:val="21"/>
                <w:szCs w:val="21"/>
                <w:highlight w:val="none"/>
              </w:rPr>
              <w:t>《污水综合排放标准》（GB8978-1996）一级标准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continue"/>
            <w:tcBorders>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生活污水</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lang w:val="en-GB"/>
              </w:rPr>
              <w:t>COD、BOD5、SS、氨氮、动植物油</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地埋式一体化污水处理设施</w:t>
            </w:r>
            <w:r>
              <w:rPr>
                <w:rFonts w:hint="eastAsia"/>
                <w:color w:val="auto"/>
                <w:sz w:val="21"/>
                <w:szCs w:val="21"/>
                <w:highlight w:val="none"/>
              </w:rPr>
              <w:t>（5t/d）</w:t>
            </w:r>
          </w:p>
        </w:tc>
        <w:tc>
          <w:tcPr>
            <w:tcW w:w="2833" w:type="dxa"/>
            <w:vMerge w:val="continue"/>
            <w:tcBorders>
              <w:left w:val="single" w:color="auto" w:sz="4" w:space="0"/>
              <w:bottom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continue"/>
            <w:tcBorders>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c>
          <w:tcPr>
            <w:tcW w:w="1008"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净水厂</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lang w:val="en-GB"/>
              </w:rPr>
            </w:pPr>
            <w:r>
              <w:rPr>
                <w:color w:val="auto"/>
                <w:sz w:val="21"/>
                <w:szCs w:val="21"/>
                <w:highlight w:val="none"/>
              </w:rPr>
              <w:t>反冲洗废水</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经排水池收集后送至絮凝沉淀池回用，不外排。</w:t>
            </w:r>
          </w:p>
        </w:tc>
        <w:tc>
          <w:tcPr>
            <w:tcW w:w="2833" w:type="dxa"/>
            <w:tcBorders>
              <w:top w:val="single" w:color="auto" w:sz="4" w:space="0"/>
              <w:left w:val="single" w:color="auto" w:sz="4" w:space="0"/>
              <w:bottom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continue"/>
            <w:tcBorders>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c>
          <w:tcPr>
            <w:tcW w:w="1008"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lang w:val="en-GB"/>
              </w:rPr>
            </w:pPr>
            <w:r>
              <w:rPr>
                <w:color w:val="auto"/>
                <w:sz w:val="21"/>
                <w:szCs w:val="21"/>
                <w:highlight w:val="none"/>
              </w:rPr>
              <w:t>排泥水</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将排泥废水排入澄清池，上清液回流至原水，不外排</w:t>
            </w:r>
          </w:p>
        </w:tc>
        <w:tc>
          <w:tcPr>
            <w:tcW w:w="2833" w:type="dxa"/>
            <w:tcBorders>
              <w:top w:val="single" w:color="auto" w:sz="4" w:space="0"/>
              <w:left w:val="single" w:color="auto" w:sz="4" w:space="0"/>
              <w:bottom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restart"/>
            <w:tcBorders>
              <w:top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固体废弃物</w:t>
            </w: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净水厂</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污泥</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近期：污泥经脱水后外运至祁阳海螺水泥厂同生活垃圾焚烧处理，远期：污泥经脱水后外运至祁阳县污泥集中处置中心处置。</w:t>
            </w:r>
          </w:p>
        </w:tc>
        <w:tc>
          <w:tcPr>
            <w:tcW w:w="2833" w:type="dxa"/>
            <w:vMerge w:val="restart"/>
            <w:tcBorders>
              <w:top w:val="single" w:color="auto" w:sz="4" w:space="0"/>
              <w:lef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有效处置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continue"/>
            <w:tcBorders>
              <w:top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rPr>
              <w:t>取水泵站</w:t>
            </w:r>
            <w:r>
              <w:rPr>
                <w:rFonts w:hint="eastAsia"/>
                <w:color w:val="auto"/>
                <w:sz w:val="21"/>
                <w:szCs w:val="21"/>
                <w:highlight w:val="none"/>
                <w:lang w:eastAsia="zh-CN"/>
              </w:rPr>
              <w:t>、</w:t>
            </w:r>
            <w:r>
              <w:rPr>
                <w:rFonts w:hint="eastAsia"/>
                <w:color w:val="auto"/>
                <w:sz w:val="21"/>
                <w:szCs w:val="21"/>
                <w:highlight w:val="none"/>
              </w:rPr>
              <w:t>净水厂</w:t>
            </w:r>
            <w:r>
              <w:rPr>
                <w:rFonts w:hint="eastAsia"/>
                <w:color w:val="auto"/>
                <w:sz w:val="21"/>
                <w:szCs w:val="21"/>
                <w:highlight w:val="none"/>
                <w:lang w:eastAsia="zh-CN"/>
              </w:rPr>
              <w:t>、</w:t>
            </w:r>
            <w:r>
              <w:rPr>
                <w:rFonts w:hint="eastAsia"/>
                <w:color w:val="auto"/>
                <w:sz w:val="21"/>
                <w:szCs w:val="21"/>
                <w:highlight w:val="none"/>
                <w:lang w:val="en-US" w:eastAsia="zh-CN"/>
              </w:rPr>
              <w:t>加压泵房</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废润滑油</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lang w:val="zh-CN"/>
              </w:rPr>
              <w:t>按危险废物管理有关规定送至有资质的单位进行无害化处理</w:t>
            </w:r>
          </w:p>
        </w:tc>
        <w:tc>
          <w:tcPr>
            <w:tcW w:w="2833" w:type="dxa"/>
            <w:vMerge w:val="continue"/>
            <w:tcBorders>
              <w:lef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vMerge w:val="continue"/>
            <w:tcBorders>
              <w:top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取水泵站、净水厂</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生活垃圾</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委托当地乡镇环卫部门进行清运处理</w:t>
            </w:r>
          </w:p>
        </w:tc>
        <w:tc>
          <w:tcPr>
            <w:tcW w:w="2833" w:type="dxa"/>
            <w:vMerge w:val="continue"/>
            <w:tcBorders>
              <w:left w:val="single" w:color="auto" w:sz="4" w:space="0"/>
              <w:bottom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148" w:type="dxa"/>
            <w:tcBorders>
              <w:top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噪声</w:t>
            </w:r>
          </w:p>
        </w:tc>
        <w:tc>
          <w:tcPr>
            <w:tcW w:w="10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噪声</w:t>
            </w:r>
          </w:p>
        </w:tc>
        <w:tc>
          <w:tcPr>
            <w:tcW w:w="13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生产设备噪声</w:t>
            </w:r>
          </w:p>
        </w:tc>
        <w:tc>
          <w:tcPr>
            <w:tcW w:w="273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选用低噪声设备，</w:t>
            </w:r>
            <w:r>
              <w:rPr>
                <w:color w:val="auto"/>
                <w:sz w:val="21"/>
                <w:szCs w:val="21"/>
                <w:highlight w:val="none"/>
              </w:rPr>
              <w:t>设备</w:t>
            </w:r>
            <w:r>
              <w:rPr>
                <w:rFonts w:hint="eastAsia"/>
                <w:color w:val="auto"/>
                <w:sz w:val="21"/>
                <w:szCs w:val="21"/>
                <w:highlight w:val="none"/>
              </w:rPr>
              <w:t>隔音</w:t>
            </w:r>
            <w:r>
              <w:rPr>
                <w:color w:val="auto"/>
                <w:sz w:val="21"/>
                <w:szCs w:val="21"/>
                <w:highlight w:val="none"/>
              </w:rPr>
              <w:t>减振、减噪</w:t>
            </w:r>
            <w:r>
              <w:rPr>
                <w:rFonts w:hint="eastAsia"/>
                <w:color w:val="auto"/>
                <w:sz w:val="21"/>
                <w:szCs w:val="21"/>
                <w:highlight w:val="none"/>
              </w:rPr>
              <w:t>，合理平面布局，墙体隔音</w:t>
            </w:r>
          </w:p>
        </w:tc>
        <w:tc>
          <w:tcPr>
            <w:tcW w:w="2833" w:type="dxa"/>
            <w:tcBorders>
              <w:top w:val="single" w:color="auto" w:sz="4" w:space="0"/>
              <w:left w:val="single" w:color="auto" w:sz="4" w:space="0"/>
              <w:bottom w:val="single" w:color="auto" w:sz="4" w:space="0"/>
            </w:tcBorders>
            <w:tcMar>
              <w:left w:w="28" w:type="dxa"/>
              <w:right w:w="28" w:type="dxa"/>
            </w:tcMar>
            <w:vAlign w:val="center"/>
          </w:tcPr>
          <w:p>
            <w:pPr>
              <w:spacing w:line="240" w:lineRule="auto"/>
              <w:ind w:firstLine="0" w:firstLineChars="0"/>
              <w:jc w:val="center"/>
              <w:rPr>
                <w:color w:val="auto"/>
                <w:sz w:val="21"/>
                <w:szCs w:val="21"/>
                <w:highlight w:val="none"/>
              </w:rPr>
            </w:pPr>
            <w:r>
              <w:rPr>
                <w:color w:val="auto"/>
                <w:sz w:val="21"/>
                <w:szCs w:val="21"/>
                <w:highlight w:val="none"/>
              </w:rPr>
              <w:t>达到《工业企业厂界环境噪声排放标准》（GB12348-2008）中2类标准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9071" w:type="dxa"/>
            <w:gridSpan w:val="5"/>
            <w:tcBorders>
              <w:top w:val="single" w:color="auto" w:sz="4" w:space="0"/>
            </w:tcBorders>
            <w:vAlign w:val="center"/>
          </w:tcPr>
          <w:p>
            <w:pPr>
              <w:spacing w:line="240" w:lineRule="auto"/>
              <w:ind w:firstLine="0" w:firstLineChars="0"/>
              <w:rPr>
                <w:b/>
                <w:bCs/>
                <w:color w:val="auto"/>
                <w:highlight w:val="none"/>
              </w:rPr>
            </w:pPr>
            <w:r>
              <w:rPr>
                <w:b/>
                <w:bCs/>
                <w:color w:val="auto"/>
                <w:highlight w:val="none"/>
              </w:rPr>
              <w:t>生态保护措施及预期效果：</w:t>
            </w:r>
          </w:p>
          <w:p>
            <w:pPr>
              <w:spacing w:line="240" w:lineRule="auto"/>
              <w:ind w:firstLine="420"/>
              <w:rPr>
                <w:color w:val="auto"/>
                <w:sz w:val="21"/>
                <w:szCs w:val="21"/>
                <w:highlight w:val="none"/>
              </w:rPr>
            </w:pPr>
            <w:r>
              <w:rPr>
                <w:color w:val="auto"/>
                <w:sz w:val="21"/>
                <w:szCs w:val="21"/>
                <w:highlight w:val="none"/>
              </w:rPr>
              <w:t>确保施工活动在征地范围内进行，尽量减少对作业区外土地的破坏。待施工结束 后及时对临时用地复垦或绿化。提高施工人员的生态保护意识，严禁捕猎野生动物。 施工时要在作业区域设置挡土板或挡土墙围挡，并设置临时沉砂池，必要时采取 覆盖措施，尽量减缓施工引起的水土流失影响。科学规划，合理安排施工工段，防止 河流径流对管道铺设段的冲刷，管道开挖土堆放过程时应严格管理，不得随意堆放。</w:t>
            </w:r>
          </w:p>
        </w:tc>
      </w:tr>
    </w:tbl>
    <w:p>
      <w:pPr>
        <w:rPr>
          <w:color w:val="auto"/>
          <w:highlight w:val="none"/>
        </w:rPr>
        <w:sectPr>
          <w:pgSz w:w="11906" w:h="16838"/>
          <w:pgMar w:top="1440" w:right="1800" w:bottom="1440" w:left="1800" w:header="851" w:footer="992" w:gutter="0"/>
          <w:cols w:space="425" w:num="1"/>
          <w:docGrid w:type="lines" w:linePitch="312" w:charSpace="0"/>
        </w:sectPr>
      </w:pPr>
    </w:p>
    <w:p>
      <w:pPr>
        <w:pStyle w:val="3"/>
        <w:spacing w:before="0" w:after="0" w:line="240" w:lineRule="auto"/>
        <w:ind w:firstLine="0" w:firstLineChars="0"/>
        <w:rPr>
          <w:color w:val="auto"/>
          <w:sz w:val="32"/>
          <w:szCs w:val="32"/>
          <w:highlight w:val="none"/>
        </w:rPr>
      </w:pPr>
      <w:bookmarkStart w:id="84" w:name="_Toc112127025"/>
      <w:bookmarkStart w:id="85" w:name="_Toc110587909"/>
      <w:bookmarkStart w:id="86" w:name="_Toc167674101"/>
      <w:bookmarkStart w:id="87" w:name="_Toc167421098"/>
      <w:bookmarkStart w:id="88" w:name="_Toc203477676"/>
      <w:bookmarkStart w:id="89" w:name="_Toc31564"/>
      <w:bookmarkStart w:id="90" w:name="_Toc112124836"/>
      <w:bookmarkStart w:id="91" w:name="_Toc107133129"/>
      <w:bookmarkStart w:id="92" w:name="_Toc120584309"/>
      <w:bookmarkStart w:id="93" w:name="_Toc167422974"/>
      <w:bookmarkStart w:id="94" w:name="_Toc103347239"/>
      <w:bookmarkStart w:id="95" w:name="_Toc109699577"/>
      <w:bookmarkStart w:id="96" w:name="_Toc112820649"/>
      <w:bookmarkStart w:id="97" w:name="_Toc165285235"/>
      <w:r>
        <w:rPr>
          <w:color w:val="auto"/>
          <w:sz w:val="32"/>
          <w:szCs w:val="32"/>
          <w:highlight w:val="none"/>
        </w:rPr>
        <w:t>结论与建议</w:t>
      </w:r>
      <w:bookmarkEnd w:id="84"/>
      <w:bookmarkEnd w:id="85"/>
      <w:bookmarkEnd w:id="86"/>
      <w:bookmarkEnd w:id="87"/>
      <w:bookmarkEnd w:id="88"/>
      <w:bookmarkEnd w:id="89"/>
      <w:bookmarkEnd w:id="90"/>
      <w:bookmarkEnd w:id="91"/>
      <w:bookmarkEnd w:id="92"/>
      <w:bookmarkEnd w:id="93"/>
      <w:bookmarkEnd w:id="94"/>
      <w:bookmarkEnd w:id="95"/>
      <w:bookmarkEnd w:id="96"/>
      <w:bookmarkEnd w:id="97"/>
    </w:p>
    <w:tbl>
      <w:tblPr>
        <w:tblStyle w:val="26"/>
        <w:tblW w:w="91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0" w:hRule="atLeast"/>
          <w:jc w:val="center"/>
        </w:trPr>
        <w:tc>
          <w:tcPr>
            <w:tcW w:w="9114" w:type="dxa"/>
          </w:tcPr>
          <w:p>
            <w:pPr>
              <w:spacing w:line="360" w:lineRule="auto"/>
              <w:ind w:firstLine="0" w:firstLineChars="0"/>
              <w:rPr>
                <w:b/>
                <w:color w:val="auto"/>
                <w:highlight w:val="none"/>
              </w:rPr>
            </w:pPr>
            <w:r>
              <w:rPr>
                <w:rFonts w:hint="eastAsia"/>
                <w:b/>
                <w:color w:val="auto"/>
                <w:highlight w:val="none"/>
              </w:rPr>
              <w:t>一、结论</w:t>
            </w:r>
          </w:p>
          <w:p>
            <w:pPr>
              <w:spacing w:line="360" w:lineRule="auto"/>
              <w:ind w:firstLine="0" w:firstLineChars="0"/>
              <w:rPr>
                <w:b/>
                <w:color w:val="auto"/>
                <w:highlight w:val="none"/>
              </w:rPr>
            </w:pPr>
            <w:r>
              <w:rPr>
                <w:b/>
                <w:color w:val="auto"/>
                <w:highlight w:val="none"/>
              </w:rPr>
              <w:t>1.</w:t>
            </w:r>
            <w:r>
              <w:rPr>
                <w:rFonts w:hint="eastAsia"/>
                <w:b/>
                <w:color w:val="auto"/>
                <w:highlight w:val="none"/>
              </w:rPr>
              <w:t>、</w:t>
            </w:r>
            <w:r>
              <w:rPr>
                <w:b/>
                <w:color w:val="auto"/>
                <w:highlight w:val="none"/>
              </w:rPr>
              <w:t>项目基本情况</w:t>
            </w:r>
          </w:p>
          <w:p>
            <w:pPr>
              <w:spacing w:line="360" w:lineRule="auto"/>
              <w:jc w:val="left"/>
              <w:rPr>
                <w:color w:val="auto"/>
                <w:highlight w:val="none"/>
              </w:rPr>
            </w:pPr>
            <w:r>
              <w:rPr>
                <w:rFonts w:hint="eastAsia"/>
                <w:color w:val="auto"/>
                <w:highlight w:val="none"/>
              </w:rPr>
              <w:t>本项目总投资66222.50万元，取水口和净水厂拟建地位于湖南省永州市祁阳县潘市镇</w:t>
            </w:r>
            <w:r>
              <w:rPr>
                <w:rFonts w:hint="eastAsia"/>
                <w:color w:val="FF0000"/>
                <w:kern w:val="0"/>
                <w:szCs w:val="21"/>
                <w:highlight w:val="none"/>
                <w:u w:val="single"/>
                <w:lang w:eastAsia="zh-CN"/>
              </w:rPr>
              <w:t>董家埠村</w:t>
            </w:r>
            <w:r>
              <w:rPr>
                <w:rFonts w:hint="eastAsia"/>
                <w:color w:val="auto"/>
                <w:highlight w:val="none"/>
              </w:rPr>
              <w:t>泗山塘与庙门前之间，总占地面积</w:t>
            </w:r>
            <w:r>
              <w:rPr>
                <w:rFonts w:hint="eastAsia"/>
                <w:color w:val="auto"/>
                <w:highlight w:val="none"/>
                <w:lang w:eastAsia="zh-CN"/>
              </w:rPr>
              <w:t>33512</w:t>
            </w:r>
            <w:r>
              <w:rPr>
                <w:rFonts w:hint="eastAsia"/>
                <w:color w:val="auto"/>
                <w:highlight w:val="none"/>
              </w:rPr>
              <w:t>m</w:t>
            </w:r>
            <w:r>
              <w:rPr>
                <w:rFonts w:hint="eastAsia"/>
                <w:color w:val="auto"/>
                <w:highlight w:val="none"/>
                <w:vertAlign w:val="superscript"/>
              </w:rPr>
              <w:t>2</w:t>
            </w:r>
            <w:r>
              <w:rPr>
                <w:rFonts w:hint="eastAsia"/>
                <w:color w:val="auto"/>
                <w:highlight w:val="none"/>
              </w:rPr>
              <w:t>（折合约</w:t>
            </w:r>
            <w:r>
              <w:rPr>
                <w:rFonts w:hint="eastAsia"/>
                <w:color w:val="auto"/>
                <w:highlight w:val="none"/>
                <w:lang w:eastAsia="zh-CN"/>
              </w:rPr>
              <w:t>50.26亩</w:t>
            </w:r>
            <w:r>
              <w:rPr>
                <w:rFonts w:hint="eastAsia"/>
                <w:color w:val="auto"/>
                <w:highlight w:val="none"/>
              </w:rPr>
              <w:t>），供水规模为</w:t>
            </w:r>
            <w:r>
              <w:rPr>
                <w:color w:val="auto"/>
                <w:highlight w:val="none"/>
              </w:rPr>
              <w:t>6.0</w:t>
            </w:r>
            <w:r>
              <w:rPr>
                <w:rFonts w:hint="eastAsia"/>
                <w:color w:val="auto"/>
                <w:highlight w:val="none"/>
              </w:rPr>
              <w:t>×</w:t>
            </w:r>
            <w:r>
              <w:rPr>
                <w:color w:val="auto"/>
                <w:highlight w:val="none"/>
              </w:rPr>
              <w:t>10</w:t>
            </w:r>
            <w:r>
              <w:rPr>
                <w:color w:val="auto"/>
                <w:highlight w:val="none"/>
                <w:vertAlign w:val="superscript"/>
              </w:rPr>
              <w:t>4</w:t>
            </w:r>
            <w:r>
              <w:rPr>
                <w:color w:val="auto"/>
                <w:highlight w:val="none"/>
              </w:rPr>
              <w:t>m</w:t>
            </w:r>
            <w:r>
              <w:rPr>
                <w:color w:val="auto"/>
                <w:highlight w:val="none"/>
                <w:vertAlign w:val="superscript"/>
              </w:rPr>
              <w:t>3</w:t>
            </w:r>
            <w:r>
              <w:rPr>
                <w:color w:val="auto"/>
                <w:highlight w:val="none"/>
              </w:rPr>
              <w:t>/d</w:t>
            </w:r>
            <w:r>
              <w:rPr>
                <w:rFonts w:hint="eastAsia"/>
                <w:color w:val="auto"/>
                <w:highlight w:val="none"/>
              </w:rPr>
              <w:t>，主要建设配水井、絮凝沉淀清水池、气水反冲洗砂滤池、送水泵房、变配电间、综合加药间及机修、回用水池、排泥池、清水池、综合楼等，新建配水主干管DN800-DN250总长约256.04km，主干管DN150-DN100至供水片区村口总管道长约464km，新建远距离加压补氯配水泵房6座，供水覆盖潘市镇、梅溪镇、羊角塘镇、进宝塘镇、黄泥塘镇、白水镇、八宝镇、肖家镇。</w:t>
            </w:r>
          </w:p>
          <w:p>
            <w:pPr>
              <w:spacing w:line="360" w:lineRule="auto"/>
              <w:ind w:firstLine="0" w:firstLineChars="0"/>
              <w:rPr>
                <w:b/>
                <w:color w:val="auto"/>
                <w:highlight w:val="none"/>
              </w:rPr>
            </w:pPr>
            <w:r>
              <w:rPr>
                <w:b/>
                <w:color w:val="auto"/>
                <w:highlight w:val="none"/>
              </w:rPr>
              <w:t>2、环境质量现状</w:t>
            </w:r>
          </w:p>
          <w:p>
            <w:pPr>
              <w:spacing w:line="360" w:lineRule="auto"/>
              <w:ind w:firstLine="482"/>
              <w:jc w:val="left"/>
              <w:rPr>
                <w:b/>
                <w:bCs/>
                <w:color w:val="auto"/>
                <w:highlight w:val="none"/>
              </w:rPr>
            </w:pPr>
            <w:r>
              <w:rPr>
                <w:rFonts w:hint="eastAsia"/>
                <w:b/>
                <w:bCs/>
                <w:color w:val="auto"/>
                <w:highlight w:val="none"/>
              </w:rPr>
              <w:t>（1）环境空气质量现状</w:t>
            </w:r>
          </w:p>
          <w:p>
            <w:pPr>
              <w:pStyle w:val="33"/>
              <w:spacing w:line="360" w:lineRule="auto"/>
              <w:ind w:firstLine="480" w:firstLineChars="200"/>
              <w:rPr>
                <w:rFonts w:ascii="Times New Roman" w:hAnsi="Times New Roman"/>
                <w:color w:val="auto"/>
                <w:highlight w:val="none"/>
              </w:rPr>
            </w:pPr>
            <w:r>
              <w:rPr>
                <w:rFonts w:ascii="Times New Roman" w:hAnsi="Times New Roman"/>
                <w:color w:val="auto"/>
                <w:highlight w:val="none"/>
              </w:rPr>
              <w:t>祁阳县城区近一年常规大气污染物PM</w:t>
            </w:r>
            <w:r>
              <w:rPr>
                <w:rFonts w:ascii="Times New Roman" w:hAnsi="Times New Roman"/>
                <w:color w:val="auto"/>
                <w:highlight w:val="none"/>
                <w:vertAlign w:val="subscript"/>
              </w:rPr>
              <w:t>10</w:t>
            </w:r>
            <w:r>
              <w:rPr>
                <w:rFonts w:hint="eastAsia" w:ascii="Times New Roman" w:hAnsi="Times New Roman"/>
                <w:color w:val="auto"/>
                <w:highlight w:val="none"/>
              </w:rPr>
              <w:t>、</w:t>
            </w:r>
            <w:r>
              <w:rPr>
                <w:rFonts w:ascii="Times New Roman" w:hAnsi="Times New Roman"/>
                <w:color w:val="auto"/>
                <w:highlight w:val="none"/>
              </w:rPr>
              <w:t xml:space="preserve"> SO</w:t>
            </w:r>
            <w:r>
              <w:rPr>
                <w:rFonts w:ascii="Times New Roman" w:hAnsi="Times New Roman"/>
                <w:color w:val="auto"/>
                <w:highlight w:val="none"/>
                <w:vertAlign w:val="subscript"/>
              </w:rPr>
              <w:t>2</w:t>
            </w:r>
            <w:r>
              <w:rPr>
                <w:rFonts w:ascii="Times New Roman" w:hAnsi="Times New Roman"/>
                <w:color w:val="auto"/>
                <w:highlight w:val="none"/>
              </w:rPr>
              <w:t>、NO</w:t>
            </w:r>
            <w:r>
              <w:rPr>
                <w:rFonts w:ascii="Times New Roman" w:hAnsi="Times New Roman"/>
                <w:color w:val="auto"/>
                <w:highlight w:val="none"/>
                <w:vertAlign w:val="subscript"/>
              </w:rPr>
              <w:t>2</w:t>
            </w:r>
            <w:r>
              <w:rPr>
                <w:rFonts w:ascii="Times New Roman" w:hAnsi="Times New Roman"/>
                <w:color w:val="auto"/>
                <w:highlight w:val="none"/>
              </w:rPr>
              <w:t>、臭氧、一氧化碳</w:t>
            </w:r>
            <w:r>
              <w:rPr>
                <w:rFonts w:hint="eastAsia" w:ascii="Times New Roman" w:hAnsi="Times New Roman"/>
                <w:color w:val="auto"/>
                <w:highlight w:val="none"/>
              </w:rPr>
              <w:t>监测因子</w:t>
            </w:r>
            <w:r>
              <w:rPr>
                <w:rFonts w:ascii="Times New Roman" w:hAnsi="Times New Roman"/>
                <w:color w:val="auto"/>
                <w:highlight w:val="none"/>
              </w:rPr>
              <w:t>的年均值浓度满足《环境空气质量标准》（GB3095-2012）二级标准年均值要求，PM2.5年均值超过《环境空气质量标准》（GB3095-2012）二级标准年均值要求，超标倍数为</w:t>
            </w:r>
            <w:r>
              <w:rPr>
                <w:rFonts w:hint="eastAsia" w:ascii="Times New Roman" w:hAnsi="Times New Roman"/>
                <w:color w:val="auto"/>
                <w:highlight w:val="none"/>
              </w:rPr>
              <w:t>1.36</w:t>
            </w:r>
            <w:r>
              <w:rPr>
                <w:rFonts w:ascii="Times New Roman" w:hAnsi="Times New Roman"/>
                <w:color w:val="auto"/>
                <w:highlight w:val="none"/>
              </w:rPr>
              <w:t>，</w:t>
            </w:r>
            <w:r>
              <w:rPr>
                <w:rFonts w:hint="eastAsia" w:ascii="Times New Roman" w:hAnsi="Times New Roman"/>
                <w:color w:val="auto"/>
                <w:highlight w:val="none"/>
              </w:rPr>
              <w:t>因此祁阳县城属于不达标区</w:t>
            </w:r>
            <w:r>
              <w:rPr>
                <w:rFonts w:ascii="Times New Roman" w:hAnsi="Times New Roman"/>
                <w:color w:val="auto"/>
                <w:highlight w:val="none"/>
              </w:rPr>
              <w:t>。</w:t>
            </w:r>
          </w:p>
          <w:p>
            <w:pPr>
              <w:spacing w:line="360" w:lineRule="auto"/>
              <w:ind w:firstLine="482"/>
              <w:jc w:val="left"/>
              <w:rPr>
                <w:b/>
                <w:bCs/>
                <w:color w:val="auto"/>
                <w:highlight w:val="none"/>
              </w:rPr>
            </w:pPr>
            <w:r>
              <w:rPr>
                <w:rFonts w:hint="eastAsia"/>
                <w:b/>
                <w:bCs/>
                <w:color w:val="auto"/>
                <w:highlight w:val="none"/>
              </w:rPr>
              <w:t>（2）地表水环境质量现状</w:t>
            </w:r>
          </w:p>
          <w:p>
            <w:pPr>
              <w:widowControl/>
              <w:spacing w:line="360" w:lineRule="auto"/>
              <w:jc w:val="left"/>
              <w:rPr>
                <w:color w:val="auto"/>
                <w:highlight w:val="none"/>
              </w:rPr>
            </w:pPr>
            <w:r>
              <w:rPr>
                <w:color w:val="auto"/>
                <w:highlight w:val="none"/>
              </w:rPr>
              <w:t>监测资料统计结果表明：项目拟建地</w:t>
            </w:r>
            <w:r>
              <w:rPr>
                <w:rFonts w:hint="eastAsia"/>
                <w:color w:val="auto"/>
                <w:highlight w:val="none"/>
              </w:rPr>
              <w:t>湘江监测断面</w:t>
            </w:r>
            <w:r>
              <w:rPr>
                <w:color w:val="auto"/>
                <w:highlight w:val="none"/>
              </w:rPr>
              <w:t>监测因子指标均符合《地表水环境质量标准》（GB3838-2002）Ⅲ类标准的要求</w:t>
            </w:r>
            <w:r>
              <w:rPr>
                <w:rFonts w:hint="eastAsia"/>
                <w:color w:val="auto"/>
                <w:highlight w:val="none"/>
              </w:rPr>
              <w:t>。</w:t>
            </w:r>
          </w:p>
          <w:p>
            <w:pPr>
              <w:spacing w:line="360" w:lineRule="auto"/>
              <w:ind w:firstLine="482"/>
              <w:rPr>
                <w:b/>
                <w:bCs/>
                <w:color w:val="auto"/>
                <w:highlight w:val="none"/>
              </w:rPr>
            </w:pPr>
            <w:r>
              <w:rPr>
                <w:rFonts w:hint="eastAsia"/>
                <w:b/>
                <w:bCs/>
                <w:color w:val="auto"/>
                <w:highlight w:val="none"/>
              </w:rPr>
              <w:t>（3）</w:t>
            </w:r>
            <w:r>
              <w:rPr>
                <w:b/>
                <w:bCs/>
                <w:color w:val="auto"/>
                <w:highlight w:val="none"/>
              </w:rPr>
              <w:t>声环境质量现状</w:t>
            </w:r>
          </w:p>
          <w:p>
            <w:pPr>
              <w:spacing w:line="360" w:lineRule="auto"/>
              <w:rPr>
                <w:color w:val="auto"/>
                <w:highlight w:val="none"/>
              </w:rPr>
            </w:pPr>
            <w:r>
              <w:rPr>
                <w:color w:val="auto"/>
                <w:highlight w:val="none"/>
              </w:rPr>
              <w:t>监测资料统计结果表明</w:t>
            </w:r>
            <w:r>
              <w:rPr>
                <w:rFonts w:hint="eastAsia"/>
                <w:color w:val="auto"/>
                <w:highlight w:val="none"/>
              </w:rPr>
              <w:t>：</w:t>
            </w:r>
            <w:r>
              <w:rPr>
                <w:color w:val="auto"/>
                <w:highlight w:val="none"/>
              </w:rPr>
              <w:t>项目场界东、</w:t>
            </w:r>
            <w:r>
              <w:rPr>
                <w:rFonts w:hint="eastAsia"/>
                <w:color w:val="auto"/>
                <w:highlight w:val="none"/>
              </w:rPr>
              <w:t>南、</w:t>
            </w:r>
            <w:r>
              <w:rPr>
                <w:color w:val="auto"/>
                <w:highlight w:val="none"/>
              </w:rPr>
              <w:t>西</w:t>
            </w:r>
            <w:r>
              <w:rPr>
                <w:rFonts w:hint="eastAsia"/>
                <w:color w:val="auto"/>
                <w:highlight w:val="none"/>
              </w:rPr>
              <w:t>、北面昼夜间噪声</w:t>
            </w:r>
            <w:r>
              <w:rPr>
                <w:color w:val="auto"/>
                <w:highlight w:val="none"/>
              </w:rPr>
              <w:t>均符合《声环境质量标准》（GB 3096-2008）2类标准</w:t>
            </w:r>
            <w:r>
              <w:rPr>
                <w:rFonts w:hint="eastAsia"/>
                <w:color w:val="auto"/>
                <w:highlight w:val="none"/>
              </w:rPr>
              <w:t>，项目所在区域声环境质量情况良好。</w:t>
            </w:r>
          </w:p>
          <w:p>
            <w:pPr>
              <w:spacing w:line="360" w:lineRule="auto"/>
              <w:ind w:firstLine="482"/>
              <w:rPr>
                <w:b/>
                <w:color w:val="auto"/>
                <w:highlight w:val="none"/>
              </w:rPr>
            </w:pPr>
            <w:r>
              <w:rPr>
                <w:rFonts w:hint="eastAsia"/>
                <w:b/>
                <w:color w:val="auto"/>
                <w:highlight w:val="none"/>
              </w:rPr>
              <w:t>（4）</w:t>
            </w:r>
            <w:r>
              <w:rPr>
                <w:b/>
                <w:color w:val="auto"/>
                <w:highlight w:val="none"/>
              </w:rPr>
              <w:t>生态环境现状</w:t>
            </w:r>
          </w:p>
          <w:p>
            <w:pPr>
              <w:pStyle w:val="36"/>
              <w:spacing w:line="360" w:lineRule="auto"/>
              <w:ind w:firstLine="464"/>
              <w:rPr>
                <w:color w:val="auto"/>
                <w:highlight w:val="none"/>
              </w:rPr>
            </w:pPr>
            <w:r>
              <w:rPr>
                <w:rFonts w:ascii="Times New Roman" w:hAnsi="Times New Roman"/>
                <w:color w:val="auto"/>
                <w:highlight w:val="none"/>
              </w:rPr>
              <w:t>本项目位于</w:t>
            </w:r>
            <w:r>
              <w:rPr>
                <w:rFonts w:hint="eastAsia" w:ascii="Times New Roman" w:hAnsi="Times New Roman"/>
                <w:color w:val="auto"/>
                <w:kern w:val="0"/>
                <w:szCs w:val="21"/>
                <w:highlight w:val="none"/>
              </w:rPr>
              <w:t>湖南省永州市祁阳县潘市镇</w:t>
            </w:r>
            <w:r>
              <w:rPr>
                <w:rFonts w:hint="eastAsia"/>
                <w:color w:val="FF0000"/>
                <w:kern w:val="0"/>
                <w:szCs w:val="21"/>
                <w:highlight w:val="none"/>
                <w:u w:val="single"/>
                <w:lang w:eastAsia="zh-CN"/>
              </w:rPr>
              <w:t>董家埠村</w:t>
            </w:r>
            <w:r>
              <w:rPr>
                <w:rFonts w:hint="eastAsia"/>
                <w:color w:val="auto"/>
                <w:kern w:val="0"/>
                <w:szCs w:val="21"/>
                <w:highlight w:val="none"/>
              </w:rPr>
              <w:t>泗山塘与庙门前之间</w:t>
            </w:r>
            <w:r>
              <w:rPr>
                <w:rFonts w:ascii="Times New Roman" w:hAnsi="Times New Roman"/>
                <w:color w:val="auto"/>
                <w:highlight w:val="none"/>
              </w:rPr>
              <w:t>，</w:t>
            </w:r>
            <w:r>
              <w:rPr>
                <w:rFonts w:ascii="Times New Roman" w:hAnsi="Times New Roman"/>
                <w:color w:val="auto"/>
                <w:highlight w:val="none"/>
                <w:lang w:val="zh-CN"/>
              </w:rPr>
              <w:t>所在区域土地开发利用程度较高。由于受人类活动干扰较频繁，植被以人工植被为主，地表覆盖物以荒地、草地为主，根据现场实地调查和收集的相关资料，评价范围未发现国家重点保护野生植物和古木大树分布，</w:t>
            </w:r>
            <w:r>
              <w:rPr>
                <w:rFonts w:ascii="Times New Roman" w:hAnsi="Times New Roman"/>
                <w:color w:val="auto"/>
                <w:highlight w:val="none"/>
              </w:rPr>
              <w:t>区域内存在鸟类以及青蛙、鼠类等小型动物，不存在国家级或省级保护动物。</w:t>
            </w:r>
          </w:p>
          <w:p>
            <w:pPr>
              <w:spacing w:line="360" w:lineRule="auto"/>
              <w:ind w:firstLine="482"/>
              <w:rPr>
                <w:b/>
                <w:color w:val="auto"/>
                <w:szCs w:val="21"/>
                <w:highlight w:val="none"/>
              </w:rPr>
            </w:pPr>
            <w:r>
              <w:rPr>
                <w:rFonts w:hint="eastAsia"/>
                <w:b/>
                <w:color w:val="auto"/>
                <w:szCs w:val="21"/>
                <w:highlight w:val="none"/>
              </w:rPr>
              <w:t>3、环境影响分析结论</w:t>
            </w:r>
          </w:p>
          <w:p>
            <w:pPr>
              <w:spacing w:line="360" w:lineRule="auto"/>
              <w:ind w:firstLine="482"/>
              <w:rPr>
                <w:b/>
                <w:bCs/>
                <w:color w:val="auto"/>
                <w:szCs w:val="21"/>
                <w:highlight w:val="none"/>
              </w:rPr>
            </w:pPr>
            <w:r>
              <w:rPr>
                <w:rFonts w:hint="eastAsia"/>
                <w:b/>
                <w:bCs/>
                <w:color w:val="auto"/>
                <w:szCs w:val="21"/>
                <w:highlight w:val="none"/>
              </w:rPr>
              <w:t>3.1、施工期环境影响分析结论</w:t>
            </w:r>
          </w:p>
          <w:p>
            <w:pPr>
              <w:spacing w:line="360" w:lineRule="auto"/>
              <w:rPr>
                <w:color w:val="auto"/>
                <w:highlight w:val="none"/>
              </w:rPr>
            </w:pPr>
            <w:r>
              <w:rPr>
                <w:rFonts w:hint="eastAsia"/>
                <w:color w:val="auto"/>
                <w:highlight w:val="none"/>
              </w:rPr>
              <w:t>项目施工期的环境影响主要是开挖、平整时产生的扬尘、机械施工设备噪声、施工废水、建筑垃圾等对环境空气、水环境和声环境的影响。建设方严格管理并采取本报告提出的环境保护措施，对施工期环境影响较小。</w:t>
            </w:r>
          </w:p>
          <w:p>
            <w:pPr>
              <w:spacing w:line="360" w:lineRule="auto"/>
              <w:ind w:firstLine="482"/>
              <w:rPr>
                <w:b/>
                <w:bCs/>
                <w:color w:val="auto"/>
                <w:szCs w:val="21"/>
                <w:highlight w:val="none"/>
              </w:rPr>
            </w:pPr>
            <w:r>
              <w:rPr>
                <w:rFonts w:hint="eastAsia"/>
                <w:b/>
                <w:bCs/>
                <w:color w:val="auto"/>
                <w:szCs w:val="21"/>
                <w:highlight w:val="none"/>
              </w:rPr>
              <w:t>3.2营运期环境影响分析结论</w:t>
            </w:r>
          </w:p>
          <w:p>
            <w:pPr>
              <w:widowControl/>
              <w:spacing w:line="360" w:lineRule="auto"/>
              <w:ind w:firstLine="590" w:firstLineChars="245"/>
              <w:rPr>
                <w:b/>
                <w:bCs/>
                <w:color w:val="auto"/>
                <w:highlight w:val="none"/>
              </w:rPr>
            </w:pPr>
            <w:r>
              <w:rPr>
                <w:rFonts w:hint="eastAsia"/>
                <w:b/>
                <w:bCs/>
                <w:color w:val="auto"/>
                <w:highlight w:val="none"/>
              </w:rPr>
              <w:t>（1）大气环境影响分析结论</w:t>
            </w:r>
          </w:p>
          <w:p>
            <w:pPr>
              <w:pStyle w:val="45"/>
              <w:spacing w:line="360" w:lineRule="auto"/>
              <w:ind w:firstLine="480"/>
              <w:jc w:val="both"/>
              <w:rPr>
                <w:color w:val="auto"/>
                <w:highlight w:val="none"/>
              </w:rPr>
            </w:pPr>
            <w:r>
              <w:rPr>
                <w:rFonts w:hint="eastAsia"/>
                <w:color w:val="auto"/>
                <w:highlight w:val="none"/>
                <w:lang w:val="en-GB"/>
              </w:rPr>
              <w:t>二氧化氯泄漏时，</w:t>
            </w:r>
            <w:r>
              <w:rPr>
                <w:color w:val="auto"/>
                <w:highlight w:val="none"/>
              </w:rPr>
              <w:t>加氯加药间设置了漏氯报警器和快速冲洗装置</w:t>
            </w:r>
            <w:r>
              <w:rPr>
                <w:rFonts w:hint="eastAsia"/>
                <w:color w:val="auto"/>
                <w:highlight w:val="none"/>
              </w:rPr>
              <w:t>，</w:t>
            </w:r>
            <w:r>
              <w:rPr>
                <w:color w:val="auto"/>
                <w:highlight w:val="none"/>
              </w:rPr>
              <w:t>一旦发生事故性泄漏，漏氯报警系统即会自动报警</w:t>
            </w:r>
            <w:r>
              <w:rPr>
                <w:rFonts w:hint="eastAsia"/>
                <w:color w:val="auto"/>
                <w:highlight w:val="none"/>
              </w:rPr>
              <w:t>，</w:t>
            </w:r>
            <w:r>
              <w:rPr>
                <w:color w:val="auto"/>
                <w:highlight w:val="none"/>
              </w:rPr>
              <w:t>同时漏氯吸收处理装置会自动运行，将泄漏的氯气进行收集和吸收处理。</w:t>
            </w:r>
            <w:r>
              <w:rPr>
                <w:rFonts w:hint="eastAsia" w:ascii="Times New Roman" w:hAnsi="Times New Roman" w:eastAsia="宋体" w:cs="Times New Roman"/>
                <w:color w:val="auto"/>
                <w:szCs w:val="21"/>
                <w:highlight w:val="none"/>
                <w:lang w:val="en-US" w:eastAsia="zh-CN"/>
              </w:rPr>
              <w:t>本项目</w:t>
            </w:r>
            <w:r>
              <w:rPr>
                <w:rFonts w:hint="eastAsia" w:cs="Times New Roman"/>
                <w:color w:val="auto"/>
                <w:szCs w:val="21"/>
                <w:highlight w:val="none"/>
                <w:lang w:val="en-US" w:eastAsia="zh-CN"/>
              </w:rPr>
              <w:t>使用的</w:t>
            </w:r>
            <w:r>
              <w:rPr>
                <w:rFonts w:hint="eastAsia" w:ascii="Times New Roman" w:hAnsi="Times New Roman" w:eastAsia="宋体" w:cs="Times New Roman"/>
                <w:color w:val="auto"/>
                <w:szCs w:val="21"/>
                <w:highlight w:val="none"/>
                <w:lang w:val="en-US" w:eastAsia="zh-CN"/>
              </w:rPr>
              <w:t>盐酸在贮存、使用过程中会挥发无组织排放</w:t>
            </w:r>
            <w:r>
              <w:rPr>
                <w:rFonts w:hint="eastAsia" w:cs="Times New Roman"/>
                <w:color w:val="auto"/>
                <w:szCs w:val="21"/>
                <w:highlight w:val="none"/>
                <w:lang w:val="en-US" w:eastAsia="zh-CN"/>
              </w:rPr>
              <w:t>少量</w:t>
            </w:r>
            <w:r>
              <w:rPr>
                <w:rFonts w:hint="eastAsia" w:ascii="Times New Roman" w:hAnsi="Times New Roman" w:eastAsia="宋体" w:cs="Times New Roman"/>
                <w:color w:val="auto"/>
                <w:szCs w:val="21"/>
                <w:highlight w:val="none"/>
                <w:lang w:val="en-US" w:eastAsia="zh-CN"/>
              </w:rPr>
              <w:t>HCL气体</w:t>
            </w:r>
            <w:r>
              <w:rPr>
                <w:rFonts w:hint="eastAsia" w:cs="Times New Roman"/>
                <w:color w:val="auto"/>
                <w:szCs w:val="21"/>
                <w:highlight w:val="none"/>
                <w:lang w:val="en-US" w:eastAsia="zh-CN"/>
              </w:rPr>
              <w:t>，对周边环境影响较小；</w:t>
            </w:r>
            <w:r>
              <w:rPr>
                <w:rFonts w:hint="eastAsia"/>
                <w:color w:val="auto"/>
                <w:kern w:val="1"/>
                <w:highlight w:val="none"/>
              </w:rPr>
              <w:t>食堂油烟</w:t>
            </w:r>
            <w:r>
              <w:rPr>
                <w:color w:val="auto"/>
                <w:highlight w:val="none"/>
              </w:rPr>
              <w:t>经</w:t>
            </w:r>
            <w:r>
              <w:rPr>
                <w:rFonts w:hint="eastAsia"/>
                <w:color w:val="auto"/>
                <w:highlight w:val="none"/>
              </w:rPr>
              <w:t>油烟净化器</w:t>
            </w:r>
            <w:r>
              <w:rPr>
                <w:color w:val="auto"/>
                <w:highlight w:val="none"/>
              </w:rPr>
              <w:t>处理</w:t>
            </w:r>
            <w:r>
              <w:rPr>
                <w:rFonts w:hint="eastAsia"/>
                <w:color w:val="auto"/>
                <w:highlight w:val="none"/>
              </w:rPr>
              <w:t>达</w:t>
            </w:r>
            <w:r>
              <w:rPr>
                <w:color w:val="auto"/>
                <w:highlight w:val="none"/>
              </w:rPr>
              <w:t>到《饮食业油烟排放标准（试行）》（GB18483-2001）</w:t>
            </w:r>
            <w:r>
              <w:rPr>
                <w:rFonts w:hint="eastAsia"/>
                <w:color w:val="auto"/>
                <w:highlight w:val="none"/>
              </w:rPr>
              <w:t>标准，</w:t>
            </w:r>
            <w:r>
              <w:rPr>
                <w:color w:val="auto"/>
                <w:highlight w:val="none"/>
              </w:rPr>
              <w:t>对周围空气的环境影响较小</w:t>
            </w:r>
            <w:r>
              <w:rPr>
                <w:rFonts w:hint="eastAsia"/>
                <w:color w:val="auto"/>
                <w:highlight w:val="none"/>
              </w:rPr>
              <w:t>。</w:t>
            </w:r>
          </w:p>
          <w:p>
            <w:pPr>
              <w:spacing w:line="360" w:lineRule="auto"/>
              <w:ind w:firstLine="482"/>
              <w:rPr>
                <w:color w:val="auto"/>
                <w:highlight w:val="none"/>
              </w:rPr>
            </w:pPr>
            <w:r>
              <w:rPr>
                <w:b/>
                <w:bCs/>
                <w:color w:val="auto"/>
                <w:highlight w:val="none"/>
              </w:rPr>
              <w:t>（2）水环境影响分析结论</w:t>
            </w:r>
          </w:p>
          <w:p>
            <w:pPr>
              <w:pStyle w:val="45"/>
              <w:spacing w:line="360" w:lineRule="auto"/>
              <w:ind w:firstLine="480"/>
              <w:jc w:val="both"/>
              <w:rPr>
                <w:color w:val="auto"/>
                <w:highlight w:val="none"/>
                <w:lang w:val="en-GB"/>
              </w:rPr>
            </w:pPr>
            <w:r>
              <w:rPr>
                <w:rFonts w:hint="eastAsia"/>
                <w:color w:val="auto"/>
                <w:highlight w:val="none"/>
                <w:lang w:val="en-US" w:eastAsia="zh-CN"/>
              </w:rPr>
              <w:t>化验室废水</w:t>
            </w:r>
            <w:r>
              <w:rPr>
                <w:rFonts w:hint="eastAsia"/>
                <w:color w:val="auto"/>
                <w:highlight w:val="none"/>
                <w:lang w:val="zh-CN" w:eastAsia="zh-CN"/>
              </w:rPr>
              <w:t>经收集后进中和池内采取中和处理法进行处理，用碱中和至pH中性后再排入</w:t>
            </w:r>
            <w:r>
              <w:rPr>
                <w:rFonts w:hint="eastAsia"/>
                <w:color w:val="auto"/>
                <w:highlight w:val="none"/>
                <w:lang w:val="en-US" w:eastAsia="zh-CN"/>
              </w:rPr>
              <w:t>厂区排污管道同生活污水处理，</w:t>
            </w:r>
            <w:r>
              <w:rPr>
                <w:rFonts w:hint="eastAsia"/>
                <w:color w:val="auto"/>
                <w:highlight w:val="none"/>
                <w:lang w:val="en-GB"/>
              </w:rPr>
              <w:t>生活污水经地埋式一体化污水处理设施处理</w:t>
            </w:r>
            <w:r>
              <w:rPr>
                <w:rFonts w:hint="eastAsia"/>
                <w:color w:val="auto"/>
                <w:highlight w:val="none"/>
                <w:lang w:val="en-US" w:eastAsia="zh-CN"/>
              </w:rPr>
              <w:t>达到</w:t>
            </w:r>
            <w:r>
              <w:rPr>
                <w:rFonts w:hint="eastAsia"/>
                <w:color w:val="auto"/>
                <w:highlight w:val="none"/>
                <w:lang w:val="zh-CN"/>
              </w:rPr>
              <w:t>《污水综合排放标准》（GB8978-1996）表4中一级标准后</w:t>
            </w:r>
            <w:r>
              <w:rPr>
                <w:rFonts w:hint="eastAsia"/>
                <w:color w:val="auto"/>
                <w:highlight w:val="none"/>
                <w:lang w:val="en-GB"/>
              </w:rPr>
              <w:t>用于周边林地、农田、菜地施肥及厂区绿化；反冲洗水经排水池收集后送至机械搅拌池回用，不外排；排泥废水排入澄清池，上清液回流至原水，污泥排入污泥浓缩池，上清液回流至澄清池。</w:t>
            </w:r>
          </w:p>
          <w:p>
            <w:pPr>
              <w:spacing w:line="360" w:lineRule="auto"/>
              <w:ind w:firstLine="482"/>
              <w:rPr>
                <w:b/>
                <w:bCs/>
                <w:color w:val="auto"/>
                <w:highlight w:val="none"/>
              </w:rPr>
            </w:pPr>
            <w:r>
              <w:rPr>
                <w:b/>
                <w:bCs/>
                <w:color w:val="auto"/>
                <w:highlight w:val="none"/>
              </w:rPr>
              <w:t>（3）噪声环境影响分析结论</w:t>
            </w:r>
          </w:p>
          <w:p>
            <w:pPr>
              <w:pStyle w:val="45"/>
              <w:spacing w:line="360" w:lineRule="auto"/>
              <w:ind w:firstLine="480"/>
              <w:jc w:val="both"/>
              <w:rPr>
                <w:color w:val="auto"/>
                <w:highlight w:val="none"/>
                <w:lang w:val="en-GB"/>
              </w:rPr>
            </w:pPr>
            <w:r>
              <w:rPr>
                <w:rFonts w:hint="eastAsia"/>
                <w:color w:val="auto"/>
                <w:highlight w:val="none"/>
                <w:lang w:val="en-GB"/>
              </w:rPr>
              <w:t>本项目取水泵和净水厂营运期噪声源主要为轴流风机、回转式格栅除污机、搅拌机、次氯酸钠发生器、水泵、潜水排污泵等设备运行时产生的机械噪声，通过选用低噪声设备，厂区设备合理布局，设备隔音、减振、减噪等措施后，</w:t>
            </w:r>
            <w:r>
              <w:rPr>
                <w:color w:val="auto"/>
                <w:highlight w:val="none"/>
                <w:lang w:val="en-GB"/>
              </w:rPr>
              <w:t>本项目营运期东、南、西、北、面厂界噪声可达到《工业企业厂界环境噪声排放标准》（GB12348-2008）中的</w:t>
            </w:r>
            <w:r>
              <w:rPr>
                <w:rFonts w:hint="eastAsia"/>
                <w:color w:val="auto"/>
                <w:highlight w:val="none"/>
              </w:rPr>
              <w:t>3</w:t>
            </w:r>
            <w:r>
              <w:rPr>
                <w:color w:val="auto"/>
                <w:highlight w:val="none"/>
                <w:lang w:val="en-GB"/>
              </w:rPr>
              <w:t>类标准，对周围环境影响较小。</w:t>
            </w:r>
          </w:p>
          <w:p>
            <w:pPr>
              <w:spacing w:line="360" w:lineRule="auto"/>
              <w:ind w:firstLine="482"/>
              <w:rPr>
                <w:b/>
                <w:bCs/>
                <w:color w:val="auto"/>
                <w:highlight w:val="none"/>
              </w:rPr>
            </w:pPr>
            <w:r>
              <w:rPr>
                <w:rFonts w:hint="eastAsia"/>
                <w:b/>
                <w:bCs/>
                <w:color w:val="auto"/>
                <w:highlight w:val="none"/>
              </w:rPr>
              <w:t>（4）</w:t>
            </w:r>
            <w:r>
              <w:rPr>
                <w:b/>
                <w:bCs/>
                <w:color w:val="auto"/>
                <w:highlight w:val="none"/>
              </w:rPr>
              <w:t>固体废物环境影响分析结论</w:t>
            </w:r>
          </w:p>
          <w:p>
            <w:pPr>
              <w:pStyle w:val="2"/>
              <w:spacing w:line="360" w:lineRule="auto"/>
              <w:ind w:firstLine="480" w:firstLineChars="200"/>
              <w:rPr>
                <w:b/>
                <w:bCs/>
                <w:color w:val="auto"/>
                <w:highlight w:val="none"/>
              </w:rPr>
            </w:pPr>
            <w:r>
              <w:rPr>
                <w:rFonts w:hint="eastAsia"/>
                <w:color w:val="auto"/>
                <w:szCs w:val="21"/>
                <w:highlight w:val="none"/>
              </w:rPr>
              <w:t>本项目水厂污泥（干泥）产生量为9.035t/d（3297.775t/a），污泥主要是泥沙性质的物质，不具有危险特性，考虑目前祁阳垃圾填埋场已满负荷，祁阳规划建设祁阳县污泥集中处置中心，因此，近期：污泥经脱水后外运至祁阳海螺水泥厂同生活垃圾焚烧处理，远期：污泥经脱水后外运至祁阳县污泥集中处置中心处置。</w:t>
            </w:r>
            <w:r>
              <w:rPr>
                <w:rFonts w:hint="eastAsia"/>
                <w:color w:val="auto"/>
                <w:highlight w:val="none"/>
              </w:rPr>
              <w:t>取水泵站值班人员和净水厂员工生活垃圾产生量为15kg/d（5.475t/a），经定期清理，委托当地乡镇环卫部门进行清运处理。</w:t>
            </w:r>
            <w:r>
              <w:rPr>
                <w:rFonts w:hint="eastAsia"/>
                <w:color w:val="auto"/>
                <w:highlight w:val="none"/>
                <w:lang w:val="en-US" w:eastAsia="zh-CN"/>
              </w:rPr>
              <w:t>水厂</w:t>
            </w:r>
            <w:r>
              <w:rPr>
                <w:rFonts w:hint="eastAsia"/>
                <w:color w:val="auto"/>
                <w:highlight w:val="none"/>
              </w:rPr>
              <w:t>水泵在运行过程中会产生0.005t/a废润滑油，</w:t>
            </w:r>
            <w:r>
              <w:rPr>
                <w:color w:val="auto"/>
                <w:highlight w:val="none"/>
              </w:rPr>
              <w:t xml:space="preserve">根据查询《国家危险废物名录》（2016年），废油属于HW08废矿物油与含矿物油废物，危规号为900-214-08，经专门的收集桶收集后放置在危废暂存间中暂存，须按危险废物管理有关规定送至有资质的单位进行无害化处理。 </w:t>
            </w:r>
          </w:p>
          <w:p>
            <w:pPr>
              <w:spacing w:line="360" w:lineRule="auto"/>
              <w:ind w:firstLine="482"/>
              <w:rPr>
                <w:b/>
                <w:bCs/>
                <w:color w:val="auto"/>
                <w:highlight w:val="none"/>
              </w:rPr>
            </w:pPr>
            <w:r>
              <w:rPr>
                <w:rFonts w:hint="eastAsia"/>
                <w:b/>
                <w:bCs/>
                <w:color w:val="auto"/>
                <w:highlight w:val="none"/>
              </w:rPr>
              <w:t>4、选址合理性分析</w:t>
            </w:r>
          </w:p>
          <w:p>
            <w:pPr>
              <w:tabs>
                <w:tab w:val="left" w:pos="6687"/>
              </w:tabs>
              <w:spacing w:line="360" w:lineRule="auto"/>
              <w:rPr>
                <w:color w:val="auto"/>
                <w:highlight w:val="none"/>
                <w:lang w:val="zh-CN"/>
              </w:rPr>
            </w:pPr>
            <w:r>
              <w:rPr>
                <w:rFonts w:hint="eastAsia"/>
                <w:color w:val="auto"/>
                <w:highlight w:val="none"/>
                <w:lang w:val="zh-CN"/>
              </w:rPr>
              <w:t>①水源合理性分析</w:t>
            </w:r>
          </w:p>
          <w:p>
            <w:pPr>
              <w:tabs>
                <w:tab w:val="left" w:pos="6687"/>
              </w:tabs>
              <w:spacing w:line="360" w:lineRule="auto"/>
              <w:rPr>
                <w:color w:val="auto"/>
                <w:highlight w:val="none"/>
                <w:lang w:val="zh-CN"/>
              </w:rPr>
            </w:pPr>
            <w:r>
              <w:rPr>
                <w:rFonts w:hint="eastAsia"/>
                <w:color w:val="auto"/>
                <w:highlight w:val="none"/>
                <w:lang w:val="zh-CN"/>
              </w:rPr>
              <w:t>本项目取水水源为湘江，取水口选址为湘江北岸的</w:t>
            </w:r>
            <w:r>
              <w:rPr>
                <w:rFonts w:hint="eastAsia"/>
                <w:color w:val="auto"/>
                <w:highlight w:val="none"/>
              </w:rPr>
              <w:t>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rFonts w:hint="eastAsia"/>
                <w:color w:val="auto"/>
                <w:highlight w:val="none"/>
                <w:lang w:val="zh-CN"/>
              </w:rPr>
              <w:t>，</w:t>
            </w:r>
            <w:r>
              <w:rPr>
                <w:rFonts w:hint="eastAsia"/>
                <w:color w:val="FF0000"/>
                <w:highlight w:val="none"/>
                <w:u w:val="single"/>
                <w:lang w:val="zh-CN"/>
              </w:rPr>
              <w:t>根据水源水质检测，</w:t>
            </w:r>
            <w:r>
              <w:rPr>
                <w:rFonts w:hint="eastAsia"/>
                <w:color w:val="FF0000"/>
                <w:highlight w:val="none"/>
                <w:u w:val="single"/>
              </w:rPr>
              <w:t>本项目水源水质指标基本项目均符合国家《生活饮用水水源水质标准》（CJ3020-93）的二级水源标准</w:t>
            </w:r>
            <w:r>
              <w:rPr>
                <w:rFonts w:hint="eastAsia"/>
                <w:color w:val="FF0000"/>
                <w:highlight w:val="none"/>
                <w:u w:val="single"/>
                <w:lang w:eastAsia="zh-CN"/>
              </w:rPr>
              <w:t>，</w:t>
            </w:r>
            <w:r>
              <w:rPr>
                <w:rFonts w:hint="eastAsia"/>
                <w:color w:val="FF0000"/>
                <w:highlight w:val="none"/>
                <w:u w:val="single"/>
                <w:lang w:val="zh-CN"/>
              </w:rPr>
              <w:t>项目取水规模为61000m</w:t>
            </w:r>
            <w:r>
              <w:rPr>
                <w:rFonts w:hint="eastAsia"/>
                <w:color w:val="FF0000"/>
                <w:highlight w:val="none"/>
                <w:u w:val="single"/>
                <w:vertAlign w:val="superscript"/>
                <w:lang w:val="zh-CN"/>
              </w:rPr>
              <w:t>3</w:t>
            </w:r>
            <w:r>
              <w:rPr>
                <w:rFonts w:hint="eastAsia"/>
                <w:color w:val="FF0000"/>
                <w:highlight w:val="none"/>
                <w:u w:val="single"/>
                <w:lang w:val="zh-CN"/>
              </w:rPr>
              <w:t>/d，</w:t>
            </w:r>
            <w:r>
              <w:rPr>
                <w:rFonts w:hint="eastAsia"/>
                <w:color w:val="FF0000"/>
                <w:highlight w:val="none"/>
                <w:u w:val="single"/>
                <w:lang w:eastAsia="zh-CN"/>
              </w:rPr>
              <w:t>取水</w:t>
            </w:r>
            <w:r>
              <w:rPr>
                <w:rFonts w:hint="eastAsia"/>
                <w:color w:val="FF0000"/>
                <w:highlight w:val="none"/>
                <w:u w:val="single"/>
              </w:rPr>
              <w:t>点断面以上控制流域面积23297 km</w:t>
            </w:r>
            <w:r>
              <w:rPr>
                <w:rFonts w:hint="eastAsia"/>
                <w:color w:val="FF0000"/>
                <w:highlight w:val="none"/>
                <w:u w:val="single"/>
                <w:vertAlign w:val="superscript"/>
              </w:rPr>
              <w:t>2</w:t>
            </w:r>
            <w:r>
              <w:rPr>
                <w:rFonts w:hint="eastAsia"/>
                <w:color w:val="FF0000"/>
                <w:highlight w:val="none"/>
                <w:u w:val="single"/>
              </w:rPr>
              <w:t>，多年平均流量693.7 m</w:t>
            </w:r>
            <w:r>
              <w:rPr>
                <w:rFonts w:hint="eastAsia"/>
                <w:color w:val="FF0000"/>
                <w:highlight w:val="none"/>
                <w:u w:val="single"/>
                <w:vertAlign w:val="superscript"/>
              </w:rPr>
              <w:t>3</w:t>
            </w:r>
            <w:r>
              <w:rPr>
                <w:rFonts w:hint="eastAsia"/>
                <w:color w:val="FF0000"/>
                <w:highlight w:val="none"/>
                <w:u w:val="single"/>
              </w:rPr>
              <w:t>/s，多年平均径流量218.8亿m</w:t>
            </w:r>
            <w:r>
              <w:rPr>
                <w:rFonts w:hint="eastAsia"/>
                <w:color w:val="FF0000"/>
                <w:highlight w:val="none"/>
                <w:u w:val="single"/>
                <w:vertAlign w:val="superscript"/>
              </w:rPr>
              <w:t>3</w:t>
            </w:r>
            <w:r>
              <w:rPr>
                <w:rFonts w:hint="eastAsia"/>
                <w:color w:val="FF0000"/>
                <w:highlight w:val="none"/>
                <w:u w:val="single"/>
              </w:rPr>
              <w:t>。设计供水保证率为95%，取水泵房处95%保证率下年可供流量为356.6m</w:t>
            </w:r>
            <w:r>
              <w:rPr>
                <w:rFonts w:hint="eastAsia"/>
                <w:color w:val="FF0000"/>
                <w:highlight w:val="none"/>
                <w:u w:val="single"/>
                <w:vertAlign w:val="superscript"/>
              </w:rPr>
              <w:t>3</w:t>
            </w:r>
            <w:r>
              <w:rPr>
                <w:rFonts w:hint="eastAsia"/>
                <w:color w:val="FF0000"/>
                <w:highlight w:val="none"/>
                <w:u w:val="single"/>
              </w:rPr>
              <w:t>/s，年可供水量为112.5亿m</w:t>
            </w:r>
            <w:r>
              <w:rPr>
                <w:rFonts w:hint="eastAsia"/>
                <w:color w:val="FF0000"/>
                <w:highlight w:val="none"/>
                <w:u w:val="single"/>
                <w:vertAlign w:val="superscript"/>
              </w:rPr>
              <w:t>3</w:t>
            </w:r>
            <w:r>
              <w:rPr>
                <w:rFonts w:hint="eastAsia"/>
                <w:color w:val="FF0000"/>
                <w:highlight w:val="none"/>
                <w:u w:val="single"/>
                <w:lang w:eastAsia="zh-CN"/>
              </w:rPr>
              <w:t>。</w:t>
            </w:r>
            <w:r>
              <w:rPr>
                <w:rFonts w:hint="eastAsia"/>
                <w:color w:val="FF0000"/>
                <w:highlight w:val="none"/>
                <w:u w:val="single"/>
                <w:lang w:val="zh-CN"/>
              </w:rPr>
              <w:t>湘江水质和水量能满足项目取水需求，项目取水量相对湘江水量较小</w:t>
            </w:r>
            <w:r>
              <w:rPr>
                <w:rFonts w:hint="eastAsia"/>
                <w:color w:val="FF0000"/>
                <w:highlight w:val="none"/>
                <w:lang w:val="zh-CN"/>
              </w:rPr>
              <w:t>，对</w:t>
            </w:r>
            <w:r>
              <w:rPr>
                <w:rFonts w:hint="eastAsia"/>
                <w:color w:val="auto"/>
                <w:highlight w:val="none"/>
                <w:lang w:val="zh-CN"/>
              </w:rPr>
              <w:t>湘江影响较小，因此项目水源选址合理。</w:t>
            </w:r>
          </w:p>
          <w:p>
            <w:pPr>
              <w:tabs>
                <w:tab w:val="left" w:pos="6687"/>
              </w:tabs>
              <w:spacing w:line="360" w:lineRule="auto"/>
              <w:rPr>
                <w:color w:val="auto"/>
                <w:highlight w:val="none"/>
                <w:lang w:val="zh-CN"/>
              </w:rPr>
            </w:pPr>
            <w:r>
              <w:rPr>
                <w:rFonts w:hint="eastAsia"/>
                <w:color w:val="auto"/>
                <w:highlight w:val="none"/>
                <w:lang w:val="zh-CN"/>
              </w:rPr>
              <w:t>②选址合理性分析</w:t>
            </w:r>
          </w:p>
          <w:p>
            <w:pPr>
              <w:tabs>
                <w:tab w:val="left" w:pos="6687"/>
              </w:tabs>
              <w:spacing w:line="360" w:lineRule="auto"/>
              <w:rPr>
                <w:color w:val="auto"/>
                <w:highlight w:val="none"/>
                <w:lang w:val="zh-CN"/>
              </w:rPr>
            </w:pPr>
            <w:r>
              <w:rPr>
                <w:rFonts w:hint="eastAsia"/>
                <w:color w:val="auto"/>
                <w:highlight w:val="none"/>
                <w:lang w:val="zh-CN"/>
              </w:rPr>
              <w:t>项目净水厂位于</w:t>
            </w:r>
            <w:r>
              <w:rPr>
                <w:rFonts w:hint="eastAsia"/>
                <w:color w:val="auto"/>
                <w:highlight w:val="none"/>
              </w:rPr>
              <w:t>祁阳县潘市镇</w:t>
            </w:r>
            <w:r>
              <w:rPr>
                <w:rFonts w:hint="eastAsia"/>
                <w:color w:val="FF0000"/>
                <w:kern w:val="0"/>
                <w:szCs w:val="21"/>
                <w:highlight w:val="none"/>
                <w:u w:val="single"/>
                <w:lang w:eastAsia="zh-CN"/>
              </w:rPr>
              <w:t>董家埠村</w:t>
            </w:r>
            <w:r>
              <w:rPr>
                <w:rFonts w:hint="eastAsia"/>
                <w:color w:val="auto"/>
                <w:highlight w:val="none"/>
              </w:rPr>
              <w:t>泗山塘与庙门前之间</w:t>
            </w:r>
            <w:r>
              <w:rPr>
                <w:rFonts w:hint="eastAsia"/>
                <w:color w:val="auto"/>
                <w:highlight w:val="none"/>
                <w:lang w:val="zh-CN"/>
              </w:rPr>
              <w:t>，建厂山体顶部面积较大，方便水厂布置。此地距离水源地湘江较近，约</w:t>
            </w:r>
            <w:r>
              <w:rPr>
                <w:rFonts w:hint="eastAsia"/>
                <w:color w:val="auto"/>
                <w:highlight w:val="none"/>
              </w:rPr>
              <w:t>10</w:t>
            </w:r>
            <w:r>
              <w:rPr>
                <w:rFonts w:hint="eastAsia"/>
                <w:color w:val="auto"/>
                <w:highlight w:val="none"/>
                <w:lang w:val="zh-CN"/>
              </w:rPr>
              <w:t>0m，方便取水。而且此位置的高程适中，比大部分供水区域的地势高，能实现尽可能大范围内重力供水、减少加压供水。水厂位置经自建出厂道路连接乡道，交通便利。根据《建筑抗震设计规范》（GB50011-2001），此位置土的类型为中软土，覆盖层厚度薄，属Ⅱ类建筑场地，为可进行建设的一般场地。</w:t>
            </w:r>
          </w:p>
          <w:p>
            <w:pPr>
              <w:spacing w:line="360" w:lineRule="auto"/>
              <w:rPr>
                <w:color w:val="auto"/>
                <w:highlight w:val="none"/>
                <w:lang w:val="zh-CN"/>
              </w:rPr>
            </w:pPr>
            <w:r>
              <w:rPr>
                <w:rFonts w:hint="eastAsia"/>
                <w:color w:val="auto"/>
                <w:highlight w:val="none"/>
                <w:lang w:val="zh-CN"/>
              </w:rPr>
              <w:t>项目用地</w:t>
            </w:r>
            <w:r>
              <w:rPr>
                <w:rFonts w:hint="eastAsia"/>
                <w:color w:val="FF0000"/>
                <w:highlight w:val="none"/>
                <w:u w:val="single"/>
              </w:rPr>
              <w:t>用</w:t>
            </w:r>
            <w:r>
              <w:rPr>
                <w:color w:val="FF0000"/>
                <w:highlight w:val="none"/>
                <w:u w:val="single"/>
              </w:rPr>
              <w:t>地类型</w:t>
            </w:r>
            <w:r>
              <w:rPr>
                <w:rFonts w:hint="eastAsia"/>
                <w:color w:val="FF0000"/>
                <w:highlight w:val="none"/>
                <w:u w:val="single"/>
              </w:rPr>
              <w:t>主要</w:t>
            </w:r>
            <w:r>
              <w:rPr>
                <w:color w:val="FF0000"/>
                <w:highlight w:val="none"/>
                <w:u w:val="single"/>
              </w:rPr>
              <w:t>为</w:t>
            </w:r>
            <w:r>
              <w:rPr>
                <w:rFonts w:hint="eastAsia"/>
                <w:color w:val="FF0000"/>
                <w:highlight w:val="none"/>
                <w:u w:val="single"/>
                <w:lang w:eastAsia="zh-CN"/>
              </w:rPr>
              <w:t>园地、林地（非公益林）、其他农用地、其他土地，不占用基本农田</w:t>
            </w:r>
            <w:r>
              <w:rPr>
                <w:rFonts w:hint="eastAsia"/>
                <w:color w:val="auto"/>
                <w:highlight w:val="none"/>
                <w:lang w:val="zh-CN"/>
              </w:rPr>
              <w:t>，厂址周边无自然保护区、文物景观等环境敏感点，且项目已取得</w:t>
            </w:r>
            <w:r>
              <w:rPr>
                <w:rFonts w:hint="eastAsia"/>
                <w:color w:val="auto"/>
                <w:highlight w:val="none"/>
              </w:rPr>
              <w:t>祁阳县自然资源局关于《祁阳县城乡一体化二期工程项目用地审查意见（祁自然资用字【2019】甲01号）》</w:t>
            </w:r>
            <w:r>
              <w:rPr>
                <w:rFonts w:hint="eastAsia"/>
                <w:color w:val="auto"/>
                <w:highlight w:val="none"/>
                <w:lang w:eastAsia="zh-CN"/>
              </w:rPr>
              <w:t>和</w:t>
            </w:r>
            <w:r>
              <w:rPr>
                <w:rFonts w:hint="eastAsia"/>
                <w:color w:val="FF0000"/>
                <w:highlight w:val="none"/>
                <w:u w:val="single"/>
                <w:lang w:val="en-US" w:eastAsia="zh-CN"/>
              </w:rPr>
              <w:t xml:space="preserve"> 祁阳县自然资源局、 祁阳县发展和改革局、永州市生态环境局祁阳分局、祁阳县林业局、祁阳县农业农村局、祁阳县住房和城乡建设局、祁阳县水利局关于《祁阳县城乡供水一体化(二期)工程项目涉及潘市镇土地利用总体规划（2006-2020 年）（2016年修订版）修改方案》的审查意见</w:t>
            </w:r>
            <w:r>
              <w:rPr>
                <w:rFonts w:hint="eastAsia"/>
                <w:color w:val="auto"/>
                <w:highlight w:val="none"/>
              </w:rPr>
              <w:t>，</w:t>
            </w:r>
            <w:r>
              <w:rPr>
                <w:rFonts w:hint="eastAsia"/>
                <w:color w:val="auto"/>
                <w:highlight w:val="none"/>
                <w:lang w:val="zh-CN"/>
              </w:rPr>
              <w:t>详见附件，本项目建成后，废气、废水、噪声和固废带给周围环境一定影响，但采取相应的环保措施后，环境的影响程度降到最低程度，满足国家规定的环保标准要求。综上可知，净水厂的选址合理。</w:t>
            </w:r>
          </w:p>
          <w:p>
            <w:pPr>
              <w:tabs>
                <w:tab w:val="left" w:pos="6687"/>
              </w:tabs>
              <w:spacing w:line="360" w:lineRule="auto"/>
              <w:rPr>
                <w:color w:val="auto"/>
                <w:highlight w:val="none"/>
                <w:lang w:val="zh-CN"/>
              </w:rPr>
            </w:pPr>
            <w:r>
              <w:rPr>
                <w:rFonts w:hint="eastAsia"/>
                <w:color w:val="auto"/>
                <w:highlight w:val="none"/>
                <w:lang w:val="zh-CN"/>
              </w:rPr>
              <w:t>总体而言，拟建项目选址具有良好的区位优势，在落实本评价提出的环境保护措施的前提下，本项目建设对周边环境影响较小。因此，从环保的角度考虑，拟建项目的选址是合理的。</w:t>
            </w:r>
          </w:p>
          <w:p>
            <w:pPr>
              <w:spacing w:line="360" w:lineRule="auto"/>
              <w:ind w:firstLine="482"/>
              <w:jc w:val="left"/>
              <w:rPr>
                <w:b/>
                <w:bCs/>
                <w:color w:val="auto"/>
                <w:highlight w:val="none"/>
              </w:rPr>
            </w:pPr>
            <w:r>
              <w:rPr>
                <w:rFonts w:hint="eastAsia"/>
                <w:b/>
                <w:bCs/>
                <w:color w:val="auto"/>
                <w:highlight w:val="none"/>
              </w:rPr>
              <w:t>5、产业政策可行性分析</w:t>
            </w:r>
          </w:p>
          <w:p>
            <w:pPr>
              <w:tabs>
                <w:tab w:val="left" w:pos="6687"/>
              </w:tabs>
              <w:spacing w:line="360" w:lineRule="auto"/>
              <w:rPr>
                <w:color w:val="auto"/>
                <w:highlight w:val="none"/>
                <w:lang w:val="zh-CN"/>
              </w:rPr>
            </w:pPr>
            <w:r>
              <w:rPr>
                <w:rFonts w:hint="eastAsia"/>
                <w:color w:val="auto"/>
                <w:highlight w:val="none"/>
                <w:lang w:val="zh-CN"/>
              </w:rPr>
              <w:t>根据查询《产业结构调整指导目录（201</w:t>
            </w:r>
            <w:r>
              <w:rPr>
                <w:rFonts w:hint="eastAsia"/>
                <w:color w:val="auto"/>
                <w:highlight w:val="none"/>
              </w:rPr>
              <w:t>9</w:t>
            </w:r>
            <w:r>
              <w:rPr>
                <w:rFonts w:hint="eastAsia"/>
                <w:color w:val="auto"/>
                <w:highlight w:val="none"/>
                <w:lang w:val="zh-CN"/>
              </w:rPr>
              <w:t>年本）》，</w:t>
            </w:r>
            <w:r>
              <w:rPr>
                <w:rFonts w:hint="eastAsia"/>
                <w:color w:val="auto"/>
                <w:highlight w:val="none"/>
              </w:rPr>
              <w:t>祁阳县水利局建设的祁阳县城乡供水一体化（二期）工程</w:t>
            </w:r>
            <w:r>
              <w:rPr>
                <w:rFonts w:hint="eastAsia"/>
                <w:color w:val="auto"/>
                <w:highlight w:val="none"/>
                <w:lang w:val="zh-CN"/>
              </w:rPr>
              <w:t>属于鼓励类中二十二、城镇基础设施中</w:t>
            </w:r>
            <w:r>
              <w:rPr>
                <w:rFonts w:hint="eastAsia"/>
                <w:color w:val="auto"/>
                <w:highlight w:val="none"/>
              </w:rPr>
              <w:t>7、城镇安全饮水工程、供水水源及净水厂工程和9、城镇供排水管网工程，</w:t>
            </w:r>
            <w:r>
              <w:rPr>
                <w:color w:val="auto"/>
                <w:highlight w:val="none"/>
                <w:lang w:val="zh-CN"/>
              </w:rPr>
              <w:t>因此，本项目符合国家现行产业政策要求。</w:t>
            </w:r>
          </w:p>
          <w:p>
            <w:pPr>
              <w:spacing w:line="360" w:lineRule="auto"/>
              <w:ind w:firstLine="482"/>
              <w:jc w:val="left"/>
              <w:rPr>
                <w:b/>
                <w:bCs/>
                <w:color w:val="auto"/>
                <w:highlight w:val="none"/>
              </w:rPr>
            </w:pPr>
            <w:r>
              <w:rPr>
                <w:rFonts w:hint="eastAsia"/>
                <w:b/>
                <w:bCs/>
                <w:color w:val="auto"/>
                <w:highlight w:val="none"/>
              </w:rPr>
              <w:t>6、本项目与生态保护红线符合性分析</w:t>
            </w:r>
          </w:p>
          <w:p>
            <w:pPr>
              <w:spacing w:line="360" w:lineRule="auto"/>
              <w:rPr>
                <w:color w:val="auto"/>
                <w:highlight w:val="none"/>
                <w:lang w:val="zh-CN"/>
              </w:rPr>
            </w:pPr>
            <w:r>
              <w:rPr>
                <w:rFonts w:hint="eastAsia"/>
                <w:color w:val="auto"/>
                <w:highlight w:val="none"/>
                <w:lang w:val="zh-CN"/>
              </w:rPr>
              <w:t>本项目位于</w:t>
            </w:r>
            <w:r>
              <w:rPr>
                <w:rFonts w:hint="eastAsia"/>
                <w:color w:val="auto"/>
                <w:highlight w:val="none"/>
              </w:rPr>
              <w:t>祁阳县潘市镇</w:t>
            </w:r>
            <w:r>
              <w:rPr>
                <w:rFonts w:hint="eastAsia"/>
                <w:color w:val="FF0000"/>
                <w:kern w:val="0"/>
                <w:szCs w:val="21"/>
                <w:highlight w:val="none"/>
                <w:u w:val="single"/>
                <w:lang w:eastAsia="zh-CN"/>
              </w:rPr>
              <w:t>董家埠村</w:t>
            </w:r>
            <w:r>
              <w:rPr>
                <w:rFonts w:hint="eastAsia"/>
                <w:color w:val="auto"/>
                <w:highlight w:val="none"/>
              </w:rPr>
              <w:t>泗山塘与庙门前之间，根据咨询永州市生态环境局祁阳分局</w:t>
            </w:r>
            <w:r>
              <w:rPr>
                <w:rFonts w:hint="eastAsia"/>
                <w:color w:val="auto"/>
                <w:highlight w:val="none"/>
                <w:lang w:val="zh-CN"/>
              </w:rPr>
              <w:t>，</w:t>
            </w:r>
            <w:r>
              <w:rPr>
                <w:color w:val="auto"/>
                <w:highlight w:val="none"/>
                <w:lang w:val="zh-CN"/>
              </w:rPr>
              <w:t>本项目</w:t>
            </w:r>
            <w:r>
              <w:rPr>
                <w:rFonts w:hint="eastAsia"/>
                <w:color w:val="auto"/>
                <w:highlight w:val="none"/>
                <w:lang w:val="zh-CN"/>
              </w:rPr>
              <w:t>建设地</w:t>
            </w:r>
            <w:r>
              <w:rPr>
                <w:color w:val="auto"/>
                <w:highlight w:val="none"/>
                <w:lang w:val="zh-CN"/>
              </w:rPr>
              <w:t>不涉及被划入的生态红线内的管控区域</w:t>
            </w:r>
            <w:r>
              <w:rPr>
                <w:rFonts w:hint="eastAsia"/>
                <w:color w:val="auto"/>
                <w:highlight w:val="none"/>
                <w:lang w:val="zh-CN"/>
              </w:rPr>
              <w:t>（详见附件</w:t>
            </w:r>
            <w:r>
              <w:rPr>
                <w:rFonts w:hint="eastAsia"/>
                <w:color w:val="auto"/>
                <w:highlight w:val="none"/>
              </w:rPr>
              <w:t>5</w:t>
            </w:r>
            <w:r>
              <w:rPr>
                <w:rFonts w:hint="eastAsia"/>
                <w:color w:val="auto"/>
                <w:highlight w:val="none"/>
                <w:lang w:val="zh-CN"/>
              </w:rPr>
              <w:t>）</w:t>
            </w:r>
            <w:r>
              <w:rPr>
                <w:color w:val="auto"/>
                <w:highlight w:val="none"/>
                <w:lang w:val="zh-CN"/>
              </w:rPr>
              <w:t>，因此，建设项目与该区域生态红线规划符合。</w:t>
            </w:r>
          </w:p>
          <w:p>
            <w:pPr>
              <w:spacing w:line="360" w:lineRule="auto"/>
              <w:ind w:firstLine="482"/>
              <w:rPr>
                <w:b/>
                <w:bCs/>
                <w:color w:val="auto"/>
                <w:highlight w:val="none"/>
              </w:rPr>
            </w:pPr>
            <w:r>
              <w:rPr>
                <w:rFonts w:hint="eastAsia"/>
                <w:b/>
                <w:bCs/>
                <w:color w:val="auto"/>
                <w:highlight w:val="none"/>
              </w:rPr>
              <w:t>7</w:t>
            </w:r>
            <w:r>
              <w:rPr>
                <w:b/>
                <w:bCs/>
                <w:color w:val="auto"/>
                <w:highlight w:val="none"/>
              </w:rPr>
              <w:t>、平面布局合理性分析</w:t>
            </w:r>
          </w:p>
          <w:p>
            <w:pPr>
              <w:spacing w:line="360" w:lineRule="auto"/>
              <w:rPr>
                <w:color w:val="auto"/>
                <w:highlight w:val="none"/>
                <w:lang w:val="zh-CN"/>
              </w:rPr>
            </w:pPr>
            <w:r>
              <w:rPr>
                <w:rFonts w:hint="eastAsia"/>
                <w:color w:val="auto"/>
                <w:highlight w:val="none"/>
                <w:lang w:val="zh-CN"/>
              </w:rPr>
              <w:t>根据建设方提供的项目厂区平面布置图可知，净水厂平面布置遵循了以下原则：（1）尽量将主体净水构筑物布置在厂平面较宽地段，以便使净水构筑物水流顺畅、平面尺寸及布局合理；（2）按功能分区相对集中布置，在保证生产需要及必需绿化面积的前提下构筑物尽量靠近，便于管理操作和联系；（3）各生产构（建）筑物考虑与现有构筑物的配合协调；（4）节水处理构筑物流程力求简洁，避免迂回重复；（5）厂区道路设计满足运输、施工和消防方便；（6）因地制宜，节约用地，运转经济。</w:t>
            </w:r>
          </w:p>
          <w:p>
            <w:pPr>
              <w:spacing w:line="360" w:lineRule="auto"/>
              <w:rPr>
                <w:color w:val="auto"/>
                <w:highlight w:val="none"/>
                <w:lang w:val="zh-CN"/>
              </w:rPr>
            </w:pPr>
            <w:r>
              <w:rPr>
                <w:rFonts w:hint="eastAsia"/>
                <w:color w:val="FF0000"/>
                <w:highlight w:val="none"/>
                <w:u w:val="single"/>
                <w:lang w:val="zh-CN"/>
              </w:rPr>
              <w:t>本项目净水厂布呈不规则状，厂区西面为远期预留用地，南面地块从北往南依次分布为配水井、絮凝沉淀池、气水反冲洗砂滤池、清水池，综合楼位于北面，加氯加药间位于厂区西面，</w:t>
            </w:r>
            <w:r>
              <w:rPr>
                <w:rFonts w:hint="eastAsia"/>
                <w:color w:val="auto"/>
                <w:highlight w:val="none"/>
                <w:lang w:val="zh-CN"/>
              </w:rPr>
              <w:t>厂区沿围墙设置绿化隔离带，种植高大乔木。主大门设置在厂区西北面，接乡村道路。厂区平面布置情况详见附图。水厂构筑物池体地下埋深适当，整个水厂流程较为顺畅，生产联络管线短，管理方便。生产区与管理区之间用绿化带相隔，用道路相连接，厂内管网严格按照设计建设，满足工艺简洁、流畅和方便生产的要求，总体布置合理。厂内各构（建）筑物周围均设置了绿地，种植各种乔木、灌木和花卉、丛植、花坛、行道树片、草坪等，按设计的总图，厂内高噪声源经隔声后影响很小，化学品贮存及使用场所对厂外保护目标不构成潜在威胁，即总图对外环境影响不明显。</w:t>
            </w:r>
          </w:p>
          <w:p>
            <w:pPr>
              <w:spacing w:line="360" w:lineRule="auto"/>
              <w:rPr>
                <w:color w:val="auto"/>
                <w:highlight w:val="none"/>
                <w:lang w:val="zh-CN"/>
              </w:rPr>
            </w:pPr>
            <w:r>
              <w:rPr>
                <w:rFonts w:hint="eastAsia"/>
                <w:color w:val="auto"/>
                <w:highlight w:val="none"/>
                <w:lang w:val="zh-CN"/>
              </w:rPr>
              <w:t>综上所述，净水厂总图布置各处理区功能分区明确、相对集中布置，便于工作、管理，对外环境无明显影响，该净水厂平面布局从环保角度合理。</w:t>
            </w:r>
          </w:p>
          <w:p>
            <w:pPr>
              <w:spacing w:line="360" w:lineRule="auto"/>
              <w:ind w:firstLine="482"/>
              <w:rPr>
                <w:b/>
                <w:bCs/>
                <w:color w:val="auto"/>
                <w:highlight w:val="none"/>
              </w:rPr>
            </w:pPr>
            <w:r>
              <w:rPr>
                <w:rFonts w:hint="eastAsia"/>
                <w:b/>
                <w:bCs/>
                <w:color w:val="auto"/>
                <w:highlight w:val="none"/>
              </w:rPr>
              <w:t>8、综合结论</w:t>
            </w:r>
          </w:p>
          <w:p>
            <w:pPr>
              <w:spacing w:line="360" w:lineRule="auto"/>
              <w:rPr>
                <w:color w:val="auto"/>
                <w:highlight w:val="none"/>
                <w:lang w:val="zh-CN"/>
              </w:rPr>
            </w:pPr>
            <w:r>
              <w:rPr>
                <w:rFonts w:hint="eastAsia"/>
                <w:color w:val="auto"/>
                <w:highlight w:val="none"/>
                <w:lang w:val="zh-CN"/>
              </w:rPr>
              <w:t>本项目符合国家产业政策，符合相关规划，本项目在采取本报告中提出的环保措 施后，废水、废气、噪声对环境影响均较小。因此，只要建设单位切实落实本报告所 提出的环保措施，严格执行环保“三同时”制度，从环保角度而言，该项目建设可行。</w:t>
            </w:r>
          </w:p>
          <w:p>
            <w:pPr>
              <w:spacing w:line="360" w:lineRule="auto"/>
              <w:ind w:firstLine="0" w:firstLineChars="0"/>
              <w:rPr>
                <w:b/>
                <w:color w:val="auto"/>
                <w:highlight w:val="none"/>
              </w:rPr>
            </w:pPr>
            <w:r>
              <w:rPr>
                <w:rFonts w:hint="eastAsia"/>
                <w:b/>
                <w:color w:val="auto"/>
                <w:highlight w:val="none"/>
              </w:rPr>
              <w:t>二、建议</w:t>
            </w:r>
          </w:p>
          <w:p>
            <w:pPr>
              <w:spacing w:line="360" w:lineRule="auto"/>
              <w:rPr>
                <w:color w:val="auto"/>
                <w:highlight w:val="none"/>
                <w:lang w:val="zh-CN"/>
              </w:rPr>
            </w:pPr>
            <w:r>
              <w:rPr>
                <w:rFonts w:hint="eastAsia"/>
                <w:color w:val="auto"/>
                <w:highlight w:val="none"/>
                <w:lang w:val="zh-CN"/>
              </w:rPr>
              <w:t>①严格执行《环保法》和《建设项目环境保护管理条例》，落实建设项目的“三同时”（即项目主体工程与环保设施同时设计、同时施工、同时投入使用）和建设项目环境保护设施的竣工验收。</w:t>
            </w:r>
          </w:p>
          <w:p>
            <w:pPr>
              <w:spacing w:line="360" w:lineRule="auto"/>
              <w:rPr>
                <w:color w:val="auto"/>
                <w:highlight w:val="none"/>
                <w:lang w:val="zh-CN"/>
              </w:rPr>
            </w:pPr>
            <w:r>
              <w:rPr>
                <w:rFonts w:hint="eastAsia"/>
                <w:color w:val="auto"/>
                <w:highlight w:val="none"/>
                <w:lang w:val="zh-CN"/>
              </w:rPr>
              <w:t>②严格规范各工序作业，加强人员培训，制定严格的生产安全、环境保护管理规程，设立专职环保、安全管理岗位，强化环保安全管理；</w:t>
            </w:r>
          </w:p>
          <w:p>
            <w:pPr>
              <w:spacing w:line="360" w:lineRule="auto"/>
              <w:rPr>
                <w:color w:val="auto"/>
                <w:highlight w:val="none"/>
                <w:lang w:val="zh-CN"/>
              </w:rPr>
            </w:pPr>
            <w:r>
              <w:rPr>
                <w:rFonts w:hint="eastAsia"/>
                <w:color w:val="auto"/>
                <w:highlight w:val="none"/>
                <w:lang w:val="zh-CN"/>
              </w:rPr>
              <w:t>③对项目产生的污泥等固体废弃物定期收集外运，合理处置，不得随意倾倒，向环境排放，避免资源浪费和污染环境；</w:t>
            </w:r>
          </w:p>
          <w:p>
            <w:pPr>
              <w:spacing w:line="360" w:lineRule="auto"/>
              <w:rPr>
                <w:color w:val="auto"/>
                <w:highlight w:val="none"/>
                <w:lang w:val="zh-CN"/>
              </w:rPr>
            </w:pPr>
            <w:r>
              <w:rPr>
                <w:rFonts w:hint="eastAsia"/>
                <w:color w:val="auto"/>
                <w:highlight w:val="none"/>
                <w:lang w:val="zh-CN"/>
              </w:rPr>
              <w:t>④加强水处理系统的维护和管理，保证设备正常运行；</w:t>
            </w:r>
          </w:p>
          <w:p>
            <w:pPr>
              <w:spacing w:line="360" w:lineRule="auto"/>
              <w:rPr>
                <w:color w:val="auto"/>
                <w:highlight w:val="none"/>
                <w:lang w:val="zh-CN"/>
              </w:rPr>
            </w:pPr>
            <w:r>
              <w:rPr>
                <w:rFonts w:hint="eastAsia"/>
                <w:color w:val="auto"/>
                <w:highlight w:val="none"/>
                <w:lang w:val="zh-CN"/>
              </w:rPr>
              <w:t>⑤加强厂区绿化；</w:t>
            </w: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p>
            <w:pPr>
              <w:tabs>
                <w:tab w:val="left" w:pos="5448"/>
              </w:tabs>
              <w:spacing w:line="560" w:lineRule="exact"/>
              <w:ind w:firstLine="0" w:firstLineChars="0"/>
              <w:rPr>
                <w:color w:val="auto"/>
                <w:highlight w:val="none"/>
              </w:rPr>
            </w:pPr>
          </w:p>
        </w:tc>
      </w:tr>
    </w:tbl>
    <w:p>
      <w:pPr>
        <w:pStyle w:val="2"/>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FZFangSong-Z02">
    <w:altName w:val="宋体"/>
    <w:panose1 w:val="00000000000000000000"/>
    <w:charset w:val="86"/>
    <w:family w:val="swiss"/>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l1uVLQAAAABQEAAA8A&#10;AAAAAAAAAQAgAAAAIgAAAGRycy9kb3ducmV2LnhtbFBLAQIUABQAAAAIAIdO4kB1TNK1rQEAAEcD&#10;AAAOAAAAAAAAAAEAIAAAAB8BAABkcnMvZTJvRG9jLnhtbFBLBQYAAAAABgAGAFkBAAA+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rect>
          </w:pict>
        </mc:Fallback>
      </mc:AlternateContent>
    </w:r>
  </w:p>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XW5UtAAAAAFAQAADwAA&#10;AAAAAAABACAAAAAiAAAAZHJzL2Rvd25yZXYueG1sUEsBAhQAFAAAAAgAh07iQIA0/kasAQAARwMA&#10;AA4AAAAAAAAAAQAgAAAAHwEAAGRycy9lMm9Eb2MueG1sUEsFBgAAAAAGAAYAWQEAAD0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rect>
          </w:pict>
        </mc:Fallback>
      </mc:AlternateContent>
    </w:r>
  </w:p>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13B1"/>
    <w:multiLevelType w:val="singleLevel"/>
    <w:tmpl w:val="18CB13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7A01"/>
    <w:rsid w:val="00172A27"/>
    <w:rsid w:val="003175A7"/>
    <w:rsid w:val="00431775"/>
    <w:rsid w:val="004A13EC"/>
    <w:rsid w:val="00616F2B"/>
    <w:rsid w:val="007E38C2"/>
    <w:rsid w:val="008957B0"/>
    <w:rsid w:val="009617C5"/>
    <w:rsid w:val="00AF73D3"/>
    <w:rsid w:val="00BE37F1"/>
    <w:rsid w:val="00D60B72"/>
    <w:rsid w:val="00FE2BB1"/>
    <w:rsid w:val="011B1F5D"/>
    <w:rsid w:val="01A54CCD"/>
    <w:rsid w:val="02101729"/>
    <w:rsid w:val="02734D41"/>
    <w:rsid w:val="034A4C03"/>
    <w:rsid w:val="04003E68"/>
    <w:rsid w:val="05DA6745"/>
    <w:rsid w:val="05DD1AE5"/>
    <w:rsid w:val="06397043"/>
    <w:rsid w:val="068F4050"/>
    <w:rsid w:val="06C45A85"/>
    <w:rsid w:val="06C75BCF"/>
    <w:rsid w:val="0745497E"/>
    <w:rsid w:val="082D79C8"/>
    <w:rsid w:val="08F256C1"/>
    <w:rsid w:val="09313850"/>
    <w:rsid w:val="09430096"/>
    <w:rsid w:val="094B1A4A"/>
    <w:rsid w:val="095E6BDC"/>
    <w:rsid w:val="0B175DE4"/>
    <w:rsid w:val="0B9A7D14"/>
    <w:rsid w:val="0BCA4412"/>
    <w:rsid w:val="0BD12BFA"/>
    <w:rsid w:val="0BD75A27"/>
    <w:rsid w:val="0C0E2589"/>
    <w:rsid w:val="0C8974E4"/>
    <w:rsid w:val="0C922E31"/>
    <w:rsid w:val="0D556037"/>
    <w:rsid w:val="0E010639"/>
    <w:rsid w:val="0E115024"/>
    <w:rsid w:val="0F09487E"/>
    <w:rsid w:val="0F950376"/>
    <w:rsid w:val="101245C4"/>
    <w:rsid w:val="107D2E9C"/>
    <w:rsid w:val="10807510"/>
    <w:rsid w:val="10D5257D"/>
    <w:rsid w:val="11203B4F"/>
    <w:rsid w:val="1172232B"/>
    <w:rsid w:val="120323D1"/>
    <w:rsid w:val="127A2C9E"/>
    <w:rsid w:val="133B08DF"/>
    <w:rsid w:val="135E5D20"/>
    <w:rsid w:val="138C126C"/>
    <w:rsid w:val="145C2777"/>
    <w:rsid w:val="14D63586"/>
    <w:rsid w:val="14E15BEA"/>
    <w:rsid w:val="15D0055E"/>
    <w:rsid w:val="1637749A"/>
    <w:rsid w:val="166A0262"/>
    <w:rsid w:val="1692705C"/>
    <w:rsid w:val="17017157"/>
    <w:rsid w:val="18291FF4"/>
    <w:rsid w:val="18377103"/>
    <w:rsid w:val="187E5113"/>
    <w:rsid w:val="18DB156B"/>
    <w:rsid w:val="1922326E"/>
    <w:rsid w:val="194018CD"/>
    <w:rsid w:val="1A0B2765"/>
    <w:rsid w:val="1A0F1599"/>
    <w:rsid w:val="1A274FB0"/>
    <w:rsid w:val="1A2E0211"/>
    <w:rsid w:val="1A3773B9"/>
    <w:rsid w:val="1A646B29"/>
    <w:rsid w:val="1AC5590F"/>
    <w:rsid w:val="1ACD4A95"/>
    <w:rsid w:val="1AE24867"/>
    <w:rsid w:val="1B0014FA"/>
    <w:rsid w:val="1B2F15F2"/>
    <w:rsid w:val="1BC20306"/>
    <w:rsid w:val="1BCE0DE1"/>
    <w:rsid w:val="1C312572"/>
    <w:rsid w:val="1C486C43"/>
    <w:rsid w:val="1C746070"/>
    <w:rsid w:val="1CD23011"/>
    <w:rsid w:val="1D1D3FFD"/>
    <w:rsid w:val="1D99100D"/>
    <w:rsid w:val="1DB12BFB"/>
    <w:rsid w:val="1E402BB7"/>
    <w:rsid w:val="1F0567CF"/>
    <w:rsid w:val="20321084"/>
    <w:rsid w:val="204A4B36"/>
    <w:rsid w:val="207B403F"/>
    <w:rsid w:val="211777C1"/>
    <w:rsid w:val="219C3217"/>
    <w:rsid w:val="21EB3985"/>
    <w:rsid w:val="21EC34F6"/>
    <w:rsid w:val="223B0154"/>
    <w:rsid w:val="22A77FEF"/>
    <w:rsid w:val="22E07FAC"/>
    <w:rsid w:val="24084DB1"/>
    <w:rsid w:val="24DA062B"/>
    <w:rsid w:val="25353305"/>
    <w:rsid w:val="258D032E"/>
    <w:rsid w:val="25A35348"/>
    <w:rsid w:val="26BE7F15"/>
    <w:rsid w:val="2728481C"/>
    <w:rsid w:val="281935B2"/>
    <w:rsid w:val="2900441D"/>
    <w:rsid w:val="29086F09"/>
    <w:rsid w:val="2912656D"/>
    <w:rsid w:val="29FC01C8"/>
    <w:rsid w:val="2A86363A"/>
    <w:rsid w:val="2B5967B8"/>
    <w:rsid w:val="2B6E3A2A"/>
    <w:rsid w:val="2BB20618"/>
    <w:rsid w:val="2BCC68AB"/>
    <w:rsid w:val="2CD50BE0"/>
    <w:rsid w:val="2CF35E24"/>
    <w:rsid w:val="2DB506F9"/>
    <w:rsid w:val="2E4E5943"/>
    <w:rsid w:val="2E7E2E50"/>
    <w:rsid w:val="2EA92F6A"/>
    <w:rsid w:val="2F6B2D8F"/>
    <w:rsid w:val="2F6F28CC"/>
    <w:rsid w:val="2F9F3F05"/>
    <w:rsid w:val="2FB83F6C"/>
    <w:rsid w:val="31D36BF2"/>
    <w:rsid w:val="31F3401B"/>
    <w:rsid w:val="32161C83"/>
    <w:rsid w:val="32800809"/>
    <w:rsid w:val="328C6CE5"/>
    <w:rsid w:val="32A4258A"/>
    <w:rsid w:val="334C2B2F"/>
    <w:rsid w:val="335C3C86"/>
    <w:rsid w:val="342D648D"/>
    <w:rsid w:val="34C06C50"/>
    <w:rsid w:val="35D31BC9"/>
    <w:rsid w:val="35EF6B25"/>
    <w:rsid w:val="3635351B"/>
    <w:rsid w:val="367B76BA"/>
    <w:rsid w:val="36E53918"/>
    <w:rsid w:val="36EC633E"/>
    <w:rsid w:val="37130B88"/>
    <w:rsid w:val="374E4C3A"/>
    <w:rsid w:val="37AB7333"/>
    <w:rsid w:val="37C501F3"/>
    <w:rsid w:val="384458ED"/>
    <w:rsid w:val="38B20CF3"/>
    <w:rsid w:val="38C913A2"/>
    <w:rsid w:val="3983543A"/>
    <w:rsid w:val="39E54137"/>
    <w:rsid w:val="3ACE11F7"/>
    <w:rsid w:val="3B246EDD"/>
    <w:rsid w:val="3BC87FAB"/>
    <w:rsid w:val="3C57110D"/>
    <w:rsid w:val="3CD10620"/>
    <w:rsid w:val="3D3D39B3"/>
    <w:rsid w:val="3D4251BD"/>
    <w:rsid w:val="3E9D2F22"/>
    <w:rsid w:val="3F753CB6"/>
    <w:rsid w:val="3FC83144"/>
    <w:rsid w:val="404B7E34"/>
    <w:rsid w:val="417F6DF6"/>
    <w:rsid w:val="4267066D"/>
    <w:rsid w:val="42E70853"/>
    <w:rsid w:val="439D0FCC"/>
    <w:rsid w:val="44552C23"/>
    <w:rsid w:val="44995B6C"/>
    <w:rsid w:val="45FE5073"/>
    <w:rsid w:val="46126300"/>
    <w:rsid w:val="462002C5"/>
    <w:rsid w:val="464C5849"/>
    <w:rsid w:val="468139A5"/>
    <w:rsid w:val="4689307B"/>
    <w:rsid w:val="473055EF"/>
    <w:rsid w:val="473622C4"/>
    <w:rsid w:val="473C2764"/>
    <w:rsid w:val="47413CB1"/>
    <w:rsid w:val="47D61900"/>
    <w:rsid w:val="480C11C9"/>
    <w:rsid w:val="48905894"/>
    <w:rsid w:val="49090FD8"/>
    <w:rsid w:val="495A5C99"/>
    <w:rsid w:val="49921CD5"/>
    <w:rsid w:val="49A2378E"/>
    <w:rsid w:val="4A455912"/>
    <w:rsid w:val="4A810FB8"/>
    <w:rsid w:val="4A8D6ADF"/>
    <w:rsid w:val="4AC55DF3"/>
    <w:rsid w:val="4B3D17E2"/>
    <w:rsid w:val="4C794C89"/>
    <w:rsid w:val="4CC815E3"/>
    <w:rsid w:val="4D536215"/>
    <w:rsid w:val="4DC2169B"/>
    <w:rsid w:val="4E4535C3"/>
    <w:rsid w:val="4E553EF3"/>
    <w:rsid w:val="4EDF25C8"/>
    <w:rsid w:val="50020E23"/>
    <w:rsid w:val="50216265"/>
    <w:rsid w:val="51577912"/>
    <w:rsid w:val="520A1D6B"/>
    <w:rsid w:val="527F1186"/>
    <w:rsid w:val="52DB6812"/>
    <w:rsid w:val="53973709"/>
    <w:rsid w:val="53F955EF"/>
    <w:rsid w:val="541E7330"/>
    <w:rsid w:val="54E96261"/>
    <w:rsid w:val="55AF38C2"/>
    <w:rsid w:val="55C04075"/>
    <w:rsid w:val="56024BDF"/>
    <w:rsid w:val="56A23266"/>
    <w:rsid w:val="56BF1900"/>
    <w:rsid w:val="57EC5EBE"/>
    <w:rsid w:val="5856643B"/>
    <w:rsid w:val="5891554F"/>
    <w:rsid w:val="59A86670"/>
    <w:rsid w:val="5A371B6D"/>
    <w:rsid w:val="5A3F0DA8"/>
    <w:rsid w:val="5A6F6D20"/>
    <w:rsid w:val="5A9F18F5"/>
    <w:rsid w:val="5B213380"/>
    <w:rsid w:val="5C661A86"/>
    <w:rsid w:val="5C706503"/>
    <w:rsid w:val="5D620A78"/>
    <w:rsid w:val="5E71112C"/>
    <w:rsid w:val="5E7D4EFE"/>
    <w:rsid w:val="5ECC1136"/>
    <w:rsid w:val="5FA91933"/>
    <w:rsid w:val="603D0380"/>
    <w:rsid w:val="60B57720"/>
    <w:rsid w:val="61B41093"/>
    <w:rsid w:val="61CA45DE"/>
    <w:rsid w:val="61CB4D1B"/>
    <w:rsid w:val="6232632B"/>
    <w:rsid w:val="6277762C"/>
    <w:rsid w:val="62DA058B"/>
    <w:rsid w:val="62F6720C"/>
    <w:rsid w:val="63EF235A"/>
    <w:rsid w:val="64095E63"/>
    <w:rsid w:val="655210B9"/>
    <w:rsid w:val="657E5666"/>
    <w:rsid w:val="66421624"/>
    <w:rsid w:val="66944ECC"/>
    <w:rsid w:val="673B4EFD"/>
    <w:rsid w:val="67881B4C"/>
    <w:rsid w:val="67E00A25"/>
    <w:rsid w:val="686E64A2"/>
    <w:rsid w:val="68AF3DF4"/>
    <w:rsid w:val="690D779B"/>
    <w:rsid w:val="69124B16"/>
    <w:rsid w:val="693C1084"/>
    <w:rsid w:val="69F25CB6"/>
    <w:rsid w:val="69FA6909"/>
    <w:rsid w:val="6AFC76CF"/>
    <w:rsid w:val="6B446B69"/>
    <w:rsid w:val="6B7F4F66"/>
    <w:rsid w:val="6C322729"/>
    <w:rsid w:val="6CD97B33"/>
    <w:rsid w:val="6CF63A84"/>
    <w:rsid w:val="6D580AC6"/>
    <w:rsid w:val="6DCF19B9"/>
    <w:rsid w:val="6E895246"/>
    <w:rsid w:val="6EB25EC7"/>
    <w:rsid w:val="6F0175B1"/>
    <w:rsid w:val="6F301842"/>
    <w:rsid w:val="6F662D1A"/>
    <w:rsid w:val="6F976D94"/>
    <w:rsid w:val="70354183"/>
    <w:rsid w:val="70806F0A"/>
    <w:rsid w:val="709E08B5"/>
    <w:rsid w:val="713322F4"/>
    <w:rsid w:val="71490267"/>
    <w:rsid w:val="714E03F1"/>
    <w:rsid w:val="724C2A58"/>
    <w:rsid w:val="7270184F"/>
    <w:rsid w:val="73B123EA"/>
    <w:rsid w:val="73D34C52"/>
    <w:rsid w:val="73EF0DED"/>
    <w:rsid w:val="73F47257"/>
    <w:rsid w:val="749A4A10"/>
    <w:rsid w:val="75657FCF"/>
    <w:rsid w:val="756D5734"/>
    <w:rsid w:val="75783466"/>
    <w:rsid w:val="759A17F4"/>
    <w:rsid w:val="75D545AC"/>
    <w:rsid w:val="75FF353C"/>
    <w:rsid w:val="76111902"/>
    <w:rsid w:val="761D42EA"/>
    <w:rsid w:val="76691728"/>
    <w:rsid w:val="76692975"/>
    <w:rsid w:val="772F2278"/>
    <w:rsid w:val="77CB1B04"/>
    <w:rsid w:val="782468DA"/>
    <w:rsid w:val="782E3C19"/>
    <w:rsid w:val="78525A36"/>
    <w:rsid w:val="78843693"/>
    <w:rsid w:val="78DD4D9F"/>
    <w:rsid w:val="79ED1446"/>
    <w:rsid w:val="7A0C2473"/>
    <w:rsid w:val="7A12024D"/>
    <w:rsid w:val="7A66434A"/>
    <w:rsid w:val="7AA90CC0"/>
    <w:rsid w:val="7BAD7055"/>
    <w:rsid w:val="7C1F54FD"/>
    <w:rsid w:val="7C353DF4"/>
    <w:rsid w:val="7CB15FB5"/>
    <w:rsid w:val="7D081F54"/>
    <w:rsid w:val="7D1552E0"/>
    <w:rsid w:val="7D5629E9"/>
    <w:rsid w:val="7DE73303"/>
    <w:rsid w:val="7E3559B2"/>
    <w:rsid w:val="7E4F4736"/>
    <w:rsid w:val="7E566C2E"/>
    <w:rsid w:val="7E73407F"/>
    <w:rsid w:val="7EBA741E"/>
    <w:rsid w:val="7EDC1FDA"/>
    <w:rsid w:val="7FE21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0"/>
    <w:pPr>
      <w:keepNext/>
      <w:keepLines/>
      <w:widowControl/>
      <w:adjustRightInd w:val="0"/>
      <w:snapToGrid w:val="0"/>
      <w:spacing w:line="360" w:lineRule="auto"/>
      <w:jc w:val="left"/>
      <w:outlineLvl w:val="1"/>
    </w:pPr>
    <w:rPr>
      <w:rFonts w:ascii="宋体" w:hAnsi="宋体" w:eastAsia="仿宋"/>
      <w:b/>
      <w:bCs/>
      <w:kern w:val="0"/>
      <w:sz w:val="28"/>
      <w:szCs w:val="32"/>
    </w:rPr>
  </w:style>
  <w:style w:type="paragraph" w:styleId="5">
    <w:name w:val="heading 3"/>
    <w:basedOn w:val="1"/>
    <w:next w:val="1"/>
    <w:qFormat/>
    <w:uiPriority w:val="0"/>
    <w:pPr>
      <w:keepNext/>
      <w:keepLines/>
      <w:spacing w:before="60" w:line="500" w:lineRule="exact"/>
      <w:outlineLvl w:val="2"/>
    </w:pPr>
    <w:rPr>
      <w:rFonts w:eastAsia="仿宋_GB2312"/>
      <w:b/>
      <w:bCs/>
      <w:color w:val="055742"/>
      <w:sz w:val="26"/>
      <w:szCs w:val="32"/>
    </w:rPr>
  </w:style>
  <w:style w:type="character" w:default="1" w:styleId="22">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ind w:firstLine="0" w:firstLineChars="0"/>
    </w:pPr>
  </w:style>
  <w:style w:type="paragraph" w:styleId="6">
    <w:name w:val="annotation subject"/>
    <w:basedOn w:val="7"/>
    <w:next w:val="7"/>
    <w:link w:val="54"/>
    <w:qFormat/>
    <w:uiPriority w:val="0"/>
    <w:rPr>
      <w:b/>
      <w:bCs/>
    </w:rPr>
  </w:style>
  <w:style w:type="paragraph" w:styleId="7">
    <w:name w:val="annotation text"/>
    <w:basedOn w:val="1"/>
    <w:link w:val="53"/>
    <w:qFormat/>
    <w:uiPriority w:val="0"/>
    <w:pPr>
      <w:jc w:val="left"/>
    </w:pPr>
  </w:style>
  <w:style w:type="paragraph" w:styleId="8">
    <w:name w:val="Body Text First Indent"/>
    <w:basedOn w:val="2"/>
    <w:qFormat/>
    <w:uiPriority w:val="0"/>
    <w:pPr>
      <w:spacing w:after="120"/>
      <w:ind w:firstLine="420" w:firstLineChars="100"/>
    </w:pPr>
  </w:style>
  <w:style w:type="paragraph" w:styleId="9">
    <w:name w:val="Normal Indent"/>
    <w:basedOn w:val="1"/>
    <w:qFormat/>
    <w:uiPriority w:val="0"/>
    <w:pPr>
      <w:spacing w:line="360" w:lineRule="auto"/>
      <w:ind w:firstLine="420"/>
    </w:pPr>
    <w:rPr>
      <w:rFonts w:ascii="宋体" w:hAnsi="宋体" w:cs="宋体"/>
      <w:kern w:val="0"/>
    </w:rPr>
  </w:style>
  <w:style w:type="paragraph" w:styleId="10">
    <w:name w:val="Body Text Indent"/>
    <w:basedOn w:val="1"/>
    <w:qFormat/>
    <w:uiPriority w:val="0"/>
  </w:style>
  <w:style w:type="paragraph" w:styleId="11">
    <w:name w:val="toc 3"/>
    <w:basedOn w:val="1"/>
    <w:next w:val="1"/>
    <w:qFormat/>
    <w:uiPriority w:val="0"/>
    <w:pPr>
      <w:ind w:left="840" w:leftChars="400"/>
    </w:pPr>
  </w:style>
  <w:style w:type="paragraph" w:styleId="12">
    <w:name w:val="Plain Text"/>
    <w:basedOn w:val="1"/>
    <w:qFormat/>
    <w:uiPriority w:val="0"/>
    <w:pPr>
      <w:spacing w:line="240" w:lineRule="auto"/>
      <w:ind w:firstLine="0" w:firstLineChars="0"/>
    </w:pPr>
    <w:rPr>
      <w:rFonts w:ascii="宋体" w:hAnsi="Courier New" w:cs="宋体"/>
      <w:sz w:val="21"/>
      <w:szCs w:val="20"/>
    </w:rPr>
  </w:style>
  <w:style w:type="paragraph" w:styleId="13">
    <w:name w:val="Date"/>
    <w:basedOn w:val="1"/>
    <w:next w:val="1"/>
    <w:qFormat/>
    <w:uiPriority w:val="0"/>
    <w:rPr>
      <w:rFonts w:ascii="宋体"/>
      <w:kern w:val="0"/>
      <w:sz w:val="28"/>
      <w:szCs w:val="20"/>
    </w:rPr>
  </w:style>
  <w:style w:type="paragraph" w:styleId="14">
    <w:name w:val="Balloon Text"/>
    <w:basedOn w:val="1"/>
    <w:link w:val="55"/>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spacing w:line="240" w:lineRule="atLeast"/>
      <w:jc w:val="left"/>
    </w:pPr>
    <w:rPr>
      <w:sz w:val="18"/>
      <w:szCs w:val="18"/>
    </w:rPr>
  </w:style>
  <w:style w:type="paragraph" w:styleId="16">
    <w:name w:val="Body Text First Indent 2"/>
    <w:basedOn w:val="10"/>
    <w:qFormat/>
    <w:uiPriority w:val="0"/>
    <w:pPr>
      <w:spacing w:after="120"/>
      <w:ind w:left="420" w:leftChars="200" w:firstLine="420"/>
    </w:pPr>
    <w:rPr>
      <w:sz w:val="21"/>
    </w:rPr>
  </w:style>
  <w:style w:type="paragraph" w:styleId="1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semiHidden/>
    <w:qFormat/>
    <w:uiPriority w:val="0"/>
    <w:pPr>
      <w:ind w:firstLine="0" w:firstLineChars="0"/>
    </w:pPr>
    <w:rPr>
      <w:bCs/>
    </w:rPr>
  </w:style>
  <w:style w:type="paragraph" w:styleId="19">
    <w:name w:val="List"/>
    <w:basedOn w:val="1"/>
    <w:qFormat/>
    <w:uiPriority w:val="0"/>
    <w:pPr>
      <w:spacing w:line="320" w:lineRule="exact"/>
      <w:ind w:firstLine="0" w:firstLineChars="0"/>
      <w:jc w:val="center"/>
    </w:pPr>
    <w:rPr>
      <w:sz w:val="22"/>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widowControl/>
      <w:spacing w:before="100" w:beforeAutospacing="1" w:after="100" w:afterAutospacing="1" w:line="240" w:lineRule="auto"/>
      <w:ind w:firstLine="0" w:firstLineChars="0"/>
      <w:jc w:val="left"/>
    </w:pPr>
    <w:rPr>
      <w:rFonts w:ascii="宋体" w:hAnsi="宋体"/>
      <w:color w:val="000000"/>
      <w:kern w:val="0"/>
    </w:rPr>
  </w:style>
  <w:style w:type="character" w:styleId="23">
    <w:name w:val="Emphasis"/>
    <w:basedOn w:val="22"/>
    <w:qFormat/>
    <w:uiPriority w:val="0"/>
    <w:rPr>
      <w:i/>
    </w:rPr>
  </w:style>
  <w:style w:type="character" w:styleId="24">
    <w:name w:val="Hyperlink"/>
    <w:basedOn w:val="22"/>
    <w:qFormat/>
    <w:uiPriority w:val="0"/>
    <w:rPr>
      <w:color w:val="0000FF"/>
      <w:u w:val="single"/>
    </w:rPr>
  </w:style>
  <w:style w:type="character" w:styleId="25">
    <w:name w:val="annotation reference"/>
    <w:qFormat/>
    <w:uiPriority w:val="0"/>
    <w:rPr>
      <w:rFonts w:ascii="宋体" w:hAnsi="宋体" w:cs="宋体"/>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标题 2 字符"/>
    <w:link w:val="4"/>
    <w:qFormat/>
    <w:uiPriority w:val="9"/>
    <w:rPr>
      <w:rFonts w:ascii="宋体" w:hAnsi="宋体" w:eastAsia="仿宋" w:cs="仿宋"/>
      <w:b/>
      <w:bCs/>
      <w:color w:val="auto"/>
      <w:sz w:val="28"/>
      <w:szCs w:val="32"/>
    </w:rPr>
  </w:style>
  <w:style w:type="paragraph" w:customStyle="1" w:styleId="29">
    <w:name w:val="居中正文"/>
    <w:basedOn w:val="8"/>
    <w:qFormat/>
    <w:uiPriority w:val="0"/>
    <w:pPr>
      <w:adjustRightInd w:val="0"/>
      <w:spacing w:before="120" w:after="0" w:line="360" w:lineRule="auto"/>
      <w:ind w:firstLine="0" w:firstLineChars="0"/>
      <w:jc w:val="center"/>
      <w:textAlignment w:val="baseline"/>
    </w:pPr>
    <w:rPr>
      <w:rFonts w:ascii="宋体"/>
      <w:kern w:val="28"/>
      <w:szCs w:val="20"/>
    </w:rPr>
  </w:style>
  <w:style w:type="paragraph" w:customStyle="1" w:styleId="30">
    <w:name w:val="样式 样式 样式 样式 正文首行缩进 2Char2 + 首行缩进:  2 字符 + 首行缩进:  2 字符 + 首行缩进:  2..."/>
    <w:basedOn w:val="1"/>
    <w:qFormat/>
    <w:uiPriority w:val="0"/>
    <w:pPr>
      <w:spacing w:line="360" w:lineRule="auto"/>
    </w:pPr>
    <w:rPr>
      <w:rFonts w:ascii="宋体" w:cs="宋体"/>
    </w:rPr>
  </w:style>
  <w:style w:type="paragraph" w:customStyle="1" w:styleId="31">
    <w:name w:val="表格"/>
    <w:qFormat/>
    <w:uiPriority w:val="0"/>
    <w:pPr>
      <w:spacing w:line="380" w:lineRule="exact"/>
      <w:jc w:val="center"/>
    </w:pPr>
    <w:rPr>
      <w:rFonts w:ascii="宋体" w:hAnsi="宋体" w:eastAsia="宋体" w:cs="Times New Roman"/>
      <w:snapToGrid w:val="0"/>
      <w:sz w:val="21"/>
      <w:lang w:val="en-US" w:eastAsia="zh-CN" w:bidi="ar-SA"/>
    </w:rPr>
  </w:style>
  <w:style w:type="paragraph" w:customStyle="1" w:styleId="32">
    <w:name w:val="XW正文"/>
    <w:basedOn w:val="1"/>
    <w:qFormat/>
    <w:uiPriority w:val="0"/>
  </w:style>
  <w:style w:type="paragraph" w:customStyle="1" w:styleId="33">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34">
    <w:name w:val="报告表表头"/>
    <w:basedOn w:val="35"/>
    <w:qFormat/>
    <w:uiPriority w:val="0"/>
    <w:rPr>
      <w:b w:val="0"/>
    </w:rPr>
  </w:style>
  <w:style w:type="paragraph" w:customStyle="1" w:styleId="35">
    <w:name w:val="1表格头"/>
    <w:basedOn w:val="1"/>
    <w:qFormat/>
    <w:uiPriority w:val="0"/>
    <w:pPr>
      <w:snapToGrid w:val="0"/>
      <w:spacing w:line="360" w:lineRule="auto"/>
      <w:ind w:firstLine="0" w:firstLineChars="0"/>
      <w:jc w:val="center"/>
      <w:outlineLvl w:val="3"/>
    </w:pPr>
    <w:rPr>
      <w:rFonts w:eastAsia="黑体"/>
      <w:b/>
    </w:rPr>
  </w:style>
  <w:style w:type="paragraph" w:customStyle="1" w:styleId="36">
    <w:name w:val="实在正文"/>
    <w:basedOn w:val="1"/>
    <w:qFormat/>
    <w:uiPriority w:val="0"/>
    <w:pPr>
      <w:spacing w:line="560" w:lineRule="exact"/>
      <w:ind w:firstLine="200"/>
    </w:pPr>
    <w:rPr>
      <w:rFonts w:ascii="宋体" w:hAnsi="宋体"/>
      <w:color w:val="000000"/>
      <w:spacing w:val="-4"/>
    </w:rPr>
  </w:style>
  <w:style w:type="paragraph" w:customStyle="1" w:styleId="37">
    <w:name w:val="表格文字"/>
    <w:basedOn w:val="8"/>
    <w:next w:val="1"/>
    <w:qFormat/>
    <w:uiPriority w:val="0"/>
    <w:pPr>
      <w:spacing w:line="240" w:lineRule="auto"/>
      <w:ind w:firstLine="0" w:firstLineChars="0"/>
      <w:jc w:val="center"/>
    </w:pPr>
    <w:rPr>
      <w:rFonts w:ascii="Calibri" w:hAnsi="Calibri"/>
      <w:kern w:val="0"/>
      <w:sz w:val="21"/>
      <w:szCs w:val="21"/>
    </w:rPr>
  </w:style>
  <w:style w:type="paragraph" w:customStyle="1" w:styleId="38">
    <w:name w:val="填表内容"/>
    <w:basedOn w:val="1"/>
    <w:qFormat/>
    <w:uiPriority w:val="0"/>
    <w:pPr>
      <w:adjustRightInd w:val="0"/>
      <w:spacing w:line="480" w:lineRule="exact"/>
      <w:ind w:firstLine="560"/>
      <w:jc w:val="left"/>
      <w:textAlignment w:val="baseline"/>
    </w:pPr>
    <w:rPr>
      <w:rFonts w:ascii="楷体_GB2312" w:eastAsia="楷体_GB2312"/>
      <w:sz w:val="28"/>
      <w:szCs w:val="20"/>
    </w:rPr>
  </w:style>
  <w:style w:type="paragraph" w:customStyle="1" w:styleId="39">
    <w:name w:val="永环表内格式"/>
    <w:basedOn w:val="1"/>
    <w:qFormat/>
    <w:uiPriority w:val="0"/>
    <w:pPr>
      <w:tabs>
        <w:tab w:val="left" w:pos="1021"/>
      </w:tabs>
      <w:spacing w:line="240" w:lineRule="exact"/>
      <w:ind w:firstLine="0" w:firstLineChars="0"/>
      <w:jc w:val="center"/>
    </w:pPr>
    <w:rPr>
      <w:rFonts w:ascii="宋体" w:hAnsi="宋体"/>
      <w:color w:val="000000"/>
      <w:kern w:val="0"/>
      <w:sz w:val="21"/>
      <w:szCs w:val="21"/>
    </w:rPr>
  </w:style>
  <w:style w:type="paragraph" w:customStyle="1" w:styleId="40">
    <w:name w:val="特殊标题３"/>
    <w:basedOn w:val="1"/>
    <w:qFormat/>
    <w:uiPriority w:val="0"/>
    <w:pPr>
      <w:overflowPunct w:val="0"/>
      <w:autoSpaceDE w:val="0"/>
      <w:autoSpaceDN w:val="0"/>
      <w:spacing w:line="360" w:lineRule="auto"/>
    </w:pPr>
    <w:rPr>
      <w:rFonts w:eastAsia="仿宋_GB2312"/>
      <w:sz w:val="28"/>
    </w:rPr>
  </w:style>
  <w:style w:type="paragraph" w:customStyle="1" w:styleId="41">
    <w:name w:val="表格1"/>
    <w:basedOn w:val="1"/>
    <w:qFormat/>
    <w:uiPriority w:val="0"/>
    <w:pPr>
      <w:adjustRightInd w:val="0"/>
      <w:spacing w:line="400" w:lineRule="atLeast"/>
      <w:jc w:val="center"/>
    </w:pPr>
    <w:rPr>
      <w:kern w:val="0"/>
    </w:rPr>
  </w:style>
  <w:style w:type="paragraph" w:customStyle="1" w:styleId="42">
    <w:name w:val="1文章"/>
    <w:basedOn w:val="1"/>
    <w:qFormat/>
    <w:uiPriority w:val="0"/>
    <w:pPr>
      <w:snapToGrid w:val="0"/>
      <w:spacing w:line="360" w:lineRule="auto"/>
      <w:ind w:firstLine="573"/>
    </w:pPr>
    <w:rPr>
      <w:rFonts w:eastAsia="仿宋_GB2312"/>
      <w:sz w:val="28"/>
      <w:szCs w:val="20"/>
    </w:rPr>
  </w:style>
  <w:style w:type="paragraph" w:customStyle="1" w:styleId="43">
    <w:name w:val="表文"/>
    <w:basedOn w:val="1"/>
    <w:next w:val="9"/>
    <w:qFormat/>
    <w:uiPriority w:val="0"/>
    <w:pPr>
      <w:overflowPunct w:val="0"/>
      <w:autoSpaceDE w:val="0"/>
      <w:autoSpaceDN w:val="0"/>
      <w:adjustRightInd w:val="0"/>
      <w:jc w:val="center"/>
      <w:textAlignment w:val="baseline"/>
    </w:pPr>
    <w:rPr>
      <w:rFonts w:eastAsia="Times New Roman"/>
      <w:kern w:val="0"/>
      <w:szCs w:val="21"/>
    </w:rPr>
  </w:style>
  <w:style w:type="paragraph" w:customStyle="1" w:styleId="44">
    <w:name w:val="报告表内容"/>
    <w:basedOn w:val="1"/>
    <w:qFormat/>
    <w:uiPriority w:val="0"/>
    <w:pPr>
      <w:tabs>
        <w:tab w:val="left" w:pos="2625"/>
      </w:tabs>
      <w:adjustRightInd w:val="0"/>
      <w:spacing w:line="300" w:lineRule="exact"/>
      <w:jc w:val="center"/>
      <w:textAlignment w:val="baseline"/>
    </w:pPr>
    <w:rPr>
      <w:kern w:val="0"/>
      <w:szCs w:val="21"/>
    </w:rPr>
  </w:style>
  <w:style w:type="paragraph" w:customStyle="1" w:styleId="45">
    <w:name w:val="报告正文"/>
    <w:basedOn w:val="1"/>
    <w:qFormat/>
    <w:uiPriority w:val="0"/>
    <w:pPr>
      <w:widowControl/>
      <w:tabs>
        <w:tab w:val="left" w:pos="0"/>
      </w:tabs>
      <w:spacing w:line="480" w:lineRule="exact"/>
      <w:ind w:firstLine="200"/>
      <w:jc w:val="left"/>
    </w:pPr>
  </w:style>
  <w:style w:type="paragraph" w:customStyle="1" w:styleId="46">
    <w:name w:val="表内容"/>
    <w:basedOn w:val="1"/>
    <w:qFormat/>
    <w:uiPriority w:val="0"/>
    <w:pPr>
      <w:spacing w:line="360" w:lineRule="exact"/>
      <w:jc w:val="center"/>
    </w:pPr>
    <w:rPr>
      <w:rFonts w:ascii="宋体" w:hAnsi="宋体"/>
      <w:color w:val="000000"/>
      <w:sz w:val="21"/>
      <w:szCs w:val="21"/>
    </w:rPr>
  </w:style>
  <w:style w:type="character" w:customStyle="1" w:styleId="47">
    <w:name w:val="content1"/>
    <w:qFormat/>
    <w:uiPriority w:val="0"/>
    <w:rPr>
      <w:rFonts w:ascii="Times New Roman" w:hAnsi="Times New Roman" w:eastAsia="宋体" w:cs="Times New Roman"/>
      <w:color w:val="000000"/>
      <w:sz w:val="20"/>
      <w:szCs w:val="20"/>
    </w:rPr>
  </w:style>
  <w:style w:type="paragraph" w:customStyle="1" w:styleId="48">
    <w:name w:val="正文格式"/>
    <w:basedOn w:val="1"/>
    <w:qFormat/>
    <w:uiPriority w:val="0"/>
    <w:pPr>
      <w:spacing w:line="360" w:lineRule="auto"/>
      <w:ind w:firstLine="560"/>
    </w:pPr>
    <w:rPr>
      <w:rFonts w:ascii="宋体" w:hAnsi="宋体"/>
      <w:sz w:val="28"/>
      <w:szCs w:val="28"/>
    </w:rPr>
  </w:style>
  <w:style w:type="paragraph" w:customStyle="1" w:styleId="49">
    <w:name w:val="1表格"/>
    <w:basedOn w:val="1"/>
    <w:qFormat/>
    <w:uiPriority w:val="0"/>
    <w:pPr>
      <w:snapToGrid w:val="0"/>
      <w:spacing w:line="160" w:lineRule="atLeast"/>
      <w:jc w:val="center"/>
    </w:pPr>
    <w:rPr>
      <w:rFonts w:eastAsia="仿宋_GB2312"/>
      <w:szCs w:val="20"/>
    </w:rPr>
  </w:style>
  <w:style w:type="paragraph" w:customStyle="1" w:styleId="50">
    <w:name w:val="图文框"/>
    <w:basedOn w:val="1"/>
    <w:qFormat/>
    <w:uiPriority w:val="0"/>
    <w:pPr>
      <w:snapToGrid w:val="0"/>
      <w:spacing w:line="320" w:lineRule="atLeast"/>
      <w:jc w:val="center"/>
    </w:pPr>
  </w:style>
  <w:style w:type="paragraph" w:customStyle="1" w:styleId="51">
    <w:name w:val="报告表表内容"/>
    <w:basedOn w:val="1"/>
    <w:qFormat/>
    <w:uiPriority w:val="0"/>
    <w:pPr>
      <w:spacing w:line="300" w:lineRule="exact"/>
      <w:ind w:firstLine="0" w:firstLineChars="0"/>
      <w:jc w:val="center"/>
    </w:pPr>
    <w:rPr>
      <w:rFonts w:ascii="宋体" w:hAnsi="宋体"/>
      <w:sz w:val="21"/>
    </w:rPr>
  </w:style>
  <w:style w:type="paragraph" w:customStyle="1" w:styleId="52">
    <w:name w:val="Default"/>
    <w:unhideWhenUsed/>
    <w:qFormat/>
    <w:uiPriority w:val="99"/>
    <w:pPr>
      <w:widowControl w:val="0"/>
      <w:autoSpaceDE w:val="0"/>
      <w:autoSpaceDN w:val="0"/>
      <w:adjustRightInd w:val="0"/>
    </w:pPr>
    <w:rPr>
      <w:rFonts w:hint="eastAsia" w:ascii="FZFangSong-Z02" w:hAnsi="FZFangSong-Z02" w:eastAsia="FZFangSong-Z02" w:cs="Times New Roman"/>
      <w:color w:val="000000"/>
      <w:sz w:val="24"/>
      <w:lang w:val="en-US" w:eastAsia="zh-CN" w:bidi="ar-SA"/>
    </w:rPr>
  </w:style>
  <w:style w:type="character" w:customStyle="1" w:styleId="53">
    <w:name w:val="批注文字 字符"/>
    <w:basedOn w:val="22"/>
    <w:link w:val="7"/>
    <w:qFormat/>
    <w:uiPriority w:val="0"/>
    <w:rPr>
      <w:kern w:val="2"/>
      <w:sz w:val="24"/>
      <w:szCs w:val="24"/>
    </w:rPr>
  </w:style>
  <w:style w:type="character" w:customStyle="1" w:styleId="54">
    <w:name w:val="批注主题 字符"/>
    <w:basedOn w:val="53"/>
    <w:link w:val="6"/>
    <w:qFormat/>
    <w:uiPriority w:val="0"/>
    <w:rPr>
      <w:b/>
      <w:bCs/>
      <w:kern w:val="2"/>
      <w:sz w:val="24"/>
      <w:szCs w:val="24"/>
    </w:rPr>
  </w:style>
  <w:style w:type="character" w:customStyle="1" w:styleId="55">
    <w:name w:val="批注框文本 字符"/>
    <w:basedOn w:val="22"/>
    <w:link w:val="14"/>
    <w:qFormat/>
    <w:uiPriority w:val="0"/>
    <w:rPr>
      <w:kern w:val="2"/>
      <w:sz w:val="18"/>
      <w:szCs w:val="18"/>
    </w:rPr>
  </w:style>
  <w:style w:type="paragraph" w:customStyle="1" w:styleId="5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0.png"/><Relationship Id="rId26" Type="http://schemas.openxmlformats.org/officeDocument/2006/relationships/image" Target="media/image9.wmf"/><Relationship Id="rId25" Type="http://schemas.openxmlformats.org/officeDocument/2006/relationships/oleObject" Target="embeddings/oleObject6.bin"/><Relationship Id="rId24" Type="http://schemas.openxmlformats.org/officeDocument/2006/relationships/image" Target="media/image8.wmf"/><Relationship Id="rId23" Type="http://schemas.openxmlformats.org/officeDocument/2006/relationships/oleObject" Target="embeddings/oleObject5.bin"/><Relationship Id="rId22" Type="http://schemas.openxmlformats.org/officeDocument/2006/relationships/image" Target="media/image7.emf"/><Relationship Id="rId21" Type="http://schemas.openxmlformats.org/officeDocument/2006/relationships/oleObject" Target="embeddings/oleObject4.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emf"/><Relationship Id="rId17" Type="http://schemas.openxmlformats.org/officeDocument/2006/relationships/oleObject" Target="embeddings/oleObject2.bin"/><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5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10413</Words>
  <Characters>59355</Characters>
  <Lines>494</Lines>
  <Paragraphs>139</Paragraphs>
  <TotalTime>0</TotalTime>
  <ScaleCrop>false</ScaleCrop>
  <LinksUpToDate>false</LinksUpToDate>
  <CharactersWithSpaces>69629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2020-03-13T02:07:00Z</dcterms:created>
  <dc:creator>艾文娟</dc:creator>
  <cp:lastModifiedBy>艾文娟</cp:lastModifiedBy>
  <dcterms:modified xsi:type="dcterms:W3CDTF">2020-05-06T05:06:21Z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