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2256" w:rsidRDefault="00FC2256">
      <w:pPr>
        <w:pStyle w:val="Default"/>
        <w:jc w:val="center"/>
        <w:rPr>
          <w:rFonts w:ascii="Times New Roman" w:hAnsi="Times New Roman" w:cs="Times New Roman"/>
          <w:sz w:val="56"/>
          <w:szCs w:val="56"/>
        </w:rPr>
      </w:pPr>
    </w:p>
    <w:p w:rsidR="00FC2256" w:rsidRDefault="00FC2256">
      <w:pPr>
        <w:pStyle w:val="Default"/>
        <w:jc w:val="center"/>
        <w:rPr>
          <w:rFonts w:ascii="Times New Roman" w:hAnsi="Times New Roman" w:cs="Times New Roman"/>
          <w:sz w:val="84"/>
          <w:szCs w:val="84"/>
        </w:rPr>
      </w:pPr>
    </w:p>
    <w:p w:rsidR="00FC2256" w:rsidRDefault="00FC2256">
      <w:pPr>
        <w:pStyle w:val="Default"/>
        <w:jc w:val="center"/>
        <w:rPr>
          <w:rFonts w:ascii="Times New Roman" w:hAnsi="Times New Roman" w:cs="Times New Roman"/>
          <w:sz w:val="84"/>
          <w:szCs w:val="84"/>
        </w:rPr>
      </w:pPr>
    </w:p>
    <w:p w:rsidR="00FC2256"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FC2256"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祁阳市八宝镇人民政府</w:t>
      </w:r>
    </w:p>
    <w:p w:rsidR="00FC2256"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rsidR="00FC2256" w:rsidRDefault="00FC2256">
      <w:pPr>
        <w:pStyle w:val="Default"/>
        <w:jc w:val="center"/>
        <w:rPr>
          <w:rFonts w:ascii="Times New Roman" w:eastAsia="方正小标宋_GBK" w:hAnsi="Times New Roman" w:cs="Times New Roman"/>
          <w:sz w:val="56"/>
          <w:szCs w:val="56"/>
        </w:rPr>
      </w:pPr>
    </w:p>
    <w:p w:rsidR="00FC2256" w:rsidRDefault="00FC2256">
      <w:pPr>
        <w:pStyle w:val="Default"/>
        <w:jc w:val="center"/>
        <w:rPr>
          <w:rFonts w:ascii="Times New Roman" w:hAnsi="Times New Roman" w:cs="Times New Roman"/>
          <w:sz w:val="56"/>
          <w:szCs w:val="56"/>
        </w:rPr>
      </w:pPr>
    </w:p>
    <w:p w:rsidR="00FC2256" w:rsidRDefault="00FC2256">
      <w:pPr>
        <w:pStyle w:val="Default"/>
        <w:rPr>
          <w:rFonts w:ascii="Times New Roman" w:hAnsi="Times New Roman" w:cs="Times New Roman"/>
          <w:sz w:val="56"/>
          <w:szCs w:val="56"/>
        </w:rPr>
      </w:pPr>
    </w:p>
    <w:p w:rsidR="00FC2256" w:rsidRDefault="00FC2256">
      <w:pPr>
        <w:pStyle w:val="Default"/>
        <w:jc w:val="center"/>
        <w:rPr>
          <w:rFonts w:ascii="Times New Roman" w:hAnsi="Times New Roman" w:cs="Times New Roman"/>
          <w:sz w:val="32"/>
          <w:szCs w:val="32"/>
        </w:rPr>
      </w:pPr>
    </w:p>
    <w:p w:rsidR="00FC2256" w:rsidRDefault="00FC2256">
      <w:pPr>
        <w:pStyle w:val="Default"/>
        <w:jc w:val="center"/>
        <w:rPr>
          <w:rFonts w:ascii="Times New Roman" w:hAnsi="Times New Roman" w:cs="Times New Roman"/>
          <w:sz w:val="32"/>
          <w:szCs w:val="32"/>
        </w:rPr>
      </w:pPr>
    </w:p>
    <w:p w:rsidR="00FC2256" w:rsidRDefault="00FC2256">
      <w:pPr>
        <w:pStyle w:val="Default"/>
        <w:jc w:val="center"/>
        <w:rPr>
          <w:rFonts w:ascii="Times New Roman" w:hAnsi="Times New Roman" w:cs="Times New Roman"/>
          <w:sz w:val="32"/>
          <w:szCs w:val="32"/>
        </w:rPr>
      </w:pPr>
    </w:p>
    <w:p w:rsidR="00FC2256" w:rsidRDefault="00FC2256">
      <w:pPr>
        <w:pStyle w:val="Default"/>
        <w:jc w:val="both"/>
        <w:rPr>
          <w:rFonts w:ascii="Times New Roman" w:hAnsi="Times New Roman" w:cs="Times New Roman"/>
          <w:sz w:val="32"/>
          <w:szCs w:val="32"/>
        </w:rPr>
      </w:pPr>
    </w:p>
    <w:p w:rsidR="00FC2256" w:rsidRDefault="00FC2256">
      <w:pPr>
        <w:pStyle w:val="Default"/>
        <w:spacing w:line="600" w:lineRule="exact"/>
        <w:jc w:val="both"/>
        <w:rPr>
          <w:rFonts w:ascii="Times New Roman" w:hAnsi="Times New Roman" w:cs="Times New Roman"/>
          <w:b/>
          <w:sz w:val="36"/>
          <w:szCs w:val="28"/>
        </w:rPr>
        <w:sectPr w:rsidR="00FC2256">
          <w:footerReference w:type="default" r:id="rId8"/>
          <w:pgSz w:w="11906" w:h="16838"/>
          <w:pgMar w:top="1417" w:right="1588" w:bottom="1417" w:left="1588" w:header="851" w:footer="992" w:gutter="0"/>
          <w:pgNumType w:start="1"/>
          <w:cols w:space="425"/>
          <w:docGrid w:type="lines" w:linePitch="312"/>
        </w:sectPr>
      </w:pPr>
    </w:p>
    <w:p w:rsidR="00FC2256" w:rsidRDefault="00FC2256">
      <w:pPr>
        <w:pStyle w:val="Default"/>
        <w:spacing w:line="600" w:lineRule="exact"/>
        <w:jc w:val="both"/>
        <w:rPr>
          <w:rFonts w:ascii="Times New Roman" w:hAnsi="Times New Roman" w:cs="Times New Roman"/>
          <w:b/>
          <w:sz w:val="36"/>
          <w:szCs w:val="28"/>
        </w:rPr>
      </w:pPr>
    </w:p>
    <w:p w:rsidR="00FC2256" w:rsidRDefault="00000000">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FC2256" w:rsidRDefault="00FC2256">
      <w:pPr>
        <w:pStyle w:val="Default"/>
        <w:spacing w:line="600" w:lineRule="exact"/>
        <w:jc w:val="center"/>
        <w:rPr>
          <w:rFonts w:ascii="Times New Roman" w:hAnsi="Times New Roman" w:cs="Times New Roman"/>
          <w:b/>
          <w:sz w:val="36"/>
          <w:szCs w:val="28"/>
        </w:rPr>
      </w:pPr>
    </w:p>
    <w:p w:rsidR="00FC2256" w:rsidRDefault="00000000">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祁阳市八宝镇人民政府</w:t>
      </w:r>
      <w:r>
        <w:rPr>
          <w:rFonts w:ascii="Times New Roman" w:hAnsi="Times New Roman" w:cs="Times New Roman"/>
          <w:bCs/>
          <w:sz w:val="32"/>
          <w:szCs w:val="32"/>
        </w:rPr>
        <w:t>概况</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FC2256"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FC2256"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FC2256" w:rsidRDefault="00000000">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FC2256"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FC2256"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FC2256"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FC2256" w:rsidRDefault="00FC2256">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FC2256">
          <w:footerReference w:type="default" r:id="rId9"/>
          <w:pgSz w:w="11906" w:h="16838"/>
          <w:pgMar w:top="1417" w:right="1588" w:bottom="1417" w:left="1588" w:header="851" w:footer="992" w:gutter="0"/>
          <w:pgNumType w:start="1"/>
          <w:cols w:space="425"/>
          <w:docGrid w:type="lines" w:linePitch="312"/>
        </w:sectPr>
      </w:pPr>
    </w:p>
    <w:p w:rsidR="00FC2256"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FC2256"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FC2256"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FC2256"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FC2256"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FC2256"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FC2256"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FC2256"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FC2256"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FC2256" w:rsidRDefault="00FC2256">
      <w:pPr>
        <w:pStyle w:val="Default"/>
        <w:spacing w:line="600" w:lineRule="exact"/>
        <w:rPr>
          <w:rFonts w:ascii="Times New Roman" w:hAnsi="Times New Roman" w:cs="Times New Roman"/>
          <w:bCs/>
          <w:sz w:val="28"/>
          <w:szCs w:val="28"/>
        </w:rPr>
      </w:pPr>
    </w:p>
    <w:p w:rsidR="00FC2256" w:rsidRDefault="00FC2256">
      <w:pPr>
        <w:jc w:val="center"/>
        <w:rPr>
          <w:rFonts w:ascii="Times New Roman" w:hAnsi="Times New Roman" w:cs="Times New Roman"/>
          <w:sz w:val="72"/>
          <w:szCs w:val="72"/>
        </w:rPr>
      </w:pPr>
    </w:p>
    <w:p w:rsidR="00FC2256" w:rsidRDefault="00FC2256">
      <w:pPr>
        <w:jc w:val="center"/>
        <w:rPr>
          <w:rFonts w:ascii="Times New Roman" w:hAnsi="Times New Roman" w:cs="Times New Roman"/>
          <w:sz w:val="72"/>
          <w:szCs w:val="72"/>
        </w:rPr>
      </w:pPr>
    </w:p>
    <w:p w:rsidR="00FC2256" w:rsidRDefault="00FC2256">
      <w:pPr>
        <w:jc w:val="center"/>
        <w:rPr>
          <w:rFonts w:ascii="Times New Roman" w:hAnsi="Times New Roman" w:cs="Times New Roman"/>
          <w:sz w:val="72"/>
          <w:szCs w:val="72"/>
        </w:rPr>
      </w:pPr>
    </w:p>
    <w:p w:rsidR="00FC2256" w:rsidRDefault="00FC2256">
      <w:pPr>
        <w:pStyle w:val="a0"/>
        <w:rPr>
          <w:rFonts w:ascii="Times New Roman" w:hAnsi="Times New Roman" w:cs="Times New Roman"/>
        </w:rPr>
        <w:sectPr w:rsidR="00FC2256">
          <w:footerReference w:type="default" r:id="rId10"/>
          <w:pgSz w:w="11906" w:h="16838"/>
          <w:pgMar w:top="1417" w:right="1588" w:bottom="1417" w:left="1588" w:header="851" w:footer="992" w:gutter="0"/>
          <w:pgNumType w:start="1"/>
          <w:cols w:space="425"/>
          <w:docGrid w:type="lines" w:linePitch="312"/>
        </w:sectPr>
      </w:pPr>
    </w:p>
    <w:p w:rsidR="00FC2256" w:rsidRDefault="00FC2256">
      <w:pPr>
        <w:rPr>
          <w:rFonts w:ascii="Times New Roman" w:eastAsia="方正小标宋_GBK" w:hAnsi="Times New Roman" w:cs="Times New Roman"/>
          <w:sz w:val="72"/>
          <w:szCs w:val="72"/>
        </w:rPr>
      </w:pPr>
    </w:p>
    <w:p w:rsidR="00FC2256"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FC2256"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祁阳市八宝镇人民政府</w:t>
      </w:r>
      <w:r>
        <w:rPr>
          <w:rFonts w:ascii="Times New Roman" w:eastAsia="方正小标宋_GBK" w:hAnsi="Times New Roman" w:cs="Times New Roman"/>
          <w:sz w:val="52"/>
          <w:szCs w:val="52"/>
        </w:rPr>
        <w:t>概况</w:t>
      </w:r>
    </w:p>
    <w:p w:rsidR="00FC2256" w:rsidRDefault="00FC2256">
      <w:pPr>
        <w:pStyle w:val="2"/>
        <w:ind w:leftChars="0" w:left="0" w:firstLineChars="0" w:firstLine="0"/>
        <w:rPr>
          <w:rFonts w:ascii="Times New Roman" w:hAnsi="Times New Roman" w:cs="Times New Roman"/>
        </w:rPr>
      </w:pPr>
    </w:p>
    <w:p w:rsidR="00FC2256" w:rsidRDefault="00000000">
      <w:pPr>
        <w:pStyle w:val="ad"/>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FC2256" w:rsidRDefault="00000000">
      <w:pPr>
        <w:ind w:firstLineChars="250" w:firstLine="800"/>
        <w:jc w:val="left"/>
        <w:rPr>
          <w:rFonts w:ascii="仿宋_GB2312" w:eastAsia="仿宋_GB2312" w:hAnsi="仿宋_GB2312" w:cs="仿宋_GB2312" w:hint="eastAsia"/>
          <w:sz w:val="32"/>
          <w:szCs w:val="32"/>
        </w:rPr>
      </w:pPr>
      <w:r>
        <w:rPr>
          <w:rFonts w:ascii="Times New Roman" w:eastAsia="仿宋_GB2312" w:hAnsi="Times New Roman" w:cs="仿宋_GB2312" w:hint="eastAsia"/>
          <w:sz w:val="32"/>
          <w:szCs w:val="32"/>
        </w:rPr>
        <w:t>（一）</w:t>
      </w:r>
      <w:r>
        <w:rPr>
          <w:rFonts w:ascii="仿宋_GB2312" w:eastAsia="仿宋_GB2312" w:hAnsi="仿宋_GB2312" w:cs="仿宋_GB2312" w:hint="eastAsia"/>
          <w:sz w:val="32"/>
          <w:szCs w:val="32"/>
        </w:rPr>
        <w:t>制定和组织实施经济、科技和社会发展计划，制定产业结构调整方案，组织指导好各产业生产，协调好本乡与外地区的经济交流与合作，抓好人才引进项目开发，不断培育市场体系，组织经济运行，促进经济发展。</w:t>
      </w:r>
    </w:p>
    <w:p w:rsidR="00FC2256" w:rsidRDefault="00000000">
      <w:pPr>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（二）制定并组织实施乡村建设规划，部署重点工程建设，地方道路建设及公共设施，水利设施的管理，负责土地、林木、水等自然资源和生态环境的保护，做好护林防火工作。</w:t>
      </w:r>
    </w:p>
    <w:p w:rsidR="00FC2256" w:rsidRDefault="00000000">
      <w:pPr>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负责本行政区域内的民政、计划生育、文化教育、卫生、体育等社会公益事业的综合性工作，维护一切经济单位和个人的正当经济权益，取缔非法经济活动，调解和处理民事纠纷，打击刑事犯罪维护社会稳定。</w:t>
      </w:r>
    </w:p>
    <w:p w:rsidR="00FC2256" w:rsidRDefault="00000000">
      <w:pPr>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（四）按计划组织本级财政收入的征收，完成国家财政计划，管好财政资金，增强财政实力。</w:t>
      </w:r>
    </w:p>
    <w:p w:rsidR="00FC2256" w:rsidRDefault="00000000">
      <w:pPr>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（五）抓好精神文明建设，丰富群众文化生活，提倡移风易俗，反对封建迷信，破除陈规陋习，树立社会主义新风尚。</w:t>
      </w:r>
    </w:p>
    <w:p w:rsidR="00FC2256" w:rsidRDefault="00000000">
      <w:pPr>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（六）完成上级党委、政府交办的其它事项。</w:t>
      </w:r>
    </w:p>
    <w:p w:rsidR="00FC2256" w:rsidRDefault="00000000">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lastRenderedPageBreak/>
        <w:t>二、机构设置及决算单位构成</w:t>
      </w:r>
    </w:p>
    <w:p w:rsidR="00FC2256" w:rsidRDefault="00000000">
      <w:pPr>
        <w:widowControl/>
        <w:spacing w:line="600" w:lineRule="exact"/>
        <w:ind w:firstLineChars="100" w:firstLine="320"/>
        <w:rPr>
          <w:rFonts w:ascii="仿宋_GB2312" w:eastAsia="仿宋_GB2312" w:hAnsi="仿宋_GB2312" w:cs="仿宋_GB2312" w:hint="eastAsia"/>
          <w:bCs/>
          <w:kern w:val="0"/>
          <w:sz w:val="32"/>
          <w:szCs w:val="32"/>
        </w:rPr>
      </w:pPr>
      <w:r>
        <w:rPr>
          <w:rFonts w:ascii="Times New Roman" w:eastAsia="仿宋_GB2312" w:hAnsi="Times New Roman" w:cs="仿宋_GB2312" w:hint="eastAsia"/>
          <w:bCs/>
          <w:kern w:val="0"/>
          <w:sz w:val="32"/>
          <w:szCs w:val="32"/>
        </w:rPr>
        <w:t>（一）内设机构设置。</w:t>
      </w:r>
      <w:r>
        <w:rPr>
          <w:rFonts w:ascii="仿宋_GB2312" w:eastAsia="仿宋_GB2312" w:hAnsi="仿宋_GB2312" w:cs="仿宋_GB2312" w:hint="eastAsia"/>
          <w:bCs/>
          <w:kern w:val="0"/>
          <w:sz w:val="32"/>
          <w:szCs w:val="32"/>
        </w:rPr>
        <w:t>祁阳市八宝镇人民政府内设10个机构包括：</w:t>
      </w:r>
      <w:r>
        <w:rPr>
          <w:rFonts w:eastAsia="仿宋_GB2312" w:hint="eastAsia"/>
          <w:sz w:val="32"/>
          <w:szCs w:val="32"/>
        </w:rPr>
        <w:t>党政办公室、党建办公室、经济发展办公室、乡村振兴办公室、平安法治和应急管理办公室、生态事务中心、农业综合服务中心、便民服务中心、退役军人服务站、综合行政执法大队。</w:t>
      </w:r>
    </w:p>
    <w:p w:rsidR="00FC2256" w:rsidRDefault="00000000">
      <w:pPr>
        <w:ind w:firstLineChars="100" w:firstLine="320"/>
        <w:jc w:val="left"/>
        <w:rPr>
          <w:rFonts w:ascii="Times New Roman" w:eastAsia="仿宋_GB2312" w:hAnsi="Times New Roman" w:cs="Times New Roman"/>
          <w:sz w:val="28"/>
          <w:szCs w:val="32"/>
        </w:rPr>
      </w:pPr>
      <w:r>
        <w:rPr>
          <w:rFonts w:ascii="Times New Roman" w:eastAsia="仿宋_GB2312" w:hAnsi="Times New Roman" w:cs="仿宋_GB2312" w:hint="eastAsia"/>
          <w:bCs/>
          <w:kern w:val="0"/>
          <w:sz w:val="32"/>
          <w:szCs w:val="32"/>
        </w:rPr>
        <w:t>（二）决算单位构成。</w:t>
      </w:r>
      <w:r>
        <w:rPr>
          <w:rFonts w:ascii="仿宋_GB2312" w:eastAsia="仿宋_GB2312" w:hAnsi="仿宋_GB2312" w:cs="仿宋_GB2312" w:hint="eastAsia"/>
          <w:bCs/>
          <w:kern w:val="0"/>
          <w:sz w:val="32"/>
          <w:szCs w:val="32"/>
        </w:rPr>
        <w:t>祁阳市八宝镇人民政府2025年部门决算汇总公开单位构成包括：祁阳市八宝镇人民政府。</w:t>
      </w:r>
    </w:p>
    <w:p w:rsidR="00FC2256" w:rsidRDefault="00FC2256">
      <w:pPr>
        <w:widowControl/>
        <w:spacing w:line="600" w:lineRule="exact"/>
        <w:rPr>
          <w:rFonts w:ascii="Times New Roman" w:eastAsia="仿宋_GB2312" w:hAnsi="Times New Roman" w:cs="Times New Roman"/>
          <w:bCs/>
          <w:kern w:val="0"/>
          <w:sz w:val="32"/>
          <w:szCs w:val="32"/>
        </w:rPr>
      </w:pPr>
    </w:p>
    <w:p w:rsidR="00FC2256" w:rsidRDefault="00FC2256">
      <w:pPr>
        <w:jc w:val="left"/>
        <w:rPr>
          <w:rFonts w:ascii="Times New Roman" w:eastAsia="仿宋_GB2312" w:hAnsi="Times New Roman" w:cs="Times New Roman"/>
          <w:sz w:val="28"/>
          <w:szCs w:val="32"/>
        </w:rPr>
      </w:pPr>
    </w:p>
    <w:p w:rsidR="00FC2256" w:rsidRDefault="00FC2256">
      <w:pPr>
        <w:jc w:val="center"/>
        <w:rPr>
          <w:rFonts w:ascii="Times New Roman" w:eastAsia="黑体" w:hAnsi="Times New Roman" w:cs="Times New Roman"/>
          <w:sz w:val="28"/>
          <w:szCs w:val="28"/>
        </w:rPr>
      </w:pPr>
    </w:p>
    <w:p w:rsidR="00FC2256" w:rsidRDefault="00FC2256">
      <w:pPr>
        <w:jc w:val="center"/>
        <w:rPr>
          <w:rFonts w:ascii="Times New Roman" w:eastAsia="黑体" w:hAnsi="Times New Roman" w:cs="Times New Roman"/>
          <w:sz w:val="28"/>
          <w:szCs w:val="28"/>
        </w:rPr>
      </w:pPr>
    </w:p>
    <w:p w:rsidR="00FC2256" w:rsidRDefault="00FC2256">
      <w:pPr>
        <w:jc w:val="center"/>
        <w:rPr>
          <w:rFonts w:ascii="Times New Roman" w:eastAsia="黑体" w:hAnsi="Times New Roman" w:cs="Times New Roman"/>
          <w:sz w:val="28"/>
          <w:szCs w:val="28"/>
        </w:rPr>
      </w:pPr>
    </w:p>
    <w:p w:rsidR="00FC2256" w:rsidRDefault="00FC2256">
      <w:pPr>
        <w:jc w:val="center"/>
        <w:rPr>
          <w:rFonts w:ascii="Times New Roman" w:eastAsia="黑体" w:hAnsi="Times New Roman" w:cs="Times New Roman"/>
          <w:sz w:val="28"/>
          <w:szCs w:val="28"/>
        </w:rPr>
      </w:pPr>
    </w:p>
    <w:p w:rsidR="00FC2256" w:rsidRDefault="00FC2256">
      <w:pPr>
        <w:jc w:val="center"/>
        <w:rPr>
          <w:rFonts w:ascii="Times New Roman" w:eastAsia="黑体" w:hAnsi="Times New Roman" w:cs="Times New Roman"/>
          <w:sz w:val="28"/>
          <w:szCs w:val="28"/>
        </w:rPr>
      </w:pPr>
    </w:p>
    <w:p w:rsidR="00FC2256" w:rsidRDefault="00FC2256">
      <w:pPr>
        <w:pStyle w:val="a0"/>
        <w:rPr>
          <w:rFonts w:ascii="Times New Roman" w:hAnsi="Times New Roman" w:cs="Times New Roman"/>
        </w:rPr>
        <w:sectPr w:rsidR="00FC2256">
          <w:footerReference w:type="default" r:id="rId11"/>
          <w:pgSz w:w="11906" w:h="16838"/>
          <w:pgMar w:top="1417" w:right="1588" w:bottom="1417" w:left="1588" w:header="851" w:footer="992" w:gutter="0"/>
          <w:pgNumType w:start="1"/>
          <w:cols w:space="425"/>
          <w:docGrid w:type="lines" w:linePitch="312"/>
        </w:sectPr>
      </w:pPr>
    </w:p>
    <w:p w:rsidR="00FC2256" w:rsidRDefault="00000000">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FC2256" w:rsidRDefault="00000000">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rsidR="00FC2256"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rsidR="00FC2256"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4068" w:type="dxa"/>
        <w:tblLayout w:type="fixed"/>
        <w:tblCellMar>
          <w:top w:w="15" w:type="dxa"/>
          <w:left w:w="15" w:type="dxa"/>
          <w:bottom w:w="15" w:type="dxa"/>
          <w:right w:w="15" w:type="dxa"/>
        </w:tblCellMar>
        <w:tblLook w:val="04A0" w:firstRow="1" w:lastRow="0" w:firstColumn="1" w:lastColumn="0" w:noHBand="0" w:noVBand="1"/>
      </w:tblPr>
      <w:tblGrid>
        <w:gridCol w:w="3690"/>
        <w:gridCol w:w="600"/>
        <w:gridCol w:w="2744"/>
        <w:gridCol w:w="3392"/>
        <w:gridCol w:w="709"/>
        <w:gridCol w:w="2933"/>
      </w:tblGrid>
      <w:tr w:rsidR="00FC2256">
        <w:trPr>
          <w:trHeight w:val="300"/>
        </w:trPr>
        <w:tc>
          <w:tcPr>
            <w:tcW w:w="7034" w:type="dxa"/>
            <w:gridSpan w:val="3"/>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收入</w:t>
            </w:r>
          </w:p>
        </w:tc>
        <w:tc>
          <w:tcPr>
            <w:tcW w:w="7034" w:type="dxa"/>
            <w:gridSpan w:val="3"/>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支出</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项目</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行次</w:t>
            </w:r>
          </w:p>
        </w:tc>
        <w:tc>
          <w:tcPr>
            <w:tcW w:w="2744"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决算数</w:t>
            </w: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项目</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行次</w:t>
            </w:r>
          </w:p>
        </w:tc>
        <w:tc>
          <w:tcPr>
            <w:tcW w:w="2933"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决算数</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栏次</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center"/>
              <w:rPr>
                <w:rFonts w:ascii="宋体" w:eastAsia="宋体" w:hAnsi="宋体" w:cs="宋体" w:hint="eastAsia"/>
                <w:color w:val="000000"/>
                <w:sz w:val="22"/>
              </w:rPr>
            </w:pPr>
          </w:p>
        </w:tc>
        <w:tc>
          <w:tcPr>
            <w:tcW w:w="2744"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栏次</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center"/>
              <w:rPr>
                <w:rFonts w:ascii="宋体" w:eastAsia="宋体" w:hAnsi="宋体" w:cs="宋体" w:hint="eastAsia"/>
                <w:color w:val="000000"/>
                <w:sz w:val="22"/>
              </w:rPr>
            </w:pPr>
          </w:p>
        </w:tc>
        <w:tc>
          <w:tcPr>
            <w:tcW w:w="2933"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一、一般公共预算财政拨款收入</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1,816.28 </w:t>
            </w: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一、一般公共服务支出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31</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1,257.07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二、政府性基金预算财政拨款收入</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111.75 </w:t>
            </w: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二、外交支出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32</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三、国有资本经营预算财政拨款收入</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三、国防支出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33</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四、上级补助收入</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四、公共安全支出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34</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五、事业收入</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五、教育支出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35</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六、经营收入</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6</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六、科学技术支出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36</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七、附属单位上缴收入</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7</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七、文化旅游体育与传媒支出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37</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80.00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八、其他收入</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8</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八、社会保障和就业支出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38</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110.56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9</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九、卫生健康支出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39</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43.88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10</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十、节能环保支出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40</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11</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十一、城乡社区支出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41</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12.94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12</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十二、农林水支出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42</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245.42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13</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十三、交通运输支出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43</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十四、资源勘探工业信息等支出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44</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15</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十五、商业服务业等支出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45</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16</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十六、金融支出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46</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17</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十七、援助其他地区支出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47</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18</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十八、自然资源海洋气象等支出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48</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19</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十九、住房保障支出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49</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79.36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20</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二十、粮油物资储备支出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50</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21</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二十一、国有资本经营预算支出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51</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22</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二十二、灾害防治及应急管理支出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52</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2"/>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23</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二十三、其他支出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53</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98.81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center"/>
              <w:rPr>
                <w:rFonts w:ascii="宋体" w:eastAsia="宋体" w:hAnsi="宋体" w:cs="宋体" w:hint="eastAsia"/>
                <w:b/>
                <w:color w:val="000000"/>
                <w:sz w:val="20"/>
                <w:szCs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24</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0"/>
                <w:szCs w:val="20"/>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二十四、债务还本支出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54</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0"/>
                <w:szCs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25</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0"/>
                <w:szCs w:val="20"/>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二十五、债务付息支出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55</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FC2256">
            <w:pPr>
              <w:jc w:val="left"/>
              <w:rPr>
                <w:rFonts w:ascii="宋体" w:eastAsia="宋体" w:hAnsi="宋体" w:cs="宋体" w:hint="eastAsia"/>
                <w:color w:val="000000"/>
                <w:sz w:val="20"/>
                <w:szCs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26</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0"/>
                <w:szCs w:val="20"/>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二十六、抗疫特别国债安排的支出</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56</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b/>
                <w:color w:val="000000"/>
                <w:sz w:val="22"/>
              </w:rPr>
            </w:pPr>
            <w:r>
              <w:rPr>
                <w:rFonts w:ascii="宋体" w:eastAsia="宋体" w:hAnsi="宋体" w:cs="宋体" w:hint="eastAsia"/>
                <w:b/>
                <w:color w:val="000000"/>
                <w:kern w:val="0"/>
                <w:sz w:val="22"/>
                <w:lang w:bidi="ar"/>
              </w:rPr>
              <w:t>本年收入合计</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27</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1,928.03 </w:t>
            </w: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b/>
                <w:color w:val="000000"/>
                <w:sz w:val="22"/>
              </w:rPr>
            </w:pPr>
            <w:r>
              <w:rPr>
                <w:rFonts w:ascii="宋体" w:eastAsia="宋体" w:hAnsi="宋体" w:cs="宋体" w:hint="eastAsia"/>
                <w:b/>
                <w:color w:val="000000"/>
                <w:kern w:val="0"/>
                <w:sz w:val="22"/>
                <w:lang w:bidi="ar"/>
              </w:rPr>
              <w:t>本年支出合计</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57</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1,928.03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   使用非财政拨款结余（含专用结余）</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28</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   结余分配</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58</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   年初结转和结余</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29</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宋体" w:eastAsia="宋体" w:hAnsi="宋体" w:cs="宋体" w:hint="eastAsia"/>
                <w:color w:val="000000"/>
                <w:sz w:val="22"/>
              </w:rPr>
            </w:pP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   年末结转和结余</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59</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0.00 </w:t>
            </w:r>
          </w:p>
        </w:tc>
      </w:tr>
      <w:tr w:rsidR="00FC2256">
        <w:trPr>
          <w:trHeight w:val="300"/>
        </w:trPr>
        <w:tc>
          <w:tcPr>
            <w:tcW w:w="369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b/>
                <w:color w:val="000000"/>
                <w:sz w:val="22"/>
              </w:rPr>
            </w:pPr>
            <w:r>
              <w:rPr>
                <w:rFonts w:ascii="宋体" w:eastAsia="宋体" w:hAnsi="宋体" w:cs="宋体" w:hint="eastAsia"/>
                <w:b/>
                <w:color w:val="000000"/>
                <w:kern w:val="0"/>
                <w:sz w:val="22"/>
                <w:lang w:bidi="ar"/>
              </w:rPr>
              <w:t>总计</w:t>
            </w:r>
          </w:p>
        </w:tc>
        <w:tc>
          <w:tcPr>
            <w:tcW w:w="60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30</w:t>
            </w:r>
          </w:p>
        </w:tc>
        <w:tc>
          <w:tcPr>
            <w:tcW w:w="2744"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1,928.03 </w:t>
            </w:r>
          </w:p>
        </w:tc>
        <w:tc>
          <w:tcPr>
            <w:tcW w:w="339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b/>
                <w:color w:val="000000"/>
                <w:sz w:val="22"/>
              </w:rPr>
            </w:pPr>
            <w:r>
              <w:rPr>
                <w:rFonts w:ascii="宋体" w:eastAsia="宋体" w:hAnsi="宋体" w:cs="宋体" w:hint="eastAsia"/>
                <w:b/>
                <w:color w:val="000000"/>
                <w:kern w:val="0"/>
                <w:sz w:val="22"/>
                <w:lang w:bidi="ar"/>
              </w:rPr>
              <w:t>总计</w:t>
            </w:r>
          </w:p>
        </w:tc>
        <w:tc>
          <w:tcPr>
            <w:tcW w:w="709"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60</w:t>
            </w:r>
          </w:p>
        </w:tc>
        <w:tc>
          <w:tcPr>
            <w:tcW w:w="293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1,928.03 </w:t>
            </w:r>
          </w:p>
        </w:tc>
      </w:tr>
    </w:tbl>
    <w:p w:rsidR="00FC2256"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rsidR="00FC2256" w:rsidRDefault="00000000">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rsidR="00FC2256" w:rsidRDefault="00FC2256">
      <w:pPr>
        <w:widowControl/>
        <w:spacing w:line="400" w:lineRule="exact"/>
        <w:jc w:val="center"/>
        <w:textAlignment w:val="center"/>
        <w:rPr>
          <w:rFonts w:ascii="Times New Roman" w:eastAsia="黑体" w:hAnsi="Times New Roman" w:cs="Times New Roman"/>
          <w:color w:val="000000"/>
          <w:kern w:val="0"/>
          <w:sz w:val="32"/>
          <w:szCs w:val="32"/>
          <w:lang w:bidi="ar"/>
        </w:rPr>
      </w:pPr>
    </w:p>
    <w:p w:rsidR="00FC2256"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收入决算表</w:t>
      </w:r>
    </w:p>
    <w:p w:rsidR="00FC2256" w:rsidRDefault="00000000">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FC2256" w:rsidRDefault="00000000">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977"/>
        <w:gridCol w:w="2415"/>
        <w:gridCol w:w="1434"/>
        <w:gridCol w:w="1640"/>
        <w:gridCol w:w="1640"/>
        <w:gridCol w:w="1640"/>
        <w:gridCol w:w="1640"/>
        <w:gridCol w:w="1897"/>
        <w:gridCol w:w="1383"/>
      </w:tblGrid>
      <w:tr w:rsidR="00FC2256">
        <w:trPr>
          <w:trHeight w:val="450"/>
          <w:jc w:val="center"/>
        </w:trPr>
        <w:tc>
          <w:tcPr>
            <w:tcW w:w="3392" w:type="dxa"/>
            <w:gridSpan w:val="2"/>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项目</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本年收入合计</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其他收入</w:t>
            </w:r>
          </w:p>
        </w:tc>
      </w:tr>
      <w:tr w:rsidR="00FC2256">
        <w:trPr>
          <w:trHeight w:hRule="exact" w:val="334"/>
          <w:jc w:val="center"/>
        </w:trPr>
        <w:tc>
          <w:tcPr>
            <w:tcW w:w="977" w:type="dxa"/>
            <w:vMerge w:val="restart"/>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科目代码</w:t>
            </w:r>
          </w:p>
        </w:tc>
        <w:tc>
          <w:tcPr>
            <w:tcW w:w="2415" w:type="dxa"/>
            <w:vMerge w:val="restart"/>
            <w:tcBorders>
              <w:top w:val="nil"/>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b/>
                <w:bCs/>
                <w:sz w:val="24"/>
                <w:szCs w:val="24"/>
              </w:rPr>
            </w:pPr>
            <w:r>
              <w:rPr>
                <w:rFonts w:ascii="宋体" w:eastAsia="宋体" w:hAnsi="宋体" w:cs="宋体" w:hint="eastAsia"/>
                <w:color w:val="000000"/>
                <w:kern w:val="0"/>
                <w:sz w:val="22"/>
                <w:lang w:bidi="ar"/>
              </w:rPr>
              <w:t>科目名称</w:t>
            </w:r>
          </w:p>
        </w:tc>
        <w:tc>
          <w:tcPr>
            <w:tcW w:w="1434"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sz w:val="24"/>
                <w:szCs w:val="24"/>
              </w:rPr>
            </w:pPr>
          </w:p>
        </w:tc>
      </w:tr>
      <w:tr w:rsidR="00FC2256">
        <w:trPr>
          <w:trHeight w:val="312"/>
          <w:jc w:val="center"/>
        </w:trPr>
        <w:tc>
          <w:tcPr>
            <w:tcW w:w="977" w:type="dxa"/>
            <w:vMerge/>
            <w:tcBorders>
              <w:top w:val="single" w:sz="4" w:space="0" w:color="auto"/>
              <w:left w:val="single" w:sz="4" w:space="0" w:color="auto"/>
              <w:bottom w:val="single" w:sz="4" w:space="0" w:color="auto"/>
              <w:right w:val="single" w:sz="4" w:space="0" w:color="auto"/>
            </w:tcBorders>
            <w:vAlign w:val="center"/>
          </w:tcPr>
          <w:p w:rsidR="00FC2256" w:rsidRDefault="00FC2256">
            <w:pPr>
              <w:rPr>
                <w:rFonts w:ascii="Times New Roman" w:eastAsia="仿宋_GB2312" w:hAnsi="Times New Roman" w:cs="Times New Roman"/>
                <w:sz w:val="24"/>
                <w:szCs w:val="24"/>
              </w:rPr>
            </w:pPr>
          </w:p>
        </w:tc>
        <w:tc>
          <w:tcPr>
            <w:tcW w:w="2415" w:type="dxa"/>
            <w:vMerge/>
            <w:tcBorders>
              <w:top w:val="nil"/>
              <w:left w:val="single" w:sz="4" w:space="0" w:color="auto"/>
              <w:bottom w:val="single" w:sz="4" w:space="0" w:color="auto"/>
              <w:right w:val="single" w:sz="4" w:space="0" w:color="auto"/>
            </w:tcBorders>
            <w:vAlign w:val="center"/>
          </w:tcPr>
          <w:p w:rsidR="00FC2256" w:rsidRDefault="00FC2256">
            <w:pPr>
              <w:rPr>
                <w:rFonts w:ascii="Times New Roman" w:eastAsia="仿宋_GB2312" w:hAnsi="Times New Roman" w:cs="Times New Roman"/>
                <w:sz w:val="24"/>
                <w:szCs w:val="24"/>
              </w:rPr>
            </w:pPr>
          </w:p>
        </w:tc>
        <w:tc>
          <w:tcPr>
            <w:tcW w:w="1434" w:type="dxa"/>
            <w:vMerge/>
            <w:tcBorders>
              <w:top w:val="single" w:sz="4" w:space="0" w:color="auto"/>
              <w:left w:val="single" w:sz="4" w:space="0" w:color="auto"/>
              <w:bottom w:val="single" w:sz="4" w:space="0" w:color="auto"/>
              <w:right w:val="single" w:sz="4" w:space="0" w:color="auto"/>
            </w:tcBorders>
            <w:vAlign w:val="center"/>
          </w:tcPr>
          <w:p w:rsidR="00FC2256" w:rsidRDefault="00FC2256">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FC2256" w:rsidRDefault="00FC2256">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FC2256" w:rsidRDefault="00FC2256">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FC2256" w:rsidRDefault="00FC2256">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FC2256" w:rsidRDefault="00FC2256">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FC2256" w:rsidRDefault="00FC2256">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FC2256" w:rsidRDefault="00FC2256">
            <w:pPr>
              <w:rPr>
                <w:rFonts w:ascii="Times New Roman" w:eastAsia="仿宋_GB2312" w:hAnsi="Times New Roman" w:cs="Times New Roman"/>
                <w:sz w:val="24"/>
                <w:szCs w:val="24"/>
              </w:rPr>
            </w:pPr>
          </w:p>
        </w:tc>
      </w:tr>
      <w:tr w:rsidR="00FC2256">
        <w:trPr>
          <w:trHeight w:val="450"/>
          <w:jc w:val="center"/>
        </w:trPr>
        <w:tc>
          <w:tcPr>
            <w:tcW w:w="3392" w:type="dxa"/>
            <w:gridSpan w:val="2"/>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栏次</w:t>
            </w:r>
          </w:p>
        </w:tc>
        <w:tc>
          <w:tcPr>
            <w:tcW w:w="1434" w:type="dxa"/>
            <w:tcBorders>
              <w:top w:val="nil"/>
              <w:left w:val="nil"/>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1</w:t>
            </w:r>
          </w:p>
        </w:tc>
        <w:tc>
          <w:tcPr>
            <w:tcW w:w="1640" w:type="dxa"/>
            <w:tcBorders>
              <w:top w:val="nil"/>
              <w:left w:val="nil"/>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w:t>
            </w:r>
          </w:p>
        </w:tc>
        <w:tc>
          <w:tcPr>
            <w:tcW w:w="1640" w:type="dxa"/>
            <w:tcBorders>
              <w:top w:val="nil"/>
              <w:left w:val="nil"/>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3</w:t>
            </w:r>
          </w:p>
        </w:tc>
        <w:tc>
          <w:tcPr>
            <w:tcW w:w="1640" w:type="dxa"/>
            <w:tcBorders>
              <w:top w:val="nil"/>
              <w:left w:val="nil"/>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4</w:t>
            </w:r>
          </w:p>
        </w:tc>
        <w:tc>
          <w:tcPr>
            <w:tcW w:w="1640" w:type="dxa"/>
            <w:tcBorders>
              <w:top w:val="nil"/>
              <w:left w:val="nil"/>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5</w:t>
            </w:r>
          </w:p>
        </w:tc>
        <w:tc>
          <w:tcPr>
            <w:tcW w:w="1897" w:type="dxa"/>
            <w:tcBorders>
              <w:top w:val="nil"/>
              <w:left w:val="nil"/>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6</w:t>
            </w:r>
          </w:p>
        </w:tc>
        <w:tc>
          <w:tcPr>
            <w:tcW w:w="1383" w:type="dxa"/>
            <w:tcBorders>
              <w:top w:val="nil"/>
              <w:left w:val="nil"/>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7</w:t>
            </w:r>
          </w:p>
        </w:tc>
      </w:tr>
      <w:tr w:rsidR="00FC2256">
        <w:trPr>
          <w:trHeight w:val="450"/>
          <w:jc w:val="center"/>
        </w:trPr>
        <w:tc>
          <w:tcPr>
            <w:tcW w:w="3392" w:type="dxa"/>
            <w:gridSpan w:val="2"/>
            <w:tcBorders>
              <w:top w:val="single" w:sz="4" w:space="0" w:color="auto"/>
              <w:left w:val="single" w:sz="4" w:space="0" w:color="auto"/>
              <w:bottom w:val="single" w:sz="4" w:space="0" w:color="auto"/>
              <w:right w:val="single" w:sz="4" w:space="0" w:color="auto"/>
            </w:tcBorders>
            <w:shd w:val="clear" w:color="auto" w:fill="F1F1F1"/>
            <w:tcMar>
              <w:top w:w="15" w:type="dxa"/>
              <w:left w:w="15" w:type="dxa"/>
              <w:bottom w:w="0" w:type="dxa"/>
              <w:right w:w="15" w:type="dxa"/>
            </w:tcMar>
            <w:vAlign w:val="center"/>
          </w:tcPr>
          <w:p w:rsidR="00FC2256" w:rsidRDefault="00000000">
            <w:pPr>
              <w:widowControl/>
              <w:jc w:val="center"/>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合计</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b/>
                <w:color w:val="000000"/>
                <w:kern w:val="0"/>
                <w:sz w:val="22"/>
                <w:lang w:bidi="ar"/>
              </w:rPr>
              <w:t xml:space="preserve">1,928.03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b/>
                <w:color w:val="000000"/>
                <w:kern w:val="0"/>
                <w:sz w:val="22"/>
                <w:lang w:bidi="ar"/>
              </w:rPr>
              <w:t xml:space="preserve">1,928.03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2010301</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行政运行</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1,176.31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1,176.31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2010302</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一般行政管理事务</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80.32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80.32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2010602</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一般行政管理事务</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0.44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0.44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2079999</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其他文化旅游体育与传媒支出</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80.00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80.00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2080505</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机关事业单位基本养老保险缴费支出</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103.26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103.26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2080799</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其他就业补助支出</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4.88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4.88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2089999</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其他社会保障和就业支出</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2.42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2.42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2101101</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行政单位医疗</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43.88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43.88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2120815</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农村社会事业支出</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11.08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11.08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2120816</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农业农村生态环境支出</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1.86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1.86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lastRenderedPageBreak/>
              <w:t>2130504</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农村基础设施建设</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2130701</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对村级公益事业建设的补助</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23.00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23.00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2130705</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对村民委员会和村党支部的补助</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200.42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200.42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2139999</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其他农林水支出</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20.00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20.00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2210201</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住房公积金</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79.36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79.36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2290403</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其他政府性基金债务收入安排的支出</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46.81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46.81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r w:rsidR="00FC2256">
        <w:trPr>
          <w:trHeight w:val="450"/>
          <w:jc w:val="center"/>
        </w:trPr>
        <w:tc>
          <w:tcPr>
            <w:tcW w:w="97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2296002</w:t>
            </w:r>
          </w:p>
        </w:tc>
        <w:tc>
          <w:tcPr>
            <w:tcW w:w="241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FC2256" w:rsidRDefault="00000000">
            <w:pPr>
              <w:widowControl/>
              <w:jc w:val="lef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用于社会福利的彩票公益金支出</w:t>
            </w:r>
          </w:p>
        </w:tc>
        <w:tc>
          <w:tcPr>
            <w:tcW w:w="1434"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52.00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000000">
            <w:pPr>
              <w:widowControl/>
              <w:jc w:val="right"/>
              <w:textAlignment w:val="center"/>
              <w:rPr>
                <w:rFonts w:ascii="Times New Roman" w:eastAsia="仿宋_GB2312" w:hAnsi="Times New Roman" w:cs="Times New Roman"/>
                <w:sz w:val="24"/>
                <w:szCs w:val="24"/>
              </w:rPr>
            </w:pPr>
            <w:r>
              <w:rPr>
                <w:rFonts w:ascii="宋体" w:eastAsia="宋体" w:hAnsi="宋体" w:cs="宋体" w:hint="eastAsia"/>
                <w:color w:val="000000"/>
                <w:kern w:val="0"/>
                <w:sz w:val="22"/>
                <w:lang w:bidi="ar"/>
              </w:rPr>
              <w:t xml:space="preserve">52.00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897"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c>
          <w:tcPr>
            <w:tcW w:w="1383" w:type="dxa"/>
            <w:tcBorders>
              <w:top w:val="nil"/>
              <w:left w:val="nil"/>
              <w:bottom w:val="single" w:sz="4" w:space="0" w:color="auto"/>
              <w:right w:val="single" w:sz="4" w:space="0" w:color="auto"/>
            </w:tcBorders>
            <w:tcMar>
              <w:top w:w="15" w:type="dxa"/>
              <w:left w:w="15" w:type="dxa"/>
              <w:bottom w:w="0" w:type="dxa"/>
              <w:right w:w="15" w:type="dxa"/>
            </w:tcMar>
            <w:vAlign w:val="center"/>
          </w:tcPr>
          <w:p w:rsidR="00FC2256" w:rsidRDefault="00FC2256">
            <w:pPr>
              <w:jc w:val="right"/>
              <w:rPr>
                <w:rFonts w:ascii="Times New Roman" w:eastAsia="仿宋_GB2312" w:hAnsi="Times New Roman" w:cs="Times New Roman"/>
                <w:sz w:val="24"/>
                <w:szCs w:val="24"/>
              </w:rPr>
            </w:pPr>
          </w:p>
        </w:tc>
      </w:tr>
    </w:tbl>
    <w:p w:rsidR="00FC2256" w:rsidRDefault="00000000">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FC2256" w:rsidRDefault="00000000">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p w:rsidR="00FC2256" w:rsidRDefault="00FC2256">
      <w:pPr>
        <w:widowControl/>
        <w:jc w:val="center"/>
        <w:textAlignment w:val="center"/>
        <w:rPr>
          <w:rFonts w:ascii="Times New Roman" w:eastAsia="黑体" w:hAnsi="Times New Roman" w:cs="Times New Roman"/>
          <w:color w:val="000000"/>
          <w:kern w:val="0"/>
          <w:sz w:val="32"/>
          <w:szCs w:val="32"/>
          <w:lang w:bidi="ar"/>
        </w:rPr>
      </w:pPr>
    </w:p>
    <w:p w:rsidR="00FC2256"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支出决算表</w:t>
      </w:r>
    </w:p>
    <w:p w:rsidR="00FC2256"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FC2256"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14214" w:type="dxa"/>
        <w:jc w:val="center"/>
        <w:tblLayout w:type="fixed"/>
        <w:tblLook w:val="04A0" w:firstRow="1" w:lastRow="0" w:firstColumn="1" w:lastColumn="0" w:noHBand="0" w:noVBand="1"/>
      </w:tblPr>
      <w:tblGrid>
        <w:gridCol w:w="1153"/>
        <w:gridCol w:w="3936"/>
        <w:gridCol w:w="1568"/>
        <w:gridCol w:w="1405"/>
        <w:gridCol w:w="1513"/>
        <w:gridCol w:w="1555"/>
        <w:gridCol w:w="1214"/>
        <w:gridCol w:w="1870"/>
      </w:tblGrid>
      <w:tr w:rsidR="00FC2256">
        <w:trPr>
          <w:trHeight w:val="595"/>
          <w:jc w:val="center"/>
        </w:trPr>
        <w:tc>
          <w:tcPr>
            <w:tcW w:w="5089" w:type="dxa"/>
            <w:gridSpan w:val="2"/>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b/>
                <w:bCs/>
                <w:kern w:val="0"/>
                <w:sz w:val="24"/>
                <w:szCs w:val="24"/>
              </w:rPr>
            </w:pPr>
            <w:r>
              <w:rPr>
                <w:rFonts w:ascii="宋体" w:eastAsia="宋体" w:hAnsi="宋体" w:cs="宋体" w:hint="eastAsia"/>
                <w:color w:val="000000"/>
                <w:kern w:val="0"/>
                <w:sz w:val="22"/>
                <w:lang w:bidi="ar"/>
              </w:rPr>
              <w:t>项目</w:t>
            </w:r>
          </w:p>
        </w:tc>
        <w:tc>
          <w:tcPr>
            <w:tcW w:w="1568" w:type="dxa"/>
            <w:vMerge w:val="restart"/>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b/>
                <w:bCs/>
                <w:kern w:val="0"/>
                <w:sz w:val="24"/>
                <w:szCs w:val="24"/>
              </w:rPr>
            </w:pPr>
            <w:r>
              <w:rPr>
                <w:rFonts w:ascii="宋体" w:eastAsia="宋体" w:hAnsi="宋体" w:cs="宋体" w:hint="eastAsia"/>
                <w:color w:val="000000"/>
                <w:kern w:val="0"/>
                <w:sz w:val="22"/>
                <w:lang w:bidi="ar"/>
              </w:rPr>
              <w:t>本年支出合计</w:t>
            </w:r>
          </w:p>
        </w:tc>
        <w:tc>
          <w:tcPr>
            <w:tcW w:w="1405" w:type="dxa"/>
            <w:vMerge w:val="restart"/>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b/>
                <w:bCs/>
                <w:kern w:val="0"/>
                <w:sz w:val="24"/>
                <w:szCs w:val="24"/>
              </w:rPr>
            </w:pPr>
            <w:r>
              <w:rPr>
                <w:rFonts w:ascii="宋体" w:eastAsia="宋体" w:hAnsi="宋体" w:cs="宋体" w:hint="eastAsia"/>
                <w:color w:val="000000"/>
                <w:kern w:val="0"/>
                <w:sz w:val="22"/>
                <w:lang w:bidi="ar"/>
              </w:rPr>
              <w:t>基本支出</w:t>
            </w:r>
          </w:p>
        </w:tc>
        <w:tc>
          <w:tcPr>
            <w:tcW w:w="1513" w:type="dxa"/>
            <w:vMerge w:val="restart"/>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b/>
                <w:bCs/>
                <w:kern w:val="0"/>
                <w:sz w:val="24"/>
                <w:szCs w:val="24"/>
              </w:rPr>
            </w:pPr>
            <w:r>
              <w:rPr>
                <w:rFonts w:ascii="宋体" w:eastAsia="宋体" w:hAnsi="宋体" w:cs="宋体" w:hint="eastAsia"/>
                <w:color w:val="000000"/>
                <w:kern w:val="0"/>
                <w:sz w:val="22"/>
                <w:lang w:bidi="ar"/>
              </w:rPr>
              <w:t>项目支出</w:t>
            </w:r>
          </w:p>
        </w:tc>
        <w:tc>
          <w:tcPr>
            <w:tcW w:w="1555" w:type="dxa"/>
            <w:vMerge w:val="restart"/>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b/>
                <w:bCs/>
                <w:kern w:val="0"/>
                <w:sz w:val="24"/>
                <w:szCs w:val="24"/>
              </w:rPr>
            </w:pPr>
            <w:r>
              <w:rPr>
                <w:rFonts w:ascii="宋体" w:eastAsia="宋体" w:hAnsi="宋体" w:cs="宋体" w:hint="eastAsia"/>
                <w:color w:val="000000"/>
                <w:kern w:val="0"/>
                <w:sz w:val="22"/>
                <w:lang w:bidi="ar"/>
              </w:rPr>
              <w:t>上缴上级支出</w:t>
            </w:r>
          </w:p>
        </w:tc>
        <w:tc>
          <w:tcPr>
            <w:tcW w:w="1214" w:type="dxa"/>
            <w:vMerge w:val="restart"/>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b/>
                <w:bCs/>
                <w:kern w:val="0"/>
                <w:sz w:val="24"/>
                <w:szCs w:val="24"/>
              </w:rPr>
            </w:pPr>
            <w:r>
              <w:rPr>
                <w:rFonts w:ascii="宋体" w:eastAsia="宋体" w:hAnsi="宋体" w:cs="宋体" w:hint="eastAsia"/>
                <w:color w:val="000000"/>
                <w:kern w:val="0"/>
                <w:sz w:val="22"/>
                <w:lang w:bidi="ar"/>
              </w:rPr>
              <w:t>经营支出</w:t>
            </w:r>
          </w:p>
        </w:tc>
        <w:tc>
          <w:tcPr>
            <w:tcW w:w="1870" w:type="dxa"/>
            <w:vMerge w:val="restart"/>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b/>
                <w:bCs/>
                <w:kern w:val="0"/>
                <w:sz w:val="24"/>
                <w:szCs w:val="24"/>
              </w:rPr>
            </w:pPr>
            <w:r>
              <w:rPr>
                <w:rFonts w:ascii="宋体" w:eastAsia="宋体" w:hAnsi="宋体" w:cs="宋体" w:hint="eastAsia"/>
                <w:color w:val="000000"/>
                <w:kern w:val="0"/>
                <w:sz w:val="22"/>
                <w:lang w:bidi="ar"/>
              </w:rPr>
              <w:t>对附属单位补助支出</w:t>
            </w:r>
          </w:p>
        </w:tc>
      </w:tr>
      <w:tr w:rsidR="00FC2256">
        <w:trPr>
          <w:trHeight w:hRule="exact" w:val="312"/>
          <w:jc w:val="center"/>
        </w:trPr>
        <w:tc>
          <w:tcPr>
            <w:tcW w:w="1153" w:type="dxa"/>
            <w:vMerge w:val="restart"/>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b/>
                <w:bCs/>
                <w:kern w:val="0"/>
                <w:sz w:val="24"/>
                <w:szCs w:val="24"/>
              </w:rPr>
            </w:pPr>
            <w:r>
              <w:rPr>
                <w:rFonts w:ascii="宋体" w:eastAsia="宋体" w:hAnsi="宋体" w:cs="宋体" w:hint="eastAsia"/>
                <w:color w:val="000000"/>
                <w:kern w:val="0"/>
                <w:sz w:val="22"/>
                <w:lang w:bidi="ar"/>
              </w:rPr>
              <w:t>科目代码</w:t>
            </w:r>
          </w:p>
        </w:tc>
        <w:tc>
          <w:tcPr>
            <w:tcW w:w="3936" w:type="dxa"/>
            <w:vMerge w:val="restart"/>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b/>
                <w:bCs/>
                <w:kern w:val="0"/>
                <w:sz w:val="24"/>
                <w:szCs w:val="24"/>
              </w:rPr>
            </w:pPr>
            <w:r>
              <w:rPr>
                <w:rFonts w:ascii="宋体" w:eastAsia="宋体" w:hAnsi="宋体" w:cs="宋体" w:hint="eastAsia"/>
                <w:color w:val="000000"/>
                <w:kern w:val="0"/>
                <w:sz w:val="22"/>
                <w:lang w:bidi="ar"/>
              </w:rPr>
              <w:t>科目名称</w:t>
            </w:r>
          </w:p>
        </w:tc>
        <w:tc>
          <w:tcPr>
            <w:tcW w:w="1568"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b/>
                <w:bCs/>
                <w:kern w:val="0"/>
                <w:sz w:val="24"/>
                <w:szCs w:val="24"/>
              </w:rPr>
            </w:pPr>
          </w:p>
        </w:tc>
        <w:tc>
          <w:tcPr>
            <w:tcW w:w="1405"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b/>
                <w:bCs/>
                <w:kern w:val="0"/>
                <w:sz w:val="24"/>
                <w:szCs w:val="24"/>
              </w:rPr>
            </w:pPr>
          </w:p>
        </w:tc>
        <w:tc>
          <w:tcPr>
            <w:tcW w:w="1513"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b/>
                <w:bCs/>
                <w:kern w:val="0"/>
                <w:sz w:val="24"/>
                <w:szCs w:val="24"/>
              </w:rPr>
            </w:pPr>
          </w:p>
        </w:tc>
        <w:tc>
          <w:tcPr>
            <w:tcW w:w="1555"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b/>
                <w:bCs/>
                <w:kern w:val="0"/>
                <w:sz w:val="24"/>
                <w:szCs w:val="24"/>
              </w:rPr>
            </w:pPr>
          </w:p>
        </w:tc>
        <w:tc>
          <w:tcPr>
            <w:tcW w:w="1214"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b/>
                <w:bCs/>
                <w:kern w:val="0"/>
                <w:sz w:val="24"/>
                <w:szCs w:val="24"/>
              </w:rPr>
            </w:pPr>
          </w:p>
        </w:tc>
        <w:tc>
          <w:tcPr>
            <w:tcW w:w="1870" w:type="dxa"/>
            <w:vMerge/>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b/>
                <w:bCs/>
                <w:kern w:val="0"/>
                <w:sz w:val="24"/>
                <w:szCs w:val="24"/>
              </w:rPr>
            </w:pPr>
          </w:p>
        </w:tc>
      </w:tr>
      <w:tr w:rsidR="00FC2256">
        <w:trPr>
          <w:trHeight w:val="595"/>
          <w:jc w:val="center"/>
        </w:trPr>
        <w:tc>
          <w:tcPr>
            <w:tcW w:w="1153" w:type="dxa"/>
            <w:vMerge/>
            <w:tcBorders>
              <w:top w:val="single" w:sz="4" w:space="0" w:color="auto"/>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 w:val="24"/>
                <w:szCs w:val="24"/>
              </w:rPr>
            </w:pPr>
          </w:p>
        </w:tc>
        <w:tc>
          <w:tcPr>
            <w:tcW w:w="3936" w:type="dxa"/>
            <w:vMerge/>
            <w:tcBorders>
              <w:top w:val="nil"/>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 w:val="24"/>
                <w:szCs w:val="24"/>
              </w:rPr>
            </w:pPr>
          </w:p>
        </w:tc>
        <w:tc>
          <w:tcPr>
            <w:tcW w:w="1568" w:type="dxa"/>
            <w:vMerge/>
            <w:tcBorders>
              <w:top w:val="single" w:sz="4" w:space="0" w:color="auto"/>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 w:val="24"/>
                <w:szCs w:val="24"/>
              </w:rPr>
            </w:pPr>
          </w:p>
        </w:tc>
        <w:tc>
          <w:tcPr>
            <w:tcW w:w="1405" w:type="dxa"/>
            <w:vMerge/>
            <w:tcBorders>
              <w:top w:val="single" w:sz="4" w:space="0" w:color="auto"/>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 w:val="24"/>
                <w:szCs w:val="24"/>
              </w:rPr>
            </w:pPr>
          </w:p>
        </w:tc>
        <w:tc>
          <w:tcPr>
            <w:tcW w:w="1513" w:type="dxa"/>
            <w:vMerge/>
            <w:tcBorders>
              <w:top w:val="single" w:sz="4" w:space="0" w:color="auto"/>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 w:val="24"/>
                <w:szCs w:val="24"/>
              </w:rPr>
            </w:pPr>
          </w:p>
        </w:tc>
        <w:tc>
          <w:tcPr>
            <w:tcW w:w="1555" w:type="dxa"/>
            <w:vMerge/>
            <w:tcBorders>
              <w:top w:val="single" w:sz="4" w:space="0" w:color="auto"/>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 w:val="24"/>
                <w:szCs w:val="24"/>
              </w:rPr>
            </w:pPr>
          </w:p>
        </w:tc>
        <w:tc>
          <w:tcPr>
            <w:tcW w:w="1214" w:type="dxa"/>
            <w:vMerge/>
            <w:tcBorders>
              <w:top w:val="single" w:sz="4" w:space="0" w:color="auto"/>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 w:val="24"/>
                <w:szCs w:val="24"/>
              </w:rPr>
            </w:pPr>
          </w:p>
        </w:tc>
        <w:tc>
          <w:tcPr>
            <w:tcW w:w="1870" w:type="dxa"/>
            <w:vMerge/>
            <w:tcBorders>
              <w:top w:val="single" w:sz="4" w:space="0" w:color="auto"/>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 w:val="24"/>
                <w:szCs w:val="24"/>
              </w:rPr>
            </w:pPr>
          </w:p>
        </w:tc>
      </w:tr>
      <w:tr w:rsidR="00FC2256">
        <w:trPr>
          <w:trHeight w:val="595"/>
          <w:jc w:val="center"/>
        </w:trPr>
        <w:tc>
          <w:tcPr>
            <w:tcW w:w="5089" w:type="dxa"/>
            <w:gridSpan w:val="2"/>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栏次</w:t>
            </w:r>
          </w:p>
        </w:tc>
        <w:tc>
          <w:tcPr>
            <w:tcW w:w="1568"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1</w:t>
            </w:r>
          </w:p>
        </w:tc>
        <w:tc>
          <w:tcPr>
            <w:tcW w:w="140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w:t>
            </w:r>
          </w:p>
        </w:tc>
        <w:tc>
          <w:tcPr>
            <w:tcW w:w="1513"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3</w:t>
            </w:r>
          </w:p>
        </w:tc>
        <w:tc>
          <w:tcPr>
            <w:tcW w:w="15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4</w:t>
            </w:r>
          </w:p>
        </w:tc>
        <w:tc>
          <w:tcPr>
            <w:tcW w:w="1214"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5</w:t>
            </w:r>
          </w:p>
        </w:tc>
        <w:tc>
          <w:tcPr>
            <w:tcW w:w="1870"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6</w:t>
            </w:r>
          </w:p>
        </w:tc>
      </w:tr>
      <w:tr w:rsidR="00FC2256">
        <w:trPr>
          <w:trHeight w:val="595"/>
          <w:jc w:val="center"/>
        </w:trPr>
        <w:tc>
          <w:tcPr>
            <w:tcW w:w="5089" w:type="dxa"/>
            <w:gridSpan w:val="2"/>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合计</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b/>
                <w:color w:val="000000"/>
                <w:kern w:val="0"/>
                <w:sz w:val="22"/>
                <w:lang w:bidi="ar"/>
              </w:rPr>
              <w:t xml:space="preserve">1,928.03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b/>
                <w:color w:val="000000"/>
                <w:kern w:val="0"/>
                <w:sz w:val="22"/>
                <w:lang w:bidi="ar"/>
              </w:rPr>
              <w:t xml:space="preserve">1,735.53 </w:t>
            </w:r>
          </w:p>
        </w:tc>
        <w:tc>
          <w:tcPr>
            <w:tcW w:w="151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b/>
                <w:color w:val="000000"/>
                <w:kern w:val="0"/>
                <w:sz w:val="22"/>
                <w:lang w:bidi="ar"/>
              </w:rPr>
              <w:t xml:space="preserve">192.51 </w:t>
            </w: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2010301</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行政运行</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1,176.31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1,176.31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2010302</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一般行政管理事务</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80.32 </w:t>
            </w:r>
          </w:p>
        </w:tc>
        <w:tc>
          <w:tcPr>
            <w:tcW w:w="140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1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80.32 </w:t>
            </w: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2010602</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一般行政管理事务</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0.44 </w:t>
            </w:r>
          </w:p>
        </w:tc>
        <w:tc>
          <w:tcPr>
            <w:tcW w:w="140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1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0.44 </w:t>
            </w: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2079999</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其他文化旅游体育与传媒支出</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80.00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80.00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2080505</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机关事业单位基本养老保险缴费支出</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103.26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103.26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2080799</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其他就业补助支出</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4.88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4.88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2089999</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其他社会保障和就业支出</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2.42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2.42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lastRenderedPageBreak/>
              <w:t>2101101</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行政单位医疗</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43.88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43.88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2120815</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农村社会事业支出</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11.08 </w:t>
            </w:r>
          </w:p>
        </w:tc>
        <w:tc>
          <w:tcPr>
            <w:tcW w:w="140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1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11.08 </w:t>
            </w: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2120816</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农业农村生态环境支出</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1.86 </w:t>
            </w:r>
          </w:p>
        </w:tc>
        <w:tc>
          <w:tcPr>
            <w:tcW w:w="140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1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1.86 </w:t>
            </w: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2130504</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农村基础设施建设</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2.00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2.00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2130701</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对村级公益事业建设的补助</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23.00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23.00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2130705</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对村民委员会和村党支部的补助</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200.42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200.42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2139999</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其他农林水支出</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20.00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20.00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2210201</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住房公积金</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79.36 </w:t>
            </w:r>
          </w:p>
        </w:tc>
        <w:tc>
          <w:tcPr>
            <w:tcW w:w="140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79.36 </w:t>
            </w:r>
          </w:p>
        </w:tc>
        <w:tc>
          <w:tcPr>
            <w:tcW w:w="1513"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2290403</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其他政府性基金债务收入安排的支出</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46.81 </w:t>
            </w:r>
          </w:p>
        </w:tc>
        <w:tc>
          <w:tcPr>
            <w:tcW w:w="140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1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46.81 </w:t>
            </w: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r w:rsidR="00FC2256">
        <w:trPr>
          <w:trHeight w:val="595"/>
          <w:jc w:val="center"/>
        </w:trPr>
        <w:tc>
          <w:tcPr>
            <w:tcW w:w="1153" w:type="dxa"/>
            <w:tcBorders>
              <w:top w:val="single" w:sz="4" w:space="0" w:color="auto"/>
              <w:left w:val="single" w:sz="4" w:space="0" w:color="auto"/>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2296002</w:t>
            </w:r>
          </w:p>
        </w:tc>
        <w:tc>
          <w:tcPr>
            <w:tcW w:w="3936" w:type="dxa"/>
            <w:tcBorders>
              <w:top w:val="nil"/>
              <w:left w:val="nil"/>
              <w:bottom w:val="single" w:sz="4" w:space="0" w:color="auto"/>
              <w:right w:val="single" w:sz="4" w:space="0" w:color="auto"/>
            </w:tcBorders>
            <w:shd w:val="clear" w:color="000000" w:fill="FFFFFF"/>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用于社会福利的彩票公益金支出</w:t>
            </w:r>
          </w:p>
        </w:tc>
        <w:tc>
          <w:tcPr>
            <w:tcW w:w="1568"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52.00 </w:t>
            </w:r>
          </w:p>
        </w:tc>
        <w:tc>
          <w:tcPr>
            <w:tcW w:w="140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51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52.00 </w:t>
            </w:r>
          </w:p>
        </w:tc>
        <w:tc>
          <w:tcPr>
            <w:tcW w:w="15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214"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c>
          <w:tcPr>
            <w:tcW w:w="187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4"/>
                <w:szCs w:val="24"/>
              </w:rPr>
            </w:pPr>
          </w:p>
        </w:tc>
      </w:tr>
    </w:tbl>
    <w:p w:rsidR="00FC2256" w:rsidRDefault="00000000">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FC2256" w:rsidRDefault="00000000">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FC2256" w:rsidRDefault="00FC2256">
      <w:pPr>
        <w:widowControl/>
        <w:spacing w:line="400" w:lineRule="exact"/>
        <w:jc w:val="center"/>
        <w:textAlignment w:val="center"/>
        <w:rPr>
          <w:rFonts w:ascii="Times New Roman" w:eastAsia="黑体" w:hAnsi="Times New Roman" w:cs="Times New Roman"/>
          <w:color w:val="000000"/>
          <w:kern w:val="0"/>
          <w:sz w:val="32"/>
          <w:szCs w:val="32"/>
          <w:lang w:bidi="ar"/>
        </w:rPr>
      </w:pPr>
    </w:p>
    <w:p w:rsidR="00FC2256" w:rsidRDefault="00FC2256">
      <w:pPr>
        <w:widowControl/>
        <w:spacing w:afterLines="50" w:after="156"/>
        <w:jc w:val="center"/>
        <w:textAlignment w:val="center"/>
        <w:rPr>
          <w:rFonts w:ascii="Times New Roman" w:eastAsia="黑体" w:hAnsi="Times New Roman" w:cs="Times New Roman"/>
          <w:color w:val="000000"/>
          <w:kern w:val="0"/>
          <w:sz w:val="36"/>
          <w:szCs w:val="36"/>
          <w:lang w:bidi="ar"/>
        </w:rPr>
      </w:pPr>
    </w:p>
    <w:p w:rsidR="00FC2256" w:rsidRDefault="00FC2256">
      <w:pPr>
        <w:widowControl/>
        <w:spacing w:afterLines="50" w:after="156"/>
        <w:jc w:val="center"/>
        <w:textAlignment w:val="center"/>
        <w:rPr>
          <w:rFonts w:ascii="Times New Roman" w:eastAsia="黑体" w:hAnsi="Times New Roman" w:cs="Times New Roman"/>
          <w:color w:val="000000"/>
          <w:kern w:val="0"/>
          <w:sz w:val="36"/>
          <w:szCs w:val="36"/>
          <w:lang w:bidi="ar"/>
        </w:rPr>
      </w:pPr>
    </w:p>
    <w:p w:rsidR="00FC2256" w:rsidRDefault="00FC2256">
      <w:pPr>
        <w:widowControl/>
        <w:spacing w:afterLines="50" w:after="156"/>
        <w:jc w:val="center"/>
        <w:textAlignment w:val="center"/>
        <w:rPr>
          <w:rFonts w:ascii="Times New Roman" w:eastAsia="黑体" w:hAnsi="Times New Roman" w:cs="Times New Roman"/>
          <w:color w:val="000000"/>
          <w:kern w:val="0"/>
          <w:sz w:val="36"/>
          <w:szCs w:val="36"/>
          <w:lang w:bidi="ar"/>
        </w:rPr>
      </w:pPr>
    </w:p>
    <w:p w:rsidR="00FC2256"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财政拨款收入支出决算总表</w:t>
      </w:r>
    </w:p>
    <w:p w:rsidR="00FC2256"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FC2256"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14220" w:type="dxa"/>
        <w:jc w:val="center"/>
        <w:tblLayout w:type="fixed"/>
        <w:tblLook w:val="04A0" w:firstRow="1" w:lastRow="0" w:firstColumn="1" w:lastColumn="0" w:noHBand="0" w:noVBand="1"/>
      </w:tblPr>
      <w:tblGrid>
        <w:gridCol w:w="3606"/>
        <w:gridCol w:w="654"/>
        <w:gridCol w:w="1255"/>
        <w:gridCol w:w="3231"/>
        <w:gridCol w:w="655"/>
        <w:gridCol w:w="1132"/>
        <w:gridCol w:w="1200"/>
        <w:gridCol w:w="1200"/>
        <w:gridCol w:w="1287"/>
      </w:tblGrid>
      <w:tr w:rsidR="00FC2256">
        <w:trPr>
          <w:trHeight w:val="402"/>
          <w:jc w:val="center"/>
        </w:trPr>
        <w:tc>
          <w:tcPr>
            <w:tcW w:w="5515" w:type="dxa"/>
            <w:gridSpan w:val="3"/>
            <w:tcBorders>
              <w:top w:val="single" w:sz="4" w:space="0" w:color="auto"/>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收入</w:t>
            </w:r>
          </w:p>
        </w:tc>
        <w:tc>
          <w:tcPr>
            <w:tcW w:w="8705" w:type="dxa"/>
            <w:gridSpan w:val="6"/>
            <w:tcBorders>
              <w:top w:val="single" w:sz="4" w:space="0" w:color="auto"/>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支出</w:t>
            </w:r>
          </w:p>
        </w:tc>
      </w:tr>
      <w:tr w:rsidR="00FC2256">
        <w:trPr>
          <w:trHeight w:val="630"/>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项目</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行次</w:t>
            </w:r>
          </w:p>
        </w:tc>
        <w:tc>
          <w:tcPr>
            <w:tcW w:w="12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金额</w:t>
            </w: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项目</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0"/>
                <w:szCs w:val="20"/>
              </w:rPr>
            </w:pPr>
            <w:r>
              <w:rPr>
                <w:rFonts w:ascii="宋体" w:eastAsia="宋体" w:hAnsi="宋体" w:cs="宋体" w:hint="eastAsia"/>
                <w:color w:val="000000"/>
                <w:kern w:val="0"/>
                <w:sz w:val="22"/>
                <w:lang w:bidi="ar"/>
              </w:rPr>
              <w:t>行次</w:t>
            </w:r>
          </w:p>
        </w:tc>
        <w:tc>
          <w:tcPr>
            <w:tcW w:w="1132"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合计</w:t>
            </w:r>
          </w:p>
        </w:tc>
        <w:tc>
          <w:tcPr>
            <w:tcW w:w="1200"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一般公共预算财政拨款</w:t>
            </w:r>
          </w:p>
        </w:tc>
        <w:tc>
          <w:tcPr>
            <w:tcW w:w="1200"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政府性基金预算财政拨款</w:t>
            </w:r>
          </w:p>
        </w:tc>
        <w:tc>
          <w:tcPr>
            <w:tcW w:w="1287"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国有资本经营预算财政拨款</w:t>
            </w: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栏次</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center"/>
            </w:pPr>
          </w:p>
        </w:tc>
        <w:tc>
          <w:tcPr>
            <w:tcW w:w="12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1</w:t>
            </w: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栏次</w:t>
            </w:r>
          </w:p>
        </w:tc>
        <w:tc>
          <w:tcPr>
            <w:tcW w:w="655" w:type="dxa"/>
            <w:tcBorders>
              <w:top w:val="nil"/>
              <w:left w:val="nil"/>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kern w:val="0"/>
                <w:sz w:val="24"/>
                <w:szCs w:val="24"/>
              </w:rPr>
            </w:pPr>
          </w:p>
        </w:tc>
        <w:tc>
          <w:tcPr>
            <w:tcW w:w="1132"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w:t>
            </w:r>
          </w:p>
        </w:tc>
        <w:tc>
          <w:tcPr>
            <w:tcW w:w="1200"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3</w:t>
            </w:r>
          </w:p>
        </w:tc>
        <w:tc>
          <w:tcPr>
            <w:tcW w:w="1200"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4</w:t>
            </w:r>
          </w:p>
        </w:tc>
        <w:tc>
          <w:tcPr>
            <w:tcW w:w="1287"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5</w:t>
            </w: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一、一般公共预算财政拨款</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w:t>
            </w:r>
          </w:p>
        </w:tc>
        <w:tc>
          <w:tcPr>
            <w:tcW w:w="125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1,816.28 </w:t>
            </w: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一、一般公共服务支出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33</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1,257.07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1,257.07 </w:t>
            </w: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二、政府性基金预算财政拨款</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w:t>
            </w:r>
          </w:p>
        </w:tc>
        <w:tc>
          <w:tcPr>
            <w:tcW w:w="125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111.75 </w:t>
            </w: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二、外交支出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34</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三、国有资本经营预算财政拨款</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3</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三、国防支出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35</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4</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四、公共安全支出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36</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5</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五、教育支出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37</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6</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六、科学技术支出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38</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7</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七、文化旅游体育与传媒支出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39</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80.00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80.00 </w:t>
            </w: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8</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八、社会保障和就业支出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40</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110.56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110.56 </w:t>
            </w: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b/>
                <w:bCs/>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9</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b/>
                <w:bCs/>
                <w:kern w:val="0"/>
                <w:sz w:val="22"/>
              </w:rPr>
            </w:pPr>
            <w:r>
              <w:rPr>
                <w:rFonts w:ascii="宋体" w:eastAsia="宋体" w:hAnsi="宋体" w:cs="宋体" w:hint="eastAsia"/>
                <w:color w:val="000000"/>
                <w:kern w:val="0"/>
                <w:sz w:val="22"/>
                <w:lang w:bidi="ar"/>
              </w:rPr>
              <w:t>九、卫生健康支出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41</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43.88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43.88 </w:t>
            </w: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b/>
                <w:bCs/>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10</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十、节能环保支出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42</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11</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十一、城乡社区支出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43</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12.94 </w:t>
            </w: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12.94 </w:t>
            </w: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12</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十二、农林水支出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44</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245.42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245.42 </w:t>
            </w: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13</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十三、交通运输支出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45</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b/>
                <w:bCs/>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14</w:t>
            </w:r>
          </w:p>
        </w:tc>
        <w:tc>
          <w:tcPr>
            <w:tcW w:w="1255" w:type="dxa"/>
            <w:tcBorders>
              <w:top w:val="nil"/>
              <w:left w:val="nil"/>
              <w:bottom w:val="single" w:sz="4" w:space="0" w:color="auto"/>
              <w:right w:val="single" w:sz="4" w:space="0" w:color="auto"/>
            </w:tcBorders>
            <w:shd w:val="clear" w:color="000000" w:fill="FFFFFF"/>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b/>
                <w:bCs/>
                <w:kern w:val="0"/>
                <w:sz w:val="22"/>
              </w:rPr>
            </w:pPr>
            <w:r>
              <w:rPr>
                <w:rFonts w:ascii="宋体" w:eastAsia="宋体" w:hAnsi="宋体" w:cs="宋体" w:hint="eastAsia"/>
                <w:color w:val="000000"/>
                <w:kern w:val="0"/>
                <w:sz w:val="22"/>
                <w:lang w:bidi="ar"/>
              </w:rPr>
              <w:t>十四、资源勘探工业信息等支出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46</w:t>
            </w:r>
          </w:p>
        </w:tc>
        <w:tc>
          <w:tcPr>
            <w:tcW w:w="1132" w:type="dxa"/>
            <w:tcBorders>
              <w:top w:val="nil"/>
              <w:left w:val="nil"/>
              <w:bottom w:val="single" w:sz="4" w:space="0" w:color="auto"/>
              <w:right w:val="single" w:sz="4" w:space="0" w:color="auto"/>
            </w:tcBorders>
            <w:shd w:val="clear" w:color="000000" w:fill="FFFFFF"/>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shd w:val="clear" w:color="000000" w:fill="FFFFFF"/>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b/>
                <w:bCs/>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b/>
                <w:bCs/>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15</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十五、商业服务业等支出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47</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16</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十六、金融支出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48</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17</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十七、援助其他地区支出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49</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18</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十八、自然资源海洋气象等支出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50</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19</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十九、住房保障支出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51</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79.36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79.36 </w:t>
            </w: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20</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二十、粮油物资储备支出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52</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21</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二十一、国有资本经营预算支出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53</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22</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二十二、灾害防治及应急管理支出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54</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23</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二十三、其他支出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55</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98.81 </w:t>
            </w: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98.81 </w:t>
            </w: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center"/>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24</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二十四、债务还本支出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56</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25</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二十五、债务付息支出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57</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2"/>
              </w:rPr>
            </w:pP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26</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二十六、抗疫特别国债安排的支出</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58</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b/>
                <w:color w:val="000000"/>
                <w:kern w:val="0"/>
                <w:sz w:val="22"/>
                <w:lang w:bidi="ar"/>
              </w:rPr>
              <w:t>本年收入合计</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27</w:t>
            </w:r>
          </w:p>
        </w:tc>
        <w:tc>
          <w:tcPr>
            <w:tcW w:w="125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1,928.03 </w:t>
            </w: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b/>
                <w:color w:val="000000"/>
                <w:kern w:val="0"/>
                <w:sz w:val="22"/>
                <w:lang w:bidi="ar"/>
              </w:rPr>
              <w:t>本年支出合计</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59</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1,928.03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1,816.28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111.75 </w:t>
            </w: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  年初财政拨款结转和结余</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28</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 xml:space="preserve">   年末财政拨款结转和结余</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60</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0.00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0.00 </w:t>
            </w: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     一般公共预算财政拨款</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29</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4"/>
                <w:szCs w:val="24"/>
              </w:rPr>
            </w:pP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61</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     政府性基金预算财政拨款</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30</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4"/>
                <w:szCs w:val="24"/>
              </w:rPr>
            </w:pP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62</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     国有资本经营预算财政拨款</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31</w:t>
            </w:r>
          </w:p>
        </w:tc>
        <w:tc>
          <w:tcPr>
            <w:tcW w:w="1255"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3231" w:type="dxa"/>
            <w:tcBorders>
              <w:top w:val="nil"/>
              <w:left w:val="nil"/>
              <w:bottom w:val="single" w:sz="4" w:space="0" w:color="auto"/>
              <w:right w:val="single" w:sz="4" w:space="0" w:color="auto"/>
            </w:tcBorders>
            <w:shd w:val="clear" w:color="auto" w:fill="F1F1F1"/>
            <w:vAlign w:val="center"/>
          </w:tcPr>
          <w:p w:rsidR="00FC2256" w:rsidRDefault="00FC2256">
            <w:pPr>
              <w:jc w:val="left"/>
              <w:rPr>
                <w:rFonts w:ascii="Times New Roman" w:eastAsia="仿宋_GB2312" w:hAnsi="Times New Roman" w:cs="Times New Roman"/>
                <w:kern w:val="0"/>
                <w:sz w:val="24"/>
                <w:szCs w:val="24"/>
              </w:rPr>
            </w:pP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63</w:t>
            </w:r>
          </w:p>
        </w:tc>
        <w:tc>
          <w:tcPr>
            <w:tcW w:w="1132"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00"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r w:rsidR="00FC2256">
        <w:trPr>
          <w:trHeight w:val="402"/>
          <w:jc w:val="center"/>
        </w:trPr>
        <w:tc>
          <w:tcPr>
            <w:tcW w:w="3606"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b/>
                <w:color w:val="000000"/>
                <w:kern w:val="0"/>
                <w:sz w:val="22"/>
                <w:lang w:bidi="ar"/>
              </w:rPr>
              <w:t>总计</w:t>
            </w:r>
          </w:p>
        </w:tc>
        <w:tc>
          <w:tcPr>
            <w:tcW w:w="654"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pPr>
            <w:r>
              <w:rPr>
                <w:rFonts w:ascii="宋体" w:eastAsia="宋体" w:hAnsi="宋体" w:cs="宋体" w:hint="eastAsia"/>
                <w:color w:val="000000"/>
                <w:kern w:val="0"/>
                <w:sz w:val="22"/>
                <w:lang w:bidi="ar"/>
              </w:rPr>
              <w:t>32</w:t>
            </w:r>
          </w:p>
        </w:tc>
        <w:tc>
          <w:tcPr>
            <w:tcW w:w="1255"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1,928.03 </w:t>
            </w:r>
          </w:p>
        </w:tc>
        <w:tc>
          <w:tcPr>
            <w:tcW w:w="3231"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4"/>
                <w:szCs w:val="24"/>
              </w:rPr>
            </w:pPr>
            <w:r>
              <w:rPr>
                <w:rFonts w:ascii="宋体" w:eastAsia="宋体" w:hAnsi="宋体" w:cs="宋体" w:hint="eastAsia"/>
                <w:b/>
                <w:color w:val="000000"/>
                <w:kern w:val="0"/>
                <w:sz w:val="22"/>
                <w:lang w:bidi="ar"/>
              </w:rPr>
              <w:t>总计</w:t>
            </w:r>
          </w:p>
        </w:tc>
        <w:tc>
          <w:tcPr>
            <w:tcW w:w="655" w:type="dxa"/>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64</w:t>
            </w:r>
          </w:p>
        </w:tc>
        <w:tc>
          <w:tcPr>
            <w:tcW w:w="1132"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1,928.03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1,816.28 </w:t>
            </w:r>
          </w:p>
        </w:tc>
        <w:tc>
          <w:tcPr>
            <w:tcW w:w="1200"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 xml:space="preserve">111.75 </w:t>
            </w:r>
          </w:p>
        </w:tc>
        <w:tc>
          <w:tcPr>
            <w:tcW w:w="1287"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 w:val="22"/>
              </w:rPr>
            </w:pPr>
          </w:p>
        </w:tc>
      </w:tr>
    </w:tbl>
    <w:p w:rsidR="00FC2256"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FC2256" w:rsidRDefault="00FC2256">
      <w:pPr>
        <w:widowControl/>
        <w:jc w:val="center"/>
        <w:rPr>
          <w:rFonts w:ascii="Times New Roman" w:eastAsia="方正小标宋_GBK" w:hAnsi="Times New Roman" w:cs="Times New Roman"/>
          <w:kern w:val="0"/>
          <w:sz w:val="36"/>
          <w:szCs w:val="36"/>
        </w:rPr>
      </w:pPr>
    </w:p>
    <w:p w:rsidR="00FC2256" w:rsidRDefault="00FC2256">
      <w:pPr>
        <w:widowControl/>
        <w:spacing w:afterLines="50" w:after="156"/>
        <w:jc w:val="center"/>
        <w:textAlignment w:val="center"/>
        <w:rPr>
          <w:rFonts w:ascii="Times New Roman" w:eastAsia="黑体" w:hAnsi="Times New Roman" w:cs="Times New Roman"/>
          <w:color w:val="000000"/>
          <w:kern w:val="0"/>
          <w:sz w:val="36"/>
          <w:szCs w:val="36"/>
          <w:lang w:bidi="ar"/>
        </w:rPr>
      </w:pPr>
    </w:p>
    <w:p w:rsidR="00FC2256" w:rsidRDefault="00FC2256">
      <w:pPr>
        <w:widowControl/>
        <w:spacing w:afterLines="50" w:after="156"/>
        <w:jc w:val="center"/>
        <w:textAlignment w:val="center"/>
        <w:rPr>
          <w:rFonts w:ascii="Times New Roman" w:eastAsia="黑体" w:hAnsi="Times New Roman" w:cs="Times New Roman"/>
          <w:color w:val="000000"/>
          <w:kern w:val="0"/>
          <w:sz w:val="36"/>
          <w:szCs w:val="36"/>
          <w:lang w:bidi="ar"/>
        </w:rPr>
      </w:pPr>
    </w:p>
    <w:p w:rsidR="00FC2256"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一般公共预算财政拨款支出决算表</w:t>
      </w:r>
      <w:bookmarkEnd w:id="1"/>
    </w:p>
    <w:p w:rsidR="00FC2256" w:rsidRDefault="00000000">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FC2256" w:rsidRDefault="00000000">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ayout w:type="fixed"/>
        <w:tblLook w:val="04A0" w:firstRow="1" w:lastRow="0" w:firstColumn="1" w:lastColumn="0" w:noHBand="0" w:noVBand="1"/>
      </w:tblPr>
      <w:tblGrid>
        <w:gridCol w:w="1200"/>
        <w:gridCol w:w="3960"/>
        <w:gridCol w:w="3096"/>
        <w:gridCol w:w="3231"/>
        <w:gridCol w:w="2732"/>
      </w:tblGrid>
      <w:tr w:rsidR="00FC2256">
        <w:trPr>
          <w:trHeight w:val="545"/>
          <w:jc w:val="center"/>
        </w:trPr>
        <w:tc>
          <w:tcPr>
            <w:tcW w:w="5160" w:type="dxa"/>
            <w:gridSpan w:val="2"/>
            <w:tcBorders>
              <w:top w:val="single" w:sz="8" w:space="0" w:color="auto"/>
              <w:left w:val="single" w:sz="8" w:space="0" w:color="auto"/>
              <w:bottom w:val="single" w:sz="4" w:space="0" w:color="auto"/>
              <w:right w:val="single" w:sz="4" w:space="0" w:color="auto"/>
            </w:tcBorders>
            <w:vAlign w:val="center"/>
          </w:tcPr>
          <w:p w:rsidR="00FC2256"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059" w:type="dxa"/>
            <w:gridSpan w:val="3"/>
            <w:tcBorders>
              <w:top w:val="single" w:sz="8" w:space="0" w:color="auto"/>
              <w:left w:val="nil"/>
              <w:bottom w:val="single" w:sz="4" w:space="0" w:color="auto"/>
              <w:right w:val="single" w:sz="8" w:space="0" w:color="000000"/>
            </w:tcBorders>
            <w:vAlign w:val="center"/>
          </w:tcPr>
          <w:p w:rsidR="00FC2256"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FC2256">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960" w:type="dxa"/>
            <w:vMerge w:val="restart"/>
            <w:tcBorders>
              <w:top w:val="nil"/>
              <w:left w:val="single" w:sz="4" w:space="0" w:color="auto"/>
              <w:bottom w:val="single" w:sz="4" w:space="0" w:color="auto"/>
              <w:right w:val="single" w:sz="4" w:space="0" w:color="auto"/>
            </w:tcBorders>
            <w:vAlign w:val="center"/>
          </w:tcPr>
          <w:p w:rsidR="00FC2256"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96" w:type="dxa"/>
            <w:vMerge w:val="restart"/>
            <w:tcBorders>
              <w:top w:val="nil"/>
              <w:left w:val="single" w:sz="4" w:space="0" w:color="auto"/>
              <w:bottom w:val="single" w:sz="4" w:space="0" w:color="000000"/>
              <w:right w:val="single" w:sz="4" w:space="0" w:color="auto"/>
            </w:tcBorders>
            <w:vAlign w:val="center"/>
          </w:tcPr>
          <w:p w:rsidR="00FC2256"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231" w:type="dxa"/>
            <w:vMerge w:val="restart"/>
            <w:tcBorders>
              <w:top w:val="nil"/>
              <w:left w:val="single" w:sz="4" w:space="0" w:color="auto"/>
              <w:bottom w:val="single" w:sz="4" w:space="0" w:color="000000"/>
              <w:right w:val="single" w:sz="4" w:space="0" w:color="auto"/>
            </w:tcBorders>
            <w:vAlign w:val="center"/>
          </w:tcPr>
          <w:p w:rsidR="00FC2256"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2732" w:type="dxa"/>
            <w:vMerge w:val="restart"/>
            <w:tcBorders>
              <w:top w:val="nil"/>
              <w:left w:val="single" w:sz="4" w:space="0" w:color="auto"/>
              <w:bottom w:val="single" w:sz="4" w:space="0" w:color="000000"/>
              <w:right w:val="single" w:sz="8" w:space="0" w:color="auto"/>
            </w:tcBorders>
            <w:vAlign w:val="center"/>
          </w:tcPr>
          <w:p w:rsidR="00FC2256"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FC2256">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Cs w:val="21"/>
              </w:rPr>
            </w:pPr>
          </w:p>
        </w:tc>
        <w:tc>
          <w:tcPr>
            <w:tcW w:w="3960" w:type="dxa"/>
            <w:vMerge/>
            <w:tcBorders>
              <w:top w:val="nil"/>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Cs w:val="21"/>
              </w:rPr>
            </w:pPr>
          </w:p>
        </w:tc>
        <w:tc>
          <w:tcPr>
            <w:tcW w:w="3096" w:type="dxa"/>
            <w:vMerge/>
            <w:tcBorders>
              <w:top w:val="nil"/>
              <w:left w:val="single" w:sz="4" w:space="0" w:color="auto"/>
              <w:bottom w:val="single" w:sz="4" w:space="0" w:color="000000"/>
              <w:right w:val="single" w:sz="4" w:space="0" w:color="auto"/>
            </w:tcBorders>
            <w:vAlign w:val="center"/>
          </w:tcPr>
          <w:p w:rsidR="00FC2256" w:rsidRDefault="00FC2256">
            <w:pPr>
              <w:widowControl/>
              <w:jc w:val="left"/>
              <w:rPr>
                <w:rFonts w:ascii="Times New Roman" w:eastAsia="仿宋_GB2312" w:hAnsi="Times New Roman" w:cs="Times New Roman"/>
                <w:kern w:val="0"/>
                <w:szCs w:val="21"/>
              </w:rPr>
            </w:pPr>
          </w:p>
        </w:tc>
        <w:tc>
          <w:tcPr>
            <w:tcW w:w="3231" w:type="dxa"/>
            <w:vMerge/>
            <w:tcBorders>
              <w:top w:val="nil"/>
              <w:left w:val="single" w:sz="4" w:space="0" w:color="auto"/>
              <w:bottom w:val="single" w:sz="4" w:space="0" w:color="000000"/>
              <w:right w:val="single" w:sz="4" w:space="0" w:color="auto"/>
            </w:tcBorders>
            <w:vAlign w:val="center"/>
          </w:tcPr>
          <w:p w:rsidR="00FC2256" w:rsidRDefault="00FC2256">
            <w:pPr>
              <w:widowControl/>
              <w:jc w:val="left"/>
              <w:rPr>
                <w:rFonts w:ascii="Times New Roman" w:eastAsia="仿宋_GB2312" w:hAnsi="Times New Roman" w:cs="Times New Roman"/>
                <w:kern w:val="0"/>
                <w:szCs w:val="21"/>
              </w:rPr>
            </w:pPr>
          </w:p>
        </w:tc>
        <w:tc>
          <w:tcPr>
            <w:tcW w:w="2732" w:type="dxa"/>
            <w:vMerge/>
            <w:tcBorders>
              <w:top w:val="nil"/>
              <w:left w:val="single" w:sz="4" w:space="0" w:color="auto"/>
              <w:bottom w:val="single" w:sz="4" w:space="0" w:color="000000"/>
              <w:right w:val="single" w:sz="8" w:space="0" w:color="auto"/>
            </w:tcBorders>
            <w:vAlign w:val="center"/>
          </w:tcPr>
          <w:p w:rsidR="00FC2256" w:rsidRDefault="00FC2256">
            <w:pPr>
              <w:widowControl/>
              <w:jc w:val="left"/>
              <w:rPr>
                <w:rFonts w:ascii="Times New Roman" w:eastAsia="仿宋_GB2312" w:hAnsi="Times New Roman" w:cs="Times New Roman"/>
                <w:kern w:val="0"/>
                <w:szCs w:val="21"/>
              </w:rPr>
            </w:pPr>
          </w:p>
        </w:tc>
      </w:tr>
      <w:tr w:rsidR="00FC2256">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Cs w:val="21"/>
              </w:rPr>
            </w:pPr>
          </w:p>
        </w:tc>
        <w:tc>
          <w:tcPr>
            <w:tcW w:w="3960" w:type="dxa"/>
            <w:vMerge/>
            <w:tcBorders>
              <w:top w:val="nil"/>
              <w:left w:val="single" w:sz="4" w:space="0" w:color="auto"/>
              <w:bottom w:val="single" w:sz="4" w:space="0" w:color="auto"/>
              <w:right w:val="single" w:sz="4" w:space="0" w:color="auto"/>
            </w:tcBorders>
            <w:vAlign w:val="center"/>
          </w:tcPr>
          <w:p w:rsidR="00FC2256" w:rsidRDefault="00FC2256">
            <w:pPr>
              <w:widowControl/>
              <w:jc w:val="left"/>
              <w:rPr>
                <w:rFonts w:ascii="Times New Roman" w:eastAsia="仿宋_GB2312" w:hAnsi="Times New Roman" w:cs="Times New Roman"/>
                <w:kern w:val="0"/>
                <w:szCs w:val="21"/>
              </w:rPr>
            </w:pPr>
          </w:p>
        </w:tc>
        <w:tc>
          <w:tcPr>
            <w:tcW w:w="3096" w:type="dxa"/>
            <w:vMerge/>
            <w:tcBorders>
              <w:top w:val="nil"/>
              <w:left w:val="single" w:sz="4" w:space="0" w:color="auto"/>
              <w:bottom w:val="single" w:sz="4" w:space="0" w:color="000000"/>
              <w:right w:val="single" w:sz="4" w:space="0" w:color="auto"/>
            </w:tcBorders>
            <w:vAlign w:val="center"/>
          </w:tcPr>
          <w:p w:rsidR="00FC2256" w:rsidRDefault="00FC2256">
            <w:pPr>
              <w:widowControl/>
              <w:jc w:val="left"/>
              <w:rPr>
                <w:rFonts w:ascii="Times New Roman" w:eastAsia="仿宋_GB2312" w:hAnsi="Times New Roman" w:cs="Times New Roman"/>
                <w:kern w:val="0"/>
                <w:szCs w:val="21"/>
              </w:rPr>
            </w:pPr>
          </w:p>
        </w:tc>
        <w:tc>
          <w:tcPr>
            <w:tcW w:w="3231" w:type="dxa"/>
            <w:vMerge/>
            <w:tcBorders>
              <w:top w:val="nil"/>
              <w:left w:val="single" w:sz="4" w:space="0" w:color="auto"/>
              <w:bottom w:val="single" w:sz="4" w:space="0" w:color="000000"/>
              <w:right w:val="single" w:sz="4" w:space="0" w:color="auto"/>
            </w:tcBorders>
            <w:vAlign w:val="center"/>
          </w:tcPr>
          <w:p w:rsidR="00FC2256" w:rsidRDefault="00FC2256">
            <w:pPr>
              <w:widowControl/>
              <w:jc w:val="left"/>
              <w:rPr>
                <w:rFonts w:ascii="Times New Roman" w:eastAsia="仿宋_GB2312" w:hAnsi="Times New Roman" w:cs="Times New Roman"/>
                <w:kern w:val="0"/>
                <w:szCs w:val="21"/>
              </w:rPr>
            </w:pPr>
          </w:p>
        </w:tc>
        <w:tc>
          <w:tcPr>
            <w:tcW w:w="2732" w:type="dxa"/>
            <w:vMerge/>
            <w:tcBorders>
              <w:top w:val="nil"/>
              <w:left w:val="single" w:sz="4" w:space="0" w:color="auto"/>
              <w:bottom w:val="single" w:sz="4" w:space="0" w:color="000000"/>
              <w:right w:val="single" w:sz="8" w:space="0" w:color="auto"/>
            </w:tcBorders>
            <w:vAlign w:val="center"/>
          </w:tcPr>
          <w:p w:rsidR="00FC2256" w:rsidRDefault="00FC2256">
            <w:pPr>
              <w:widowControl/>
              <w:jc w:val="left"/>
              <w:rPr>
                <w:rFonts w:ascii="Times New Roman" w:eastAsia="仿宋_GB2312" w:hAnsi="Times New Roman" w:cs="Times New Roman"/>
                <w:kern w:val="0"/>
                <w:szCs w:val="21"/>
              </w:rPr>
            </w:pPr>
          </w:p>
        </w:tc>
      </w:tr>
      <w:tr w:rsidR="00FC2256">
        <w:trPr>
          <w:trHeight w:val="450"/>
          <w:jc w:val="center"/>
        </w:trPr>
        <w:tc>
          <w:tcPr>
            <w:tcW w:w="5160" w:type="dxa"/>
            <w:gridSpan w:val="2"/>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96" w:type="dxa"/>
            <w:tcBorders>
              <w:top w:val="nil"/>
              <w:left w:val="nil"/>
              <w:bottom w:val="single" w:sz="4" w:space="0" w:color="auto"/>
              <w:right w:val="single" w:sz="4" w:space="0" w:color="auto"/>
            </w:tcBorders>
            <w:vAlign w:val="center"/>
          </w:tcPr>
          <w:p w:rsidR="00FC2256"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231" w:type="dxa"/>
            <w:tcBorders>
              <w:top w:val="nil"/>
              <w:left w:val="nil"/>
              <w:bottom w:val="single" w:sz="4" w:space="0" w:color="auto"/>
              <w:right w:val="single" w:sz="4" w:space="0" w:color="auto"/>
            </w:tcBorders>
            <w:vAlign w:val="center"/>
          </w:tcPr>
          <w:p w:rsidR="00FC2256"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2732" w:type="dxa"/>
            <w:tcBorders>
              <w:top w:val="nil"/>
              <w:left w:val="nil"/>
              <w:bottom w:val="single" w:sz="4" w:space="0" w:color="auto"/>
              <w:right w:val="single" w:sz="8" w:space="0" w:color="auto"/>
            </w:tcBorders>
            <w:vAlign w:val="center"/>
          </w:tcPr>
          <w:p w:rsidR="00FC2256"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FC2256">
        <w:trPr>
          <w:trHeight w:val="450"/>
          <w:jc w:val="center"/>
        </w:trPr>
        <w:tc>
          <w:tcPr>
            <w:tcW w:w="5160" w:type="dxa"/>
            <w:gridSpan w:val="2"/>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96" w:type="dxa"/>
            <w:tcBorders>
              <w:top w:val="nil"/>
              <w:left w:val="nil"/>
              <w:bottom w:val="single" w:sz="4" w:space="0" w:color="auto"/>
              <w:right w:val="single" w:sz="4" w:space="0" w:color="auto"/>
            </w:tcBorders>
            <w:vAlign w:val="center"/>
          </w:tcPr>
          <w:p w:rsidR="00FC2256"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231" w:type="dxa"/>
            <w:tcBorders>
              <w:top w:val="nil"/>
              <w:left w:val="nil"/>
              <w:bottom w:val="single" w:sz="4" w:space="0" w:color="auto"/>
              <w:right w:val="single" w:sz="4" w:space="0" w:color="auto"/>
            </w:tcBorders>
            <w:vAlign w:val="center"/>
          </w:tcPr>
          <w:p w:rsidR="00FC2256" w:rsidRDefault="00000000">
            <w:pPr>
              <w:widowControl/>
              <w:tabs>
                <w:tab w:val="left" w:pos="277"/>
                <w:tab w:val="center" w:pos="1803"/>
              </w:tabs>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ab/>
            </w:r>
            <w:r>
              <w:rPr>
                <w:rFonts w:ascii="Times New Roman" w:eastAsia="仿宋_GB2312" w:hAnsi="Times New Roman" w:cs="Times New Roman" w:hint="eastAsia"/>
                <w:kern w:val="0"/>
                <w:szCs w:val="21"/>
              </w:rPr>
              <w:tab/>
            </w:r>
            <w:r>
              <w:rPr>
                <w:rFonts w:ascii="Times New Roman" w:eastAsia="仿宋_GB2312" w:hAnsi="Times New Roman" w:cs="Times New Roman"/>
                <w:kern w:val="0"/>
                <w:szCs w:val="21"/>
              </w:rPr>
              <w:t xml:space="preserve">　</w:t>
            </w:r>
          </w:p>
        </w:tc>
        <w:tc>
          <w:tcPr>
            <w:tcW w:w="2732" w:type="dxa"/>
            <w:tcBorders>
              <w:top w:val="nil"/>
              <w:left w:val="nil"/>
              <w:bottom w:val="single" w:sz="4" w:space="0" w:color="auto"/>
              <w:right w:val="single" w:sz="8" w:space="0" w:color="auto"/>
            </w:tcBorders>
            <w:vAlign w:val="center"/>
          </w:tcPr>
          <w:p w:rsidR="00FC2256"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2010301</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行政运行</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1,176.31 </w:t>
            </w:r>
          </w:p>
        </w:tc>
        <w:tc>
          <w:tcPr>
            <w:tcW w:w="3231"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1,176.31 </w:t>
            </w:r>
          </w:p>
        </w:tc>
        <w:tc>
          <w:tcPr>
            <w:tcW w:w="2732" w:type="dxa"/>
            <w:tcBorders>
              <w:top w:val="nil"/>
              <w:left w:val="nil"/>
              <w:bottom w:val="single" w:sz="4"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2010302</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一般行政管理事务</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80.32 </w:t>
            </w:r>
          </w:p>
        </w:tc>
        <w:tc>
          <w:tcPr>
            <w:tcW w:w="3231"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Cs w:val="21"/>
              </w:rPr>
            </w:pPr>
          </w:p>
        </w:tc>
        <w:tc>
          <w:tcPr>
            <w:tcW w:w="2732" w:type="dxa"/>
            <w:tcBorders>
              <w:top w:val="nil"/>
              <w:left w:val="nil"/>
              <w:bottom w:val="single" w:sz="4" w:space="0" w:color="auto"/>
              <w:right w:val="single" w:sz="8"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80.32 </w:t>
            </w: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2010602</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一般行政管理事务</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0.44 </w:t>
            </w:r>
          </w:p>
        </w:tc>
        <w:tc>
          <w:tcPr>
            <w:tcW w:w="3231" w:type="dxa"/>
            <w:tcBorders>
              <w:top w:val="nil"/>
              <w:left w:val="nil"/>
              <w:bottom w:val="single" w:sz="4" w:space="0" w:color="auto"/>
              <w:right w:val="single" w:sz="4" w:space="0" w:color="auto"/>
            </w:tcBorders>
            <w:vAlign w:val="center"/>
          </w:tcPr>
          <w:p w:rsidR="00FC2256" w:rsidRDefault="00FC2256">
            <w:pPr>
              <w:jc w:val="right"/>
              <w:rPr>
                <w:rFonts w:ascii="Times New Roman" w:eastAsia="仿宋_GB2312" w:hAnsi="Times New Roman" w:cs="Times New Roman"/>
                <w:kern w:val="0"/>
                <w:szCs w:val="21"/>
              </w:rPr>
            </w:pPr>
          </w:p>
        </w:tc>
        <w:tc>
          <w:tcPr>
            <w:tcW w:w="2732" w:type="dxa"/>
            <w:tcBorders>
              <w:top w:val="nil"/>
              <w:left w:val="nil"/>
              <w:bottom w:val="single" w:sz="4" w:space="0" w:color="auto"/>
              <w:right w:val="single" w:sz="8"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0.44 </w:t>
            </w: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2079999</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其他文化旅游体育与传媒支出</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80.00 </w:t>
            </w:r>
          </w:p>
        </w:tc>
        <w:tc>
          <w:tcPr>
            <w:tcW w:w="3231"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80.00 </w:t>
            </w:r>
          </w:p>
        </w:tc>
        <w:tc>
          <w:tcPr>
            <w:tcW w:w="2732" w:type="dxa"/>
            <w:tcBorders>
              <w:top w:val="nil"/>
              <w:left w:val="nil"/>
              <w:bottom w:val="single" w:sz="4"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2080505</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机关事业单位基本养老保险缴费支出</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103.26 </w:t>
            </w:r>
          </w:p>
        </w:tc>
        <w:tc>
          <w:tcPr>
            <w:tcW w:w="3231"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103.26 </w:t>
            </w:r>
          </w:p>
        </w:tc>
        <w:tc>
          <w:tcPr>
            <w:tcW w:w="2732" w:type="dxa"/>
            <w:tcBorders>
              <w:top w:val="nil"/>
              <w:left w:val="nil"/>
              <w:bottom w:val="single" w:sz="4"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8"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2080799</w:t>
            </w:r>
          </w:p>
        </w:tc>
        <w:tc>
          <w:tcPr>
            <w:tcW w:w="3960" w:type="dxa"/>
            <w:tcBorders>
              <w:top w:val="nil"/>
              <w:left w:val="nil"/>
              <w:bottom w:val="single" w:sz="8"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其他就业补助支出</w:t>
            </w:r>
          </w:p>
        </w:tc>
        <w:tc>
          <w:tcPr>
            <w:tcW w:w="3096" w:type="dxa"/>
            <w:tcBorders>
              <w:top w:val="nil"/>
              <w:left w:val="nil"/>
              <w:bottom w:val="single" w:sz="8"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4.88 </w:t>
            </w:r>
          </w:p>
        </w:tc>
        <w:tc>
          <w:tcPr>
            <w:tcW w:w="3231" w:type="dxa"/>
            <w:tcBorders>
              <w:top w:val="nil"/>
              <w:left w:val="nil"/>
              <w:bottom w:val="single" w:sz="8"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4.88 </w:t>
            </w:r>
          </w:p>
        </w:tc>
        <w:tc>
          <w:tcPr>
            <w:tcW w:w="2732" w:type="dxa"/>
            <w:tcBorders>
              <w:top w:val="nil"/>
              <w:left w:val="nil"/>
              <w:bottom w:val="single" w:sz="8"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2089999</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其他社会保障和就业支出</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2.42 </w:t>
            </w:r>
          </w:p>
        </w:tc>
        <w:tc>
          <w:tcPr>
            <w:tcW w:w="3231"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2.42 </w:t>
            </w:r>
          </w:p>
        </w:tc>
        <w:tc>
          <w:tcPr>
            <w:tcW w:w="2732" w:type="dxa"/>
            <w:tcBorders>
              <w:top w:val="nil"/>
              <w:left w:val="nil"/>
              <w:bottom w:val="single" w:sz="4"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2101101</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行政单位医疗</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43.88 </w:t>
            </w:r>
          </w:p>
        </w:tc>
        <w:tc>
          <w:tcPr>
            <w:tcW w:w="3231"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43.88 </w:t>
            </w:r>
          </w:p>
        </w:tc>
        <w:tc>
          <w:tcPr>
            <w:tcW w:w="2732" w:type="dxa"/>
            <w:tcBorders>
              <w:top w:val="nil"/>
              <w:left w:val="nil"/>
              <w:bottom w:val="single" w:sz="4"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2130504</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农村基础设施建设</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2.00 </w:t>
            </w:r>
          </w:p>
        </w:tc>
        <w:tc>
          <w:tcPr>
            <w:tcW w:w="3231"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2.00 </w:t>
            </w:r>
          </w:p>
        </w:tc>
        <w:tc>
          <w:tcPr>
            <w:tcW w:w="2732" w:type="dxa"/>
            <w:tcBorders>
              <w:top w:val="nil"/>
              <w:left w:val="nil"/>
              <w:bottom w:val="single" w:sz="4"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2130701</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对村级公益事业建设的补助</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23.00 </w:t>
            </w:r>
          </w:p>
        </w:tc>
        <w:tc>
          <w:tcPr>
            <w:tcW w:w="3231"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23.00 </w:t>
            </w:r>
          </w:p>
        </w:tc>
        <w:tc>
          <w:tcPr>
            <w:tcW w:w="2732" w:type="dxa"/>
            <w:tcBorders>
              <w:top w:val="nil"/>
              <w:left w:val="nil"/>
              <w:bottom w:val="single" w:sz="4"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lastRenderedPageBreak/>
              <w:t>2130705</w:t>
            </w:r>
          </w:p>
        </w:tc>
        <w:tc>
          <w:tcPr>
            <w:tcW w:w="3960" w:type="dxa"/>
            <w:tcBorders>
              <w:top w:val="nil"/>
              <w:left w:val="nil"/>
              <w:bottom w:val="single" w:sz="4"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对村民委员会和村党支部的补助</w:t>
            </w:r>
          </w:p>
        </w:tc>
        <w:tc>
          <w:tcPr>
            <w:tcW w:w="309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200.42 </w:t>
            </w:r>
          </w:p>
        </w:tc>
        <w:tc>
          <w:tcPr>
            <w:tcW w:w="3231"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200.42 </w:t>
            </w:r>
          </w:p>
        </w:tc>
        <w:tc>
          <w:tcPr>
            <w:tcW w:w="2732" w:type="dxa"/>
            <w:tcBorders>
              <w:top w:val="nil"/>
              <w:left w:val="nil"/>
              <w:bottom w:val="single" w:sz="4"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8"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2139999</w:t>
            </w:r>
          </w:p>
        </w:tc>
        <w:tc>
          <w:tcPr>
            <w:tcW w:w="3960" w:type="dxa"/>
            <w:tcBorders>
              <w:top w:val="nil"/>
              <w:left w:val="nil"/>
              <w:bottom w:val="single" w:sz="8"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其他农林水支出</w:t>
            </w:r>
          </w:p>
        </w:tc>
        <w:tc>
          <w:tcPr>
            <w:tcW w:w="3096" w:type="dxa"/>
            <w:tcBorders>
              <w:top w:val="nil"/>
              <w:left w:val="nil"/>
              <w:bottom w:val="single" w:sz="8"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20.00 </w:t>
            </w:r>
          </w:p>
        </w:tc>
        <w:tc>
          <w:tcPr>
            <w:tcW w:w="3231" w:type="dxa"/>
            <w:tcBorders>
              <w:top w:val="nil"/>
              <w:left w:val="nil"/>
              <w:bottom w:val="single" w:sz="8"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20.00 </w:t>
            </w:r>
          </w:p>
        </w:tc>
        <w:tc>
          <w:tcPr>
            <w:tcW w:w="2732" w:type="dxa"/>
            <w:tcBorders>
              <w:top w:val="nil"/>
              <w:left w:val="nil"/>
              <w:bottom w:val="single" w:sz="8"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r w:rsidR="00FC2256">
        <w:trPr>
          <w:trHeight w:val="450"/>
          <w:jc w:val="center"/>
        </w:trPr>
        <w:tc>
          <w:tcPr>
            <w:tcW w:w="1200" w:type="dxa"/>
            <w:tcBorders>
              <w:top w:val="single" w:sz="4" w:space="0" w:color="auto"/>
              <w:left w:val="single" w:sz="8" w:space="0" w:color="auto"/>
              <w:bottom w:val="single" w:sz="8"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2210201</w:t>
            </w:r>
          </w:p>
        </w:tc>
        <w:tc>
          <w:tcPr>
            <w:tcW w:w="3960" w:type="dxa"/>
            <w:tcBorders>
              <w:top w:val="nil"/>
              <w:left w:val="nil"/>
              <w:bottom w:val="single" w:sz="8" w:space="0" w:color="auto"/>
              <w:right w:val="single" w:sz="4" w:space="0" w:color="auto"/>
            </w:tcBorders>
            <w:vAlign w:val="center"/>
          </w:tcPr>
          <w:p w:rsidR="00FC2256"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住房公积金</w:t>
            </w:r>
          </w:p>
        </w:tc>
        <w:tc>
          <w:tcPr>
            <w:tcW w:w="3096" w:type="dxa"/>
            <w:tcBorders>
              <w:top w:val="nil"/>
              <w:left w:val="nil"/>
              <w:bottom w:val="single" w:sz="8"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79.36 </w:t>
            </w:r>
          </w:p>
        </w:tc>
        <w:tc>
          <w:tcPr>
            <w:tcW w:w="3231" w:type="dxa"/>
            <w:tcBorders>
              <w:top w:val="nil"/>
              <w:left w:val="nil"/>
              <w:bottom w:val="single" w:sz="8" w:space="0" w:color="auto"/>
              <w:right w:val="single" w:sz="4" w:space="0" w:color="auto"/>
            </w:tcBorders>
            <w:vAlign w:val="center"/>
          </w:tcPr>
          <w:p w:rsidR="00FC2256" w:rsidRDefault="00000000">
            <w:pPr>
              <w:widowControl/>
              <w:jc w:val="righ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 xml:space="preserve">79.36 </w:t>
            </w:r>
          </w:p>
        </w:tc>
        <w:tc>
          <w:tcPr>
            <w:tcW w:w="2732" w:type="dxa"/>
            <w:tcBorders>
              <w:top w:val="nil"/>
              <w:left w:val="nil"/>
              <w:bottom w:val="single" w:sz="8" w:space="0" w:color="auto"/>
              <w:right w:val="single" w:sz="8" w:space="0" w:color="auto"/>
            </w:tcBorders>
            <w:vAlign w:val="center"/>
          </w:tcPr>
          <w:p w:rsidR="00FC2256" w:rsidRDefault="00FC2256">
            <w:pPr>
              <w:jc w:val="right"/>
              <w:rPr>
                <w:rFonts w:ascii="Times New Roman" w:eastAsia="仿宋_GB2312" w:hAnsi="Times New Roman" w:cs="Times New Roman"/>
                <w:kern w:val="0"/>
                <w:szCs w:val="21"/>
              </w:rPr>
            </w:pPr>
          </w:p>
        </w:tc>
      </w:tr>
    </w:tbl>
    <w:p w:rsidR="00FC2256" w:rsidRDefault="00000000">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FC2256" w:rsidRDefault="00FC2256">
      <w:pPr>
        <w:widowControl/>
        <w:jc w:val="left"/>
        <w:rPr>
          <w:rFonts w:ascii="Times New Roman" w:eastAsia="仿宋_GB2312" w:hAnsi="Times New Roman" w:cs="Times New Roman"/>
          <w:bCs/>
          <w:kern w:val="0"/>
          <w:szCs w:val="21"/>
        </w:rPr>
      </w:pPr>
    </w:p>
    <w:p w:rsidR="00FC2256" w:rsidRDefault="00000000">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FC2256" w:rsidRDefault="00000000">
      <w:pPr>
        <w:widowControl/>
        <w:spacing w:after="120"/>
        <w:jc w:val="center"/>
        <w:textAlignment w:val="center"/>
        <w:rPr>
          <w:rFonts w:ascii="Times New Roman" w:eastAsia="黑体" w:hAnsi="Times New Roman" w:cs="Times New Roman"/>
          <w:color w:val="000000"/>
          <w:kern w:val="0"/>
          <w:sz w:val="36"/>
          <w:szCs w:val="36"/>
          <w:lang w:bidi="ar"/>
        </w:rPr>
      </w:pPr>
      <w:bookmarkStart w:id="2" w:name="RANGE!A1:I34"/>
      <w:r>
        <w:rPr>
          <w:rFonts w:ascii="Times New Roman" w:eastAsia="黑体" w:hAnsi="Times New Roman" w:cs="Times New Roman"/>
          <w:color w:val="000000"/>
          <w:kern w:val="0"/>
          <w:sz w:val="36"/>
          <w:szCs w:val="36"/>
          <w:lang w:bidi="ar"/>
        </w:rPr>
        <w:lastRenderedPageBreak/>
        <w:t>一般公共预算财政拨款基本支出决算明细表</w:t>
      </w:r>
      <w:bookmarkEnd w:id="2"/>
    </w:p>
    <w:p w:rsidR="00FC2256" w:rsidRDefault="00000000">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rsidR="00FC2256" w:rsidRDefault="00000000">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850"/>
        <w:gridCol w:w="966"/>
        <w:gridCol w:w="1116"/>
        <w:gridCol w:w="2018"/>
        <w:gridCol w:w="933"/>
        <w:gridCol w:w="1217"/>
        <w:gridCol w:w="3517"/>
        <w:gridCol w:w="929"/>
      </w:tblGrid>
      <w:tr w:rsidR="00FC2256">
        <w:trPr>
          <w:trHeight w:val="530"/>
          <w:jc w:val="center"/>
        </w:trPr>
        <w:tc>
          <w:tcPr>
            <w:tcW w:w="1081" w:type="dxa"/>
            <w:tcBorders>
              <w:top w:val="single" w:sz="4" w:space="0" w:color="auto"/>
              <w:left w:val="single" w:sz="4" w:space="0" w:color="auto"/>
              <w:bottom w:val="single" w:sz="4" w:space="0" w:color="auto"/>
              <w:right w:val="single" w:sz="4" w:space="0" w:color="auto"/>
            </w:tcBorders>
            <w:vAlign w:val="center"/>
          </w:tcPr>
          <w:p w:rsidR="00FC2256"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vAlign w:val="center"/>
          </w:tcPr>
          <w:p w:rsidR="00FC2256"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vAlign w:val="center"/>
          </w:tcPr>
          <w:p w:rsidR="00FC2256"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vAlign w:val="center"/>
          </w:tcPr>
          <w:p w:rsidR="00FC2256"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vAlign w:val="center"/>
          </w:tcPr>
          <w:p w:rsidR="00FC2256"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vAlign w:val="center"/>
          </w:tcPr>
          <w:p w:rsidR="00FC2256"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vAlign w:val="center"/>
          </w:tcPr>
          <w:p w:rsidR="00FC2256"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vAlign w:val="center"/>
          </w:tcPr>
          <w:p w:rsidR="00FC2256"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vAlign w:val="center"/>
          </w:tcPr>
          <w:p w:rsidR="00FC2256"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工资福利支出</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1,211.70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商品和服务支出</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280.42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307</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债务利息及费用支出</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30101</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基本工资</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452.89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30201</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办公费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82.50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30701</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国内债务付息</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30102</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津贴补贴</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335.26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30202</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印刷费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12.20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30702</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国外债务付息</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30103</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奖金</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30204</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手续费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资本性支出</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30106</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伙食补助费</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30205</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水费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31001</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房屋建筑物购建</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30107</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绩效工资</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119.97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30206</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电费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2.00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31002</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办公设备购置</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30108</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机关事业单位基本养老保险缴费</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103.26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30207</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邮电费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3.00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31003</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专用设备购置</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30109</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职业年金缴费</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30208</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取暖费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31005</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基础设施建设</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30110</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职工基本医疗保险缴费</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43.88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30209</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物业管理费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31006</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大型修缮</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30111</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公务员医疗补助缴费</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30211</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差旅费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16.82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31007</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信息网络及软件购置更新</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30112</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其他社会保障缴费</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7.30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30212</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因公出国（境）费用</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31008</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物资储备</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30113</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住房公积金</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79.36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30213</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维修（护）费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2.01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31009</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土地补偿</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30114</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医疗费</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30214</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租赁费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31010</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安置补助</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30199</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其他工资福利支出</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69.77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30215</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会议费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1.00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31011</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地上附着物和青苗补偿</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对个人和家庭的补助</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243.42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30216</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培训费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1.00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31012</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拆迁补偿</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30301</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离休费</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30217</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公务接待费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1.97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31013</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公务用车购置</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30302</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退休费</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30218</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专用材料费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31019</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其他交通工具购置</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30303</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退职（役）费</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30224</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被装购置费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31021</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文物和陈列品购置</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30304</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抚恤金</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30225</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专用燃料费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31022</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无形资产购置</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30305</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生活补助</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223.42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30226</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劳务费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82.00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31099</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其他资本性支出</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30306</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救济费</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30227</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委托业务费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399</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其他支出</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30307</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医疗费补助</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30228</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工会经费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31.47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39907</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国家赔偿费用支出</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30308</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助学金</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30229</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福利费</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39908</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对民间非营利组织和群众性自治组织补贴</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30309</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奖励金</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30231</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公务用车运行维护费</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1.63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39909</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经常性赠与</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30310</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个人农业生产补贴</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30239</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其他交通费用</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10.00 </w:t>
            </w: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39910</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资本性赠与</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30311</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代缴社会保险费</w:t>
            </w:r>
          </w:p>
        </w:tc>
        <w:tc>
          <w:tcPr>
            <w:tcW w:w="966"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30240</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税金及附加费用</w:t>
            </w:r>
          </w:p>
        </w:tc>
        <w:tc>
          <w:tcPr>
            <w:tcW w:w="933"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c>
          <w:tcPr>
            <w:tcW w:w="12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39999</w:t>
            </w:r>
          </w:p>
        </w:tc>
        <w:tc>
          <w:tcPr>
            <w:tcW w:w="3517"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其他支出</w:t>
            </w: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30399</w:t>
            </w:r>
          </w:p>
        </w:tc>
        <w:tc>
          <w:tcPr>
            <w:tcW w:w="2850"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其他对个人和家庭的补助</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20.00 </w:t>
            </w:r>
          </w:p>
        </w:tc>
        <w:tc>
          <w:tcPr>
            <w:tcW w:w="1116"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30299</w:t>
            </w:r>
          </w:p>
        </w:tc>
        <w:tc>
          <w:tcPr>
            <w:tcW w:w="2018" w:type="dxa"/>
            <w:tcBorders>
              <w:top w:val="nil"/>
              <w:left w:val="nil"/>
              <w:bottom w:val="single" w:sz="4" w:space="0" w:color="auto"/>
              <w:right w:val="single" w:sz="4" w:space="0" w:color="auto"/>
            </w:tcBorders>
            <w:shd w:val="clear" w:color="auto" w:fill="F1F1F1"/>
            <w:vAlign w:val="center"/>
          </w:tcPr>
          <w:p w:rsidR="00FC2256" w:rsidRDefault="00000000">
            <w:pPr>
              <w:widowControl/>
              <w:jc w:val="lef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  其他商品和服务支出</w:t>
            </w:r>
          </w:p>
        </w:tc>
        <w:tc>
          <w:tcPr>
            <w:tcW w:w="933"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32.81 </w:t>
            </w:r>
          </w:p>
        </w:tc>
        <w:tc>
          <w:tcPr>
            <w:tcW w:w="1217" w:type="dxa"/>
            <w:tcBorders>
              <w:top w:val="nil"/>
              <w:left w:val="nil"/>
              <w:bottom w:val="single" w:sz="4" w:space="0" w:color="auto"/>
              <w:right w:val="single" w:sz="4" w:space="0" w:color="auto"/>
            </w:tcBorders>
            <w:shd w:val="clear" w:color="auto" w:fill="F1F1F1"/>
            <w:vAlign w:val="center"/>
          </w:tcPr>
          <w:p w:rsidR="00FC2256" w:rsidRDefault="00FC2256">
            <w:pPr>
              <w:jc w:val="left"/>
              <w:rPr>
                <w:rFonts w:ascii="仿宋_GB2312" w:eastAsia="仿宋_GB2312" w:hAnsi="仿宋_GB2312" w:cs="仿宋_GB2312" w:hint="eastAsia"/>
                <w:color w:val="000000"/>
                <w:kern w:val="0"/>
                <w:sz w:val="18"/>
                <w:szCs w:val="16"/>
              </w:rPr>
            </w:pPr>
          </w:p>
        </w:tc>
        <w:tc>
          <w:tcPr>
            <w:tcW w:w="3517" w:type="dxa"/>
            <w:tcBorders>
              <w:top w:val="nil"/>
              <w:left w:val="nil"/>
              <w:bottom w:val="single" w:sz="4" w:space="0" w:color="auto"/>
              <w:right w:val="single" w:sz="4" w:space="0" w:color="auto"/>
            </w:tcBorders>
            <w:shd w:val="clear" w:color="auto" w:fill="F1F1F1"/>
            <w:vAlign w:val="center"/>
          </w:tcPr>
          <w:p w:rsidR="00FC2256" w:rsidRDefault="00FC2256">
            <w:pPr>
              <w:jc w:val="left"/>
              <w:rPr>
                <w:rFonts w:ascii="仿宋_GB2312" w:eastAsia="仿宋_GB2312" w:hAnsi="仿宋_GB2312" w:cs="仿宋_GB2312" w:hint="eastAsia"/>
                <w:color w:val="000000"/>
                <w:kern w:val="0"/>
                <w:sz w:val="18"/>
                <w:szCs w:val="16"/>
              </w:rPr>
            </w:pPr>
          </w:p>
        </w:tc>
        <w:tc>
          <w:tcPr>
            <w:tcW w:w="929" w:type="dxa"/>
            <w:tcBorders>
              <w:top w:val="nil"/>
              <w:left w:val="nil"/>
              <w:bottom w:val="single" w:sz="4" w:space="0" w:color="auto"/>
              <w:right w:val="single" w:sz="4" w:space="0" w:color="auto"/>
            </w:tcBorders>
            <w:vAlign w:val="center"/>
          </w:tcPr>
          <w:p w:rsidR="00FC2256" w:rsidRDefault="00FC2256">
            <w:pPr>
              <w:jc w:val="right"/>
              <w:rPr>
                <w:rFonts w:ascii="仿宋_GB2312" w:eastAsia="仿宋_GB2312" w:hAnsi="仿宋_GB2312" w:cs="仿宋_GB2312" w:hint="eastAsia"/>
                <w:color w:val="000000"/>
                <w:kern w:val="0"/>
                <w:sz w:val="18"/>
                <w:szCs w:val="18"/>
              </w:rPr>
            </w:pPr>
          </w:p>
        </w:tc>
      </w:tr>
      <w:tr w:rsidR="00FC2256">
        <w:trPr>
          <w:trHeight w:hRule="exact" w:val="255"/>
          <w:jc w:val="center"/>
        </w:trPr>
        <w:tc>
          <w:tcPr>
            <w:tcW w:w="3931" w:type="dxa"/>
            <w:gridSpan w:val="2"/>
            <w:tcBorders>
              <w:top w:val="nil"/>
              <w:left w:val="single" w:sz="4" w:space="0" w:color="auto"/>
              <w:bottom w:val="single" w:sz="4" w:space="0" w:color="auto"/>
              <w:right w:val="single" w:sz="4" w:space="0" w:color="auto"/>
            </w:tcBorders>
            <w:shd w:val="clear" w:color="auto" w:fill="F1F1F1"/>
            <w:vAlign w:val="center"/>
          </w:tcPr>
          <w:p w:rsidR="00FC2256" w:rsidRDefault="00000000">
            <w:pPr>
              <w:widowControl/>
              <w:jc w:val="center"/>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人员经费合计</w:t>
            </w:r>
          </w:p>
        </w:tc>
        <w:tc>
          <w:tcPr>
            <w:tcW w:w="966"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1,455.11 </w:t>
            </w:r>
          </w:p>
        </w:tc>
        <w:tc>
          <w:tcPr>
            <w:tcW w:w="8801" w:type="dxa"/>
            <w:gridSpan w:val="5"/>
            <w:tcBorders>
              <w:top w:val="nil"/>
              <w:left w:val="nil"/>
              <w:bottom w:val="single" w:sz="4" w:space="0" w:color="auto"/>
              <w:right w:val="single" w:sz="4" w:space="0" w:color="auto"/>
            </w:tcBorders>
            <w:shd w:val="clear" w:color="auto" w:fill="F1F1F1"/>
            <w:vAlign w:val="center"/>
          </w:tcPr>
          <w:p w:rsidR="00FC2256" w:rsidRDefault="00000000">
            <w:pPr>
              <w:widowControl/>
              <w:jc w:val="center"/>
              <w:textAlignment w:val="center"/>
              <w:rPr>
                <w:rFonts w:ascii="仿宋_GB2312" w:eastAsia="仿宋_GB2312" w:hAnsi="仿宋_GB2312" w:cs="仿宋_GB2312" w:hint="eastAsia"/>
                <w:color w:val="000000"/>
                <w:kern w:val="0"/>
                <w:sz w:val="20"/>
                <w:szCs w:val="16"/>
              </w:rPr>
            </w:pPr>
            <w:r>
              <w:rPr>
                <w:rFonts w:ascii="仿宋_GB2312" w:eastAsia="仿宋_GB2312" w:hAnsi="仿宋_GB2312" w:cs="仿宋_GB2312" w:hint="eastAsia"/>
                <w:color w:val="000000"/>
                <w:kern w:val="0"/>
                <w:szCs w:val="21"/>
                <w:lang w:bidi="ar"/>
              </w:rPr>
              <w:t>公用经费合计</w:t>
            </w:r>
          </w:p>
        </w:tc>
        <w:tc>
          <w:tcPr>
            <w:tcW w:w="929" w:type="dxa"/>
            <w:tcBorders>
              <w:top w:val="nil"/>
              <w:left w:val="nil"/>
              <w:bottom w:val="single" w:sz="4" w:space="0" w:color="auto"/>
              <w:right w:val="single" w:sz="4" w:space="0" w:color="auto"/>
            </w:tcBorders>
            <w:vAlign w:val="center"/>
          </w:tcPr>
          <w:p w:rsidR="00FC2256" w:rsidRDefault="00000000">
            <w:pPr>
              <w:widowControl/>
              <w:jc w:val="right"/>
              <w:textAlignment w:val="center"/>
              <w:rPr>
                <w:rFonts w:ascii="仿宋_GB2312" w:eastAsia="仿宋_GB2312" w:hAnsi="仿宋_GB2312" w:cs="仿宋_GB2312" w:hint="eastAsia"/>
                <w:color w:val="000000"/>
                <w:kern w:val="0"/>
                <w:sz w:val="20"/>
                <w:szCs w:val="18"/>
              </w:rPr>
            </w:pPr>
            <w:r>
              <w:rPr>
                <w:rFonts w:ascii="仿宋_GB2312" w:eastAsia="仿宋_GB2312" w:hAnsi="仿宋_GB2312" w:cs="仿宋_GB2312" w:hint="eastAsia"/>
                <w:color w:val="000000"/>
                <w:kern w:val="0"/>
                <w:szCs w:val="21"/>
                <w:lang w:bidi="ar"/>
              </w:rPr>
              <w:t xml:space="preserve">280.42 </w:t>
            </w:r>
          </w:p>
        </w:tc>
      </w:tr>
    </w:tbl>
    <w:p w:rsidR="00FC2256" w:rsidRDefault="00000000">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FC2256" w:rsidRDefault="00FC2256">
      <w:pPr>
        <w:widowControl/>
        <w:spacing w:line="400" w:lineRule="exact"/>
        <w:jc w:val="center"/>
        <w:textAlignment w:val="center"/>
        <w:rPr>
          <w:rFonts w:ascii="Times New Roman" w:eastAsia="仿宋_GB2312" w:hAnsi="Times New Roman" w:cs="Times New Roman"/>
          <w:color w:val="000000"/>
          <w:kern w:val="0"/>
          <w:sz w:val="32"/>
          <w:szCs w:val="32"/>
          <w:lang w:bidi="ar"/>
        </w:rPr>
      </w:pPr>
    </w:p>
    <w:p w:rsidR="00FC2256"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政府性基金预算财政拨款收入支出决算表</w:t>
      </w:r>
    </w:p>
    <w:p w:rsidR="00FC2256"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rsidR="00FC2256"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109"/>
        <w:gridCol w:w="388"/>
        <w:gridCol w:w="1930"/>
        <w:gridCol w:w="1963"/>
        <w:gridCol w:w="1245"/>
        <w:gridCol w:w="1919"/>
        <w:gridCol w:w="1935"/>
        <w:gridCol w:w="1918"/>
        <w:gridCol w:w="1919"/>
      </w:tblGrid>
      <w:tr w:rsidR="00FC2256">
        <w:trPr>
          <w:trHeight w:val="459"/>
          <w:jc w:val="center"/>
        </w:trPr>
        <w:tc>
          <w:tcPr>
            <w:tcW w:w="3427" w:type="dxa"/>
            <w:gridSpan w:val="3"/>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1963"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245"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FC2256">
        <w:trPr>
          <w:trHeight w:hRule="exact" w:val="312"/>
          <w:jc w:val="center"/>
        </w:trPr>
        <w:tc>
          <w:tcPr>
            <w:tcW w:w="1497" w:type="dxa"/>
            <w:gridSpan w:val="2"/>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930"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963"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widowControl/>
              <w:jc w:val="center"/>
              <w:rPr>
                <w:rFonts w:ascii="Times New Roman" w:eastAsia="仿宋_GB2312" w:hAnsi="Times New Roman" w:cs="Times New Roman"/>
                <w:b/>
                <w:bCs/>
                <w:color w:val="000000"/>
                <w:sz w:val="24"/>
                <w:szCs w:val="24"/>
              </w:rPr>
            </w:pPr>
          </w:p>
        </w:tc>
        <w:tc>
          <w:tcPr>
            <w:tcW w:w="1245"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935"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widowControl/>
              <w:jc w:val="center"/>
              <w:rPr>
                <w:rFonts w:ascii="Times New Roman" w:eastAsia="仿宋_GB2312" w:hAnsi="Times New Roman" w:cs="Times New Roman"/>
                <w:color w:val="000000"/>
                <w:sz w:val="24"/>
                <w:szCs w:val="24"/>
              </w:rPr>
            </w:pPr>
          </w:p>
        </w:tc>
      </w:tr>
      <w:tr w:rsidR="00FC2256">
        <w:trPr>
          <w:trHeight w:val="409"/>
          <w:jc w:val="center"/>
        </w:trPr>
        <w:tc>
          <w:tcPr>
            <w:tcW w:w="1497" w:type="dxa"/>
            <w:gridSpan w:val="2"/>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30"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63"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245"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r>
      <w:tr w:rsidR="00FC2256">
        <w:trPr>
          <w:trHeight w:val="312"/>
          <w:jc w:val="center"/>
        </w:trPr>
        <w:tc>
          <w:tcPr>
            <w:tcW w:w="1497" w:type="dxa"/>
            <w:gridSpan w:val="2"/>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30"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63"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245"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r>
      <w:tr w:rsidR="00FC2256">
        <w:trPr>
          <w:trHeight w:val="509"/>
          <w:jc w:val="center"/>
        </w:trPr>
        <w:tc>
          <w:tcPr>
            <w:tcW w:w="3427" w:type="dxa"/>
            <w:gridSpan w:val="3"/>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栏次</w:t>
            </w:r>
          </w:p>
        </w:tc>
        <w:tc>
          <w:tcPr>
            <w:tcW w:w="1963"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124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193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191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r>
      <w:tr w:rsidR="00FC2256">
        <w:trPr>
          <w:trHeight w:val="509"/>
          <w:jc w:val="center"/>
        </w:trPr>
        <w:tc>
          <w:tcPr>
            <w:tcW w:w="3427" w:type="dxa"/>
            <w:gridSpan w:val="3"/>
            <w:tcBorders>
              <w:top w:val="single" w:sz="4" w:space="0" w:color="000000"/>
              <w:left w:val="single" w:sz="4" w:space="0" w:color="000000"/>
              <w:bottom w:val="single" w:sz="4" w:space="0" w:color="000000"/>
              <w:right w:val="single" w:sz="4" w:space="0" w:color="000000"/>
            </w:tcBorders>
            <w:shd w:val="clear" w:color="auto" w:fill="F1F1F1"/>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合计</w:t>
            </w:r>
          </w:p>
        </w:tc>
        <w:tc>
          <w:tcPr>
            <w:tcW w:w="196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24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b/>
                <w:color w:val="000000"/>
                <w:kern w:val="0"/>
                <w:sz w:val="22"/>
                <w:lang w:bidi="ar"/>
              </w:rPr>
              <w:t xml:space="preserve">111.75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b/>
                <w:color w:val="000000"/>
                <w:kern w:val="0"/>
                <w:sz w:val="22"/>
                <w:lang w:bidi="ar"/>
              </w:rPr>
              <w:t xml:space="preserve">111.75 </w:t>
            </w:r>
          </w:p>
        </w:tc>
        <w:tc>
          <w:tcPr>
            <w:tcW w:w="1935"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b/>
                <w:color w:val="000000"/>
                <w:kern w:val="0"/>
                <w:sz w:val="22"/>
                <w:lang w:bidi="ar"/>
              </w:rPr>
              <w:t xml:space="preserve">111.75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r>
      <w:tr w:rsidR="00FC2256">
        <w:trPr>
          <w:trHeight w:val="509"/>
          <w:jc w:val="center"/>
        </w:trPr>
        <w:tc>
          <w:tcPr>
            <w:tcW w:w="110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lef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2120815</w:t>
            </w:r>
          </w:p>
        </w:tc>
        <w:tc>
          <w:tcPr>
            <w:tcW w:w="2318" w:type="dxa"/>
            <w:gridSpan w:val="2"/>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left"/>
              <w:textAlignment w:val="center"/>
              <w:rPr>
                <w:rFonts w:ascii="仿宋_GB2312" w:eastAsia="仿宋_GB2312" w:hAnsi="仿宋_GB2312" w:cs="仿宋_GB2312" w:hint="eastAsia"/>
                <w:color w:val="000000"/>
                <w:sz w:val="22"/>
              </w:rPr>
            </w:pPr>
            <w:r>
              <w:rPr>
                <w:rFonts w:ascii="仿宋_GB2312" w:eastAsia="仿宋_GB2312" w:hAnsi="仿宋_GB2312" w:cs="仿宋_GB2312" w:hint="eastAsia"/>
                <w:color w:val="000000"/>
                <w:kern w:val="0"/>
                <w:sz w:val="22"/>
                <w:lang w:bidi="ar"/>
              </w:rPr>
              <w:t>农村社会事业支出</w:t>
            </w:r>
          </w:p>
        </w:tc>
        <w:tc>
          <w:tcPr>
            <w:tcW w:w="196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24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11.08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11.08 </w:t>
            </w:r>
          </w:p>
        </w:tc>
        <w:tc>
          <w:tcPr>
            <w:tcW w:w="1935"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11.08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r>
      <w:tr w:rsidR="00FC2256">
        <w:trPr>
          <w:trHeight w:val="509"/>
          <w:jc w:val="center"/>
        </w:trPr>
        <w:tc>
          <w:tcPr>
            <w:tcW w:w="110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lef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2120816</w:t>
            </w:r>
          </w:p>
        </w:tc>
        <w:tc>
          <w:tcPr>
            <w:tcW w:w="2318" w:type="dxa"/>
            <w:gridSpan w:val="2"/>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left"/>
              <w:textAlignment w:val="center"/>
              <w:rPr>
                <w:rFonts w:ascii="仿宋_GB2312" w:eastAsia="仿宋_GB2312" w:hAnsi="仿宋_GB2312" w:cs="仿宋_GB2312" w:hint="eastAsia"/>
                <w:color w:val="000000"/>
                <w:sz w:val="22"/>
              </w:rPr>
            </w:pPr>
            <w:r>
              <w:rPr>
                <w:rFonts w:ascii="仿宋_GB2312" w:eastAsia="仿宋_GB2312" w:hAnsi="仿宋_GB2312" w:cs="仿宋_GB2312" w:hint="eastAsia"/>
                <w:color w:val="000000"/>
                <w:kern w:val="0"/>
                <w:sz w:val="22"/>
                <w:lang w:bidi="ar"/>
              </w:rPr>
              <w:t>农业农村生态环境支出</w:t>
            </w:r>
          </w:p>
        </w:tc>
        <w:tc>
          <w:tcPr>
            <w:tcW w:w="196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24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1.86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1.86 </w:t>
            </w:r>
          </w:p>
        </w:tc>
        <w:tc>
          <w:tcPr>
            <w:tcW w:w="1935"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1.86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r>
      <w:tr w:rsidR="00FC2256">
        <w:trPr>
          <w:trHeight w:val="509"/>
          <w:jc w:val="center"/>
        </w:trPr>
        <w:tc>
          <w:tcPr>
            <w:tcW w:w="110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lef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2290403</w:t>
            </w:r>
          </w:p>
        </w:tc>
        <w:tc>
          <w:tcPr>
            <w:tcW w:w="2318" w:type="dxa"/>
            <w:gridSpan w:val="2"/>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left"/>
              <w:textAlignment w:val="center"/>
              <w:rPr>
                <w:rFonts w:ascii="仿宋_GB2312" w:eastAsia="仿宋_GB2312" w:hAnsi="仿宋_GB2312" w:cs="仿宋_GB2312" w:hint="eastAsia"/>
                <w:color w:val="000000"/>
                <w:sz w:val="22"/>
              </w:rPr>
            </w:pPr>
            <w:r>
              <w:rPr>
                <w:rFonts w:ascii="仿宋_GB2312" w:eastAsia="仿宋_GB2312" w:hAnsi="仿宋_GB2312" w:cs="仿宋_GB2312" w:hint="eastAsia"/>
                <w:color w:val="000000"/>
                <w:kern w:val="0"/>
                <w:sz w:val="22"/>
                <w:lang w:bidi="ar"/>
              </w:rPr>
              <w:t>其他政府性基金债务收入安排的支出</w:t>
            </w:r>
          </w:p>
        </w:tc>
        <w:tc>
          <w:tcPr>
            <w:tcW w:w="196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24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46.81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46.81 </w:t>
            </w:r>
          </w:p>
        </w:tc>
        <w:tc>
          <w:tcPr>
            <w:tcW w:w="1935"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46.81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r>
      <w:tr w:rsidR="00FC2256">
        <w:trPr>
          <w:trHeight w:val="509"/>
          <w:jc w:val="center"/>
        </w:trPr>
        <w:tc>
          <w:tcPr>
            <w:tcW w:w="110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lef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2296002</w:t>
            </w:r>
          </w:p>
        </w:tc>
        <w:tc>
          <w:tcPr>
            <w:tcW w:w="2318" w:type="dxa"/>
            <w:gridSpan w:val="2"/>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left"/>
              <w:textAlignment w:val="center"/>
              <w:rPr>
                <w:rFonts w:ascii="仿宋_GB2312" w:eastAsia="仿宋_GB2312" w:hAnsi="仿宋_GB2312" w:cs="仿宋_GB2312" w:hint="eastAsia"/>
                <w:color w:val="000000"/>
                <w:sz w:val="22"/>
              </w:rPr>
            </w:pPr>
            <w:r>
              <w:rPr>
                <w:rFonts w:ascii="仿宋_GB2312" w:eastAsia="仿宋_GB2312" w:hAnsi="仿宋_GB2312" w:cs="仿宋_GB2312" w:hint="eastAsia"/>
                <w:color w:val="000000"/>
                <w:kern w:val="0"/>
                <w:sz w:val="22"/>
                <w:lang w:bidi="ar"/>
              </w:rPr>
              <w:t>用于社会福利的彩票公益金支出</w:t>
            </w:r>
          </w:p>
        </w:tc>
        <w:tc>
          <w:tcPr>
            <w:tcW w:w="1963"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24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52.00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52.00 </w:t>
            </w:r>
          </w:p>
        </w:tc>
        <w:tc>
          <w:tcPr>
            <w:tcW w:w="1935"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52.00 </w:t>
            </w:r>
          </w:p>
        </w:tc>
        <w:tc>
          <w:tcPr>
            <w:tcW w:w="1919"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r>
    </w:tbl>
    <w:p w:rsidR="00FC2256"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rsidR="00FC2256" w:rsidRDefault="00FC2256">
      <w:pPr>
        <w:widowControl/>
        <w:jc w:val="left"/>
        <w:textAlignment w:val="center"/>
        <w:rPr>
          <w:rFonts w:ascii="Times New Roman" w:eastAsia="仿宋_GB2312" w:hAnsi="Times New Roman" w:cs="Times New Roman"/>
          <w:color w:val="000000"/>
          <w:kern w:val="0"/>
          <w:sz w:val="24"/>
          <w:szCs w:val="24"/>
          <w:lang w:bidi="ar"/>
        </w:rPr>
      </w:pPr>
    </w:p>
    <w:p w:rsidR="00FC2256" w:rsidRDefault="00FC2256">
      <w:pPr>
        <w:widowControl/>
        <w:spacing w:line="400" w:lineRule="exact"/>
        <w:textAlignment w:val="center"/>
        <w:rPr>
          <w:rFonts w:ascii="Times New Roman" w:eastAsia="黑体" w:hAnsi="Times New Roman" w:cs="Times New Roman"/>
          <w:color w:val="000000"/>
          <w:kern w:val="0"/>
          <w:sz w:val="36"/>
          <w:szCs w:val="36"/>
          <w:lang w:bidi="ar"/>
        </w:rPr>
      </w:pPr>
    </w:p>
    <w:p w:rsidR="00FC2256" w:rsidRDefault="00FC2256">
      <w:pPr>
        <w:pStyle w:val="a0"/>
      </w:pPr>
    </w:p>
    <w:p w:rsidR="00FC2256" w:rsidRDefault="00FC2256">
      <w:pPr>
        <w:widowControl/>
        <w:spacing w:afterLines="50" w:after="156"/>
        <w:jc w:val="center"/>
        <w:textAlignment w:val="center"/>
        <w:rPr>
          <w:rFonts w:ascii="Times New Roman" w:eastAsia="黑体" w:hAnsi="Times New Roman" w:cs="Times New Roman"/>
          <w:color w:val="000000"/>
          <w:kern w:val="0"/>
          <w:sz w:val="36"/>
          <w:szCs w:val="36"/>
          <w:lang w:bidi="ar"/>
        </w:rPr>
      </w:pPr>
    </w:p>
    <w:p w:rsidR="00FC2256" w:rsidRDefault="00FC2256">
      <w:pPr>
        <w:widowControl/>
        <w:spacing w:afterLines="50" w:after="156"/>
        <w:jc w:val="center"/>
        <w:textAlignment w:val="center"/>
        <w:rPr>
          <w:rFonts w:ascii="Times New Roman" w:eastAsia="黑体" w:hAnsi="Times New Roman" w:cs="Times New Roman"/>
          <w:color w:val="000000"/>
          <w:kern w:val="0"/>
          <w:sz w:val="36"/>
          <w:szCs w:val="36"/>
          <w:lang w:bidi="ar"/>
        </w:rPr>
      </w:pPr>
    </w:p>
    <w:p w:rsidR="00FC2256"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国有资本经营预算财政拨款支出决算表</w:t>
      </w:r>
    </w:p>
    <w:p w:rsidR="00FC2256"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rsidR="00FC2256"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14217" w:type="dxa"/>
        <w:tblLayout w:type="fixed"/>
        <w:tblLook w:val="04A0" w:firstRow="1" w:lastRow="0" w:firstColumn="1" w:lastColumn="0" w:noHBand="0" w:noVBand="1"/>
      </w:tblPr>
      <w:tblGrid>
        <w:gridCol w:w="3094"/>
        <w:gridCol w:w="3097"/>
        <w:gridCol w:w="1832"/>
        <w:gridCol w:w="3097"/>
        <w:gridCol w:w="3097"/>
      </w:tblGrid>
      <w:tr w:rsidR="00FC2256">
        <w:trPr>
          <w:trHeight w:val="548"/>
        </w:trPr>
        <w:tc>
          <w:tcPr>
            <w:tcW w:w="6191" w:type="dxa"/>
            <w:gridSpan w:val="2"/>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8026" w:type="dxa"/>
            <w:gridSpan w:val="3"/>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FC2256">
        <w:trPr>
          <w:trHeight w:hRule="exact" w:val="312"/>
        </w:trPr>
        <w:tc>
          <w:tcPr>
            <w:tcW w:w="3094"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3097"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832"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3097"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3097"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FC2256">
        <w:trPr>
          <w:trHeight w:hRule="exact" w:val="312"/>
        </w:trPr>
        <w:tc>
          <w:tcPr>
            <w:tcW w:w="3094"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832"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r>
      <w:tr w:rsidR="00FC2256">
        <w:trPr>
          <w:trHeight w:val="312"/>
        </w:trPr>
        <w:tc>
          <w:tcPr>
            <w:tcW w:w="3094"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1832"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r>
      <w:tr w:rsidR="00FC2256">
        <w:trPr>
          <w:trHeight w:val="548"/>
        </w:trPr>
        <w:tc>
          <w:tcPr>
            <w:tcW w:w="6191" w:type="dxa"/>
            <w:gridSpan w:val="2"/>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1832"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FC2256">
        <w:trPr>
          <w:trHeight w:val="548"/>
        </w:trPr>
        <w:tc>
          <w:tcPr>
            <w:tcW w:w="6191" w:type="dxa"/>
            <w:gridSpan w:val="2"/>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1832"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r>
      <w:tr w:rsidR="00FC2256">
        <w:trPr>
          <w:trHeight w:val="548"/>
        </w:trPr>
        <w:tc>
          <w:tcPr>
            <w:tcW w:w="309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仿宋_GB2312" w:hAnsi="Times New Roman" w:cs="Times New Roman"/>
                <w:color w:val="000000"/>
                <w:sz w:val="20"/>
                <w:szCs w:val="20"/>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仿宋_GB2312"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仿宋_GB2312"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仿宋_GB2312" w:hAnsi="Times New Roman" w:cs="Times New Roman"/>
                <w:color w:val="000000"/>
                <w:sz w:val="24"/>
                <w:szCs w:val="24"/>
              </w:rPr>
            </w:pPr>
          </w:p>
        </w:tc>
      </w:tr>
      <w:tr w:rsidR="00FC2256">
        <w:trPr>
          <w:trHeight w:val="548"/>
        </w:trPr>
        <w:tc>
          <w:tcPr>
            <w:tcW w:w="309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仿宋_GB2312" w:hAnsi="Times New Roman" w:cs="Times New Roman"/>
                <w:color w:val="000000"/>
                <w:sz w:val="24"/>
                <w:szCs w:val="24"/>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仿宋_GB2312"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仿宋_GB2312"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仿宋_GB2312" w:hAnsi="Times New Roman" w:cs="Times New Roman"/>
                <w:color w:val="000000"/>
                <w:sz w:val="24"/>
                <w:szCs w:val="24"/>
              </w:rPr>
            </w:pPr>
          </w:p>
        </w:tc>
      </w:tr>
      <w:tr w:rsidR="00FC2256">
        <w:trPr>
          <w:trHeight w:val="548"/>
        </w:trPr>
        <w:tc>
          <w:tcPr>
            <w:tcW w:w="309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0"/>
                <w:szCs w:val="20"/>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r>
      <w:tr w:rsidR="00FC2256">
        <w:trPr>
          <w:trHeight w:val="548"/>
        </w:trPr>
        <w:tc>
          <w:tcPr>
            <w:tcW w:w="309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r>
      <w:tr w:rsidR="00FC2256">
        <w:trPr>
          <w:trHeight w:val="548"/>
        </w:trPr>
        <w:tc>
          <w:tcPr>
            <w:tcW w:w="309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r>
      <w:tr w:rsidR="00FC2256">
        <w:trPr>
          <w:trHeight w:val="548"/>
        </w:trPr>
        <w:tc>
          <w:tcPr>
            <w:tcW w:w="3094"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FC2256" w:rsidRDefault="00FC2256">
            <w:pPr>
              <w:rPr>
                <w:rFonts w:ascii="Times New Roman" w:eastAsia="宋体" w:hAnsi="Times New Roman" w:cs="Times New Roman"/>
                <w:color w:val="000000"/>
                <w:sz w:val="24"/>
                <w:szCs w:val="24"/>
              </w:rPr>
            </w:pPr>
          </w:p>
        </w:tc>
      </w:tr>
    </w:tbl>
    <w:p w:rsidR="00FC2256"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rsidR="00FC2256" w:rsidRDefault="00FC2256">
      <w:pPr>
        <w:widowControl/>
        <w:jc w:val="left"/>
        <w:textAlignment w:val="center"/>
        <w:rPr>
          <w:rFonts w:ascii="Times New Roman" w:eastAsia="宋体" w:hAnsi="Times New Roman" w:cs="Times New Roman"/>
          <w:color w:val="000000"/>
          <w:kern w:val="0"/>
          <w:sz w:val="24"/>
          <w:szCs w:val="24"/>
          <w:lang w:bidi="ar"/>
        </w:rPr>
      </w:pPr>
    </w:p>
    <w:p w:rsidR="00FC2256" w:rsidRDefault="00000000">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w:t>
      </w:r>
    </w:p>
    <w:p w:rsidR="00FC2256" w:rsidRDefault="00FC2256">
      <w:pPr>
        <w:widowControl/>
        <w:jc w:val="center"/>
        <w:rPr>
          <w:rFonts w:ascii="Times New Roman" w:eastAsia="方正小标宋_GBK" w:hAnsi="Times New Roman" w:cs="Times New Roman"/>
          <w:color w:val="000000"/>
          <w:kern w:val="0"/>
          <w:sz w:val="36"/>
          <w:szCs w:val="36"/>
        </w:rPr>
      </w:pPr>
    </w:p>
    <w:p w:rsidR="00FC2256" w:rsidRDefault="00FC2256">
      <w:pPr>
        <w:pStyle w:val="a0"/>
        <w:spacing w:line="400" w:lineRule="exact"/>
        <w:rPr>
          <w:rFonts w:ascii="Times New Roman" w:eastAsia="华文中宋" w:hAnsi="Times New Roman" w:cs="Times New Roman"/>
          <w:color w:val="000000"/>
          <w:kern w:val="0"/>
          <w:sz w:val="32"/>
          <w:szCs w:val="32"/>
          <w:lang w:bidi="ar"/>
        </w:rPr>
      </w:pPr>
    </w:p>
    <w:p w:rsidR="00FC2256"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rsidR="00FC2256"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rsidR="00FC2256"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单位：万元</w:t>
      </w:r>
    </w:p>
    <w:tbl>
      <w:tblPr>
        <w:tblW w:w="14544" w:type="dxa"/>
        <w:jc w:val="center"/>
        <w:tblLayout w:type="fixed"/>
        <w:tblLook w:val="04A0" w:firstRow="1" w:lastRow="0" w:firstColumn="1" w:lastColumn="0" w:noHBand="0" w:noVBand="1"/>
      </w:tblPr>
      <w:tblGrid>
        <w:gridCol w:w="934"/>
        <w:gridCol w:w="1228"/>
        <w:gridCol w:w="1085"/>
        <w:gridCol w:w="1187"/>
        <w:gridCol w:w="1425"/>
        <w:gridCol w:w="1379"/>
        <w:gridCol w:w="1050"/>
        <w:gridCol w:w="1166"/>
        <w:gridCol w:w="1166"/>
        <w:gridCol w:w="1166"/>
        <w:gridCol w:w="1358"/>
        <w:gridCol w:w="1400"/>
      </w:tblGrid>
      <w:tr w:rsidR="00FC2256">
        <w:trPr>
          <w:trHeight w:val="606"/>
          <w:jc w:val="center"/>
        </w:trPr>
        <w:tc>
          <w:tcPr>
            <w:tcW w:w="7238" w:type="dxa"/>
            <w:gridSpan w:val="6"/>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7306" w:type="dxa"/>
            <w:gridSpan w:val="6"/>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FC2256">
        <w:trPr>
          <w:trHeight w:val="495"/>
          <w:jc w:val="center"/>
        </w:trPr>
        <w:tc>
          <w:tcPr>
            <w:tcW w:w="934"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1228"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3697" w:type="dxa"/>
            <w:gridSpan w:val="3"/>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1379"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1166"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3690" w:type="dxa"/>
            <w:gridSpan w:val="3"/>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1400" w:type="dxa"/>
            <w:vMerge w:val="restart"/>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FC2256">
        <w:trPr>
          <w:trHeight w:val="864"/>
          <w:jc w:val="center"/>
        </w:trPr>
        <w:tc>
          <w:tcPr>
            <w:tcW w:w="934"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2"/>
              </w:rPr>
            </w:pPr>
          </w:p>
        </w:tc>
        <w:tc>
          <w:tcPr>
            <w:tcW w:w="1228"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2"/>
              </w:rPr>
            </w:pPr>
          </w:p>
        </w:tc>
        <w:tc>
          <w:tcPr>
            <w:tcW w:w="108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1187"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142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1379"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2"/>
              </w:rPr>
            </w:pPr>
          </w:p>
        </w:tc>
        <w:tc>
          <w:tcPr>
            <w:tcW w:w="1050"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2"/>
              </w:rPr>
            </w:pPr>
          </w:p>
        </w:tc>
        <w:tc>
          <w:tcPr>
            <w:tcW w:w="1166"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1166"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135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1400" w:type="dxa"/>
            <w:vMerge/>
            <w:tcBorders>
              <w:top w:val="single" w:sz="4" w:space="0" w:color="000000"/>
              <w:left w:val="single" w:sz="4" w:space="0" w:color="000000"/>
              <w:bottom w:val="single" w:sz="4" w:space="0" w:color="000000"/>
              <w:right w:val="single" w:sz="4" w:space="0" w:color="000000"/>
            </w:tcBorders>
            <w:vAlign w:val="center"/>
          </w:tcPr>
          <w:p w:rsidR="00FC2256" w:rsidRDefault="00FC2256">
            <w:pPr>
              <w:jc w:val="center"/>
              <w:rPr>
                <w:rFonts w:ascii="Times New Roman" w:eastAsia="仿宋_GB2312" w:hAnsi="Times New Roman" w:cs="Times New Roman"/>
                <w:color w:val="000000"/>
                <w:sz w:val="22"/>
              </w:rPr>
            </w:pPr>
          </w:p>
        </w:tc>
      </w:tr>
      <w:tr w:rsidR="00FC2256">
        <w:trPr>
          <w:trHeight w:val="614"/>
          <w:jc w:val="center"/>
        </w:trPr>
        <w:tc>
          <w:tcPr>
            <w:tcW w:w="934"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122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108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142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137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1050"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1166"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1166"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1166"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135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1400"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FC2256">
        <w:trPr>
          <w:trHeight w:val="579"/>
          <w:jc w:val="center"/>
        </w:trPr>
        <w:tc>
          <w:tcPr>
            <w:tcW w:w="934"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3.60 </w:t>
            </w:r>
          </w:p>
        </w:tc>
        <w:tc>
          <w:tcPr>
            <w:tcW w:w="1228"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08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1.63 </w:t>
            </w:r>
          </w:p>
        </w:tc>
        <w:tc>
          <w:tcPr>
            <w:tcW w:w="1187"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425"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1.63 </w:t>
            </w:r>
          </w:p>
        </w:tc>
        <w:tc>
          <w:tcPr>
            <w:tcW w:w="1379"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1.97 </w:t>
            </w:r>
          </w:p>
        </w:tc>
        <w:tc>
          <w:tcPr>
            <w:tcW w:w="1050"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3.60 </w:t>
            </w:r>
          </w:p>
        </w:tc>
        <w:tc>
          <w:tcPr>
            <w:tcW w:w="1166"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166"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1.63 </w:t>
            </w:r>
          </w:p>
        </w:tc>
        <w:tc>
          <w:tcPr>
            <w:tcW w:w="1166" w:type="dxa"/>
            <w:tcBorders>
              <w:top w:val="single" w:sz="4" w:space="0" w:color="000000"/>
              <w:left w:val="single" w:sz="4" w:space="0" w:color="000000"/>
              <w:bottom w:val="single" w:sz="4" w:space="0" w:color="000000"/>
              <w:right w:val="single" w:sz="4" w:space="0" w:color="000000"/>
            </w:tcBorders>
            <w:vAlign w:val="center"/>
          </w:tcPr>
          <w:p w:rsidR="00FC2256" w:rsidRDefault="00FC2256">
            <w:pPr>
              <w:jc w:val="right"/>
              <w:rPr>
                <w:rFonts w:ascii="Times New Roman" w:eastAsia="仿宋_GB2312" w:hAnsi="Times New Roman" w:cs="Times New Roman"/>
                <w:color w:val="000000"/>
                <w:sz w:val="22"/>
              </w:rPr>
            </w:pPr>
          </w:p>
        </w:tc>
        <w:tc>
          <w:tcPr>
            <w:tcW w:w="1358"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1.63 </w:t>
            </w:r>
          </w:p>
        </w:tc>
        <w:tc>
          <w:tcPr>
            <w:tcW w:w="1400" w:type="dxa"/>
            <w:tcBorders>
              <w:top w:val="single" w:sz="4" w:space="0" w:color="000000"/>
              <w:left w:val="single" w:sz="4" w:space="0" w:color="000000"/>
              <w:bottom w:val="single" w:sz="4" w:space="0" w:color="000000"/>
              <w:right w:val="single" w:sz="4" w:space="0" w:color="000000"/>
            </w:tcBorders>
            <w:vAlign w:val="center"/>
          </w:tcPr>
          <w:p w:rsidR="00FC2256" w:rsidRDefault="00000000">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1.97 </w:t>
            </w:r>
          </w:p>
        </w:tc>
      </w:tr>
    </w:tbl>
    <w:p w:rsidR="00FC2256" w:rsidRDefault="00000000">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rsidR="00FC2256" w:rsidRDefault="00FC2256">
      <w:pPr>
        <w:autoSpaceDE w:val="0"/>
        <w:autoSpaceDN w:val="0"/>
        <w:adjustRightInd w:val="0"/>
        <w:ind w:leftChars="150" w:left="315"/>
        <w:jc w:val="left"/>
        <w:rPr>
          <w:rFonts w:ascii="Times New Roman" w:eastAsia="宋体" w:hAnsi="Times New Roman" w:cs="Times New Roman"/>
          <w:kern w:val="0"/>
          <w:sz w:val="24"/>
          <w:szCs w:val="24"/>
        </w:rPr>
      </w:pPr>
    </w:p>
    <w:p w:rsidR="00FC2256" w:rsidRDefault="00FC2256">
      <w:pPr>
        <w:autoSpaceDE w:val="0"/>
        <w:autoSpaceDN w:val="0"/>
        <w:adjustRightInd w:val="0"/>
        <w:ind w:leftChars="150" w:left="315"/>
        <w:jc w:val="left"/>
        <w:rPr>
          <w:rFonts w:ascii="Times New Roman" w:eastAsia="宋体" w:hAnsi="Times New Roman" w:cs="Times New Roman"/>
          <w:kern w:val="0"/>
          <w:sz w:val="24"/>
          <w:szCs w:val="24"/>
        </w:rPr>
      </w:pPr>
    </w:p>
    <w:p w:rsidR="00FC2256" w:rsidRDefault="00FC2256">
      <w:pPr>
        <w:autoSpaceDE w:val="0"/>
        <w:autoSpaceDN w:val="0"/>
        <w:adjustRightInd w:val="0"/>
        <w:ind w:leftChars="150" w:left="315"/>
        <w:jc w:val="left"/>
        <w:rPr>
          <w:rFonts w:ascii="Times New Roman" w:eastAsia="宋体" w:hAnsi="Times New Roman" w:cs="Times New Roman"/>
          <w:kern w:val="0"/>
          <w:sz w:val="24"/>
          <w:szCs w:val="24"/>
        </w:rPr>
      </w:pPr>
    </w:p>
    <w:p w:rsidR="00FC2256" w:rsidRDefault="00FC2256">
      <w:pPr>
        <w:autoSpaceDE w:val="0"/>
        <w:autoSpaceDN w:val="0"/>
        <w:adjustRightInd w:val="0"/>
        <w:ind w:leftChars="150" w:left="315"/>
        <w:jc w:val="left"/>
        <w:rPr>
          <w:rFonts w:ascii="Times New Roman" w:eastAsia="宋体" w:hAnsi="Times New Roman" w:cs="Times New Roman"/>
          <w:kern w:val="0"/>
          <w:sz w:val="24"/>
          <w:szCs w:val="24"/>
        </w:rPr>
      </w:pPr>
    </w:p>
    <w:p w:rsidR="00FC2256" w:rsidRDefault="00FC2256">
      <w:pPr>
        <w:autoSpaceDE w:val="0"/>
        <w:autoSpaceDN w:val="0"/>
        <w:adjustRightInd w:val="0"/>
        <w:ind w:leftChars="150" w:left="315"/>
        <w:jc w:val="left"/>
        <w:rPr>
          <w:rFonts w:ascii="Times New Roman" w:eastAsia="宋体" w:hAnsi="Times New Roman" w:cs="Times New Roman"/>
          <w:kern w:val="0"/>
          <w:sz w:val="24"/>
          <w:szCs w:val="24"/>
        </w:rPr>
      </w:pPr>
    </w:p>
    <w:p w:rsidR="00FC2256" w:rsidRDefault="00000000">
      <w:pPr>
        <w:widowControl/>
        <w:rPr>
          <w:rFonts w:ascii="Times New Roman" w:hAnsi="Times New Roman" w:cs="Times New Roman"/>
          <w:sz w:val="72"/>
          <w:szCs w:val="72"/>
        </w:rPr>
        <w:sectPr w:rsidR="00FC2256">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FC2256" w:rsidRDefault="00FC2256">
      <w:pPr>
        <w:pStyle w:val="Default"/>
        <w:rPr>
          <w:rFonts w:ascii="Times New Roman" w:hAnsi="Times New Roman" w:cs="Times New Roman"/>
          <w:sz w:val="72"/>
          <w:szCs w:val="72"/>
        </w:rPr>
      </w:pPr>
    </w:p>
    <w:p w:rsidR="00FC2256" w:rsidRDefault="00FC2256">
      <w:pPr>
        <w:pStyle w:val="Default"/>
        <w:rPr>
          <w:rFonts w:ascii="Times New Roman" w:hAnsi="Times New Roman" w:cs="Times New Roman"/>
          <w:sz w:val="72"/>
          <w:szCs w:val="72"/>
        </w:rPr>
      </w:pPr>
    </w:p>
    <w:p w:rsidR="00FC2256" w:rsidRDefault="00FC2256">
      <w:pPr>
        <w:pStyle w:val="Default"/>
        <w:rPr>
          <w:rFonts w:ascii="Times New Roman" w:hAnsi="Times New Roman" w:cs="Times New Roman"/>
          <w:sz w:val="72"/>
          <w:szCs w:val="72"/>
        </w:rPr>
      </w:pPr>
    </w:p>
    <w:p w:rsidR="00FC2256" w:rsidRDefault="00FC2256">
      <w:pPr>
        <w:pStyle w:val="Default"/>
        <w:jc w:val="center"/>
        <w:rPr>
          <w:rFonts w:ascii="Times New Roman" w:hAnsi="Times New Roman" w:cs="Times New Roman"/>
          <w:sz w:val="72"/>
          <w:szCs w:val="72"/>
        </w:rPr>
      </w:pPr>
    </w:p>
    <w:p w:rsidR="00FC2256" w:rsidRDefault="00FC2256">
      <w:pPr>
        <w:pStyle w:val="Default"/>
        <w:jc w:val="center"/>
        <w:rPr>
          <w:rFonts w:ascii="Times New Roman" w:eastAsia="方正小标宋_GBK" w:hAnsi="Times New Roman" w:cs="Times New Roman"/>
          <w:sz w:val="72"/>
          <w:szCs w:val="72"/>
        </w:rPr>
      </w:pPr>
    </w:p>
    <w:p w:rsidR="00FC2256"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FC2256"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FC2256" w:rsidRDefault="00000000">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FC2256" w:rsidRDefault="00000000">
      <w:pPr>
        <w:pStyle w:val="Defaul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2025年度收、支总计1928.03万元。与2024年1758.34万元，增加169.69万元,增加9.65%，主要是业务部门项目增加。</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Pr>
          <w:rFonts w:ascii="Times New Roman" w:eastAsia="仿宋_GB2312" w:hAnsi="Times New Roman" w:cs="Times New Roman" w:hint="eastAsia"/>
          <w:sz w:val="32"/>
          <w:szCs w:val="32"/>
        </w:rPr>
        <w:t>1928.03</w:t>
      </w:r>
      <w:r>
        <w:rPr>
          <w:rFonts w:ascii="Times New Roman" w:eastAsia="仿宋_GB2312" w:hAnsi="Times New Roman" w:cs="Times New Roman"/>
          <w:sz w:val="32"/>
          <w:szCs w:val="32"/>
        </w:rPr>
        <w:t>万元，其中：财政拨款收入</w:t>
      </w:r>
      <w:r>
        <w:rPr>
          <w:rFonts w:ascii="Times New Roman" w:eastAsia="仿宋_GB2312" w:hAnsi="Times New Roman" w:cs="Times New Roman" w:hint="eastAsia"/>
          <w:sz w:val="32"/>
          <w:szCs w:val="32"/>
        </w:rPr>
        <w:t>1928.03</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Pr>
          <w:rFonts w:ascii="Times New Roman" w:eastAsia="仿宋_GB2312" w:hAnsi="Times New Roman" w:cs="Times New Roman" w:hint="eastAsia"/>
          <w:sz w:val="32"/>
          <w:szCs w:val="32"/>
        </w:rPr>
        <w:t>1928.03</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1735.53</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90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Pr>
          <w:rFonts w:ascii="Times New Roman" w:eastAsia="仿宋_GB2312" w:hAnsi="Times New Roman" w:cs="Times New Roman" w:hint="eastAsia"/>
          <w:sz w:val="32"/>
          <w:szCs w:val="32"/>
        </w:rPr>
        <w:t>192.51</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Pr>
          <w:rFonts w:ascii="Times New Roman" w:eastAsia="仿宋_GB2312" w:hAnsi="Times New Roman" w:cs="Times New Roman" w:hint="eastAsia"/>
          <w:sz w:val="32"/>
          <w:szCs w:val="32"/>
        </w:rPr>
        <w:t>1928.03</w:t>
      </w:r>
      <w:r>
        <w:rPr>
          <w:rFonts w:ascii="Times New Roman" w:eastAsia="仿宋_GB2312" w:hAnsi="Times New Roman" w:cs="Times New Roman"/>
          <w:sz w:val="32"/>
          <w:szCs w:val="32"/>
        </w:rPr>
        <w:t>万元，与上年相比，增加</w:t>
      </w:r>
      <w:r>
        <w:rPr>
          <w:rFonts w:ascii="Times New Roman" w:eastAsia="仿宋_GB2312" w:hAnsi="Times New Roman" w:cs="Times New Roman" w:hint="eastAsia"/>
          <w:sz w:val="32"/>
          <w:szCs w:val="32"/>
        </w:rPr>
        <w:t>169.69</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增长</w:t>
      </w:r>
      <w:r>
        <w:rPr>
          <w:rFonts w:ascii="Times New Roman" w:eastAsia="仿宋_GB2312" w:hAnsi="Times New Roman" w:cs="Times New Roman" w:hint="eastAsia"/>
          <w:sz w:val="32"/>
          <w:szCs w:val="32"/>
        </w:rPr>
        <w:t>9.65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业务部门项目增加。</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FC2256"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Pr>
          <w:rFonts w:ascii="Times New Roman" w:eastAsia="仿宋_GB2312" w:hAnsi="Times New Roman" w:cs="Times New Roman" w:hint="eastAsia"/>
          <w:sz w:val="32"/>
          <w:szCs w:val="32"/>
        </w:rPr>
        <w:t>1816.28</w:t>
      </w:r>
      <w:r>
        <w:rPr>
          <w:rFonts w:ascii="Times New Roman" w:eastAsia="仿宋_GB2312" w:hAnsi="Times New Roman" w:cs="Times New Roman"/>
          <w:sz w:val="32"/>
          <w:szCs w:val="32"/>
        </w:rPr>
        <w:t>万元，占本年支出合计的</w:t>
      </w:r>
      <w:r>
        <w:rPr>
          <w:rFonts w:ascii="Times New Roman" w:eastAsia="仿宋_GB2312" w:hAnsi="Times New Roman" w:cs="Times New Roman" w:hint="eastAsia"/>
          <w:sz w:val="32"/>
          <w:szCs w:val="32"/>
        </w:rPr>
        <w:t>94.2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，与上年相比，财政拨款支出增加</w:t>
      </w:r>
      <w:r>
        <w:rPr>
          <w:rFonts w:ascii="Times New Roman" w:eastAsia="仿宋_GB2312" w:hAnsi="Times New Roman" w:cs="Times New Roman" w:hint="eastAsia"/>
          <w:sz w:val="32"/>
          <w:szCs w:val="32"/>
        </w:rPr>
        <w:t>83.03</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4.79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业务部门项目增加。</w:t>
      </w:r>
    </w:p>
    <w:p w:rsidR="00FC2256"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Pr>
          <w:rFonts w:ascii="Times New Roman" w:eastAsia="仿宋_GB2312" w:hAnsi="Times New Roman" w:cs="Times New Roman" w:hint="eastAsia"/>
          <w:sz w:val="32"/>
          <w:szCs w:val="32"/>
        </w:rPr>
        <w:t>1816.28</w:t>
      </w:r>
      <w:r>
        <w:rPr>
          <w:rFonts w:ascii="Times New Roman" w:eastAsia="仿宋_GB2312" w:hAnsi="Times New Roman" w:cs="Times New Roman"/>
          <w:sz w:val="32"/>
          <w:szCs w:val="32"/>
        </w:rPr>
        <w:t>万元，主要用于以下方面：</w:t>
      </w:r>
      <w:r>
        <w:rPr>
          <w:rFonts w:ascii="Times New Roman" w:eastAsia="仿宋_GB2312" w:hAnsi="Times New Roman" w:cs="Times New Roman"/>
          <w:sz w:val="32"/>
          <w:szCs w:val="32"/>
        </w:rPr>
        <w:lastRenderedPageBreak/>
        <w:t>一般公共服务（类）支出</w:t>
      </w:r>
      <w:r>
        <w:rPr>
          <w:rFonts w:ascii="Times New Roman" w:eastAsia="仿宋_GB2312" w:hAnsi="Times New Roman" w:cs="Times New Roman" w:hint="eastAsia"/>
          <w:sz w:val="32"/>
          <w:szCs w:val="32"/>
        </w:rPr>
        <w:t>1257.07</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69.21</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文化旅游体育与传媒</w:t>
      </w:r>
      <w:r>
        <w:rPr>
          <w:rFonts w:ascii="Times New Roman" w:eastAsia="仿宋_GB2312" w:hAnsi="Times New Roman" w:cs="Times New Roman"/>
          <w:sz w:val="32"/>
          <w:szCs w:val="32"/>
        </w:rPr>
        <w:t>支出</w:t>
      </w:r>
      <w:r>
        <w:rPr>
          <w:rFonts w:ascii="Times New Roman" w:eastAsia="仿宋_GB2312" w:hAnsi="Times New Roman" w:cs="Times New Roman" w:hint="eastAsia"/>
          <w:sz w:val="32"/>
          <w:szCs w:val="32"/>
        </w:rPr>
        <w:t>80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4.4</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社会保障和就业支出</w:t>
      </w:r>
      <w:r>
        <w:rPr>
          <w:rFonts w:ascii="Times New Roman" w:eastAsia="仿宋_GB2312" w:hAnsi="Times New Roman" w:cs="Times New Roman" w:hint="eastAsia"/>
          <w:sz w:val="32"/>
          <w:szCs w:val="32"/>
        </w:rPr>
        <w:t>110.56</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占</w:t>
      </w:r>
      <w:r>
        <w:rPr>
          <w:rFonts w:ascii="Times New Roman" w:eastAsia="仿宋_GB2312" w:hAnsi="Times New Roman" w:cs="Times New Roman" w:hint="eastAsia"/>
          <w:sz w:val="32"/>
          <w:szCs w:val="32"/>
        </w:rPr>
        <w:t>6.08</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卫生健康支出</w:t>
      </w:r>
      <w:r>
        <w:rPr>
          <w:rFonts w:ascii="Times New Roman" w:eastAsia="仿宋_GB2312" w:hAnsi="Times New Roman" w:cs="Times New Roman" w:hint="eastAsia"/>
          <w:sz w:val="32"/>
          <w:szCs w:val="32"/>
        </w:rPr>
        <w:t>43.88</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占</w:t>
      </w:r>
      <w:r>
        <w:rPr>
          <w:rFonts w:ascii="Times New Roman" w:eastAsia="仿宋_GB2312" w:hAnsi="Times New Roman" w:cs="Times New Roman" w:hint="eastAsia"/>
          <w:sz w:val="32"/>
          <w:szCs w:val="32"/>
        </w:rPr>
        <w:t>2.42</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农林水支出</w:t>
      </w:r>
      <w:r>
        <w:rPr>
          <w:rFonts w:ascii="Times New Roman" w:eastAsia="仿宋_GB2312" w:hAnsi="Times New Roman" w:cs="Times New Roman" w:hint="eastAsia"/>
          <w:sz w:val="32"/>
          <w:szCs w:val="32"/>
        </w:rPr>
        <w:t>245.42</w:t>
      </w:r>
      <w:r>
        <w:rPr>
          <w:rFonts w:ascii="Times New Roman" w:eastAsia="仿宋_GB2312" w:hAnsi="Times New Roman" w:cs="Times New Roman" w:hint="eastAsia"/>
          <w:sz w:val="32"/>
          <w:szCs w:val="32"/>
        </w:rPr>
        <w:t>万元，占</w:t>
      </w:r>
      <w:r>
        <w:rPr>
          <w:rFonts w:ascii="Times New Roman" w:eastAsia="仿宋_GB2312" w:hAnsi="Times New Roman" w:cs="Times New Roman" w:hint="eastAsia"/>
          <w:sz w:val="32"/>
          <w:szCs w:val="32"/>
        </w:rPr>
        <w:t>13.51%;</w:t>
      </w:r>
      <w:r>
        <w:rPr>
          <w:rFonts w:ascii="Times New Roman" w:eastAsia="仿宋_GB2312" w:hAnsi="Times New Roman" w:cs="Times New Roman" w:hint="eastAsia"/>
          <w:sz w:val="32"/>
          <w:szCs w:val="32"/>
        </w:rPr>
        <w:t>住房保障支出</w:t>
      </w:r>
      <w:r>
        <w:rPr>
          <w:rFonts w:ascii="Times New Roman" w:eastAsia="仿宋_GB2312" w:hAnsi="Times New Roman" w:cs="Times New Roman" w:hint="eastAsia"/>
          <w:sz w:val="32"/>
          <w:szCs w:val="32"/>
        </w:rPr>
        <w:t>79.36</w:t>
      </w:r>
      <w:r>
        <w:rPr>
          <w:rFonts w:ascii="Times New Roman" w:eastAsia="仿宋_GB2312" w:hAnsi="Times New Roman" w:cs="Times New Roman" w:hint="eastAsia"/>
          <w:sz w:val="32"/>
          <w:szCs w:val="32"/>
        </w:rPr>
        <w:t>万元占</w:t>
      </w:r>
      <w:r>
        <w:rPr>
          <w:rFonts w:ascii="Times New Roman" w:eastAsia="仿宋_GB2312" w:hAnsi="Times New Roman" w:cs="Times New Roman" w:hint="eastAsia"/>
          <w:sz w:val="32"/>
          <w:szCs w:val="32"/>
        </w:rPr>
        <w:t>4.37%</w:t>
      </w:r>
      <w:r>
        <w:rPr>
          <w:rFonts w:ascii="Times New Roman" w:eastAsia="仿宋_GB2312" w:hAnsi="Times New Roman" w:cs="Times New Roman" w:hint="eastAsia"/>
          <w:sz w:val="32"/>
          <w:szCs w:val="32"/>
        </w:rPr>
        <w:t>。</w:t>
      </w:r>
    </w:p>
    <w:p w:rsidR="00FC2256"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Pr>
          <w:rFonts w:ascii="仿宋_GB2312" w:eastAsia="仿宋_GB2312" w:hAnsi="仿宋_GB2312" w:cs="仿宋_GB2312" w:hint="eastAsia"/>
          <w:sz w:val="32"/>
          <w:szCs w:val="32"/>
          <w:shd w:val="clear" w:color="auto" w:fill="FFFFFF"/>
        </w:rPr>
        <w:t>1468.14</w:t>
      </w:r>
      <w:r>
        <w:rPr>
          <w:rFonts w:ascii="Times New Roman" w:eastAsia="仿宋_GB2312" w:hAnsi="Times New Roman" w:cs="Times New Roman"/>
          <w:sz w:val="32"/>
          <w:szCs w:val="32"/>
        </w:rPr>
        <w:t>万元，支出</w:t>
      </w:r>
      <w:r>
        <w:rPr>
          <w:rFonts w:ascii="仿宋_GB2312" w:eastAsia="仿宋_GB2312" w:hAnsi="仿宋_GB2312" w:cs="仿宋_GB2312" w:hint="eastAsia"/>
          <w:sz w:val="32"/>
          <w:szCs w:val="32"/>
          <w:shd w:val="clear" w:color="auto" w:fill="FFFFFF"/>
        </w:rPr>
        <w:t>决算数为1816.28万元，完成年初预算的123.71%，其中：</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、一般公共服务（类）</w:t>
      </w:r>
      <w:r>
        <w:rPr>
          <w:rFonts w:ascii="Times New Roman" w:eastAsia="仿宋_GB2312" w:hAnsi="Times New Roman" w:cs="Times New Roman" w:hint="eastAsia"/>
          <w:sz w:val="32"/>
          <w:szCs w:val="32"/>
        </w:rPr>
        <w:t>政府办公厅（室）及相关机构事务</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行政运行</w:t>
      </w:r>
      <w:r>
        <w:rPr>
          <w:rFonts w:ascii="Times New Roman" w:eastAsia="仿宋_GB2312" w:hAnsi="Times New Roman" w:cs="Times New Roman"/>
          <w:sz w:val="32"/>
          <w:szCs w:val="32"/>
        </w:rPr>
        <w:t>（项）。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1129.5</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1176.31</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104.14</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临时性项目经费未纳入年初预算，为本年财政追加。</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、一般公共服务（类）</w:t>
      </w:r>
      <w:r>
        <w:rPr>
          <w:rFonts w:ascii="Times New Roman" w:eastAsia="仿宋_GB2312" w:hAnsi="Times New Roman" w:cs="Times New Roman" w:hint="eastAsia"/>
          <w:sz w:val="32"/>
          <w:szCs w:val="32"/>
        </w:rPr>
        <w:t>政府办公厅（室）及相关机构事务</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一般行政管理事务</w:t>
      </w:r>
      <w:r>
        <w:rPr>
          <w:rFonts w:ascii="Times New Roman" w:eastAsia="仿宋_GB2312" w:hAnsi="Times New Roman" w:cs="Times New Roman"/>
          <w:sz w:val="32"/>
          <w:szCs w:val="32"/>
        </w:rPr>
        <w:t>（项）。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80.32</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w:t>
      </w:r>
      <w:r>
        <w:rPr>
          <w:rFonts w:ascii="Times New Roman" w:eastAsia="仿宋_GB2312" w:hAnsi="Times New Roman" w:cs="Times New Roman"/>
          <w:sz w:val="32"/>
          <w:szCs w:val="32"/>
        </w:rPr>
        <w:t>年初预算</w:t>
      </w:r>
      <w:r>
        <w:rPr>
          <w:rFonts w:ascii="Times New Roman" w:eastAsia="仿宋_GB2312" w:hAnsi="Times New Roman" w:cs="Times New Roman" w:hint="eastAsia"/>
          <w:sz w:val="32"/>
          <w:szCs w:val="32"/>
        </w:rPr>
        <w:t>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临时性项目经费未纳入年初预算，为本年财政追加。</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一般公共服务（类）</w:t>
      </w:r>
      <w:r>
        <w:rPr>
          <w:rFonts w:ascii="Times New Roman" w:eastAsia="仿宋_GB2312" w:hAnsi="Times New Roman" w:cs="Times New Roman" w:hint="eastAsia"/>
          <w:sz w:val="32"/>
          <w:szCs w:val="32"/>
        </w:rPr>
        <w:t>财政事务</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一般行政管理事务</w:t>
      </w:r>
      <w:r>
        <w:rPr>
          <w:rFonts w:ascii="Times New Roman" w:eastAsia="仿宋_GB2312" w:hAnsi="Times New Roman" w:cs="Times New Roman"/>
          <w:sz w:val="32"/>
          <w:szCs w:val="32"/>
        </w:rPr>
        <w:t>（项）。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0.44</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w:t>
      </w:r>
      <w:r>
        <w:rPr>
          <w:rFonts w:ascii="Times New Roman" w:eastAsia="仿宋_GB2312" w:hAnsi="Times New Roman" w:cs="Times New Roman"/>
          <w:sz w:val="32"/>
          <w:szCs w:val="32"/>
        </w:rPr>
        <w:t>年初预算</w:t>
      </w:r>
      <w:r>
        <w:rPr>
          <w:rFonts w:ascii="Times New Roman" w:eastAsia="仿宋_GB2312" w:hAnsi="Times New Roman" w:cs="Times New Roman" w:hint="eastAsia"/>
          <w:sz w:val="32"/>
          <w:szCs w:val="32"/>
        </w:rPr>
        <w:t>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临时性项目经费未纳入年初预算，为本年财政追加。</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文化旅游体育与传媒支出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其他文化旅游体育与传</w:t>
      </w:r>
      <w:r>
        <w:rPr>
          <w:rFonts w:ascii="Times New Roman" w:eastAsia="仿宋_GB2312" w:hAnsi="Times New Roman" w:cs="Times New Roman" w:hint="eastAsia"/>
          <w:sz w:val="32"/>
          <w:szCs w:val="32"/>
        </w:rPr>
        <w:lastRenderedPageBreak/>
        <w:t>媒支出（款）其他文化旅游体育与传媒支出（项）。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82</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80</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97.56</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少</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严格执行财政预算规定核算支出。</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社会保障和就业支出（类）行政事业单位养老支出（款）机关事业单位基本养老保险缴费支出（项）。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112.63</w:t>
      </w:r>
      <w:r>
        <w:rPr>
          <w:rFonts w:ascii="Times New Roman" w:eastAsia="仿宋_GB2312" w:hAnsi="Times New Roman" w:cs="Times New Roman"/>
          <w:sz w:val="32"/>
          <w:szCs w:val="32"/>
        </w:rPr>
        <w:t>万元，支出决算为</w:t>
      </w:r>
      <w:r>
        <w:rPr>
          <w:rFonts w:ascii="Times New Roman" w:eastAsia="仿宋_GB2312" w:hAnsi="Times New Roman" w:cs="Times New Roman"/>
          <w:sz w:val="32"/>
          <w:szCs w:val="32"/>
        </w:rPr>
        <w:t>103.26</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91.68</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少</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严格执行财政预算规定核算支出。</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社会保障和就业支出（类）就业补助（款）其他就业补助支出（项）。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4.88</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w:t>
      </w:r>
      <w:r>
        <w:rPr>
          <w:rFonts w:ascii="Times New Roman" w:eastAsia="仿宋_GB2312" w:hAnsi="Times New Roman" w:cs="Times New Roman"/>
          <w:sz w:val="32"/>
          <w:szCs w:val="32"/>
        </w:rPr>
        <w:t>年初预算</w:t>
      </w:r>
      <w:r>
        <w:rPr>
          <w:rFonts w:ascii="Times New Roman" w:eastAsia="仿宋_GB2312" w:hAnsi="Times New Roman" w:cs="Times New Roman" w:hint="eastAsia"/>
          <w:sz w:val="32"/>
          <w:szCs w:val="32"/>
        </w:rPr>
        <w:t>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临时性项目经费未纳入年初预算，为本年财政追加。</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社会保障和就业支出（类）其他社会保障和就业支出（款）其他社会保障和就业支出（项）。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2.42</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w:t>
      </w:r>
      <w:r>
        <w:rPr>
          <w:rFonts w:ascii="Times New Roman" w:eastAsia="仿宋_GB2312" w:hAnsi="Times New Roman" w:cs="Times New Roman"/>
          <w:sz w:val="32"/>
          <w:szCs w:val="32"/>
        </w:rPr>
        <w:t>年初预算</w:t>
      </w:r>
      <w:r>
        <w:rPr>
          <w:rFonts w:ascii="Times New Roman" w:eastAsia="仿宋_GB2312" w:hAnsi="Times New Roman" w:cs="Times New Roman" w:hint="eastAsia"/>
          <w:sz w:val="32"/>
          <w:szCs w:val="32"/>
        </w:rPr>
        <w:t>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临时性项目经费未纳入年初预算，为本年财政追加。</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卫生健康支出（类）行政事业单位医疗（款）行政单位医疗（项）。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44</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43.88</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99.73</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少</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严格执行</w:t>
      </w:r>
      <w:r>
        <w:rPr>
          <w:rFonts w:ascii="Times New Roman" w:eastAsia="仿宋_GB2312" w:hAnsi="Times New Roman" w:cs="Times New Roman" w:hint="eastAsia"/>
          <w:sz w:val="32"/>
          <w:szCs w:val="32"/>
        </w:rPr>
        <w:lastRenderedPageBreak/>
        <w:t>财政预算规定核算支出。</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农林水支出（类）巩固脱贫攻坚成果衔接乡村振兴（款）农村基础设施建设（项）。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w:t>
      </w:r>
      <w:r>
        <w:rPr>
          <w:rFonts w:ascii="Times New Roman" w:eastAsia="仿宋_GB2312" w:hAnsi="Times New Roman" w:cs="Times New Roman"/>
          <w:sz w:val="32"/>
          <w:szCs w:val="32"/>
        </w:rPr>
        <w:t>年初预算</w:t>
      </w:r>
      <w:r>
        <w:rPr>
          <w:rFonts w:ascii="Times New Roman" w:eastAsia="仿宋_GB2312" w:hAnsi="Times New Roman" w:cs="Times New Roman" w:hint="eastAsia"/>
          <w:sz w:val="32"/>
          <w:szCs w:val="32"/>
        </w:rPr>
        <w:t>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临时性项目经费未纳入年初预算，为本年财政追加。</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农林水支出（类）农村综合改革（款）对村级公益事业建设的补助（项）。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23</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w:t>
      </w:r>
      <w:r>
        <w:rPr>
          <w:rFonts w:ascii="Times New Roman" w:eastAsia="仿宋_GB2312" w:hAnsi="Times New Roman" w:cs="Times New Roman"/>
          <w:sz w:val="32"/>
          <w:szCs w:val="32"/>
        </w:rPr>
        <w:t>年初预算</w:t>
      </w:r>
      <w:r>
        <w:rPr>
          <w:rFonts w:ascii="Times New Roman" w:eastAsia="仿宋_GB2312" w:hAnsi="Times New Roman" w:cs="Times New Roman" w:hint="eastAsia"/>
          <w:sz w:val="32"/>
          <w:szCs w:val="32"/>
        </w:rPr>
        <w:t>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临时性项目经费未纳入年初预算，为本年财政追加。</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农林水支出（类）农村综合改革（款）对村民委员会和村党支部的补助（项）。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246</w:t>
      </w:r>
      <w:r>
        <w:rPr>
          <w:rFonts w:ascii="Times New Roman" w:eastAsia="仿宋_GB2312" w:hAnsi="Times New Roman" w:cs="Times New Roman"/>
          <w:sz w:val="32"/>
          <w:szCs w:val="32"/>
        </w:rPr>
        <w:t>万元，支出决算为</w:t>
      </w:r>
      <w:r>
        <w:rPr>
          <w:rFonts w:ascii="Times New Roman" w:eastAsia="仿宋_GB2312" w:hAnsi="Times New Roman" w:cs="Times New Roman"/>
          <w:sz w:val="32"/>
          <w:szCs w:val="32"/>
        </w:rPr>
        <w:t>200.42</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81.47</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少</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严格执行财政预算规定核算支出。</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农林水支出（类）其他农林水支出（款）其他农林水支出（项）。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20</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w:t>
      </w:r>
      <w:r>
        <w:rPr>
          <w:rFonts w:ascii="Times New Roman" w:eastAsia="仿宋_GB2312" w:hAnsi="Times New Roman" w:cs="Times New Roman"/>
          <w:sz w:val="32"/>
          <w:szCs w:val="32"/>
        </w:rPr>
        <w:t>年初预算</w:t>
      </w:r>
      <w:r>
        <w:rPr>
          <w:rFonts w:ascii="Times New Roman" w:eastAsia="仿宋_GB2312" w:hAnsi="Times New Roman" w:cs="Times New Roman" w:hint="eastAsia"/>
          <w:sz w:val="32"/>
          <w:szCs w:val="32"/>
        </w:rPr>
        <w:t>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w:t>
      </w:r>
      <w:r>
        <w:rPr>
          <w:rFonts w:ascii="Times New Roman" w:eastAsia="仿宋_GB2312" w:hAnsi="Times New Roman" w:cs="Times New Roman"/>
          <w:sz w:val="32"/>
          <w:szCs w:val="32"/>
        </w:rPr>
        <w:t>，决算数大于年初预算数的主要原因是：</w:t>
      </w:r>
      <w:r>
        <w:rPr>
          <w:rFonts w:ascii="Times New Roman" w:eastAsia="仿宋_GB2312" w:hAnsi="Times New Roman" w:cs="Times New Roman" w:hint="eastAsia"/>
          <w:sz w:val="32"/>
          <w:szCs w:val="32"/>
        </w:rPr>
        <w:t>临时性项目经费未纳入年初预算，为本年财政追加。</w:t>
      </w:r>
    </w:p>
    <w:p w:rsidR="00FC2256"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住房保障支出（类）住房改革支出（款）住房公积金（项）。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年初预算为</w:t>
      </w:r>
      <w:r>
        <w:rPr>
          <w:rFonts w:ascii="Times New Roman" w:eastAsia="仿宋_GB2312" w:hAnsi="Times New Roman" w:cs="Times New Roman" w:hint="eastAsia"/>
          <w:sz w:val="32"/>
          <w:szCs w:val="32"/>
        </w:rPr>
        <w:t>82.9</w:t>
      </w:r>
      <w:r>
        <w:rPr>
          <w:rFonts w:ascii="Times New Roman" w:eastAsia="仿宋_GB2312" w:hAnsi="Times New Roman" w:cs="Times New Roman"/>
          <w:sz w:val="32"/>
          <w:szCs w:val="32"/>
        </w:rPr>
        <w:t>万元，支出决算为</w:t>
      </w:r>
      <w:r>
        <w:rPr>
          <w:rFonts w:ascii="Times New Roman" w:eastAsia="仿宋_GB2312" w:hAnsi="Times New Roman" w:cs="Times New Roman"/>
          <w:sz w:val="32"/>
          <w:szCs w:val="32"/>
        </w:rPr>
        <w:t>79.36</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95.53</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少</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严格执行财政预算规定核算支出。</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Pr>
          <w:rFonts w:ascii="Times New Roman" w:eastAsia="仿宋_GB2312" w:hAnsi="Times New Roman" w:cs="Times New Roman" w:hint="eastAsia"/>
          <w:sz w:val="32"/>
          <w:szCs w:val="32"/>
        </w:rPr>
        <w:t xml:space="preserve">1735.53 </w:t>
      </w:r>
      <w:r>
        <w:rPr>
          <w:rFonts w:ascii="Times New Roman" w:eastAsia="仿宋_GB2312" w:hAnsi="Times New Roman" w:cs="Times New Roman"/>
          <w:sz w:val="32"/>
          <w:szCs w:val="32"/>
        </w:rPr>
        <w:t>万元，其中：</w:t>
      </w:r>
    </w:p>
    <w:p w:rsidR="00FC2256" w:rsidRDefault="00000000">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Pr>
          <w:rFonts w:ascii="Times New Roman" w:eastAsia="仿宋_GB2312" w:hAnsi="Times New Roman" w:cs="Times New Roman" w:hint="eastAsia"/>
          <w:sz w:val="32"/>
          <w:szCs w:val="32"/>
        </w:rPr>
        <w:t>1455.1</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83.84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主要包括基本工资、津贴补贴、奖金、伙食补助费</w:t>
      </w:r>
      <w:r>
        <w:rPr>
          <w:rFonts w:ascii="Times New Roman" w:eastAsia="仿宋_GB2312" w:hAnsi="Times New Roman" w:cs="Times New Roman" w:hint="eastAsia"/>
          <w:sz w:val="32"/>
          <w:szCs w:val="32"/>
        </w:rPr>
        <w:t>、绩效工资、机关事业单位基本养老保险缴费、职工基本医疗保险费、其他社会保险缴费、住房公积金、其他工资福利支出、生活补助</w:t>
      </w:r>
      <w:r>
        <w:rPr>
          <w:rFonts w:ascii="Times New Roman" w:eastAsia="仿宋_GB2312" w:hAnsi="Times New Roman" w:cs="Times New Roman"/>
          <w:sz w:val="32"/>
          <w:szCs w:val="32"/>
        </w:rPr>
        <w:t>。</w:t>
      </w:r>
    </w:p>
    <w:p w:rsidR="00FC2256" w:rsidRDefault="00000000">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Pr>
          <w:rFonts w:ascii="Times New Roman" w:eastAsia="仿宋_GB2312" w:hAnsi="Times New Roman" w:cs="Times New Roman" w:hint="eastAsia"/>
          <w:sz w:val="32"/>
          <w:szCs w:val="32"/>
        </w:rPr>
        <w:t>280.42</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16.16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，主要包括办公费、印刷费、咨询费、手续费</w:t>
      </w:r>
      <w:r>
        <w:rPr>
          <w:rFonts w:ascii="Times New Roman" w:eastAsia="仿宋_GB2312" w:hAnsi="Times New Roman" w:cs="Times New Roman" w:hint="eastAsia"/>
          <w:sz w:val="32"/>
          <w:szCs w:val="32"/>
        </w:rPr>
        <w:t>、水费、电费、邮电费、差旅费、维修（护）费、租赁费、会议费、培训费、公务接待费、专用材料费、专用燃料费、工会经费、公务用车运行维护费、其他交通费，其他商品各服务支出。</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FC2256"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3.6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3.6</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4.27</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54.26</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等于</w:t>
      </w:r>
      <w:r>
        <w:rPr>
          <w:rFonts w:ascii="Times New Roman" w:eastAsia="仿宋_GB2312" w:hAnsi="Times New Roman" w:cs="Times New Roman"/>
          <w:sz w:val="32"/>
          <w:szCs w:val="32"/>
        </w:rPr>
        <w:t>预算数的主要原因是</w:t>
      </w:r>
      <w:r>
        <w:rPr>
          <w:rFonts w:ascii="Times New Roman" w:eastAsia="仿宋_GB2312" w:hAnsi="Times New Roman" w:cs="Times New Roman" w:hint="eastAsia"/>
          <w:sz w:val="32"/>
          <w:szCs w:val="32"/>
        </w:rPr>
        <w:t>严格执行财政预算规定核算支出</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小</w:t>
      </w:r>
      <w:r>
        <w:rPr>
          <w:rFonts w:ascii="Times New Roman" w:eastAsia="仿宋_GB2312" w:hAnsi="Times New Roman" w:cs="Times New Roman"/>
          <w:sz w:val="32"/>
          <w:szCs w:val="32"/>
        </w:rPr>
        <w:t>于上年数的主要原因是</w:t>
      </w:r>
      <w:r>
        <w:rPr>
          <w:rFonts w:ascii="Times New Roman" w:eastAsia="仿宋_GB2312" w:hAnsi="Times New Roman" w:cs="Times New Roman" w:hint="eastAsia"/>
          <w:sz w:val="32"/>
          <w:szCs w:val="32"/>
        </w:rPr>
        <w:t>认真贯彻落实中央八项规定精神和厉行节约要求</w:t>
      </w:r>
      <w:r>
        <w:rPr>
          <w:rFonts w:ascii="Times New Roman" w:eastAsia="仿宋_GB2312" w:hAnsi="Times New Roman" w:cs="Times New Roman"/>
          <w:sz w:val="32"/>
          <w:szCs w:val="32"/>
        </w:rPr>
        <w:t>。</w:t>
      </w:r>
    </w:p>
    <w:p w:rsidR="00FC2256"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因公出国（境）费支出预算为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万元，决算数与年初预算数一致的主要原因是无因公出国人员，与上年相比无增减变化的主要原因是无因公出国人员。</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公务用车购置费及运行维护费支出预算为</w:t>
      </w:r>
      <w:r>
        <w:rPr>
          <w:rFonts w:ascii="Times New Roman" w:eastAsia="仿宋_GB2312" w:hAnsi="Times New Roman" w:cs="Times New Roman" w:hint="eastAsia"/>
          <w:sz w:val="32"/>
          <w:szCs w:val="32"/>
        </w:rPr>
        <w:t>1.63</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1.63</w:t>
      </w:r>
      <w:r>
        <w:rPr>
          <w:rFonts w:ascii="Times New Roman" w:eastAsia="仿宋_GB2312" w:hAnsi="Times New Roman" w:cs="Times New Roman" w:hint="eastAsia"/>
          <w:sz w:val="32"/>
          <w:szCs w:val="32"/>
        </w:rPr>
        <w:t>万元，完成预算的</w:t>
      </w:r>
      <w:r>
        <w:rPr>
          <w:rFonts w:ascii="Times New Roman" w:eastAsia="仿宋_GB2312" w:hAnsi="Times New Roman" w:cs="Times New Roman" w:hint="eastAsia"/>
          <w:sz w:val="32"/>
          <w:szCs w:val="32"/>
        </w:rPr>
        <w:t>100%</w:t>
      </w:r>
      <w:r>
        <w:rPr>
          <w:rFonts w:ascii="Times New Roman" w:eastAsia="仿宋_GB2312" w:hAnsi="Times New Roman" w:cs="Times New Roman" w:hint="eastAsia"/>
          <w:sz w:val="32"/>
          <w:szCs w:val="32"/>
        </w:rPr>
        <w:t>；与上年相比减少</w:t>
      </w:r>
      <w:r>
        <w:rPr>
          <w:rFonts w:ascii="Times New Roman" w:eastAsia="仿宋_GB2312" w:hAnsi="Times New Roman" w:cs="Times New Roman" w:hint="eastAsia"/>
          <w:sz w:val="32"/>
          <w:szCs w:val="32"/>
        </w:rPr>
        <w:t>2.67</w:t>
      </w:r>
      <w:r>
        <w:rPr>
          <w:rFonts w:ascii="Times New Roman" w:eastAsia="仿宋_GB2312" w:hAnsi="Times New Roman" w:cs="Times New Roman" w:hint="eastAsia"/>
          <w:sz w:val="32"/>
          <w:szCs w:val="32"/>
        </w:rPr>
        <w:t>万元，降低</w:t>
      </w:r>
      <w:r>
        <w:rPr>
          <w:rFonts w:ascii="Times New Roman" w:eastAsia="仿宋_GB2312" w:hAnsi="Times New Roman" w:cs="Times New Roman" w:hint="eastAsia"/>
          <w:sz w:val="32"/>
          <w:szCs w:val="32"/>
        </w:rPr>
        <w:t>62.09%</w:t>
      </w:r>
      <w:r>
        <w:rPr>
          <w:rFonts w:ascii="Times New Roman" w:eastAsia="仿宋_GB2312" w:hAnsi="Times New Roman" w:cs="Times New Roman" w:hint="eastAsia"/>
          <w:sz w:val="32"/>
          <w:szCs w:val="32"/>
        </w:rPr>
        <w:t>。其中：</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决算数与年初预算数一致，与上年相比无增减变化</w:t>
      </w:r>
      <w:r>
        <w:rPr>
          <w:rFonts w:ascii="Times New Roman" w:eastAsia="仿宋_GB2312" w:hAnsi="Times New Roman" w:cs="Times New Roman"/>
          <w:color w:val="000000" w:themeColor="text1"/>
          <w:sz w:val="32"/>
          <w:szCs w:val="32"/>
        </w:rPr>
        <w:t>。</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Pr>
          <w:rFonts w:ascii="Times New Roman" w:eastAsia="仿宋_GB2312" w:hAnsi="Times New Roman" w:cs="Times New Roman" w:hint="eastAsia"/>
          <w:sz w:val="32"/>
          <w:szCs w:val="32"/>
        </w:rPr>
        <w:t>1.63</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1.63</w:t>
      </w:r>
      <w:r>
        <w:rPr>
          <w:rFonts w:ascii="Times New Roman" w:eastAsia="仿宋_GB2312" w:hAnsi="Times New Roman" w:cs="Times New Roman"/>
          <w:sz w:val="32"/>
          <w:szCs w:val="32"/>
        </w:rPr>
        <w:t>万元，</w:t>
      </w:r>
    </w:p>
    <w:p w:rsidR="00FC2256" w:rsidRDefault="00000000">
      <w:pPr>
        <w:pStyle w:val="Default"/>
        <w:overflowPunct w:val="0"/>
        <w:autoSpaceDE/>
        <w:autoSpaceDN/>
        <w:spacing w:line="600" w:lineRule="exact"/>
        <w:ind w:firstLineChars="200" w:firstLine="640"/>
        <w:jc w:val="both"/>
        <w:rPr>
          <w:rFonts w:ascii="Times New Roman" w:eastAsia="楷体" w:hAnsi="Times New Roman" w:cs="Times New Roman"/>
          <w:b/>
          <w:bCs/>
          <w:i/>
          <w:sz w:val="32"/>
          <w:szCs w:val="32"/>
        </w:rPr>
      </w:pPr>
      <w:r>
        <w:rPr>
          <w:rFonts w:ascii="Times New Roman" w:eastAsia="仿宋_GB2312" w:hAnsi="Times New Roman" w:cs="Times New Roman"/>
          <w:sz w:val="32"/>
          <w:szCs w:val="32"/>
        </w:rPr>
        <w:t>主要是</w:t>
      </w:r>
      <w:r>
        <w:rPr>
          <w:rFonts w:ascii="Times New Roman" w:eastAsia="仿宋_GB2312" w:hAnsi="Times New Roman" w:cs="Times New Roman" w:hint="eastAsia"/>
          <w:sz w:val="32"/>
          <w:szCs w:val="32"/>
        </w:rPr>
        <w:t>车辆的维修、加油和保险支出</w:t>
      </w:r>
      <w:r>
        <w:rPr>
          <w:rFonts w:ascii="Times New Roman" w:eastAsia="仿宋_GB2312" w:hAnsi="Times New Roman" w:cs="Times New Roman"/>
          <w:sz w:val="32"/>
          <w:szCs w:val="32"/>
        </w:rPr>
        <w:t>，完成预算的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2.67</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62.09</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与年初</w:t>
      </w:r>
      <w:r>
        <w:rPr>
          <w:rFonts w:ascii="Times New Roman" w:eastAsia="仿宋_GB2312" w:hAnsi="Times New Roman" w:cs="Times New Roman"/>
          <w:sz w:val="32"/>
          <w:szCs w:val="32"/>
        </w:rPr>
        <w:t>预算数</w:t>
      </w:r>
      <w:r>
        <w:rPr>
          <w:rFonts w:ascii="Times New Roman" w:eastAsia="仿宋_GB2312" w:hAnsi="Times New Roman" w:cs="Times New Roman" w:hint="eastAsia"/>
          <w:sz w:val="32"/>
          <w:szCs w:val="32"/>
        </w:rPr>
        <w:t>一致</w:t>
      </w:r>
      <w:r>
        <w:rPr>
          <w:rFonts w:ascii="Times New Roman" w:eastAsia="仿宋_GB2312" w:hAnsi="Times New Roman" w:cs="Times New Roman"/>
          <w:sz w:val="32"/>
          <w:szCs w:val="32"/>
        </w:rPr>
        <w:t>主要原因是</w:t>
      </w:r>
      <w:r>
        <w:rPr>
          <w:rFonts w:ascii="Times New Roman" w:eastAsia="仿宋_GB2312" w:hAnsi="Times New Roman" w:cs="Times New Roman" w:hint="eastAsia"/>
          <w:sz w:val="32"/>
          <w:szCs w:val="32"/>
        </w:rPr>
        <w:t>严格执行财政预算规定核算支出</w:t>
      </w:r>
      <w:r>
        <w:rPr>
          <w:rFonts w:ascii="Times New Roman" w:eastAsia="仿宋_GB2312" w:hAnsi="Times New Roman" w:cs="Times New Roman"/>
          <w:sz w:val="32"/>
          <w:szCs w:val="32"/>
        </w:rPr>
        <w:t>。决算数小于上年数的主要原因是</w:t>
      </w:r>
      <w:r>
        <w:rPr>
          <w:rFonts w:ascii="Times New Roman" w:eastAsia="仿宋_GB2312" w:hAnsi="Times New Roman" w:cs="Times New Roman" w:hint="eastAsia"/>
          <w:sz w:val="32"/>
          <w:szCs w:val="32"/>
        </w:rPr>
        <w:t>减少了公务车辆的使用频率</w:t>
      </w: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辆。</w:t>
      </w:r>
      <w:r>
        <w:rPr>
          <w:rFonts w:ascii="Times New Roman" w:eastAsia="楷体_GB2312" w:hAnsi="Times New Roman" w:cs="Times New Roman"/>
          <w:b/>
          <w:bCs/>
          <w:i/>
          <w:color w:val="auto"/>
          <w:sz w:val="32"/>
          <w:szCs w:val="32"/>
        </w:rPr>
        <w:t>（</w:t>
      </w:r>
      <w:r w:rsidR="006F42F8">
        <w:rPr>
          <w:rFonts w:ascii="Times New Roman" w:eastAsia="楷体_GB2312" w:hAnsi="Times New Roman" w:cs="Times New Roman" w:hint="eastAsia"/>
          <w:b/>
          <w:bCs/>
          <w:i/>
          <w:color w:val="auto"/>
          <w:sz w:val="32"/>
          <w:szCs w:val="32"/>
        </w:rPr>
        <w:t>“</w:t>
      </w:r>
      <w:r w:rsidR="006F42F8">
        <w:rPr>
          <w:rFonts w:ascii="Times New Roman" w:eastAsia="楷体_GB2312" w:hAnsi="Times New Roman" w:cs="Times New Roman"/>
          <w:b/>
          <w:bCs/>
          <w:i/>
          <w:color w:val="auto"/>
          <w:sz w:val="32"/>
          <w:szCs w:val="32"/>
        </w:rPr>
        <w:t>三公</w:t>
      </w:r>
      <w:r w:rsidR="006F42F8">
        <w:rPr>
          <w:rFonts w:ascii="Times New Roman" w:eastAsia="楷体_GB2312" w:hAnsi="Times New Roman" w:cs="Times New Roman" w:hint="eastAsia"/>
          <w:b/>
          <w:bCs/>
          <w:i/>
          <w:color w:val="auto"/>
          <w:sz w:val="32"/>
          <w:szCs w:val="32"/>
        </w:rPr>
        <w:t>”</w:t>
      </w:r>
      <w:r>
        <w:rPr>
          <w:rFonts w:ascii="Times New Roman" w:eastAsia="楷体_GB2312" w:hAnsi="Times New Roman" w:cs="Times New Roman"/>
          <w:b/>
          <w:bCs/>
          <w:i/>
          <w:color w:val="auto"/>
          <w:sz w:val="32"/>
          <w:szCs w:val="32"/>
        </w:rPr>
        <w:t>经费支出口径应在专业名词解释中予以说明）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1.97</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1.97</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1.6</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44.81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与年初</w:t>
      </w:r>
      <w:r>
        <w:rPr>
          <w:rFonts w:ascii="Times New Roman" w:eastAsia="仿宋_GB2312" w:hAnsi="Times New Roman" w:cs="Times New Roman"/>
          <w:sz w:val="32"/>
          <w:szCs w:val="32"/>
        </w:rPr>
        <w:t>预算数</w:t>
      </w:r>
      <w:r>
        <w:rPr>
          <w:rFonts w:ascii="Times New Roman" w:eastAsia="仿宋_GB2312" w:hAnsi="Times New Roman" w:cs="Times New Roman" w:hint="eastAsia"/>
          <w:sz w:val="32"/>
          <w:szCs w:val="32"/>
        </w:rPr>
        <w:t>一致</w:t>
      </w:r>
      <w:r>
        <w:rPr>
          <w:rFonts w:ascii="Times New Roman" w:eastAsia="仿宋_GB2312" w:hAnsi="Times New Roman" w:cs="Times New Roman"/>
          <w:sz w:val="32"/>
          <w:szCs w:val="32"/>
        </w:rPr>
        <w:t>的主要原因是</w:t>
      </w:r>
      <w:r>
        <w:rPr>
          <w:rFonts w:ascii="Times New Roman" w:eastAsia="仿宋_GB2312" w:hAnsi="Times New Roman" w:cs="Times New Roman" w:hint="eastAsia"/>
          <w:sz w:val="32"/>
          <w:szCs w:val="32"/>
        </w:rPr>
        <w:t>严格执行财政预算规定核算支出</w:t>
      </w:r>
      <w:r>
        <w:rPr>
          <w:rFonts w:ascii="Times New Roman" w:eastAsia="仿宋_GB2312" w:hAnsi="Times New Roman" w:cs="Times New Roman"/>
          <w:sz w:val="32"/>
          <w:szCs w:val="32"/>
        </w:rPr>
        <w:t>。决算数小于上年数的主要原因是</w:t>
      </w:r>
      <w:r>
        <w:rPr>
          <w:rFonts w:ascii="Times New Roman" w:eastAsia="仿宋_GB2312" w:hAnsi="Times New Roman" w:cs="Times New Roman" w:hint="eastAsia"/>
          <w:sz w:val="32"/>
          <w:szCs w:val="32"/>
        </w:rPr>
        <w:t>认真贯彻落实中央八项规定精神和厉行节约要求</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度共</w:t>
      </w:r>
      <w:r>
        <w:rPr>
          <w:rFonts w:ascii="Times New Roman" w:eastAsia="仿宋_GB2312" w:hAnsi="Times New Roman" w:cs="Times New Roman" w:hint="eastAsia"/>
          <w:sz w:val="32"/>
          <w:szCs w:val="32"/>
        </w:rPr>
        <w:t>接待来访团组</w:t>
      </w:r>
      <w:r>
        <w:rPr>
          <w:rFonts w:ascii="Times New Roman" w:eastAsia="仿宋_GB2312" w:hAnsi="Times New Roman" w:cs="Times New Roman" w:hint="eastAsia"/>
          <w:sz w:val="32"/>
          <w:szCs w:val="32"/>
        </w:rPr>
        <w:t>103</w:t>
      </w:r>
      <w:r>
        <w:rPr>
          <w:rFonts w:ascii="Times New Roman" w:eastAsia="仿宋_GB2312" w:hAnsi="Times New Roman" w:cs="Times New Roman" w:hint="eastAsia"/>
          <w:sz w:val="32"/>
          <w:szCs w:val="32"/>
        </w:rPr>
        <w:t>个、来宾</w:t>
      </w:r>
      <w:r>
        <w:rPr>
          <w:rFonts w:ascii="Times New Roman" w:eastAsia="仿宋_GB2312" w:hAnsi="Times New Roman" w:cs="Times New Roman" w:hint="eastAsia"/>
          <w:sz w:val="32"/>
          <w:szCs w:val="32"/>
        </w:rPr>
        <w:t>552</w:t>
      </w:r>
      <w:r>
        <w:rPr>
          <w:rFonts w:ascii="Times New Roman" w:eastAsia="仿宋_GB2312" w:hAnsi="Times New Roman" w:cs="Times New Roman" w:hint="eastAsia"/>
          <w:sz w:val="32"/>
          <w:szCs w:val="32"/>
        </w:rPr>
        <w:t>人次</w:t>
      </w:r>
      <w:r>
        <w:rPr>
          <w:rFonts w:ascii="Times New Roman" w:eastAsia="仿宋_GB2312" w:hAnsi="Times New Roman" w:cs="Times New Roman"/>
          <w:sz w:val="32"/>
          <w:szCs w:val="32"/>
        </w:rPr>
        <w:t>，主要是</w:t>
      </w:r>
      <w:r>
        <w:rPr>
          <w:rFonts w:ascii="Times New Roman" w:eastAsia="仿宋_GB2312" w:hAnsi="Times New Roman" w:cs="Times New Roman" w:hint="eastAsia"/>
          <w:sz w:val="32"/>
          <w:szCs w:val="32"/>
        </w:rPr>
        <w:t>征兵、和人大会议等</w:t>
      </w:r>
      <w:r>
        <w:rPr>
          <w:rFonts w:ascii="Times New Roman" w:eastAsia="仿宋_GB2312" w:hAnsi="Times New Roman" w:cs="Times New Roman"/>
          <w:sz w:val="32"/>
          <w:szCs w:val="32"/>
        </w:rPr>
        <w:t>发生的接待支出。</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八、政府性基金预算收入支出决算情况</w:t>
      </w:r>
    </w:p>
    <w:p w:rsidR="00FC2256" w:rsidRDefault="0000000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年度政府性基金预算财政拨款收入</w:t>
      </w:r>
      <w:r>
        <w:rPr>
          <w:rFonts w:ascii="Times New Roman" w:eastAsia="仿宋_GB2312" w:hAnsi="Times New Roman" w:cs="Times New Roman"/>
          <w:sz w:val="32"/>
          <w:szCs w:val="32"/>
        </w:rPr>
        <w:t>112</w:t>
      </w:r>
      <w:r>
        <w:rPr>
          <w:rFonts w:ascii="Times New Roman" w:eastAsia="仿宋_GB2312" w:hAnsi="Times New Roman" w:cs="Times New Roman"/>
          <w:sz w:val="32"/>
          <w:szCs w:val="32"/>
        </w:rPr>
        <w:t>万元；年初结转和结余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Pr>
          <w:rFonts w:ascii="Times New Roman" w:eastAsia="仿宋_GB2312" w:hAnsi="Times New Roman" w:cs="Times New Roman" w:hint="eastAsia"/>
          <w:sz w:val="32"/>
          <w:szCs w:val="32"/>
        </w:rPr>
        <w:t>111.75</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Pr>
          <w:rFonts w:ascii="Times New Roman" w:eastAsia="仿宋_GB2312" w:hAnsi="Times New Roman" w:cs="Times New Roman" w:hint="eastAsia"/>
          <w:sz w:val="32"/>
          <w:szCs w:val="32"/>
        </w:rPr>
        <w:t>111.75</w:t>
      </w:r>
      <w:r>
        <w:rPr>
          <w:rFonts w:ascii="Times New Roman" w:eastAsia="仿宋_GB2312" w:hAnsi="Times New Roman" w:cs="Times New Roman"/>
          <w:sz w:val="32"/>
          <w:szCs w:val="32"/>
        </w:rPr>
        <w:t>万元；年末结转和结余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万元。具体情况如下：</w:t>
      </w:r>
      <w:r>
        <w:rPr>
          <w:rFonts w:ascii="Times New Roman" w:eastAsia="楷体_GB2312" w:hAnsi="Times New Roman" w:cs="Times New Roman"/>
          <w:b/>
          <w:bCs/>
          <w:i/>
          <w:color w:val="auto"/>
          <w:sz w:val="32"/>
          <w:szCs w:val="32"/>
        </w:rPr>
        <w:t>（无政府性基金收支也需要说明本单位无政府性基金收支）</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、城乡社区支出（类）国有土地使用权出让收入安排的支出（款）农村社会事业支出（项）。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11.08</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由于预算数为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，无法计算百分比，决算数大于年初预算数的主要原因是：政府性基金预算经费未纳入年初预算，为本年财政追加。</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、城乡社区支出（类）国有土地使用权出让收入安排的支出（款）农业农村生态环境支出（项）。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1.86</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由于预算数为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，无法计算百分比，决算数大于年初预算数的主要原因是：政府性基金预算经费未纳入年初预算，为本年财政追加。</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、其他支出（类）其他政府性基金及对应专项债务收入安排的支出（款）其他政府性基金债务收入安排的支出（项）</w:t>
      </w:r>
      <w:r>
        <w:rPr>
          <w:rFonts w:ascii="Times New Roman" w:eastAsia="仿宋_GB2312" w:hAnsi="Times New Roman" w:cs="Times New Roman"/>
          <w:sz w:val="32"/>
          <w:szCs w:val="32"/>
        </w:rPr>
        <w:t>。</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46.81</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由于预算数为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，无法计算百分比，决算数大于年初预算数的主要原因是：政府性基金预算经费未纳入年初预算，为本年财政追加。</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、其他支出（类）彩票公益金安排的支出（款）</w:t>
      </w:r>
      <w:r>
        <w:rPr>
          <w:rFonts w:ascii="Times New Roman" w:eastAsia="仿宋_GB2312" w:hAnsi="Times New Roman" w:cs="Times New Roman" w:hint="eastAsia"/>
          <w:sz w:val="32"/>
          <w:szCs w:val="32"/>
        </w:rPr>
        <w:br/>
      </w:r>
      <w:r>
        <w:rPr>
          <w:rFonts w:ascii="Times New Roman" w:eastAsia="仿宋_GB2312" w:hAnsi="Times New Roman" w:cs="Times New Roman" w:hint="eastAsia"/>
          <w:sz w:val="32"/>
          <w:szCs w:val="32"/>
        </w:rPr>
        <w:t>用于社会福利的彩票公益金支出（项）。</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52</w:t>
      </w:r>
      <w:r>
        <w:rPr>
          <w:rFonts w:ascii="Times New Roman" w:eastAsia="仿宋_GB2312" w:hAnsi="Times New Roman" w:cs="Times New Roman" w:hint="eastAsia"/>
          <w:sz w:val="32"/>
          <w:szCs w:val="32"/>
        </w:rPr>
        <w:t>万元，由于预算数为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lastRenderedPageBreak/>
        <w:t>无法计算百分比，决算数大于年初预算数的主要原因是：政府性基金预算经费未纳入年初预算，为本年财政追加。</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Pr>
          <w:rFonts w:ascii="Times New Roman" w:eastAsia="仿宋_GB2312" w:hAnsi="Times New Roman" w:cs="Times New Roman" w:hint="eastAsia"/>
          <w:sz w:val="32"/>
          <w:szCs w:val="32"/>
        </w:rPr>
        <w:t>280.42</w:t>
      </w:r>
      <w:r>
        <w:rPr>
          <w:rFonts w:ascii="Times New Roman" w:eastAsia="仿宋_GB2312" w:hAnsi="Times New Roman" w:cs="Times New Roman"/>
          <w:sz w:val="32"/>
          <w:szCs w:val="32"/>
        </w:rPr>
        <w:t>万元</w:t>
      </w:r>
      <w:r>
        <w:rPr>
          <w:rFonts w:ascii="Times New Roman" w:eastAsia="楷体_GB2312" w:hAnsi="Times New Roman" w:cs="Times New Roman"/>
          <w:b/>
          <w:bCs/>
          <w:i/>
          <w:color w:val="auto"/>
          <w:sz w:val="32"/>
          <w:szCs w:val="32"/>
        </w:rPr>
        <w:t>（与部门决算中行政单位和参照公务员法管理事业单位财政拨款基本支出中公用经费之和一致）</w:t>
      </w:r>
      <w:r>
        <w:rPr>
          <w:rFonts w:ascii="Times New Roman" w:eastAsia="仿宋_GB2312" w:hAnsi="Times New Roman" w:cs="Times New Roman"/>
          <w:sz w:val="32"/>
          <w:szCs w:val="32"/>
        </w:rPr>
        <w:t>，比年初预算数增加</w:t>
      </w:r>
      <w:r>
        <w:rPr>
          <w:rFonts w:ascii="Times New Roman" w:eastAsia="仿宋_GB2312" w:hAnsi="Times New Roman" w:cs="Times New Roman" w:hint="eastAsia"/>
          <w:sz w:val="32"/>
          <w:szCs w:val="32"/>
        </w:rPr>
        <w:t>66.83</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31.29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。主要原因是：</w:t>
      </w:r>
      <w:r>
        <w:rPr>
          <w:rFonts w:ascii="Times New Roman" w:eastAsia="仿宋_GB2312" w:hAnsi="Times New Roman" w:cs="Times New Roman" w:hint="eastAsia"/>
          <w:sz w:val="32"/>
          <w:szCs w:val="32"/>
        </w:rPr>
        <w:t>劳务费及工会经费支出增加</w:t>
      </w:r>
      <w:r>
        <w:rPr>
          <w:rFonts w:ascii="Times New Roman" w:eastAsia="仿宋_GB2312" w:hAnsi="Times New Roman" w:cs="Times New Roman"/>
          <w:sz w:val="32"/>
          <w:szCs w:val="32"/>
        </w:rPr>
        <w:t>。</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FC2256" w:rsidRDefault="0000000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万元，用于召开</w:t>
      </w:r>
      <w:r>
        <w:rPr>
          <w:rFonts w:ascii="Times New Roman" w:eastAsia="仿宋_GB2312" w:hAnsi="Times New Roman" w:cs="Times New Roman" w:hint="eastAsia"/>
          <w:sz w:val="32"/>
          <w:szCs w:val="32"/>
        </w:rPr>
        <w:t>人大选举、征兵、宣传防溺水、农业生产等</w:t>
      </w:r>
      <w:r>
        <w:rPr>
          <w:rFonts w:ascii="Times New Roman" w:eastAsia="仿宋_GB2312" w:hAnsi="Times New Roman" w:cs="Times New Roman"/>
          <w:sz w:val="32"/>
          <w:szCs w:val="32"/>
        </w:rPr>
        <w:t>会议，人数</w:t>
      </w:r>
      <w:r>
        <w:rPr>
          <w:rFonts w:ascii="Times New Roman" w:eastAsia="仿宋_GB2312" w:hAnsi="Times New Roman" w:cs="Times New Roman" w:hint="eastAsia"/>
          <w:sz w:val="32"/>
          <w:szCs w:val="32"/>
        </w:rPr>
        <w:t>260</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征兵工作、防溺水开展、农业生产的重要性等</w:t>
      </w:r>
      <w:r>
        <w:rPr>
          <w:rFonts w:ascii="Times New Roman" w:eastAsia="仿宋_GB2312" w:hAnsi="Times New Roman" w:cs="Times New Roman"/>
          <w:sz w:val="32"/>
          <w:szCs w:val="32"/>
        </w:rPr>
        <w:t>；开支培训费</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万元，用于开展</w:t>
      </w:r>
      <w:r>
        <w:rPr>
          <w:rFonts w:ascii="Times New Roman" w:eastAsia="仿宋_GB2312" w:hAnsi="Times New Roman" w:cs="Times New Roman" w:hint="eastAsia"/>
          <w:sz w:val="32"/>
          <w:szCs w:val="32"/>
        </w:rPr>
        <w:t>技能培训等</w:t>
      </w:r>
      <w:r>
        <w:rPr>
          <w:rFonts w:ascii="Times New Roman" w:eastAsia="仿宋_GB2312" w:hAnsi="Times New Roman" w:cs="Times New Roman"/>
          <w:sz w:val="32"/>
          <w:szCs w:val="32"/>
        </w:rPr>
        <w:t>，人数</w:t>
      </w:r>
      <w:r>
        <w:rPr>
          <w:rFonts w:ascii="Times New Roman" w:eastAsia="仿宋_GB2312" w:hAnsi="Times New Roman" w:cs="Times New Roman" w:hint="eastAsia"/>
          <w:sz w:val="32"/>
          <w:szCs w:val="32"/>
        </w:rPr>
        <w:t>300</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村干部技能</w:t>
      </w:r>
      <w:r>
        <w:rPr>
          <w:rFonts w:ascii="Times New Roman" w:eastAsia="仿宋_GB2312" w:hAnsi="Times New Roman" w:cs="Times New Roman"/>
          <w:sz w:val="32"/>
          <w:szCs w:val="32"/>
        </w:rPr>
        <w:t>培训</w:t>
      </w:r>
      <w:r>
        <w:rPr>
          <w:rFonts w:ascii="Times New Roman" w:eastAsia="仿宋_GB2312" w:hAnsi="Times New Roman" w:cs="Times New Roman" w:hint="eastAsia"/>
          <w:sz w:val="32"/>
          <w:szCs w:val="32"/>
        </w:rPr>
        <w:t>、村干部农业生产培训、防溺水宣传培训、村会计财务基础知识培训；本单位未举办节庆、晚会、论坛、赛事活动，开支</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w:t>
      </w:r>
      <w:r>
        <w:rPr>
          <w:rFonts w:ascii="Times New Roman" w:eastAsia="楷体" w:hAnsi="Times New Roman" w:cs="Times New Roman"/>
          <w:b/>
          <w:bCs/>
          <w:i/>
          <w:color w:val="auto"/>
          <w:sz w:val="32"/>
          <w:szCs w:val="32"/>
        </w:rPr>
        <w:t>（注：三类会议、培训活动，节庆、晚会、论坛、赛事等活动，请分项列明活动计划及经费预算情况）</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FC2256" w:rsidRDefault="0000000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124</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124</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124</w:t>
      </w:r>
      <w:r>
        <w:rPr>
          <w:rFonts w:ascii="Times New Roman" w:eastAsia="仿宋_GB2312" w:hAnsi="Times New Roman" w:cs="Times New Roman"/>
          <w:sz w:val="32"/>
          <w:szCs w:val="32"/>
        </w:rPr>
        <w:t>万元，占政府采购支出总额的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Pr>
          <w:rFonts w:ascii="Times New Roman" w:eastAsia="仿宋_GB2312" w:hAnsi="Times New Roman" w:cs="Times New Roman" w:hint="eastAsia"/>
          <w:sz w:val="32"/>
          <w:szCs w:val="32"/>
        </w:rPr>
        <w:t>124</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w:t>
      </w:r>
      <w:r>
        <w:rPr>
          <w:rFonts w:ascii="Times New Roman" w:eastAsia="仿宋_GB2312" w:hAnsi="Times New Roman" w:cs="Times New Roman"/>
          <w:color w:val="auto"/>
          <w:sz w:val="32"/>
          <w:szCs w:val="32"/>
        </w:rPr>
        <w:lastRenderedPageBreak/>
        <w:t>占工程支出金额的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r>
        <w:rPr>
          <w:rFonts w:ascii="Times New Roman" w:eastAsia="楷体_GB2312" w:hAnsi="Times New Roman" w:cs="Times New Roman"/>
          <w:b/>
          <w:bCs/>
          <w:i/>
          <w:color w:val="auto"/>
          <w:sz w:val="32"/>
          <w:szCs w:val="32"/>
        </w:rPr>
        <w:t>（政府采购金额的计算口径为：本部门纳入</w:t>
      </w:r>
      <w:r>
        <w:rPr>
          <w:rFonts w:ascii="Times New Roman" w:eastAsia="楷体_GB2312" w:hAnsi="Times New Roman" w:cs="Times New Roman"/>
          <w:b/>
          <w:bCs/>
          <w:i/>
          <w:color w:val="auto"/>
          <w:sz w:val="32"/>
          <w:szCs w:val="32"/>
        </w:rPr>
        <w:t>202</w:t>
      </w:r>
      <w:r>
        <w:rPr>
          <w:rFonts w:ascii="Times New Roman" w:eastAsia="楷体_GB2312" w:hAnsi="Times New Roman" w:cs="Times New Roman" w:hint="eastAsia"/>
          <w:b/>
          <w:bCs/>
          <w:i/>
          <w:color w:val="auto"/>
          <w:sz w:val="32"/>
          <w:szCs w:val="32"/>
        </w:rPr>
        <w:t>5</w:t>
      </w:r>
      <w:r>
        <w:rPr>
          <w:rFonts w:ascii="Times New Roman" w:eastAsia="楷体_GB2312" w:hAnsi="Times New Roman" w:cs="Times New Roman"/>
          <w:b/>
          <w:bCs/>
          <w:i/>
          <w:color w:val="auto"/>
          <w:sz w:val="32"/>
          <w:szCs w:val="32"/>
        </w:rPr>
        <w:t>年度部门预算范围的各项政府采购支出金额之和，不包括涉密采购项目的支出金额）</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2</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FC2256"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FC2256" w:rsidRDefault="00000000">
      <w:pPr>
        <w:overflowPunct w:val="0"/>
        <w:spacing w:line="600" w:lineRule="exact"/>
        <w:ind w:firstLineChars="200" w:firstLine="643"/>
        <w:rPr>
          <w:rFonts w:ascii="Times New Roman" w:eastAsia="仿宋_GB2312" w:hAnsi="Times New Roman" w:cs="Times New Roman"/>
          <w:b/>
          <w:bCs/>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p>
    <w:p w:rsidR="00FC2256" w:rsidRDefault="00000000">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hint="eastAsia"/>
          <w:color w:val="auto"/>
          <w:sz w:val="32"/>
          <w:szCs w:val="32"/>
        </w:rPr>
        <w:t>根据预算绩效管理要求，我部门组织对</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年度一般公共预算项目支出全面开展绩效自评，其中，一级项目</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个，二级项目</w:t>
      </w:r>
      <w:r>
        <w:rPr>
          <w:rFonts w:ascii="Times New Roman" w:eastAsia="仿宋_GB2312" w:hAnsi="Times New Roman" w:cs="Times New Roman" w:hint="eastAsia"/>
          <w:color w:val="auto"/>
          <w:sz w:val="32"/>
          <w:szCs w:val="32"/>
        </w:rPr>
        <w:t>2</w:t>
      </w:r>
      <w:r>
        <w:rPr>
          <w:rFonts w:ascii="Times New Roman" w:eastAsia="仿宋_GB2312" w:hAnsi="Times New Roman" w:cs="Times New Roman" w:hint="eastAsia"/>
          <w:color w:val="auto"/>
          <w:sz w:val="32"/>
          <w:szCs w:val="32"/>
        </w:rPr>
        <w:t>个，共涉及资金</w:t>
      </w:r>
      <w:r>
        <w:rPr>
          <w:rFonts w:ascii="Times New Roman" w:eastAsia="仿宋_GB2312" w:hAnsi="Times New Roman" w:cs="Times New Roman" w:hint="eastAsia"/>
          <w:color w:val="auto"/>
          <w:sz w:val="32"/>
          <w:szCs w:val="32"/>
        </w:rPr>
        <w:t>80.76</w:t>
      </w:r>
      <w:r>
        <w:rPr>
          <w:rFonts w:ascii="Times New Roman" w:eastAsia="仿宋_GB2312" w:hAnsi="Times New Roman" w:cs="Times New Roman" w:hint="eastAsia"/>
          <w:color w:val="auto"/>
          <w:sz w:val="32"/>
          <w:szCs w:val="32"/>
        </w:rPr>
        <w:t>万元，占一般公共预算项目支出总额的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。组织对</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年度农村社会事业支出和其他政府性基金债务收入安排的支出等</w:t>
      </w:r>
      <w:r>
        <w:rPr>
          <w:rFonts w:ascii="Times New Roman" w:eastAsia="仿宋_GB2312" w:hAnsi="Times New Roman" w:cs="Times New Roman" w:hint="eastAsia"/>
          <w:color w:val="auto"/>
          <w:sz w:val="32"/>
          <w:szCs w:val="32"/>
        </w:rPr>
        <w:t>4</w:t>
      </w:r>
      <w:r>
        <w:rPr>
          <w:rFonts w:ascii="Times New Roman" w:eastAsia="仿宋_GB2312" w:hAnsi="Times New Roman" w:cs="Times New Roman" w:hint="eastAsia"/>
          <w:color w:val="auto"/>
          <w:sz w:val="32"/>
          <w:szCs w:val="32"/>
        </w:rPr>
        <w:t>个政府性基金预算项目支出开展绩效自评，共涉及资金</w:t>
      </w:r>
      <w:r>
        <w:rPr>
          <w:rFonts w:ascii="Times New Roman" w:eastAsia="仿宋_GB2312" w:hAnsi="Times New Roman" w:cs="Times New Roman" w:hint="eastAsia"/>
          <w:color w:val="auto"/>
          <w:sz w:val="32"/>
          <w:szCs w:val="32"/>
        </w:rPr>
        <w:t>111.75</w:t>
      </w:r>
      <w:r>
        <w:rPr>
          <w:rFonts w:ascii="Times New Roman" w:eastAsia="仿宋_GB2312" w:hAnsi="Times New Roman" w:cs="Times New Roman" w:hint="eastAsia"/>
          <w:color w:val="auto"/>
          <w:sz w:val="32"/>
          <w:szCs w:val="32"/>
        </w:rPr>
        <w:t>万元，占政府性基金预算项目支出总额的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。组织对</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个国有资本经营预算项目支出开展绩效自评，共涉及资金</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万元，占国有资本经营预算项目支出总额的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w:t>
      </w:r>
      <w:r>
        <w:rPr>
          <w:rFonts w:ascii="Times New Roman" w:eastAsia="仿宋_GB2312" w:hAnsi="Times New Roman" w:cs="Times New Roman" w:hint="eastAsia"/>
          <w:b/>
          <w:bCs/>
          <w:color w:val="auto"/>
          <w:sz w:val="32"/>
          <w:szCs w:val="32"/>
        </w:rPr>
        <w:t>二是部门评价开展情况（如有，一预算部门填写）。</w:t>
      </w:r>
      <w:r>
        <w:rPr>
          <w:rFonts w:ascii="Times New Roman" w:eastAsia="仿宋_GB2312" w:hAnsi="Times New Roman" w:cs="Times New Roman" w:hint="eastAsia"/>
          <w:color w:val="auto"/>
          <w:sz w:val="32"/>
          <w:szCs w:val="32"/>
        </w:rPr>
        <w:t>组织对所属单位</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年度“</w:t>
      </w:r>
      <w:r>
        <w:rPr>
          <w:rFonts w:ascii="Times New Roman" w:eastAsia="仿宋_GB2312" w:hAnsi="Times New Roman" w:cs="Times New Roman" w:hint="eastAsia"/>
          <w:color w:val="auto"/>
          <w:sz w:val="32"/>
          <w:szCs w:val="32"/>
        </w:rPr>
        <w:t>2010302</w:t>
      </w:r>
      <w:r>
        <w:rPr>
          <w:rFonts w:ascii="Times New Roman" w:eastAsia="仿宋_GB2312" w:hAnsi="Times New Roman" w:cs="Times New Roman" w:hint="eastAsia"/>
          <w:color w:val="auto"/>
          <w:sz w:val="32"/>
          <w:szCs w:val="32"/>
        </w:rPr>
        <w:t>八宝镇人民政府一般行政管理事务”“</w:t>
      </w:r>
      <w:r>
        <w:rPr>
          <w:rFonts w:ascii="Times New Roman" w:eastAsia="仿宋_GB2312" w:hAnsi="Times New Roman" w:cs="Times New Roman" w:hint="eastAsia"/>
          <w:color w:val="auto"/>
          <w:sz w:val="32"/>
          <w:szCs w:val="32"/>
        </w:rPr>
        <w:t>2010602</w:t>
      </w:r>
      <w:r>
        <w:rPr>
          <w:rFonts w:ascii="Times New Roman" w:eastAsia="仿宋_GB2312" w:hAnsi="Times New Roman" w:cs="Times New Roman" w:hint="eastAsia"/>
          <w:color w:val="auto"/>
          <w:sz w:val="32"/>
          <w:szCs w:val="32"/>
        </w:rPr>
        <w:t>八宝镇人民政府一般行政管</w:t>
      </w:r>
      <w:r>
        <w:rPr>
          <w:rFonts w:ascii="Times New Roman" w:eastAsia="仿宋_GB2312" w:hAnsi="Times New Roman" w:cs="Times New Roman" w:hint="eastAsia"/>
          <w:color w:val="auto"/>
          <w:sz w:val="32"/>
          <w:szCs w:val="32"/>
        </w:rPr>
        <w:lastRenderedPageBreak/>
        <w:t>理事务”、“</w:t>
      </w:r>
      <w:r>
        <w:rPr>
          <w:rFonts w:ascii="Times New Roman" w:eastAsia="仿宋_GB2312" w:hAnsi="Times New Roman" w:cs="Times New Roman" w:hint="eastAsia"/>
          <w:color w:val="auto"/>
          <w:sz w:val="32"/>
          <w:szCs w:val="32"/>
        </w:rPr>
        <w:t>2120815</w:t>
      </w:r>
      <w:r>
        <w:rPr>
          <w:rFonts w:ascii="Times New Roman" w:eastAsia="仿宋_GB2312" w:hAnsi="Times New Roman" w:cs="Times New Roman" w:hint="eastAsia"/>
          <w:color w:val="auto"/>
          <w:sz w:val="32"/>
          <w:szCs w:val="32"/>
        </w:rPr>
        <w:t>八宝镇农村社会事业支出”、“</w:t>
      </w:r>
      <w:r>
        <w:rPr>
          <w:rFonts w:ascii="Times New Roman" w:eastAsia="仿宋_GB2312" w:hAnsi="Times New Roman" w:cs="Times New Roman" w:hint="eastAsia"/>
          <w:color w:val="auto"/>
          <w:sz w:val="32"/>
          <w:szCs w:val="32"/>
        </w:rPr>
        <w:t>2120816</w:t>
      </w:r>
      <w:r>
        <w:rPr>
          <w:rFonts w:ascii="Times New Roman" w:eastAsia="仿宋_GB2312" w:hAnsi="Times New Roman" w:cs="Times New Roman" w:hint="eastAsia"/>
          <w:color w:val="auto"/>
          <w:sz w:val="32"/>
          <w:szCs w:val="32"/>
        </w:rPr>
        <w:t>八宝镇农业农村生态环境支出”、“</w:t>
      </w:r>
      <w:r>
        <w:rPr>
          <w:rFonts w:ascii="Times New Roman" w:eastAsia="仿宋_GB2312" w:hAnsi="Times New Roman" w:cs="Times New Roman" w:hint="eastAsia"/>
          <w:color w:val="auto"/>
          <w:sz w:val="32"/>
          <w:szCs w:val="32"/>
        </w:rPr>
        <w:t>2290403</w:t>
      </w:r>
      <w:r>
        <w:rPr>
          <w:rFonts w:ascii="Times New Roman" w:eastAsia="仿宋_GB2312" w:hAnsi="Times New Roman" w:cs="Times New Roman" w:hint="eastAsia"/>
          <w:color w:val="auto"/>
          <w:sz w:val="32"/>
          <w:szCs w:val="32"/>
        </w:rPr>
        <w:t>八宝镇其他政府性基金债务收入安排的支出”、“</w:t>
      </w:r>
      <w:r>
        <w:rPr>
          <w:rFonts w:ascii="Times New Roman" w:eastAsia="仿宋_GB2312" w:hAnsi="Times New Roman" w:cs="Times New Roman" w:hint="eastAsia"/>
          <w:color w:val="auto"/>
          <w:sz w:val="32"/>
          <w:szCs w:val="32"/>
        </w:rPr>
        <w:t>2296002</w:t>
      </w:r>
      <w:r>
        <w:rPr>
          <w:rFonts w:ascii="Times New Roman" w:eastAsia="仿宋_GB2312" w:hAnsi="Times New Roman" w:cs="Times New Roman" w:hint="eastAsia"/>
          <w:color w:val="auto"/>
          <w:sz w:val="32"/>
          <w:szCs w:val="32"/>
        </w:rPr>
        <w:t>八宝镇用于社会福利的彩票公益金支出”等</w:t>
      </w:r>
      <w:r>
        <w:rPr>
          <w:rFonts w:ascii="Times New Roman" w:eastAsia="仿宋_GB2312" w:hAnsi="Times New Roman" w:cs="Times New Roman" w:hint="eastAsia"/>
          <w:color w:val="auto"/>
          <w:sz w:val="32"/>
          <w:szCs w:val="32"/>
        </w:rPr>
        <w:t>6</w:t>
      </w:r>
      <w:r>
        <w:rPr>
          <w:rFonts w:ascii="Times New Roman" w:eastAsia="仿宋_GB2312" w:hAnsi="Times New Roman" w:cs="Times New Roman" w:hint="eastAsia"/>
          <w:color w:val="auto"/>
          <w:sz w:val="32"/>
          <w:szCs w:val="32"/>
        </w:rPr>
        <w:t>个项目开展了部门评价，涉及一般公共预算支出</w:t>
      </w:r>
      <w:r>
        <w:rPr>
          <w:rFonts w:ascii="Times New Roman" w:eastAsia="仿宋_GB2312" w:hAnsi="Times New Roman" w:cs="Times New Roman" w:hint="eastAsia"/>
          <w:color w:val="auto"/>
          <w:sz w:val="32"/>
          <w:szCs w:val="32"/>
        </w:rPr>
        <w:t>80.76</w:t>
      </w:r>
      <w:r>
        <w:rPr>
          <w:rFonts w:ascii="Times New Roman" w:eastAsia="仿宋_GB2312" w:hAnsi="Times New Roman" w:cs="Times New Roman" w:hint="eastAsia"/>
          <w:color w:val="auto"/>
          <w:sz w:val="32"/>
          <w:szCs w:val="32"/>
        </w:rPr>
        <w:t>万元，政府性基金预算支出</w:t>
      </w:r>
      <w:r>
        <w:rPr>
          <w:rFonts w:ascii="Times New Roman" w:eastAsia="仿宋_GB2312" w:hAnsi="Times New Roman" w:cs="Times New Roman" w:hint="eastAsia"/>
          <w:color w:val="auto"/>
          <w:sz w:val="32"/>
          <w:szCs w:val="32"/>
        </w:rPr>
        <w:t>111.75</w:t>
      </w:r>
      <w:r>
        <w:rPr>
          <w:rFonts w:ascii="Times New Roman" w:eastAsia="仿宋_GB2312" w:hAnsi="Times New Roman" w:cs="Times New Roman" w:hint="eastAsia"/>
          <w:color w:val="auto"/>
          <w:sz w:val="32"/>
          <w:szCs w:val="32"/>
        </w:rPr>
        <w:t>万元，国有资本经营预算支出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万元，社会保险基金预算支出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万元。</w:t>
      </w:r>
      <w:r>
        <w:rPr>
          <w:rFonts w:ascii="Times New Roman" w:eastAsia="仿宋_GB2312" w:hAnsi="Times New Roman" w:cs="Times New Roman" w:hint="eastAsia"/>
          <w:b/>
          <w:bCs/>
          <w:color w:val="auto"/>
          <w:sz w:val="32"/>
          <w:szCs w:val="32"/>
        </w:rPr>
        <w:t>三是事前绩效评估开展情况</w:t>
      </w:r>
      <w:r>
        <w:rPr>
          <w:rFonts w:ascii="Times New Roman" w:eastAsia="仿宋_GB2312" w:hAnsi="Times New Roman" w:cs="Times New Roman" w:hint="eastAsia"/>
          <w:color w:val="auto"/>
          <w:sz w:val="32"/>
          <w:szCs w:val="32"/>
        </w:rPr>
        <w:t>（如有，一级预算部门填写）。本年度本部门无重点项目支出，为常规性项目支出，具体内容详见附件。</w:t>
      </w:r>
    </w:p>
    <w:p w:rsidR="00FC2256" w:rsidRDefault="00000000">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32"/>
          <w:szCs w:val="32"/>
        </w:rPr>
      </w:pPr>
      <w:r>
        <w:rPr>
          <w:rFonts w:ascii="Times New Roman" w:eastAsia="仿宋_GB2312" w:hAnsi="Times New Roman" w:cs="Times New Roman"/>
          <w:b/>
          <w:bCs/>
          <w:color w:val="auto"/>
          <w:sz w:val="32"/>
          <w:szCs w:val="32"/>
        </w:rPr>
        <w:t>（二）绩效评价结果。一是绩效自评结果。</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年度本部门（单位）整体支出全年预算数</w:t>
      </w:r>
      <w:r>
        <w:rPr>
          <w:rFonts w:ascii="Times New Roman" w:eastAsia="仿宋_GB2312" w:hAnsi="Times New Roman" w:cs="Times New Roman"/>
          <w:color w:val="auto"/>
          <w:sz w:val="32"/>
          <w:szCs w:val="32"/>
        </w:rPr>
        <w:t>1939.53</w:t>
      </w:r>
      <w:r>
        <w:rPr>
          <w:rFonts w:ascii="Times New Roman" w:eastAsia="仿宋_GB2312" w:hAnsi="Times New Roman" w:cs="Times New Roman"/>
          <w:color w:val="auto"/>
          <w:sz w:val="32"/>
          <w:szCs w:val="32"/>
        </w:rPr>
        <w:t>万元，执行数</w:t>
      </w:r>
      <w:r>
        <w:rPr>
          <w:rFonts w:ascii="Times New Roman" w:eastAsia="仿宋_GB2312" w:hAnsi="Times New Roman" w:cs="Times New Roman" w:hint="eastAsia"/>
          <w:color w:val="auto"/>
          <w:sz w:val="32"/>
          <w:szCs w:val="32"/>
        </w:rPr>
        <w:t>1928.03</w:t>
      </w:r>
      <w:r>
        <w:rPr>
          <w:rFonts w:ascii="Times New Roman" w:eastAsia="仿宋_GB2312" w:hAnsi="Times New Roman" w:cs="Times New Roman"/>
          <w:color w:val="auto"/>
          <w:sz w:val="32"/>
          <w:szCs w:val="32"/>
        </w:rPr>
        <w:t>万元，完成预算的</w:t>
      </w:r>
      <w:r>
        <w:rPr>
          <w:rFonts w:ascii="Times New Roman" w:eastAsia="仿宋_GB2312" w:hAnsi="Times New Roman" w:cs="Times New Roman" w:hint="eastAsia"/>
          <w:color w:val="auto"/>
          <w:sz w:val="32"/>
          <w:szCs w:val="32"/>
        </w:rPr>
        <w:t>99.41</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，绩效自评得分</w:t>
      </w:r>
      <w:r>
        <w:rPr>
          <w:rFonts w:ascii="Times New Roman" w:eastAsia="仿宋_GB2312" w:hAnsi="Times New Roman" w:cs="Times New Roman" w:hint="eastAsia"/>
          <w:color w:val="auto"/>
          <w:sz w:val="32"/>
          <w:szCs w:val="32"/>
        </w:rPr>
        <w:t>91</w:t>
      </w:r>
      <w:r>
        <w:rPr>
          <w:rFonts w:ascii="Times New Roman" w:eastAsia="仿宋_GB2312" w:hAnsi="Times New Roman" w:cs="Times New Roman"/>
          <w:color w:val="auto"/>
          <w:sz w:val="32"/>
          <w:szCs w:val="32"/>
        </w:rPr>
        <w:t>分，评价等级为</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合格</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。绩效目标完成情况：绩效目标完成情况：一是</w:t>
      </w:r>
      <w:r>
        <w:rPr>
          <w:rFonts w:ascii="Times New Roman" w:eastAsia="仿宋_GB2312" w:hAnsi="Times New Roman" w:cs="Times New Roman" w:hint="eastAsia"/>
          <w:color w:val="auto"/>
          <w:sz w:val="32"/>
          <w:szCs w:val="32"/>
        </w:rPr>
        <w:t>核心职能履行取得预期成效</w:t>
      </w:r>
      <w:r>
        <w:rPr>
          <w:rFonts w:ascii="Times New Roman" w:eastAsia="仿宋_GB2312" w:hAnsi="Times New Roman" w:cs="Times New Roman"/>
          <w:color w:val="auto"/>
          <w:sz w:val="32"/>
          <w:szCs w:val="32"/>
        </w:rPr>
        <w:t>；二是</w:t>
      </w:r>
      <w:r>
        <w:rPr>
          <w:rFonts w:ascii="Times New Roman" w:eastAsia="仿宋_GB2312" w:hAnsi="Times New Roman" w:cs="Times New Roman" w:hint="eastAsia"/>
          <w:color w:val="auto"/>
          <w:sz w:val="32"/>
          <w:szCs w:val="32"/>
        </w:rPr>
        <w:t>内部管理与运行效率持续优化</w:t>
      </w:r>
      <w:r>
        <w:rPr>
          <w:rFonts w:ascii="Times New Roman" w:eastAsia="仿宋_GB2312" w:hAnsi="Times New Roman" w:cs="Times New Roman"/>
          <w:color w:val="auto"/>
          <w:sz w:val="32"/>
          <w:szCs w:val="32"/>
        </w:rPr>
        <w:t>。发现的主要问题及原因：一是</w:t>
      </w:r>
      <w:r>
        <w:rPr>
          <w:rFonts w:ascii="Times New Roman" w:eastAsia="仿宋_GB2312" w:hAnsi="Times New Roman" w:cs="Times New Roman" w:hint="eastAsia"/>
          <w:color w:val="auto"/>
          <w:sz w:val="32"/>
          <w:szCs w:val="32"/>
        </w:rPr>
        <w:t>预算编制的精准性和前瞻性有待加强</w:t>
      </w:r>
      <w:r>
        <w:rPr>
          <w:rFonts w:ascii="Times New Roman" w:eastAsia="仿宋_GB2312" w:hAnsi="Times New Roman" w:cs="Times New Roman"/>
          <w:color w:val="auto"/>
          <w:sz w:val="32"/>
          <w:szCs w:val="32"/>
        </w:rPr>
        <w:t>；二是</w:t>
      </w:r>
      <w:r>
        <w:rPr>
          <w:rFonts w:ascii="Times New Roman" w:eastAsia="仿宋_GB2312" w:hAnsi="Times New Roman" w:cs="Times New Roman" w:hint="eastAsia"/>
          <w:color w:val="auto"/>
          <w:sz w:val="32"/>
          <w:szCs w:val="32"/>
        </w:rPr>
        <w:t>绩效目标与业务工作的融合深度有待提升</w:t>
      </w:r>
      <w:r>
        <w:rPr>
          <w:rFonts w:ascii="Times New Roman" w:eastAsia="仿宋_GB2312" w:hAnsi="Times New Roman" w:cs="Times New Roman"/>
          <w:color w:val="auto"/>
          <w:sz w:val="32"/>
          <w:szCs w:val="32"/>
        </w:rPr>
        <w:t>。下一步改进措施：一是</w:t>
      </w:r>
      <w:r>
        <w:rPr>
          <w:rFonts w:ascii="Times New Roman" w:eastAsia="仿宋_GB2312" w:hAnsi="Times New Roman" w:cs="Times New Roman" w:hint="eastAsia"/>
          <w:color w:val="auto"/>
          <w:sz w:val="32"/>
          <w:szCs w:val="32"/>
        </w:rPr>
        <w:t>强化预算管理科学性</w:t>
      </w:r>
      <w:r>
        <w:rPr>
          <w:rFonts w:ascii="Times New Roman" w:eastAsia="仿宋_GB2312" w:hAnsi="Times New Roman" w:cs="Times New Roman"/>
          <w:color w:val="auto"/>
          <w:sz w:val="32"/>
          <w:szCs w:val="32"/>
        </w:rPr>
        <w:t>；二是</w:t>
      </w:r>
      <w:r>
        <w:rPr>
          <w:rFonts w:ascii="Times New Roman" w:eastAsia="仿宋_GB2312" w:hAnsi="Times New Roman" w:cs="Times New Roman" w:hint="eastAsia"/>
          <w:color w:val="auto"/>
          <w:sz w:val="32"/>
          <w:szCs w:val="32"/>
        </w:rPr>
        <w:t>深化绩效管理全过程融合</w:t>
      </w:r>
      <w:r>
        <w:rPr>
          <w:rFonts w:ascii="Times New Roman" w:eastAsia="仿宋_GB2312" w:hAnsi="Times New Roman" w:cs="Times New Roman"/>
          <w:color w:val="auto"/>
          <w:sz w:val="32"/>
          <w:szCs w:val="32"/>
        </w:rPr>
        <w:t>。（请对本部门整体支出的绩效目标完成情况，存在的问题及原因，下一步改进措施等进行简要说明）。</w:t>
      </w:r>
      <w:r>
        <w:rPr>
          <w:rFonts w:ascii="Times New Roman" w:eastAsia="仿宋_GB2312" w:hAnsi="Times New Roman" w:cs="Times New Roman"/>
          <w:b/>
          <w:bCs/>
          <w:color w:val="auto"/>
          <w:sz w:val="32"/>
          <w:szCs w:val="32"/>
        </w:rPr>
        <w:t>二是部门评价结果（如有，一级预算部门填写）</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八宝镇一般行政管理事务</w:t>
      </w:r>
      <w:r>
        <w:rPr>
          <w:rFonts w:ascii="Times New Roman" w:eastAsia="仿宋_GB2312" w:hAnsi="Times New Roman" w:cs="Times New Roman"/>
          <w:color w:val="auto"/>
          <w:sz w:val="32"/>
          <w:szCs w:val="32"/>
        </w:rPr>
        <w:t>项目全年预算数</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万元，执行数</w:t>
      </w:r>
      <w:r>
        <w:rPr>
          <w:rFonts w:ascii="Times New Roman" w:eastAsia="仿宋_GB2312" w:hAnsi="Times New Roman" w:cs="Times New Roman" w:hint="eastAsia"/>
          <w:color w:val="auto"/>
          <w:sz w:val="32"/>
          <w:szCs w:val="32"/>
        </w:rPr>
        <w:t>80.32</w:t>
      </w:r>
      <w:r>
        <w:rPr>
          <w:rFonts w:ascii="Times New Roman" w:eastAsia="仿宋_GB2312" w:hAnsi="Times New Roman" w:cs="Times New Roman"/>
          <w:color w:val="auto"/>
          <w:sz w:val="32"/>
          <w:szCs w:val="32"/>
        </w:rPr>
        <w:t>万元，</w:t>
      </w:r>
      <w:r>
        <w:rPr>
          <w:rFonts w:ascii="Times New Roman" w:eastAsia="仿宋_GB2312" w:hAnsi="Times New Roman" w:cs="Times New Roman" w:hint="eastAsia"/>
          <w:color w:val="auto"/>
          <w:sz w:val="32"/>
          <w:szCs w:val="32"/>
        </w:rPr>
        <w:t>由于预算数为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，无法计算百分比</w:t>
      </w:r>
      <w:r>
        <w:rPr>
          <w:rFonts w:ascii="Times New Roman" w:eastAsia="仿宋_GB2312" w:hAnsi="Times New Roman" w:cs="Times New Roman"/>
          <w:color w:val="auto"/>
          <w:sz w:val="32"/>
          <w:szCs w:val="32"/>
        </w:rPr>
        <w:t>，部门评价得分</w:t>
      </w:r>
      <w:r>
        <w:rPr>
          <w:rFonts w:ascii="Times New Roman" w:eastAsia="仿宋_GB2312" w:hAnsi="Times New Roman" w:cs="Times New Roman" w:hint="eastAsia"/>
          <w:color w:val="auto"/>
          <w:sz w:val="32"/>
          <w:szCs w:val="32"/>
        </w:rPr>
        <w:t>90</w:t>
      </w:r>
      <w:r>
        <w:rPr>
          <w:rFonts w:ascii="Times New Roman" w:eastAsia="仿宋_GB2312" w:hAnsi="Times New Roman" w:cs="Times New Roman"/>
          <w:color w:val="auto"/>
          <w:sz w:val="32"/>
          <w:szCs w:val="32"/>
        </w:rPr>
        <w:t>分，评价等级为</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合格</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。发现的主要问题及原因：一是</w:t>
      </w:r>
      <w:r>
        <w:rPr>
          <w:rFonts w:ascii="Times New Roman" w:eastAsia="仿宋_GB2312" w:hAnsi="Times New Roman" w:cs="Times New Roman" w:hint="eastAsia"/>
          <w:color w:val="auto"/>
          <w:sz w:val="32"/>
          <w:szCs w:val="32"/>
        </w:rPr>
        <w:t>预算编制精准度不足</w:t>
      </w:r>
      <w:r>
        <w:rPr>
          <w:rFonts w:ascii="Times New Roman" w:eastAsia="仿宋_GB2312" w:hAnsi="Times New Roman" w:cs="Times New Roman"/>
          <w:color w:val="auto"/>
          <w:sz w:val="32"/>
          <w:szCs w:val="32"/>
        </w:rPr>
        <w:t>；二是</w:t>
      </w:r>
      <w:r>
        <w:rPr>
          <w:rFonts w:ascii="Times New Roman" w:eastAsia="仿宋_GB2312" w:hAnsi="Times New Roman" w:cs="Times New Roman" w:hint="eastAsia"/>
          <w:color w:val="auto"/>
          <w:sz w:val="32"/>
          <w:szCs w:val="32"/>
        </w:rPr>
        <w:t>预算调整机制响</w:t>
      </w:r>
      <w:r>
        <w:rPr>
          <w:rFonts w:ascii="Times New Roman" w:eastAsia="仿宋_GB2312" w:hAnsi="Times New Roman" w:cs="Times New Roman" w:hint="eastAsia"/>
          <w:color w:val="auto"/>
          <w:sz w:val="32"/>
          <w:szCs w:val="32"/>
        </w:rPr>
        <w:lastRenderedPageBreak/>
        <w:t>应不及时</w:t>
      </w:r>
      <w:r>
        <w:rPr>
          <w:rFonts w:ascii="Times New Roman" w:eastAsia="仿宋_GB2312" w:hAnsi="Times New Roman" w:cs="Times New Roman"/>
          <w:color w:val="auto"/>
          <w:sz w:val="32"/>
          <w:szCs w:val="32"/>
        </w:rPr>
        <w:t>。下一步改进措施：一是</w:t>
      </w:r>
      <w:r>
        <w:rPr>
          <w:rFonts w:ascii="Times New Roman" w:eastAsia="仿宋_GB2312" w:hAnsi="Times New Roman" w:cs="Times New Roman" w:hint="eastAsia"/>
          <w:color w:val="auto"/>
          <w:sz w:val="32"/>
          <w:szCs w:val="32"/>
        </w:rPr>
        <w:t>提升预算编制精细化水平</w:t>
      </w:r>
      <w:r>
        <w:rPr>
          <w:rFonts w:ascii="Times New Roman" w:eastAsia="仿宋_GB2312" w:hAnsi="Times New Roman" w:cs="Times New Roman"/>
          <w:color w:val="auto"/>
          <w:sz w:val="32"/>
          <w:szCs w:val="32"/>
        </w:rPr>
        <w:t>；二是</w:t>
      </w:r>
      <w:r>
        <w:rPr>
          <w:rFonts w:ascii="Times New Roman" w:eastAsia="仿宋_GB2312" w:hAnsi="Times New Roman" w:cs="Times New Roman" w:hint="eastAsia"/>
          <w:color w:val="auto"/>
          <w:sz w:val="32"/>
          <w:szCs w:val="32"/>
        </w:rPr>
        <w:t>规范预算执行调整流程</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八宝镇一般行政管理事务</w:t>
      </w:r>
      <w:r>
        <w:rPr>
          <w:rFonts w:ascii="Times New Roman" w:eastAsia="仿宋_GB2312" w:hAnsi="Times New Roman" w:cs="Times New Roman"/>
          <w:color w:val="auto"/>
          <w:sz w:val="32"/>
          <w:szCs w:val="32"/>
        </w:rPr>
        <w:t>项目全年预算数</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万元，执行数</w:t>
      </w:r>
      <w:r>
        <w:rPr>
          <w:rFonts w:ascii="Times New Roman" w:eastAsia="仿宋_GB2312" w:hAnsi="Times New Roman" w:cs="Times New Roman" w:hint="eastAsia"/>
          <w:color w:val="auto"/>
          <w:sz w:val="32"/>
          <w:szCs w:val="32"/>
        </w:rPr>
        <w:t>0.44</w:t>
      </w:r>
      <w:r>
        <w:rPr>
          <w:rFonts w:ascii="Times New Roman" w:eastAsia="仿宋_GB2312" w:hAnsi="Times New Roman" w:cs="Times New Roman"/>
          <w:color w:val="auto"/>
          <w:sz w:val="32"/>
          <w:szCs w:val="32"/>
        </w:rPr>
        <w:t>万元，</w:t>
      </w:r>
      <w:r>
        <w:rPr>
          <w:rFonts w:ascii="Times New Roman" w:eastAsia="仿宋_GB2312" w:hAnsi="Times New Roman" w:cs="Times New Roman" w:hint="eastAsia"/>
          <w:color w:val="auto"/>
          <w:sz w:val="32"/>
          <w:szCs w:val="32"/>
        </w:rPr>
        <w:t>由于预算数为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，无法计算百分比</w:t>
      </w:r>
      <w:r>
        <w:rPr>
          <w:rFonts w:ascii="Times New Roman" w:eastAsia="仿宋_GB2312" w:hAnsi="Times New Roman" w:cs="Times New Roman"/>
          <w:color w:val="auto"/>
          <w:sz w:val="32"/>
          <w:szCs w:val="32"/>
        </w:rPr>
        <w:t>，部门评价得分</w:t>
      </w:r>
      <w:r>
        <w:rPr>
          <w:rFonts w:ascii="Times New Roman" w:eastAsia="仿宋_GB2312" w:hAnsi="Times New Roman" w:cs="Times New Roman" w:hint="eastAsia"/>
          <w:color w:val="auto"/>
          <w:sz w:val="32"/>
          <w:szCs w:val="32"/>
        </w:rPr>
        <w:t>90</w:t>
      </w:r>
      <w:r>
        <w:rPr>
          <w:rFonts w:ascii="Times New Roman" w:eastAsia="仿宋_GB2312" w:hAnsi="Times New Roman" w:cs="Times New Roman"/>
          <w:color w:val="auto"/>
          <w:sz w:val="32"/>
          <w:szCs w:val="32"/>
        </w:rPr>
        <w:t>分，评价等级为</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合格</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。发现的主要问题及原因：一是</w:t>
      </w:r>
      <w:r>
        <w:rPr>
          <w:rFonts w:ascii="Times New Roman" w:eastAsia="仿宋_GB2312" w:hAnsi="Times New Roman" w:cs="Times New Roman" w:hint="eastAsia"/>
          <w:color w:val="auto"/>
          <w:sz w:val="32"/>
          <w:szCs w:val="32"/>
        </w:rPr>
        <w:t>预算编制未充分预估小额应急行政支出，导致实际发生时无预算支撑</w:t>
      </w:r>
      <w:r>
        <w:rPr>
          <w:rFonts w:ascii="Times New Roman" w:eastAsia="仿宋_GB2312" w:hAnsi="Times New Roman" w:cs="Times New Roman"/>
          <w:color w:val="auto"/>
          <w:sz w:val="32"/>
          <w:szCs w:val="32"/>
        </w:rPr>
        <w:t>；二是</w:t>
      </w:r>
      <w:r>
        <w:rPr>
          <w:rFonts w:ascii="Times New Roman" w:eastAsia="仿宋_GB2312" w:hAnsi="Times New Roman" w:cs="Times New Roman" w:hint="eastAsia"/>
          <w:color w:val="auto"/>
          <w:sz w:val="32"/>
          <w:szCs w:val="32"/>
        </w:rPr>
        <w:t>小额支出审批流程未与预算管理有效衔接，存在先执行后补流程的情况</w:t>
      </w:r>
      <w:r>
        <w:rPr>
          <w:rFonts w:ascii="Times New Roman" w:eastAsia="仿宋_GB2312" w:hAnsi="Times New Roman" w:cs="Times New Roman"/>
          <w:color w:val="auto"/>
          <w:sz w:val="32"/>
          <w:szCs w:val="32"/>
        </w:rPr>
        <w:t>。下一步改进措施：一是</w:t>
      </w:r>
      <w:r>
        <w:rPr>
          <w:rFonts w:ascii="Times New Roman" w:eastAsia="仿宋_GB2312" w:hAnsi="Times New Roman" w:cs="Times New Roman" w:hint="eastAsia"/>
          <w:color w:val="auto"/>
          <w:sz w:val="32"/>
          <w:szCs w:val="32"/>
        </w:rPr>
        <w:t>在预算编制阶段增设小额应急行政支出预留额度，应对突发需求；</w:t>
      </w:r>
      <w:r>
        <w:rPr>
          <w:rFonts w:ascii="Times New Roman" w:eastAsia="仿宋_GB2312" w:hAnsi="Times New Roman" w:cs="Times New Roman"/>
          <w:color w:val="auto"/>
          <w:sz w:val="32"/>
          <w:szCs w:val="32"/>
        </w:rPr>
        <w:t>二是</w:t>
      </w:r>
      <w:r>
        <w:rPr>
          <w:rFonts w:ascii="Times New Roman" w:eastAsia="仿宋_GB2312" w:hAnsi="Times New Roman" w:cs="Times New Roman" w:hint="eastAsia"/>
          <w:color w:val="auto"/>
          <w:sz w:val="32"/>
          <w:szCs w:val="32"/>
        </w:rPr>
        <w:t>完善小额支出审批与预算关联机制，确保支出前先核对预算情况。八宝镇农村社会事业支出</w:t>
      </w:r>
      <w:r>
        <w:rPr>
          <w:rFonts w:ascii="Times New Roman" w:eastAsia="仿宋_GB2312" w:hAnsi="Times New Roman" w:cs="Times New Roman"/>
          <w:color w:val="auto"/>
          <w:sz w:val="32"/>
          <w:szCs w:val="32"/>
        </w:rPr>
        <w:t>项目全年预算数</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万元，执行数</w:t>
      </w:r>
      <w:r>
        <w:rPr>
          <w:rFonts w:ascii="Times New Roman" w:eastAsia="仿宋_GB2312" w:hAnsi="Times New Roman" w:cs="Times New Roman" w:hint="eastAsia"/>
          <w:color w:val="auto"/>
          <w:sz w:val="32"/>
          <w:szCs w:val="32"/>
        </w:rPr>
        <w:t>11.08</w:t>
      </w:r>
      <w:r>
        <w:rPr>
          <w:rFonts w:ascii="Times New Roman" w:eastAsia="仿宋_GB2312" w:hAnsi="Times New Roman" w:cs="Times New Roman"/>
          <w:color w:val="auto"/>
          <w:sz w:val="32"/>
          <w:szCs w:val="32"/>
        </w:rPr>
        <w:t>万元，</w:t>
      </w:r>
      <w:r>
        <w:rPr>
          <w:rFonts w:ascii="Times New Roman" w:eastAsia="仿宋_GB2312" w:hAnsi="Times New Roman" w:cs="Times New Roman" w:hint="eastAsia"/>
          <w:color w:val="auto"/>
          <w:sz w:val="32"/>
          <w:szCs w:val="32"/>
        </w:rPr>
        <w:t>由于预算数为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，无法计算百分比</w:t>
      </w:r>
      <w:r>
        <w:rPr>
          <w:rFonts w:ascii="Times New Roman" w:eastAsia="仿宋_GB2312" w:hAnsi="Times New Roman" w:cs="Times New Roman"/>
          <w:color w:val="auto"/>
          <w:sz w:val="32"/>
          <w:szCs w:val="32"/>
        </w:rPr>
        <w:t>，部门评价得分</w:t>
      </w:r>
      <w:r>
        <w:rPr>
          <w:rFonts w:ascii="Times New Roman" w:eastAsia="仿宋_GB2312" w:hAnsi="Times New Roman" w:cs="Times New Roman" w:hint="eastAsia"/>
          <w:color w:val="auto"/>
          <w:sz w:val="32"/>
          <w:szCs w:val="32"/>
        </w:rPr>
        <w:t>90</w:t>
      </w:r>
      <w:r>
        <w:rPr>
          <w:rFonts w:ascii="Times New Roman" w:eastAsia="仿宋_GB2312" w:hAnsi="Times New Roman" w:cs="Times New Roman"/>
          <w:color w:val="auto"/>
          <w:sz w:val="32"/>
          <w:szCs w:val="32"/>
        </w:rPr>
        <w:t>分，评价等级为</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合格</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。发现的主要问题及原因：</w:t>
      </w:r>
      <w:r>
        <w:rPr>
          <w:rFonts w:ascii="Times New Roman" w:eastAsia="仿宋_GB2312" w:hAnsi="Times New Roman" w:cs="Times New Roman" w:hint="eastAsia"/>
          <w:color w:val="auto"/>
          <w:sz w:val="32"/>
          <w:szCs w:val="32"/>
        </w:rPr>
        <w:t>一是年初预算编制前瞻性不足，未预判年度新增农村社会事业临时性工作，未纳入年初预算，形成无预算支出；二是预算与项目实施统筹衔接不够，新增工作任务资金统筹谋划滞后，预算刚性约束落实不到位。下一步改进措施：一是做实预算编制，全面摸排民生工作需求，充分预估临时性工作，科学编制下年度预算；二是强化资金统筹管理，新增支出严格按规定履行预算调整报批手续，规范资金管理。八宝镇农业农村生态环境支出项目</w:t>
      </w:r>
      <w:r>
        <w:rPr>
          <w:rFonts w:ascii="Times New Roman" w:eastAsia="仿宋_GB2312" w:hAnsi="Times New Roman" w:cs="Times New Roman"/>
          <w:color w:val="auto"/>
          <w:sz w:val="32"/>
          <w:szCs w:val="32"/>
        </w:rPr>
        <w:t>全年预算数</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万元，执行数</w:t>
      </w:r>
      <w:r>
        <w:rPr>
          <w:rFonts w:ascii="Times New Roman" w:eastAsia="仿宋_GB2312" w:hAnsi="Times New Roman" w:cs="Times New Roman" w:hint="eastAsia"/>
          <w:color w:val="auto"/>
          <w:sz w:val="32"/>
          <w:szCs w:val="32"/>
        </w:rPr>
        <w:t>1.86</w:t>
      </w:r>
      <w:r>
        <w:rPr>
          <w:rFonts w:ascii="Times New Roman" w:eastAsia="仿宋_GB2312" w:hAnsi="Times New Roman" w:cs="Times New Roman"/>
          <w:color w:val="auto"/>
          <w:sz w:val="32"/>
          <w:szCs w:val="32"/>
        </w:rPr>
        <w:t>万元，</w:t>
      </w:r>
      <w:r>
        <w:rPr>
          <w:rFonts w:ascii="Times New Roman" w:eastAsia="仿宋_GB2312" w:hAnsi="Times New Roman" w:cs="Times New Roman" w:hint="eastAsia"/>
          <w:color w:val="auto"/>
          <w:sz w:val="32"/>
          <w:szCs w:val="32"/>
        </w:rPr>
        <w:t>由于预算数为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，无法计算百分比</w:t>
      </w:r>
      <w:r>
        <w:rPr>
          <w:rFonts w:ascii="Times New Roman" w:eastAsia="仿宋_GB2312" w:hAnsi="Times New Roman" w:cs="Times New Roman"/>
          <w:color w:val="auto"/>
          <w:sz w:val="32"/>
          <w:szCs w:val="32"/>
        </w:rPr>
        <w:t>，部门评价得分</w:t>
      </w:r>
      <w:r>
        <w:rPr>
          <w:rFonts w:ascii="Times New Roman" w:eastAsia="仿宋_GB2312" w:hAnsi="Times New Roman" w:cs="Times New Roman" w:hint="eastAsia"/>
          <w:color w:val="auto"/>
          <w:sz w:val="32"/>
          <w:szCs w:val="32"/>
        </w:rPr>
        <w:t>91</w:t>
      </w:r>
      <w:r>
        <w:rPr>
          <w:rFonts w:ascii="Times New Roman" w:eastAsia="仿宋_GB2312" w:hAnsi="Times New Roman" w:cs="Times New Roman"/>
          <w:color w:val="auto"/>
          <w:sz w:val="32"/>
          <w:szCs w:val="32"/>
        </w:rPr>
        <w:t>分，评价等级为</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合格</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发现的主要问题及原因：一是年初预算仅安排常规工作经费，未统筹考虑人居环境整治、生态管护等阶段性工作经费；二是</w:t>
      </w:r>
      <w:r>
        <w:rPr>
          <w:rFonts w:ascii="Times New Roman" w:eastAsia="仿宋_GB2312" w:hAnsi="Times New Roman" w:cs="Times New Roman" w:hint="eastAsia"/>
          <w:color w:val="auto"/>
          <w:sz w:val="32"/>
          <w:szCs w:val="32"/>
        </w:rPr>
        <w:lastRenderedPageBreak/>
        <w:t>绩效管理意识有待加强，存在重业务推进、轻预算事前谋划的情况。下一步改进措施：一是结合生态环境治理任务，细化经费测算，将生态管护相关经费纳入年度预算；二是树牢预算绩效理念，同步谋划工作任务与资金保障，规范临时支出审批流程。其他政府性基金债务收入安排的支出</w:t>
      </w:r>
      <w:r>
        <w:rPr>
          <w:rFonts w:ascii="Times New Roman" w:eastAsia="仿宋_GB2312" w:hAnsi="Times New Roman" w:cs="Times New Roman"/>
          <w:color w:val="auto"/>
          <w:sz w:val="32"/>
          <w:szCs w:val="32"/>
        </w:rPr>
        <w:t>项目全年预算数</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万元，执行数</w:t>
      </w:r>
      <w:r>
        <w:rPr>
          <w:rFonts w:ascii="Times New Roman" w:eastAsia="仿宋_GB2312" w:hAnsi="Times New Roman" w:cs="Times New Roman" w:hint="eastAsia"/>
          <w:color w:val="auto"/>
          <w:sz w:val="32"/>
          <w:szCs w:val="32"/>
        </w:rPr>
        <w:t>46.81</w:t>
      </w:r>
      <w:r>
        <w:rPr>
          <w:rFonts w:ascii="Times New Roman" w:eastAsia="仿宋_GB2312" w:hAnsi="Times New Roman" w:cs="Times New Roman"/>
          <w:color w:val="auto"/>
          <w:sz w:val="32"/>
          <w:szCs w:val="32"/>
        </w:rPr>
        <w:t>万元，</w:t>
      </w:r>
      <w:r>
        <w:rPr>
          <w:rFonts w:ascii="Times New Roman" w:eastAsia="仿宋_GB2312" w:hAnsi="Times New Roman" w:cs="Times New Roman" w:hint="eastAsia"/>
          <w:color w:val="auto"/>
          <w:sz w:val="32"/>
          <w:szCs w:val="32"/>
        </w:rPr>
        <w:t>由于预算数为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，无法计算百分比</w:t>
      </w:r>
      <w:r>
        <w:rPr>
          <w:rFonts w:ascii="Times New Roman" w:eastAsia="仿宋_GB2312" w:hAnsi="Times New Roman" w:cs="Times New Roman"/>
          <w:color w:val="auto"/>
          <w:sz w:val="32"/>
          <w:szCs w:val="32"/>
        </w:rPr>
        <w:t>，部门评价得分</w:t>
      </w:r>
      <w:r>
        <w:rPr>
          <w:rFonts w:ascii="Times New Roman" w:eastAsia="仿宋_GB2312" w:hAnsi="Times New Roman" w:cs="Times New Roman" w:hint="eastAsia"/>
          <w:color w:val="auto"/>
          <w:sz w:val="32"/>
          <w:szCs w:val="32"/>
        </w:rPr>
        <w:t>90</w:t>
      </w:r>
      <w:r>
        <w:rPr>
          <w:rFonts w:ascii="Times New Roman" w:eastAsia="仿宋_GB2312" w:hAnsi="Times New Roman" w:cs="Times New Roman"/>
          <w:color w:val="auto"/>
          <w:sz w:val="32"/>
          <w:szCs w:val="32"/>
        </w:rPr>
        <w:t>分，评价等级为</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合格</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发现的主要问题及原因：一是年初未能预判当年债务资金下达情况，未纳入年初预算编制；二是项目储备与债务资金预算联动不足，项目前期谋划不够，预算调整工作不够及时。下一步改进措施：一是加强与上级财政对接，及时掌握债务资金政策，提前做好项目储备；二是规范债务资金预算管理，资金下达后及时按程序办理预算调剂，做到资金支出有据可依。用于社会福利的彩票公益金支出</w:t>
      </w:r>
      <w:r>
        <w:rPr>
          <w:rFonts w:ascii="Times New Roman" w:eastAsia="仿宋_GB2312" w:hAnsi="Times New Roman" w:cs="Times New Roman"/>
          <w:color w:val="auto"/>
          <w:sz w:val="32"/>
          <w:szCs w:val="32"/>
        </w:rPr>
        <w:t>项目全年预算数</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万元，执行数</w:t>
      </w:r>
      <w:r>
        <w:rPr>
          <w:rFonts w:ascii="Times New Roman" w:eastAsia="仿宋_GB2312" w:hAnsi="Times New Roman" w:cs="Times New Roman" w:hint="eastAsia"/>
          <w:color w:val="auto"/>
          <w:sz w:val="32"/>
          <w:szCs w:val="32"/>
        </w:rPr>
        <w:t>52</w:t>
      </w:r>
      <w:r>
        <w:rPr>
          <w:rFonts w:ascii="Times New Roman" w:eastAsia="仿宋_GB2312" w:hAnsi="Times New Roman" w:cs="Times New Roman"/>
          <w:color w:val="auto"/>
          <w:sz w:val="32"/>
          <w:szCs w:val="32"/>
        </w:rPr>
        <w:t>万元，</w:t>
      </w:r>
      <w:r>
        <w:rPr>
          <w:rFonts w:ascii="Times New Roman" w:eastAsia="仿宋_GB2312" w:hAnsi="Times New Roman" w:cs="Times New Roman" w:hint="eastAsia"/>
          <w:color w:val="auto"/>
          <w:sz w:val="32"/>
          <w:szCs w:val="32"/>
        </w:rPr>
        <w:t>由于预算数为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hint="eastAsia"/>
          <w:color w:val="auto"/>
          <w:sz w:val="32"/>
          <w:szCs w:val="32"/>
        </w:rPr>
        <w:t>，无法计算百分比</w:t>
      </w:r>
      <w:r>
        <w:rPr>
          <w:rFonts w:ascii="Times New Roman" w:eastAsia="仿宋_GB2312" w:hAnsi="Times New Roman" w:cs="Times New Roman"/>
          <w:color w:val="auto"/>
          <w:sz w:val="32"/>
          <w:szCs w:val="32"/>
        </w:rPr>
        <w:t>，部门评价得分</w:t>
      </w:r>
      <w:r>
        <w:rPr>
          <w:rFonts w:ascii="Times New Roman" w:eastAsia="仿宋_GB2312" w:hAnsi="Times New Roman" w:cs="Times New Roman" w:hint="eastAsia"/>
          <w:color w:val="auto"/>
          <w:sz w:val="32"/>
          <w:szCs w:val="32"/>
        </w:rPr>
        <w:t>90</w:t>
      </w:r>
      <w:r>
        <w:rPr>
          <w:rFonts w:ascii="Times New Roman" w:eastAsia="仿宋_GB2312" w:hAnsi="Times New Roman" w:cs="Times New Roman"/>
          <w:color w:val="auto"/>
          <w:sz w:val="32"/>
          <w:szCs w:val="32"/>
        </w:rPr>
        <w:t>分，评价等级为</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合格</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r>
        <w:rPr>
          <w:rFonts w:ascii="Times New Roman" w:eastAsia="仿宋_GB2312" w:hAnsi="Times New Roman" w:cs="Times New Roman" w:hint="eastAsia"/>
          <w:color w:val="auto"/>
          <w:sz w:val="32"/>
          <w:szCs w:val="32"/>
        </w:rPr>
        <w:t>发现的主要问题及原因：一是彩票公益金属于上级专项转移支付，资金下达时间、额度不确定，年初无法纳入初始预算；二是专项项目储备不够充分，资金下达前项目前期准备有待加强。下一步改进措施：一是建立专项项目储备库，待彩票公益金资金下达后及时办理预算调整；二是提前摸排社会福利项目需求，主动对接上级部门，规范项目实施和绩效全过程管理。</w:t>
      </w:r>
      <w:r>
        <w:rPr>
          <w:rFonts w:ascii="Times New Roman" w:eastAsia="仿宋_GB2312" w:hAnsi="Times New Roman" w:cs="Times New Roman"/>
          <w:b/>
          <w:bCs/>
          <w:color w:val="auto"/>
          <w:sz w:val="32"/>
          <w:szCs w:val="32"/>
        </w:rPr>
        <w:t>三是事前绩效评估结果</w:t>
      </w:r>
      <w:r>
        <w:rPr>
          <w:rFonts w:ascii="Times New Roman" w:eastAsia="仿宋_GB2312" w:hAnsi="Times New Roman" w:cs="Times New Roman"/>
          <w:color w:val="auto"/>
          <w:sz w:val="32"/>
          <w:szCs w:val="32"/>
        </w:rPr>
        <w:t>（如有，一级预算部门填写）。</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年度</w:t>
      </w:r>
      <w:r>
        <w:rPr>
          <w:rFonts w:ascii="Times New Roman" w:eastAsia="仿宋_GB2312" w:hAnsi="Times New Roman" w:cs="Times New Roman" w:hint="eastAsia"/>
          <w:color w:val="auto"/>
          <w:sz w:val="32"/>
          <w:szCs w:val="32"/>
        </w:rPr>
        <w:t>本年度本部门无重点项目支出，为常规性项目支出。</w:t>
      </w:r>
    </w:p>
    <w:p w:rsidR="00FC2256" w:rsidRDefault="00000000">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32"/>
          <w:szCs w:val="32"/>
        </w:rPr>
      </w:pPr>
      <w:r>
        <w:rPr>
          <w:rFonts w:ascii="Times New Roman" w:eastAsia="仿宋_GB2312" w:hAnsi="Times New Roman" w:cs="Times New Roman"/>
          <w:b/>
          <w:bCs/>
          <w:color w:val="auto"/>
          <w:sz w:val="32"/>
          <w:szCs w:val="32"/>
        </w:rPr>
        <w:lastRenderedPageBreak/>
        <w:t>（三）评价结果应用情况</w:t>
      </w:r>
      <w:r>
        <w:rPr>
          <w:rFonts w:ascii="Times New Roman" w:eastAsia="仿宋_GB2312" w:hAnsi="Times New Roman" w:cs="Times New Roman"/>
          <w:color w:val="auto"/>
          <w:sz w:val="32"/>
          <w:szCs w:val="32"/>
        </w:rPr>
        <w:t>。请根据</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年度绩效自评结果、部门评价结果、财政评价结果对本部门</w:t>
      </w:r>
      <w:r>
        <w:rPr>
          <w:rFonts w:ascii="Times New Roman" w:eastAsia="仿宋_GB2312" w:hAnsi="Times New Roman" w:cs="Times New Roman"/>
          <w:color w:val="auto"/>
          <w:sz w:val="32"/>
          <w:szCs w:val="32"/>
        </w:rPr>
        <w:t>2025</w:t>
      </w:r>
      <w:r>
        <w:rPr>
          <w:rFonts w:ascii="Times New Roman" w:eastAsia="仿宋_GB2312" w:hAnsi="Times New Roman" w:cs="Times New Roman"/>
          <w:color w:val="auto"/>
          <w:sz w:val="32"/>
          <w:szCs w:val="32"/>
        </w:rPr>
        <w:t>年度预算安排，支出结构调整，资金管理，制度建设等方面结果运用进行简要说明。</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1</w:t>
      </w:r>
      <w:r>
        <w:rPr>
          <w:rFonts w:ascii="Times New Roman" w:eastAsia="仿宋_GB2312" w:hAnsi="Times New Roman" w:cs="Times New Roman" w:hint="eastAsia"/>
          <w:color w:val="auto"/>
          <w:sz w:val="32"/>
          <w:szCs w:val="32"/>
        </w:rPr>
        <w:t>、预算安排</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结合</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年预算精准性不足问题，在编制</w:t>
      </w:r>
      <w:r>
        <w:rPr>
          <w:rFonts w:ascii="Times New Roman" w:eastAsia="仿宋_GB2312" w:hAnsi="Times New Roman" w:cs="Times New Roman" w:hint="eastAsia"/>
          <w:color w:val="auto"/>
          <w:sz w:val="32"/>
          <w:szCs w:val="32"/>
        </w:rPr>
        <w:t>2026</w:t>
      </w:r>
      <w:r>
        <w:rPr>
          <w:rFonts w:ascii="Times New Roman" w:eastAsia="仿宋_GB2312" w:hAnsi="Times New Roman" w:cs="Times New Roman" w:hint="eastAsia"/>
          <w:color w:val="auto"/>
          <w:sz w:val="32"/>
          <w:szCs w:val="32"/>
        </w:rPr>
        <w:t>年预算时，为行政应急、农业生态等项目设预留额度，细化支出类目，调研潜在任务，提升预算前瞻性与覆盖度。</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支出结构调整</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针对</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年无预算支出情况，</w:t>
      </w:r>
      <w:r>
        <w:rPr>
          <w:rFonts w:ascii="Times New Roman" w:eastAsia="仿宋_GB2312" w:hAnsi="Times New Roman" w:cs="Times New Roman" w:hint="eastAsia"/>
          <w:color w:val="auto"/>
          <w:sz w:val="32"/>
          <w:szCs w:val="32"/>
        </w:rPr>
        <w:t>2026</w:t>
      </w:r>
      <w:r>
        <w:rPr>
          <w:rFonts w:ascii="Times New Roman" w:eastAsia="仿宋_GB2312" w:hAnsi="Times New Roman" w:cs="Times New Roman" w:hint="eastAsia"/>
          <w:color w:val="auto"/>
          <w:sz w:val="32"/>
          <w:szCs w:val="32"/>
        </w:rPr>
        <w:t>年优化支出结构，优先保障核心职能与常规项目，压缩非必要开支，将零散无预算支出归入对应预算科目，避免资金使用无序。</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3</w:t>
      </w:r>
      <w:r>
        <w:rPr>
          <w:rFonts w:ascii="Times New Roman" w:eastAsia="仿宋_GB2312" w:hAnsi="Times New Roman" w:cs="Times New Roman" w:hint="eastAsia"/>
          <w:color w:val="auto"/>
          <w:sz w:val="32"/>
          <w:szCs w:val="32"/>
        </w:rPr>
        <w:t>、资金管理</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参考</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年资金管理漏洞，</w:t>
      </w:r>
      <w:r>
        <w:rPr>
          <w:rFonts w:ascii="Times New Roman" w:eastAsia="仿宋_GB2312" w:hAnsi="Times New Roman" w:cs="Times New Roman" w:hint="eastAsia"/>
          <w:color w:val="auto"/>
          <w:sz w:val="32"/>
          <w:szCs w:val="32"/>
        </w:rPr>
        <w:t>2026</w:t>
      </w:r>
      <w:r>
        <w:rPr>
          <w:rFonts w:ascii="Times New Roman" w:eastAsia="仿宋_GB2312" w:hAnsi="Times New Roman" w:cs="Times New Roman" w:hint="eastAsia"/>
          <w:color w:val="auto"/>
          <w:sz w:val="32"/>
          <w:szCs w:val="32"/>
        </w:rPr>
        <w:t>年建立预算执行动态监控系统，实时预警偏差，按收入到账时间制定支出计划，规范小额支出审批，确保资金使用合规高效。</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4</w:t>
      </w:r>
      <w:r>
        <w:rPr>
          <w:rFonts w:ascii="Times New Roman" w:eastAsia="仿宋_GB2312" w:hAnsi="Times New Roman" w:cs="Times New Roman" w:hint="eastAsia"/>
          <w:color w:val="auto"/>
          <w:sz w:val="32"/>
          <w:szCs w:val="32"/>
        </w:rPr>
        <w:t>、制度建设</w:t>
      </w:r>
    </w:p>
    <w:p w:rsidR="00FC2256"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依据</w:t>
      </w:r>
      <w:r>
        <w:rPr>
          <w:rFonts w:ascii="Times New Roman" w:eastAsia="仿宋_GB2312" w:hAnsi="Times New Roman" w:cs="Times New Roman" w:hint="eastAsia"/>
          <w:color w:val="auto"/>
          <w:sz w:val="32"/>
          <w:szCs w:val="32"/>
        </w:rPr>
        <w:t>2025</w:t>
      </w:r>
      <w:r>
        <w:rPr>
          <w:rFonts w:ascii="Times New Roman" w:eastAsia="仿宋_GB2312" w:hAnsi="Times New Roman" w:cs="Times New Roman" w:hint="eastAsia"/>
          <w:color w:val="auto"/>
          <w:sz w:val="32"/>
          <w:szCs w:val="32"/>
        </w:rPr>
        <w:t>年制度短板，</w:t>
      </w:r>
      <w:r>
        <w:rPr>
          <w:rFonts w:ascii="Times New Roman" w:eastAsia="仿宋_GB2312" w:hAnsi="Times New Roman" w:cs="Times New Roman" w:hint="eastAsia"/>
          <w:color w:val="auto"/>
          <w:sz w:val="32"/>
          <w:szCs w:val="32"/>
        </w:rPr>
        <w:t>2026</w:t>
      </w:r>
      <w:r>
        <w:rPr>
          <w:rFonts w:ascii="Times New Roman" w:eastAsia="仿宋_GB2312" w:hAnsi="Times New Roman" w:cs="Times New Roman" w:hint="eastAsia"/>
          <w:color w:val="auto"/>
          <w:sz w:val="32"/>
          <w:szCs w:val="32"/>
        </w:rPr>
        <w:t>年完善预算调整机制，简化临时任务审批流程，明确小额支出申报渠道，制定生态支出季节适配制度，筑牢预算管理体系。</w:t>
      </w:r>
    </w:p>
    <w:p w:rsidR="00FC2256" w:rsidRDefault="00FC2256">
      <w:pPr>
        <w:pStyle w:val="Default"/>
        <w:jc w:val="center"/>
        <w:rPr>
          <w:rFonts w:ascii="Times New Roman" w:hAnsi="Times New Roman" w:cs="Times New Roman"/>
          <w:sz w:val="72"/>
          <w:szCs w:val="72"/>
        </w:rPr>
      </w:pPr>
    </w:p>
    <w:p w:rsidR="00FC2256" w:rsidRDefault="00FC2256">
      <w:pPr>
        <w:pStyle w:val="Default"/>
        <w:spacing w:line="360" w:lineRule="auto"/>
        <w:jc w:val="both"/>
        <w:rPr>
          <w:rFonts w:ascii="Times New Roman" w:eastAsia="方正小标宋_GBK" w:hAnsi="Times New Roman" w:cs="Times New Roman"/>
          <w:sz w:val="52"/>
          <w:szCs w:val="52"/>
        </w:rPr>
      </w:pPr>
    </w:p>
    <w:p w:rsidR="00FC2256" w:rsidRDefault="00FC2256">
      <w:pPr>
        <w:pStyle w:val="Default"/>
        <w:spacing w:line="360" w:lineRule="auto"/>
        <w:jc w:val="center"/>
        <w:rPr>
          <w:rFonts w:ascii="Times New Roman" w:eastAsia="方正小标宋_GBK" w:hAnsi="Times New Roman" w:cs="Times New Roman"/>
          <w:sz w:val="52"/>
          <w:szCs w:val="52"/>
        </w:rPr>
      </w:pPr>
    </w:p>
    <w:p w:rsidR="00FC2256"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FC2256" w:rsidRDefault="00FC2256">
      <w:pPr>
        <w:widowControl/>
        <w:jc w:val="left"/>
        <w:rPr>
          <w:rFonts w:ascii="Times New Roman" w:hAnsi="Times New Roman" w:cs="Times New Roman"/>
          <w:color w:val="000000"/>
          <w:kern w:val="0"/>
          <w:sz w:val="32"/>
          <w:szCs w:val="32"/>
        </w:rPr>
      </w:pPr>
    </w:p>
    <w:p w:rsidR="00FC2256" w:rsidRDefault="00000000">
      <w:pPr>
        <w:pStyle w:val="ac"/>
        <w:widowControl/>
        <w:shd w:val="clear" w:color="auto" w:fill="FFFFFF"/>
        <w:spacing w:before="0" w:beforeAutospacing="0" w:after="0" w:afterAutospacing="0" w:line="560" w:lineRule="atLeast"/>
        <w:ind w:firstLine="640"/>
        <w:rPr>
          <w:rFonts w:ascii="Calibri" w:hAnsi="Calibri" w:cs="Calibri"/>
          <w:color w:val="666666"/>
          <w:sz w:val="21"/>
          <w:szCs w:val="21"/>
        </w:rPr>
      </w:pPr>
      <w:r>
        <w:rPr>
          <w:rFonts w:ascii="仿宋" w:eastAsia="仿宋" w:hAnsi="仿宋" w:cs="仿宋"/>
          <w:color w:val="000000"/>
          <w:sz w:val="32"/>
          <w:szCs w:val="32"/>
          <w:shd w:val="clear" w:color="auto" w:fill="FFFFFF"/>
        </w:rPr>
        <w:t>一、收入科目</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、财政拨款收入：指财政当年拨付的资金。</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2</w:t>
      </w:r>
      <w:r>
        <w:rPr>
          <w:rFonts w:ascii="仿宋" w:eastAsia="仿宋" w:hAnsi="仿宋" w:cs="仿宋" w:hint="eastAsia"/>
          <w:color w:val="000000"/>
          <w:sz w:val="32"/>
          <w:szCs w:val="32"/>
          <w:shd w:val="clear" w:color="auto" w:fill="FFFFFF"/>
        </w:rPr>
        <w:t>、事业收入：指事业单位开展专业业务活动及辅助活动取得的收入。</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3</w:t>
      </w:r>
      <w:r>
        <w:rPr>
          <w:rFonts w:ascii="仿宋" w:eastAsia="仿宋" w:hAnsi="仿宋" w:cs="仿宋" w:hint="eastAsia"/>
          <w:color w:val="000000"/>
          <w:sz w:val="32"/>
          <w:szCs w:val="32"/>
          <w:shd w:val="clear" w:color="auto" w:fill="FFFFFF"/>
        </w:rPr>
        <w:t>、经营收入：指事业单位在专业业务活动及其辅助活动之外开展非独立核算经营活动取得的收入。</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4</w:t>
      </w:r>
      <w:r>
        <w:rPr>
          <w:rFonts w:ascii="仿宋" w:eastAsia="仿宋" w:hAnsi="仿宋" w:cs="仿宋" w:hint="eastAsia"/>
          <w:color w:val="000000"/>
          <w:sz w:val="32"/>
          <w:szCs w:val="32"/>
          <w:shd w:val="clear" w:color="auto" w:fill="FFFFFF"/>
        </w:rPr>
        <w:t>、其他收入：指除上述“财政拨款收入”、“事业收入”、“经营收入”等以外的收入。</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5</w:t>
      </w:r>
      <w:r>
        <w:rPr>
          <w:rFonts w:ascii="仿宋" w:eastAsia="仿宋" w:hAnsi="仿宋" w:cs="仿宋" w:hint="eastAsia"/>
          <w:color w:val="000000"/>
          <w:sz w:val="32"/>
          <w:szCs w:val="32"/>
          <w:shd w:val="clear" w:color="auto" w:fill="FFFFFF"/>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6</w:t>
      </w:r>
      <w:r>
        <w:rPr>
          <w:rFonts w:ascii="仿宋" w:eastAsia="仿宋" w:hAnsi="仿宋" w:cs="仿宋" w:hint="eastAsia"/>
          <w:color w:val="000000"/>
          <w:sz w:val="32"/>
          <w:szCs w:val="32"/>
          <w:shd w:val="clear" w:color="auto" w:fill="FFFFFF"/>
        </w:rPr>
        <w:t>、上年结转：指以前年尚未完成、结转到本年按有关规定继续使用的资金。</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仿宋" w:eastAsia="仿宋" w:hAnsi="仿宋" w:cs="仿宋" w:hint="eastAsia"/>
          <w:color w:val="000000"/>
          <w:sz w:val="32"/>
          <w:szCs w:val="32"/>
          <w:shd w:val="clear" w:color="auto" w:fill="FFFFFF"/>
        </w:rPr>
        <w:t>二、支出科目</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、基本支出：是为保障其机构正常运转、完成日常工作任务而发生的人员支出和公用支出。</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lastRenderedPageBreak/>
        <w:t>2</w:t>
      </w:r>
      <w:r>
        <w:rPr>
          <w:rFonts w:ascii="仿宋" w:eastAsia="仿宋" w:hAnsi="仿宋" w:cs="仿宋" w:hint="eastAsia"/>
          <w:color w:val="000000"/>
          <w:sz w:val="32"/>
          <w:szCs w:val="32"/>
          <w:shd w:val="clear" w:color="auto" w:fill="FFFFFF"/>
        </w:rPr>
        <w:t>、项目支出：是指在基本支出之外完成特定行政任务和事业发展目标所发生的支出。</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3</w:t>
      </w:r>
      <w:r>
        <w:rPr>
          <w:rFonts w:ascii="仿宋" w:eastAsia="仿宋" w:hAnsi="仿宋" w:cs="仿宋" w:hint="eastAsia"/>
          <w:color w:val="000000"/>
          <w:sz w:val="32"/>
          <w:szCs w:val="32"/>
          <w:shd w:val="clear" w:color="auto" w:fill="FFFFFF"/>
        </w:rPr>
        <w:t>、工资福利支出：反映单位开支的在职职工和编制外长期聘用人员的各类劳动报酬，以及为上述人员缴纳的各项社会保险费等。</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4</w:t>
      </w:r>
      <w:r>
        <w:rPr>
          <w:rFonts w:ascii="仿宋" w:eastAsia="仿宋" w:hAnsi="仿宋" w:cs="仿宋" w:hint="eastAsia"/>
          <w:color w:val="000000"/>
          <w:sz w:val="32"/>
          <w:szCs w:val="32"/>
          <w:shd w:val="clear" w:color="auto" w:fill="FFFFFF"/>
        </w:rPr>
        <w:t>、商品和服务支出：反映单位购买商品和服务的支出。</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5</w:t>
      </w:r>
      <w:r>
        <w:rPr>
          <w:rFonts w:ascii="仿宋" w:eastAsia="仿宋" w:hAnsi="仿宋" w:cs="仿宋" w:hint="eastAsia"/>
          <w:color w:val="000000"/>
          <w:sz w:val="32"/>
          <w:szCs w:val="32"/>
          <w:shd w:val="clear" w:color="auto" w:fill="FFFFFF"/>
        </w:rPr>
        <w:t>、对个人和家庭的补助：反映单位用于对个人和家庭的补助支出。</w:t>
      </w:r>
    </w:p>
    <w:p w:rsidR="00FC2256" w:rsidRDefault="00000000">
      <w:pPr>
        <w:pStyle w:val="ac"/>
        <w:widowControl/>
        <w:shd w:val="clear" w:color="auto" w:fill="FFFFFF"/>
        <w:spacing w:before="0" w:beforeAutospacing="0" w:after="0" w:afterAutospacing="0" w:line="560" w:lineRule="atLeast"/>
        <w:ind w:firstLine="640"/>
        <w:jc w:val="both"/>
        <w:rPr>
          <w:rFonts w:ascii="Calibri" w:hAnsi="Calibri" w:cs="Calibri"/>
          <w:sz w:val="21"/>
          <w:szCs w:val="21"/>
        </w:rPr>
      </w:pPr>
      <w:r>
        <w:rPr>
          <w:rFonts w:ascii="仿宋" w:eastAsia="仿宋" w:hAnsi="仿宋" w:cs="仿宋" w:hint="eastAsia"/>
          <w:sz w:val="32"/>
          <w:szCs w:val="32"/>
          <w:shd w:val="clear" w:color="auto" w:fill="FFFFFF"/>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仿宋" w:eastAsia="仿宋" w:hAnsi="仿宋" w:cs="仿宋" w:hint="eastAsia"/>
          <w:color w:val="000000"/>
          <w:sz w:val="32"/>
          <w:szCs w:val="32"/>
          <w:shd w:val="clear" w:color="auto" w:fill="FFFFFF"/>
        </w:rPr>
        <w:t>四、“三公”经费科目</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、因公出国（境）费用：反映单位公务出国（境）的国际旅费、国内城市间交通费、住宿费、伙食费、培训费、公杂费等支出。</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333333"/>
          <w:sz w:val="32"/>
          <w:szCs w:val="32"/>
          <w:shd w:val="clear" w:color="auto" w:fill="FFFFFF"/>
        </w:rPr>
        <w:t>2</w:t>
      </w:r>
      <w:r>
        <w:rPr>
          <w:rFonts w:ascii="仿宋" w:eastAsia="仿宋" w:hAnsi="仿宋" w:cs="仿宋" w:hint="eastAsia"/>
          <w:color w:val="000000"/>
          <w:sz w:val="32"/>
          <w:szCs w:val="32"/>
          <w:shd w:val="clear" w:color="auto" w:fill="FFFFFF"/>
        </w:rPr>
        <w:t>、公务接待费：反映单位按规定开支的各类公务接待（含外宾接待）费用。</w:t>
      </w:r>
    </w:p>
    <w:p w:rsidR="00FC2256"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3</w:t>
      </w:r>
      <w:r>
        <w:rPr>
          <w:rFonts w:ascii="仿宋" w:eastAsia="仿宋" w:hAnsi="仿宋" w:cs="仿宋" w:hint="eastAsia"/>
          <w:color w:val="000000"/>
          <w:sz w:val="32"/>
          <w:szCs w:val="32"/>
          <w:shd w:val="clear" w:color="auto" w:fill="FFFFFF"/>
        </w:rPr>
        <w:t>、</w:t>
      </w:r>
      <w:r>
        <w:rPr>
          <w:rFonts w:ascii="仿宋" w:eastAsia="仿宋" w:hAnsi="仿宋" w:cs="仿宋" w:hint="eastAsia"/>
          <w:color w:val="666666"/>
          <w:sz w:val="32"/>
          <w:szCs w:val="32"/>
          <w:shd w:val="clear" w:color="auto" w:fill="FFFFFF"/>
        </w:rPr>
        <w:t>公务用车购置及</w:t>
      </w:r>
      <w:r>
        <w:rPr>
          <w:rFonts w:ascii="仿宋" w:eastAsia="仿宋" w:hAnsi="仿宋" w:cs="仿宋" w:hint="eastAsia"/>
          <w:color w:val="000000"/>
          <w:sz w:val="32"/>
          <w:szCs w:val="32"/>
          <w:shd w:val="clear" w:color="auto" w:fill="FFFFFF"/>
        </w:rPr>
        <w:t>运行维护费：反映</w:t>
      </w:r>
      <w:r>
        <w:rPr>
          <w:rFonts w:ascii="仿宋" w:eastAsia="仿宋" w:hAnsi="仿宋" w:cs="仿宋" w:hint="eastAsia"/>
          <w:color w:val="666666"/>
          <w:sz w:val="32"/>
          <w:szCs w:val="32"/>
          <w:shd w:val="clear" w:color="auto" w:fill="FFFFFF"/>
        </w:rPr>
        <w:t>单位公务用车车辆购置支出（含车辆购置税），以及燃料费、维修费、</w:t>
      </w:r>
      <w:r>
        <w:rPr>
          <w:rFonts w:ascii="仿宋" w:eastAsia="仿宋" w:hAnsi="仿宋" w:cs="仿宋" w:hint="eastAsia"/>
          <w:color w:val="000000"/>
          <w:sz w:val="32"/>
          <w:szCs w:val="32"/>
          <w:shd w:val="clear" w:color="auto" w:fill="FFFFFF"/>
        </w:rPr>
        <w:t>过路过桥费、保险费等支出。</w:t>
      </w:r>
    </w:p>
    <w:p w:rsidR="00FC2256" w:rsidRDefault="00FC2256">
      <w:pPr>
        <w:pStyle w:val="Default"/>
        <w:jc w:val="both"/>
        <w:rPr>
          <w:rFonts w:ascii="Times New Roman" w:hAnsi="Times New Roman" w:cs="Times New Roman"/>
          <w:sz w:val="72"/>
          <w:szCs w:val="72"/>
        </w:rPr>
      </w:pPr>
    </w:p>
    <w:p w:rsidR="00FC2256" w:rsidRDefault="00FC2256">
      <w:pPr>
        <w:pStyle w:val="Default"/>
        <w:jc w:val="center"/>
        <w:rPr>
          <w:rFonts w:ascii="Times New Roman" w:hAnsi="Times New Roman" w:cs="Times New Roman"/>
          <w:sz w:val="72"/>
          <w:szCs w:val="72"/>
        </w:rPr>
      </w:pPr>
    </w:p>
    <w:p w:rsidR="00FC2256" w:rsidRDefault="00000000">
      <w:pPr>
        <w:pStyle w:val="Default"/>
        <w:spacing w:line="360" w:lineRule="auto"/>
        <w:jc w:val="center"/>
        <w:rPr>
          <w:rFonts w:ascii="Times New Roman" w:hAnsi="Times New Roman" w:cs="Times New Roman"/>
          <w:sz w:val="72"/>
          <w:szCs w:val="7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FC2256" w:rsidRDefault="00000000">
      <w:pPr>
        <w:pStyle w:val="Default"/>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整体支出绩效自评报告。</w:t>
      </w:r>
    </w:p>
    <w:p w:rsidR="00FC2256" w:rsidRDefault="00000000">
      <w:pPr>
        <w:widowControl/>
        <w:shd w:val="clear" w:color="auto" w:fill="FFFFFF"/>
        <w:spacing w:line="580" w:lineRule="exact"/>
        <w:ind w:firstLineChars="200" w:firstLine="640"/>
        <w:jc w:val="left"/>
      </w:pPr>
      <w:r>
        <w:rPr>
          <w:rFonts w:ascii="仿宋" w:eastAsia="仿宋" w:hAnsi="仿宋" w:cs="仿宋" w:hint="eastAsia"/>
          <w:kern w:val="0"/>
          <w:sz w:val="32"/>
          <w:szCs w:val="32"/>
        </w:rPr>
        <w:t>为了进一步规范财政资金管理，强化财政支出绩效理念，提升部门责任意识，切实提高财政资金使用效益，根据《祁阳市预算绩效管理暂行办法》及《祁阳市财政局关于开展2025年度财政支出绩效评价工作的通知》的要求，祁阳市八宝镇人民政府对2025年度“部门整体支出”资金使用情况进行了绩效评价自评。现将自评情况报告如下：</w:t>
      </w:r>
    </w:p>
    <w:p w:rsidR="00FC2256" w:rsidRDefault="00000000">
      <w:pPr>
        <w:widowControl/>
        <w:jc w:val="left"/>
      </w:pPr>
      <w:r>
        <w:rPr>
          <w:rFonts w:ascii="楷体_GB2312" w:eastAsia="楷体_GB2312" w:hAnsi="楷体_GB2312" w:cs="楷体_GB2312" w:hint="eastAsia"/>
          <w:b/>
          <w:color w:val="000000"/>
          <w:kern w:val="0"/>
          <w:sz w:val="31"/>
          <w:szCs w:val="31"/>
        </w:rPr>
        <w:t>一、</w:t>
      </w:r>
      <w:r>
        <w:rPr>
          <w:rFonts w:eastAsia="楷体_GB2312"/>
          <w:b/>
          <w:sz w:val="32"/>
          <w:szCs w:val="32"/>
        </w:rPr>
        <w:t>部门（单位）概况</w:t>
      </w:r>
      <w:r>
        <w:rPr>
          <w:rFonts w:eastAsia="楷体_GB2312"/>
          <w:b/>
          <w:sz w:val="32"/>
          <w:szCs w:val="32"/>
        </w:rPr>
        <w:t xml:space="preserve"> </w:t>
      </w:r>
    </w:p>
    <w:p w:rsidR="00FC2256" w:rsidRDefault="00000000">
      <w:pPr>
        <w:widowControl/>
        <w:jc w:val="left"/>
        <w:rPr>
          <w:rFonts w:ascii="楷体_GB2312" w:eastAsia="楷体_GB2312" w:hAnsi="楷体_GB2312" w:cs="楷体_GB2312" w:hint="eastAsia"/>
          <w:bCs/>
          <w:color w:val="000000"/>
          <w:kern w:val="0"/>
          <w:sz w:val="31"/>
          <w:szCs w:val="31"/>
        </w:rPr>
      </w:pPr>
      <w:r>
        <w:rPr>
          <w:rFonts w:ascii="楷体_GB2312" w:eastAsia="楷体_GB2312" w:hAnsi="楷体_GB2312" w:cs="楷体_GB2312"/>
          <w:bCs/>
          <w:color w:val="000000"/>
          <w:kern w:val="0"/>
          <w:sz w:val="31"/>
          <w:szCs w:val="31"/>
        </w:rPr>
        <w:t>（</w:t>
      </w:r>
      <w:r>
        <w:rPr>
          <w:rFonts w:ascii="楷体_GB2312" w:eastAsia="楷体_GB2312" w:hAnsi="楷体_GB2312" w:cs="楷体_GB2312" w:hint="eastAsia"/>
          <w:bCs/>
          <w:color w:val="000000"/>
          <w:kern w:val="0"/>
          <w:sz w:val="31"/>
          <w:szCs w:val="31"/>
        </w:rPr>
        <w:t>1</w:t>
      </w:r>
      <w:r>
        <w:rPr>
          <w:rFonts w:ascii="楷体_GB2312" w:eastAsia="楷体_GB2312" w:hAnsi="楷体_GB2312" w:cs="楷体_GB2312"/>
          <w:bCs/>
          <w:color w:val="000000"/>
          <w:kern w:val="0"/>
          <w:sz w:val="31"/>
          <w:szCs w:val="31"/>
        </w:rPr>
        <w:t xml:space="preserve">）部门（单位）基本情况 </w:t>
      </w:r>
    </w:p>
    <w:p w:rsidR="00FC2256" w:rsidRDefault="00000000">
      <w:pPr>
        <w:widowControl/>
        <w:spacing w:line="560" w:lineRule="atLeast"/>
        <w:ind w:firstLine="627"/>
        <w:jc w:val="left"/>
        <w:rPr>
          <w:rFonts w:eastAsia="仿宋_GB2312"/>
          <w:sz w:val="32"/>
          <w:szCs w:val="32"/>
        </w:rPr>
      </w:pPr>
      <w:r>
        <w:rPr>
          <w:rFonts w:eastAsia="仿宋_GB2312"/>
          <w:sz w:val="32"/>
          <w:szCs w:val="32"/>
        </w:rPr>
        <w:t>1</w:t>
      </w:r>
      <w:r>
        <w:rPr>
          <w:rFonts w:eastAsia="仿宋_GB2312"/>
          <w:sz w:val="32"/>
          <w:szCs w:val="32"/>
        </w:rPr>
        <w:t>、在上级和镇党委领导下，执行本级人民代表大会的决议，根据上级行政机关的决定和命令，制定具体实施意见。</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2</w:t>
      </w:r>
      <w:r>
        <w:rPr>
          <w:rFonts w:eastAsia="仿宋_GB2312" w:hint="eastAsia"/>
          <w:sz w:val="32"/>
          <w:szCs w:val="32"/>
        </w:rPr>
        <w:t>、执行本行政区域内的经济和社会发展计划、财政预算，管理全镇的农业、工业及教育、科枝、文化、卫生、计划生育、民政、司法及镇新农村规划和建设、环境保护、土地等行政工作。</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3</w:t>
      </w:r>
      <w:r>
        <w:rPr>
          <w:rFonts w:eastAsia="仿宋_GB2312" w:hint="eastAsia"/>
          <w:sz w:val="32"/>
          <w:szCs w:val="32"/>
        </w:rPr>
        <w:t>、保护集体财产和公民私人合法财产，维护社会秩序，保障公民的人事权利、民主权利和其他合法权利。</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4</w:t>
      </w:r>
      <w:r>
        <w:rPr>
          <w:rFonts w:eastAsia="仿宋_GB2312" w:hint="eastAsia"/>
          <w:sz w:val="32"/>
          <w:szCs w:val="32"/>
        </w:rPr>
        <w:t>、保护各种经济组织的合法权益。</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5</w:t>
      </w:r>
      <w:r>
        <w:rPr>
          <w:rFonts w:eastAsia="仿宋_GB2312" w:hint="eastAsia"/>
          <w:sz w:val="32"/>
          <w:szCs w:val="32"/>
        </w:rPr>
        <w:t>、办理上级人民政府交办的其他事项。</w:t>
      </w:r>
    </w:p>
    <w:p w:rsidR="00FC2256" w:rsidRDefault="00000000">
      <w:pPr>
        <w:widowControl/>
        <w:jc w:val="left"/>
        <w:rPr>
          <w:rFonts w:ascii="楷体_GB2312" w:eastAsia="楷体_GB2312" w:hAnsi="楷体_GB2312" w:cs="楷体_GB2312" w:hint="eastAsia"/>
          <w:bCs/>
          <w:color w:val="000000"/>
          <w:kern w:val="0"/>
          <w:sz w:val="31"/>
          <w:szCs w:val="31"/>
        </w:rPr>
      </w:pPr>
      <w:r>
        <w:rPr>
          <w:rFonts w:ascii="楷体_GB2312" w:eastAsia="楷体_GB2312" w:hAnsi="楷体_GB2312" w:cs="楷体_GB2312" w:hint="eastAsia"/>
          <w:bCs/>
          <w:color w:val="000000"/>
          <w:kern w:val="0"/>
          <w:sz w:val="31"/>
          <w:szCs w:val="31"/>
        </w:rPr>
        <w:t>（2）</w:t>
      </w:r>
      <w:r>
        <w:rPr>
          <w:rFonts w:ascii="楷体_GB2312" w:eastAsia="楷体_GB2312" w:hAnsi="楷体_GB2312" w:cs="楷体_GB2312"/>
          <w:bCs/>
          <w:color w:val="000000"/>
          <w:kern w:val="0"/>
          <w:sz w:val="31"/>
          <w:szCs w:val="31"/>
        </w:rPr>
        <w:t>机构设置</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lastRenderedPageBreak/>
        <w:t>1</w:t>
      </w:r>
      <w:r>
        <w:rPr>
          <w:rFonts w:eastAsia="仿宋_GB2312" w:hint="eastAsia"/>
          <w:sz w:val="32"/>
          <w:szCs w:val="32"/>
        </w:rPr>
        <w:t>、党政办公室</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2</w:t>
      </w:r>
      <w:r>
        <w:rPr>
          <w:rFonts w:eastAsia="仿宋_GB2312" w:hint="eastAsia"/>
          <w:sz w:val="32"/>
          <w:szCs w:val="32"/>
        </w:rPr>
        <w:t>、党建办公室</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3</w:t>
      </w:r>
      <w:r>
        <w:rPr>
          <w:rFonts w:eastAsia="仿宋_GB2312" w:hint="eastAsia"/>
          <w:sz w:val="32"/>
          <w:szCs w:val="32"/>
        </w:rPr>
        <w:t>、经济发展办公室</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4</w:t>
      </w:r>
      <w:r>
        <w:rPr>
          <w:rFonts w:eastAsia="仿宋_GB2312" w:hint="eastAsia"/>
          <w:sz w:val="32"/>
          <w:szCs w:val="32"/>
        </w:rPr>
        <w:t>、乡村振兴办公室</w:t>
      </w:r>
    </w:p>
    <w:p w:rsidR="00FC2256" w:rsidRDefault="00000000">
      <w:pPr>
        <w:widowControl/>
        <w:spacing w:line="560" w:lineRule="atLeast"/>
        <w:ind w:firstLine="627"/>
        <w:jc w:val="left"/>
      </w:pPr>
      <w:r>
        <w:rPr>
          <w:rFonts w:eastAsia="仿宋_GB2312" w:hint="eastAsia"/>
          <w:sz w:val="32"/>
          <w:szCs w:val="32"/>
        </w:rPr>
        <w:t>5</w:t>
      </w:r>
      <w:r>
        <w:rPr>
          <w:rFonts w:eastAsia="仿宋_GB2312" w:hint="eastAsia"/>
          <w:sz w:val="32"/>
          <w:szCs w:val="32"/>
        </w:rPr>
        <w:t>、平安法治和应急管理办公室</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6</w:t>
      </w:r>
      <w:r>
        <w:rPr>
          <w:rFonts w:eastAsia="仿宋_GB2312" w:hint="eastAsia"/>
          <w:sz w:val="32"/>
          <w:szCs w:val="32"/>
        </w:rPr>
        <w:t>、生态事务中心</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7</w:t>
      </w:r>
      <w:r>
        <w:rPr>
          <w:rFonts w:eastAsia="仿宋_GB2312" w:hint="eastAsia"/>
          <w:sz w:val="32"/>
          <w:szCs w:val="32"/>
        </w:rPr>
        <w:t>、农业综合服务中心</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8</w:t>
      </w:r>
      <w:r>
        <w:rPr>
          <w:rFonts w:eastAsia="仿宋_GB2312" w:hint="eastAsia"/>
          <w:sz w:val="32"/>
          <w:szCs w:val="32"/>
        </w:rPr>
        <w:t>、便民服务中心</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9</w:t>
      </w:r>
      <w:r>
        <w:rPr>
          <w:rFonts w:eastAsia="仿宋_GB2312" w:hint="eastAsia"/>
          <w:sz w:val="32"/>
          <w:szCs w:val="32"/>
        </w:rPr>
        <w:t>、退役军人服务站</w:t>
      </w:r>
    </w:p>
    <w:p w:rsidR="00FC2256" w:rsidRDefault="00000000">
      <w:pPr>
        <w:widowControl/>
        <w:spacing w:line="560" w:lineRule="atLeast"/>
        <w:ind w:firstLine="627"/>
        <w:jc w:val="left"/>
        <w:rPr>
          <w:rFonts w:ascii="楷体_GB2312" w:eastAsia="楷体_GB2312" w:hAnsi="楷体_GB2312" w:cs="楷体_GB2312" w:hint="eastAsia"/>
          <w:b/>
          <w:color w:val="000000"/>
          <w:kern w:val="0"/>
          <w:sz w:val="31"/>
          <w:szCs w:val="31"/>
        </w:rPr>
      </w:pPr>
      <w:r>
        <w:rPr>
          <w:rFonts w:eastAsia="仿宋_GB2312" w:hint="eastAsia"/>
          <w:sz w:val="32"/>
          <w:szCs w:val="32"/>
        </w:rPr>
        <w:t>10</w:t>
      </w:r>
      <w:r>
        <w:rPr>
          <w:rFonts w:eastAsia="仿宋_GB2312" w:hint="eastAsia"/>
          <w:sz w:val="32"/>
          <w:szCs w:val="32"/>
        </w:rPr>
        <w:t>、综合行政执法大队</w:t>
      </w:r>
    </w:p>
    <w:p w:rsidR="00FC2256" w:rsidRDefault="00000000">
      <w:pPr>
        <w:widowControl/>
        <w:jc w:val="left"/>
      </w:pPr>
      <w:r>
        <w:rPr>
          <w:rFonts w:ascii="楷体_GB2312" w:eastAsia="楷体_GB2312" w:hAnsi="楷体_GB2312" w:cs="楷体_GB2312" w:hint="eastAsia"/>
          <w:b/>
          <w:color w:val="000000"/>
          <w:kern w:val="0"/>
          <w:sz w:val="31"/>
          <w:szCs w:val="31"/>
        </w:rPr>
        <w:t>二、</w:t>
      </w:r>
      <w:r>
        <w:rPr>
          <w:rFonts w:ascii="楷体_GB2312" w:eastAsia="楷体_GB2312" w:hAnsi="楷体_GB2312" w:cs="楷体_GB2312"/>
          <w:b/>
          <w:color w:val="000000"/>
          <w:kern w:val="0"/>
          <w:sz w:val="31"/>
          <w:szCs w:val="31"/>
        </w:rPr>
        <w:t xml:space="preserve">部门（单位）整体支出规模、使用方向和主要内容、涉及范围等 </w:t>
      </w:r>
    </w:p>
    <w:p w:rsidR="00FC2256" w:rsidRDefault="00000000">
      <w:pPr>
        <w:widowControl/>
        <w:jc w:val="left"/>
        <w:rPr>
          <w:rFonts w:ascii="楷体_GB2312" w:eastAsia="楷体_GB2312" w:hAnsi="楷体_GB2312" w:cs="楷体_GB2312" w:hint="eastAsia"/>
          <w:bCs/>
          <w:color w:val="000000"/>
          <w:kern w:val="0"/>
          <w:sz w:val="31"/>
          <w:szCs w:val="31"/>
        </w:rPr>
      </w:pPr>
      <w:r>
        <w:rPr>
          <w:rFonts w:ascii="楷体_GB2312" w:eastAsia="楷体_GB2312" w:hAnsi="楷体_GB2312" w:cs="楷体_GB2312"/>
          <w:bCs/>
          <w:color w:val="000000"/>
          <w:kern w:val="0"/>
          <w:sz w:val="31"/>
          <w:szCs w:val="31"/>
        </w:rPr>
        <w:t>（</w:t>
      </w:r>
      <w:r>
        <w:rPr>
          <w:rFonts w:ascii="楷体_GB2312" w:eastAsia="楷体_GB2312" w:hAnsi="楷体_GB2312" w:cs="楷体_GB2312" w:hint="eastAsia"/>
          <w:bCs/>
          <w:color w:val="000000"/>
          <w:kern w:val="0"/>
          <w:sz w:val="31"/>
          <w:szCs w:val="31"/>
        </w:rPr>
        <w:t>一</w:t>
      </w:r>
      <w:r>
        <w:rPr>
          <w:rFonts w:ascii="楷体_GB2312" w:eastAsia="楷体_GB2312" w:hAnsi="楷体_GB2312" w:cs="楷体_GB2312"/>
          <w:bCs/>
          <w:color w:val="000000"/>
          <w:kern w:val="0"/>
          <w:sz w:val="31"/>
          <w:szCs w:val="31"/>
        </w:rPr>
        <w:t xml:space="preserve">）基本支出 </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）本年支出合计</w:t>
      </w:r>
      <w:r>
        <w:rPr>
          <w:rFonts w:eastAsia="仿宋_GB2312" w:hint="eastAsia"/>
          <w:sz w:val="32"/>
          <w:szCs w:val="32"/>
        </w:rPr>
        <w:t>1928.03</w:t>
      </w:r>
      <w:r>
        <w:rPr>
          <w:rFonts w:eastAsia="仿宋_GB2312" w:hint="eastAsia"/>
          <w:sz w:val="32"/>
          <w:szCs w:val="32"/>
        </w:rPr>
        <w:t>万元，其中：基本支出</w:t>
      </w:r>
      <w:r>
        <w:rPr>
          <w:rFonts w:eastAsia="仿宋_GB2312" w:hint="eastAsia"/>
          <w:sz w:val="32"/>
          <w:szCs w:val="32"/>
        </w:rPr>
        <w:t xml:space="preserve">1735.53 </w:t>
      </w:r>
      <w:r>
        <w:rPr>
          <w:rFonts w:eastAsia="仿宋_GB2312" w:hint="eastAsia"/>
          <w:sz w:val="32"/>
          <w:szCs w:val="32"/>
        </w:rPr>
        <w:t>万元，占</w:t>
      </w:r>
      <w:r>
        <w:rPr>
          <w:rFonts w:eastAsia="仿宋_GB2312" w:hint="eastAsia"/>
          <w:sz w:val="32"/>
          <w:szCs w:val="32"/>
        </w:rPr>
        <w:t>90.02%</w:t>
      </w:r>
      <w:r>
        <w:rPr>
          <w:rFonts w:eastAsia="仿宋_GB2312" w:hint="eastAsia"/>
          <w:sz w:val="32"/>
          <w:szCs w:val="32"/>
        </w:rPr>
        <w:t>；项目支出</w:t>
      </w:r>
      <w:r>
        <w:rPr>
          <w:rFonts w:eastAsia="仿宋_GB2312" w:hint="eastAsia"/>
          <w:sz w:val="32"/>
          <w:szCs w:val="32"/>
        </w:rPr>
        <w:t>192.51</w:t>
      </w:r>
      <w:r>
        <w:rPr>
          <w:rFonts w:eastAsia="仿宋_GB2312" w:hint="eastAsia"/>
          <w:sz w:val="32"/>
          <w:szCs w:val="32"/>
        </w:rPr>
        <w:t>万元，占</w:t>
      </w:r>
      <w:r>
        <w:rPr>
          <w:rFonts w:eastAsia="仿宋_GB2312" w:hint="eastAsia"/>
          <w:sz w:val="32"/>
          <w:szCs w:val="32"/>
        </w:rPr>
        <w:t>9.98%</w:t>
      </w:r>
      <w:r>
        <w:rPr>
          <w:rFonts w:eastAsia="仿宋_GB2312" w:hint="eastAsia"/>
          <w:sz w:val="32"/>
          <w:szCs w:val="32"/>
        </w:rPr>
        <w:t>。</w:t>
      </w:r>
    </w:p>
    <w:p w:rsidR="00FC2256" w:rsidRDefault="00000000">
      <w:pPr>
        <w:widowControl/>
        <w:spacing w:line="560" w:lineRule="atLeast"/>
        <w:ind w:firstLine="627"/>
        <w:jc w:val="left"/>
        <w:rPr>
          <w:rFonts w:eastAsia="仿宋_GB2312"/>
          <w:sz w:val="32"/>
          <w:szCs w:val="32"/>
        </w:rPr>
      </w:pPr>
      <w:r>
        <w:rPr>
          <w:rFonts w:eastAsia="仿宋_GB2312" w:hint="eastAsia"/>
          <w:sz w:val="32"/>
          <w:szCs w:val="32"/>
        </w:rPr>
        <w:t>（</w:t>
      </w:r>
      <w:r>
        <w:rPr>
          <w:rFonts w:eastAsia="仿宋_GB2312" w:hint="eastAsia"/>
          <w:sz w:val="32"/>
          <w:szCs w:val="32"/>
        </w:rPr>
        <w:t>2</w:t>
      </w:r>
      <w:r>
        <w:rPr>
          <w:rFonts w:eastAsia="仿宋_GB2312" w:hint="eastAsia"/>
          <w:sz w:val="32"/>
          <w:szCs w:val="32"/>
        </w:rPr>
        <w:t>）</w:t>
      </w:r>
      <w:r>
        <w:rPr>
          <w:rFonts w:eastAsia="仿宋_GB2312" w:hint="eastAsia"/>
          <w:sz w:val="32"/>
          <w:szCs w:val="32"/>
        </w:rPr>
        <w:t>2025</w:t>
      </w:r>
      <w:r>
        <w:rPr>
          <w:rFonts w:eastAsia="仿宋_GB2312" w:hint="eastAsia"/>
          <w:sz w:val="32"/>
          <w:szCs w:val="32"/>
        </w:rPr>
        <w:t>年度财政拨款支出</w:t>
      </w:r>
      <w:r>
        <w:rPr>
          <w:rFonts w:eastAsia="仿宋_GB2312" w:hint="eastAsia"/>
          <w:sz w:val="32"/>
          <w:szCs w:val="32"/>
        </w:rPr>
        <w:t>1928.03</w:t>
      </w:r>
      <w:r>
        <w:rPr>
          <w:rFonts w:eastAsia="仿宋_GB2312" w:hint="eastAsia"/>
          <w:sz w:val="32"/>
          <w:szCs w:val="32"/>
        </w:rPr>
        <w:t>万元，主要用于以下方面：一般公共服务支出</w:t>
      </w:r>
      <w:r>
        <w:rPr>
          <w:rFonts w:eastAsia="仿宋_GB2312" w:hint="eastAsia"/>
          <w:sz w:val="32"/>
          <w:szCs w:val="32"/>
        </w:rPr>
        <w:t>1257.07</w:t>
      </w:r>
      <w:r>
        <w:rPr>
          <w:rFonts w:eastAsia="仿宋_GB2312" w:hint="eastAsia"/>
          <w:sz w:val="32"/>
          <w:szCs w:val="32"/>
        </w:rPr>
        <w:t>万元，占</w:t>
      </w:r>
      <w:r>
        <w:rPr>
          <w:rFonts w:eastAsia="仿宋_GB2312" w:hint="eastAsia"/>
          <w:sz w:val="32"/>
          <w:szCs w:val="32"/>
        </w:rPr>
        <w:t>65.2%</w:t>
      </w:r>
      <w:r>
        <w:rPr>
          <w:rFonts w:eastAsia="仿宋_GB2312" w:hint="eastAsia"/>
          <w:sz w:val="32"/>
          <w:szCs w:val="32"/>
        </w:rPr>
        <w:t>；文化旅游体育与传媒支出</w:t>
      </w:r>
      <w:r>
        <w:rPr>
          <w:rFonts w:eastAsia="仿宋_GB2312" w:hint="eastAsia"/>
          <w:sz w:val="32"/>
          <w:szCs w:val="32"/>
        </w:rPr>
        <w:t>80</w:t>
      </w:r>
      <w:r>
        <w:rPr>
          <w:rFonts w:eastAsia="仿宋_GB2312" w:hint="eastAsia"/>
          <w:sz w:val="32"/>
          <w:szCs w:val="32"/>
        </w:rPr>
        <w:t>万元，占</w:t>
      </w:r>
      <w:r>
        <w:rPr>
          <w:rFonts w:eastAsia="仿宋_GB2312" w:hint="eastAsia"/>
          <w:sz w:val="32"/>
          <w:szCs w:val="32"/>
        </w:rPr>
        <w:t>4.15%</w:t>
      </w:r>
      <w:r>
        <w:rPr>
          <w:rFonts w:eastAsia="仿宋_GB2312" w:hint="eastAsia"/>
          <w:sz w:val="32"/>
          <w:szCs w:val="32"/>
        </w:rPr>
        <w:t>；社会保障和就业支出</w:t>
      </w:r>
      <w:r>
        <w:rPr>
          <w:rFonts w:eastAsia="仿宋_GB2312" w:hint="eastAsia"/>
          <w:sz w:val="32"/>
          <w:szCs w:val="32"/>
        </w:rPr>
        <w:t>110.56</w:t>
      </w:r>
      <w:r>
        <w:rPr>
          <w:rFonts w:eastAsia="仿宋_GB2312" w:hint="eastAsia"/>
          <w:sz w:val="32"/>
          <w:szCs w:val="32"/>
        </w:rPr>
        <w:t>万元，占</w:t>
      </w:r>
      <w:r>
        <w:rPr>
          <w:rFonts w:eastAsia="仿宋_GB2312" w:hint="eastAsia"/>
          <w:sz w:val="32"/>
          <w:szCs w:val="32"/>
        </w:rPr>
        <w:t>5.73%</w:t>
      </w:r>
      <w:r>
        <w:rPr>
          <w:rFonts w:eastAsia="仿宋_GB2312" w:hint="eastAsia"/>
          <w:sz w:val="32"/>
          <w:szCs w:val="32"/>
        </w:rPr>
        <w:t>；卫生健康支出</w:t>
      </w:r>
      <w:r>
        <w:rPr>
          <w:rFonts w:eastAsia="仿宋_GB2312" w:hint="eastAsia"/>
          <w:sz w:val="32"/>
          <w:szCs w:val="32"/>
        </w:rPr>
        <w:t>43.88</w:t>
      </w:r>
      <w:r>
        <w:rPr>
          <w:rFonts w:eastAsia="仿宋_GB2312" w:hint="eastAsia"/>
          <w:sz w:val="32"/>
          <w:szCs w:val="32"/>
        </w:rPr>
        <w:t>万元，占</w:t>
      </w:r>
      <w:r>
        <w:rPr>
          <w:rFonts w:eastAsia="仿宋_GB2312" w:hint="eastAsia"/>
          <w:sz w:val="32"/>
          <w:szCs w:val="32"/>
        </w:rPr>
        <w:t>2.28%</w:t>
      </w:r>
      <w:r>
        <w:rPr>
          <w:rFonts w:eastAsia="仿宋_GB2312" w:hint="eastAsia"/>
          <w:sz w:val="32"/>
          <w:szCs w:val="32"/>
        </w:rPr>
        <w:t>；城乡社区支出</w:t>
      </w:r>
      <w:r>
        <w:rPr>
          <w:rFonts w:eastAsia="仿宋_GB2312" w:hint="eastAsia"/>
          <w:sz w:val="32"/>
          <w:szCs w:val="32"/>
        </w:rPr>
        <w:t>12.94</w:t>
      </w:r>
      <w:r>
        <w:rPr>
          <w:rFonts w:eastAsia="仿宋_GB2312" w:hint="eastAsia"/>
          <w:sz w:val="32"/>
          <w:szCs w:val="32"/>
        </w:rPr>
        <w:t>万元，占</w:t>
      </w:r>
      <w:r>
        <w:rPr>
          <w:rFonts w:eastAsia="仿宋_GB2312" w:hint="eastAsia"/>
          <w:sz w:val="32"/>
          <w:szCs w:val="32"/>
        </w:rPr>
        <w:t>0.67%</w:t>
      </w:r>
      <w:r>
        <w:rPr>
          <w:rFonts w:eastAsia="仿宋_GB2312" w:hint="eastAsia"/>
          <w:sz w:val="32"/>
          <w:szCs w:val="32"/>
        </w:rPr>
        <w:t>，农林水支出</w:t>
      </w:r>
      <w:r>
        <w:rPr>
          <w:rFonts w:eastAsia="仿宋_GB2312" w:hint="eastAsia"/>
          <w:sz w:val="32"/>
          <w:szCs w:val="32"/>
        </w:rPr>
        <w:t xml:space="preserve"> 245.42</w:t>
      </w:r>
      <w:r>
        <w:rPr>
          <w:rFonts w:eastAsia="仿宋_GB2312" w:hint="eastAsia"/>
          <w:sz w:val="32"/>
          <w:szCs w:val="32"/>
        </w:rPr>
        <w:t>万元，占</w:t>
      </w:r>
      <w:r>
        <w:rPr>
          <w:rFonts w:eastAsia="仿宋_GB2312" w:hint="eastAsia"/>
          <w:sz w:val="32"/>
          <w:szCs w:val="32"/>
        </w:rPr>
        <w:t>12.73%</w:t>
      </w:r>
      <w:r>
        <w:rPr>
          <w:rFonts w:eastAsia="仿宋_GB2312" w:hint="eastAsia"/>
          <w:sz w:val="32"/>
          <w:szCs w:val="32"/>
        </w:rPr>
        <w:t>，住房保障支出</w:t>
      </w:r>
      <w:r>
        <w:rPr>
          <w:rFonts w:eastAsia="仿宋_GB2312" w:hint="eastAsia"/>
          <w:sz w:val="32"/>
          <w:szCs w:val="32"/>
        </w:rPr>
        <w:t>79.36</w:t>
      </w:r>
      <w:r>
        <w:rPr>
          <w:rFonts w:eastAsia="仿宋_GB2312" w:hint="eastAsia"/>
          <w:sz w:val="32"/>
          <w:szCs w:val="32"/>
        </w:rPr>
        <w:t>万元，占</w:t>
      </w:r>
      <w:r>
        <w:rPr>
          <w:rFonts w:eastAsia="仿宋_GB2312" w:hint="eastAsia"/>
          <w:sz w:val="32"/>
          <w:szCs w:val="32"/>
        </w:rPr>
        <w:t>4.12%</w:t>
      </w:r>
      <w:r>
        <w:rPr>
          <w:rFonts w:eastAsia="仿宋_GB2312" w:hint="eastAsia"/>
          <w:sz w:val="32"/>
          <w:szCs w:val="32"/>
        </w:rPr>
        <w:t>，其他支出支出</w:t>
      </w:r>
      <w:r>
        <w:rPr>
          <w:rFonts w:eastAsia="仿宋_GB2312" w:hint="eastAsia"/>
          <w:sz w:val="32"/>
          <w:szCs w:val="32"/>
        </w:rPr>
        <w:t>98.81</w:t>
      </w:r>
      <w:r>
        <w:rPr>
          <w:rFonts w:eastAsia="仿宋_GB2312" w:hint="eastAsia"/>
          <w:sz w:val="32"/>
          <w:szCs w:val="32"/>
        </w:rPr>
        <w:t>万元，占</w:t>
      </w:r>
      <w:r>
        <w:rPr>
          <w:rFonts w:eastAsia="仿宋_GB2312" w:hint="eastAsia"/>
          <w:sz w:val="32"/>
          <w:szCs w:val="32"/>
        </w:rPr>
        <w:t>5.12%</w:t>
      </w:r>
      <w:r>
        <w:rPr>
          <w:rFonts w:eastAsia="仿宋_GB2312" w:hint="eastAsia"/>
          <w:sz w:val="32"/>
          <w:szCs w:val="32"/>
        </w:rPr>
        <w:t>。其中：人员经费</w:t>
      </w:r>
      <w:r>
        <w:rPr>
          <w:rFonts w:eastAsia="仿宋_GB2312" w:hint="eastAsia"/>
          <w:sz w:val="32"/>
          <w:szCs w:val="32"/>
        </w:rPr>
        <w:t>1455.1</w:t>
      </w:r>
      <w:r>
        <w:rPr>
          <w:rFonts w:eastAsia="仿宋_GB2312" w:hint="eastAsia"/>
          <w:sz w:val="32"/>
          <w:szCs w:val="32"/>
        </w:rPr>
        <w:t>万元，占基</w:t>
      </w:r>
      <w:r>
        <w:rPr>
          <w:rFonts w:eastAsia="仿宋_GB2312" w:hint="eastAsia"/>
          <w:sz w:val="32"/>
          <w:szCs w:val="32"/>
        </w:rPr>
        <w:lastRenderedPageBreak/>
        <w:t>本支出的</w:t>
      </w:r>
      <w:r>
        <w:rPr>
          <w:rFonts w:eastAsia="仿宋_GB2312" w:hint="eastAsia"/>
          <w:sz w:val="32"/>
          <w:szCs w:val="32"/>
        </w:rPr>
        <w:t>83.84%</w:t>
      </w:r>
      <w:r>
        <w:rPr>
          <w:rFonts w:eastAsia="仿宋_GB2312" w:hint="eastAsia"/>
          <w:sz w:val="32"/>
          <w:szCs w:val="32"/>
        </w:rPr>
        <w:t>，主要包括基本工资、津贴补贴、奖金、绩效工资、机关事业单位基本养老保险缴费、职业年金缴费、职工基本医疗保险缴费、其他社区保障缴费、住房公积金、医疗费、其他工资福利支出、抚恤金、生活补助、个人农业生产补贴、其他对个人和家庭的补助；公用经费</w:t>
      </w:r>
      <w:r>
        <w:rPr>
          <w:rFonts w:eastAsia="仿宋_GB2312" w:hint="eastAsia"/>
          <w:sz w:val="32"/>
          <w:szCs w:val="32"/>
        </w:rPr>
        <w:t>280.42</w:t>
      </w:r>
      <w:r>
        <w:rPr>
          <w:rFonts w:eastAsia="仿宋_GB2312" w:hint="eastAsia"/>
          <w:sz w:val="32"/>
          <w:szCs w:val="32"/>
        </w:rPr>
        <w:t>万元，占基本支出的</w:t>
      </w:r>
      <w:r>
        <w:rPr>
          <w:rFonts w:eastAsia="仿宋_GB2312" w:hint="eastAsia"/>
          <w:sz w:val="32"/>
          <w:szCs w:val="32"/>
        </w:rPr>
        <w:t>16.16%</w:t>
      </w:r>
      <w:r>
        <w:rPr>
          <w:rFonts w:eastAsia="仿宋_GB2312" w:hint="eastAsia"/>
          <w:sz w:val="32"/>
          <w:szCs w:val="32"/>
        </w:rPr>
        <w:t>，主要包括办公费、印刷费、咨询费、水费、电</w:t>
      </w:r>
      <w:r>
        <w:rPr>
          <w:rFonts w:eastAsia="仿宋_GB2312" w:hint="eastAsia"/>
          <w:sz w:val="32"/>
          <w:szCs w:val="32"/>
        </w:rPr>
        <w:t xml:space="preserve"> </w:t>
      </w:r>
      <w:r>
        <w:rPr>
          <w:rFonts w:eastAsia="仿宋_GB2312" w:hint="eastAsia"/>
          <w:sz w:val="32"/>
          <w:szCs w:val="32"/>
        </w:rPr>
        <w:t>费、邮电费、差旅费、会议费、培训费、公务用车运行维</w:t>
      </w:r>
      <w:r>
        <w:rPr>
          <w:rFonts w:eastAsia="仿宋_GB2312" w:hint="eastAsia"/>
          <w:sz w:val="32"/>
          <w:szCs w:val="32"/>
        </w:rPr>
        <w:t xml:space="preserve"> </w:t>
      </w:r>
      <w:r>
        <w:rPr>
          <w:rFonts w:eastAsia="仿宋_GB2312" w:hint="eastAsia"/>
          <w:sz w:val="32"/>
          <w:szCs w:val="32"/>
        </w:rPr>
        <w:t>护费、专用材料费、劳务费、工会经费、福利费、其他交通费、其他商品和服务支出、办公设备购置、信息网络及软件购置更新。</w:t>
      </w:r>
      <w:r>
        <w:rPr>
          <w:rFonts w:eastAsia="仿宋_GB2312" w:hint="eastAsia"/>
          <w:sz w:val="32"/>
          <w:szCs w:val="32"/>
        </w:rPr>
        <w:t xml:space="preserve"> </w:t>
      </w:r>
    </w:p>
    <w:p w:rsidR="00FC2256" w:rsidRDefault="00000000">
      <w:pPr>
        <w:widowControl/>
        <w:numPr>
          <w:ilvl w:val="0"/>
          <w:numId w:val="2"/>
        </w:numPr>
        <w:spacing w:line="560" w:lineRule="atLeast"/>
        <w:jc w:val="left"/>
        <w:rPr>
          <w:rFonts w:eastAsia="楷体_GB2312"/>
          <w:bCs/>
          <w:sz w:val="32"/>
          <w:szCs w:val="32"/>
        </w:rPr>
      </w:pPr>
      <w:r>
        <w:rPr>
          <w:rFonts w:eastAsia="楷体_GB2312"/>
          <w:bCs/>
          <w:sz w:val="32"/>
          <w:szCs w:val="32"/>
        </w:rPr>
        <w:t>项目支出：</w:t>
      </w:r>
    </w:p>
    <w:p w:rsidR="00FC2256" w:rsidRDefault="00000000">
      <w:pPr>
        <w:widowControl/>
        <w:spacing w:line="560" w:lineRule="atLeast"/>
        <w:ind w:firstLineChars="200" w:firstLine="640"/>
        <w:jc w:val="left"/>
        <w:rPr>
          <w:rFonts w:ascii="黑体" w:eastAsia="黑体" w:hAnsi="宋体" w:cs="黑体" w:hint="eastAsia"/>
          <w:color w:val="000000"/>
          <w:kern w:val="0"/>
          <w:sz w:val="31"/>
          <w:szCs w:val="31"/>
        </w:rPr>
      </w:pPr>
      <w:r>
        <w:rPr>
          <w:rFonts w:eastAsia="仿宋_GB2312" w:hint="eastAsia"/>
          <w:sz w:val="32"/>
          <w:szCs w:val="32"/>
        </w:rPr>
        <w:t>2025</w:t>
      </w:r>
      <w:r>
        <w:rPr>
          <w:rFonts w:eastAsia="仿宋_GB2312" w:hint="eastAsia"/>
          <w:sz w:val="32"/>
          <w:szCs w:val="32"/>
        </w:rPr>
        <w:t>年项目支出</w:t>
      </w:r>
      <w:r>
        <w:rPr>
          <w:rFonts w:eastAsia="仿宋_GB2312" w:hint="eastAsia"/>
          <w:sz w:val="32"/>
          <w:szCs w:val="32"/>
        </w:rPr>
        <w:t>192.51</w:t>
      </w:r>
      <w:r>
        <w:rPr>
          <w:rFonts w:eastAsia="仿宋_GB2312" w:hint="eastAsia"/>
          <w:sz w:val="32"/>
          <w:szCs w:val="32"/>
        </w:rPr>
        <w:t>万元。其中一般公共服务支出</w:t>
      </w:r>
      <w:r>
        <w:rPr>
          <w:rFonts w:eastAsia="仿宋_GB2312" w:hint="eastAsia"/>
          <w:sz w:val="32"/>
          <w:szCs w:val="32"/>
        </w:rPr>
        <w:t>80.76</w:t>
      </w:r>
      <w:r>
        <w:rPr>
          <w:rFonts w:eastAsia="仿宋_GB2312" w:hint="eastAsia"/>
          <w:sz w:val="32"/>
          <w:szCs w:val="32"/>
        </w:rPr>
        <w:t>万元、城乡社区支出</w:t>
      </w:r>
      <w:r>
        <w:rPr>
          <w:rFonts w:eastAsia="仿宋_GB2312" w:hint="eastAsia"/>
          <w:sz w:val="32"/>
          <w:szCs w:val="32"/>
        </w:rPr>
        <w:t>12.94</w:t>
      </w:r>
      <w:r>
        <w:rPr>
          <w:rFonts w:eastAsia="仿宋_GB2312" w:hint="eastAsia"/>
          <w:sz w:val="32"/>
          <w:szCs w:val="32"/>
        </w:rPr>
        <w:t>万元、其他支出支出</w:t>
      </w:r>
      <w:r>
        <w:rPr>
          <w:rFonts w:eastAsia="仿宋_GB2312" w:hint="eastAsia"/>
          <w:sz w:val="32"/>
          <w:szCs w:val="32"/>
        </w:rPr>
        <w:t>98.81</w:t>
      </w:r>
      <w:r>
        <w:rPr>
          <w:rFonts w:eastAsia="仿宋_GB2312" w:hint="eastAsia"/>
          <w:sz w:val="32"/>
          <w:szCs w:val="32"/>
        </w:rPr>
        <w:t>万元。部门整体支出情况分析：我单位严格按照上级专项资金管理办法使用资金，确保专项资金专款专用。专项资金主要用于行政运行、社会保障，卫生健康，精准扶贫、救助慰问、农村建设、社会综合治理、城乡风貌改造等方面。</w:t>
      </w:r>
    </w:p>
    <w:p w:rsidR="00FC2256" w:rsidRDefault="00000000">
      <w:pPr>
        <w:widowControl/>
        <w:jc w:val="left"/>
        <w:rPr>
          <w:rFonts w:ascii="楷体_GB2312" w:eastAsia="楷体_GB2312" w:hAnsi="楷体_GB2312" w:cs="楷体_GB2312" w:hint="eastAsia"/>
          <w:b/>
          <w:color w:val="000000"/>
          <w:kern w:val="0"/>
          <w:sz w:val="31"/>
          <w:szCs w:val="31"/>
        </w:rPr>
      </w:pPr>
      <w:r>
        <w:rPr>
          <w:rFonts w:ascii="楷体_GB2312" w:eastAsia="楷体_GB2312" w:hAnsi="楷体_GB2312" w:cs="楷体_GB2312" w:hint="eastAsia"/>
          <w:b/>
          <w:color w:val="000000"/>
          <w:kern w:val="0"/>
          <w:sz w:val="31"/>
          <w:szCs w:val="31"/>
        </w:rPr>
        <w:t xml:space="preserve">三、部门（单位）整体支出绩效情况 </w:t>
      </w:r>
    </w:p>
    <w:p w:rsidR="00FC2256" w:rsidRDefault="00000000">
      <w:pPr>
        <w:widowControl/>
        <w:jc w:val="left"/>
        <w:rPr>
          <w:rFonts w:ascii="楷体_GB2312" w:eastAsia="楷体_GB2312" w:hAnsi="楷体_GB2312" w:cs="楷体_GB2312" w:hint="eastAsia"/>
          <w:bCs/>
          <w:color w:val="000000"/>
          <w:kern w:val="0"/>
          <w:sz w:val="31"/>
          <w:szCs w:val="31"/>
        </w:rPr>
      </w:pPr>
      <w:r>
        <w:rPr>
          <w:rFonts w:ascii="楷体_GB2312" w:eastAsia="楷体_GB2312" w:hAnsi="楷体_GB2312" w:cs="楷体_GB2312"/>
          <w:bCs/>
          <w:color w:val="000000"/>
          <w:kern w:val="0"/>
          <w:sz w:val="31"/>
          <w:szCs w:val="31"/>
        </w:rPr>
        <w:t xml:space="preserve">（一）部门整体支出绩效目标完成情况 </w:t>
      </w:r>
    </w:p>
    <w:p w:rsidR="00FC2256" w:rsidRDefault="00000000">
      <w:pPr>
        <w:widowControl/>
        <w:jc w:val="left"/>
        <w:rPr>
          <w:rFonts w:eastAsia="仿宋_GB2312"/>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）数量指标。</w:t>
      </w:r>
    </w:p>
    <w:p w:rsidR="00FC2256" w:rsidRDefault="00000000">
      <w:pPr>
        <w:widowControl/>
        <w:spacing w:line="560" w:lineRule="atLeast"/>
        <w:ind w:firstLine="627"/>
        <w:jc w:val="left"/>
      </w:pPr>
      <w:r>
        <w:rPr>
          <w:rFonts w:eastAsia="仿宋_GB2312" w:hint="eastAsia"/>
          <w:b/>
          <w:bCs/>
          <w:sz w:val="32"/>
          <w:szCs w:val="32"/>
        </w:rPr>
        <w:t>2025</w:t>
      </w:r>
      <w:r>
        <w:rPr>
          <w:rFonts w:eastAsia="仿宋_GB2312" w:hint="eastAsia"/>
          <w:b/>
          <w:bCs/>
          <w:sz w:val="32"/>
          <w:szCs w:val="32"/>
        </w:rPr>
        <w:t>年本部门召开</w:t>
      </w:r>
      <w:r>
        <w:rPr>
          <w:rFonts w:eastAsia="仿宋_GB2312" w:hint="eastAsia"/>
          <w:b/>
          <w:bCs/>
          <w:sz w:val="32"/>
          <w:szCs w:val="32"/>
        </w:rPr>
        <w:t>9</w:t>
      </w:r>
      <w:r>
        <w:rPr>
          <w:rFonts w:eastAsia="仿宋_GB2312" w:hint="eastAsia"/>
          <w:b/>
          <w:bCs/>
          <w:sz w:val="32"/>
          <w:szCs w:val="32"/>
        </w:rPr>
        <w:t>次会议，</w:t>
      </w:r>
      <w:r>
        <w:rPr>
          <w:rFonts w:eastAsia="仿宋_GB2312" w:hint="eastAsia"/>
          <w:sz w:val="32"/>
          <w:szCs w:val="32"/>
        </w:rPr>
        <w:t>人数</w:t>
      </w:r>
      <w:r>
        <w:rPr>
          <w:rFonts w:eastAsia="仿宋_GB2312" w:hint="eastAsia"/>
          <w:sz w:val="32"/>
          <w:szCs w:val="32"/>
        </w:rPr>
        <w:t>260</w:t>
      </w:r>
      <w:r>
        <w:rPr>
          <w:rFonts w:eastAsia="仿宋_GB2312" w:hint="eastAsia"/>
          <w:sz w:val="32"/>
          <w:szCs w:val="32"/>
        </w:rPr>
        <w:t>余人，内容为</w:t>
      </w:r>
      <w:r>
        <w:rPr>
          <w:rFonts w:eastAsia="仿宋_GB2312" w:hint="eastAsia"/>
          <w:sz w:val="32"/>
          <w:szCs w:val="32"/>
        </w:rPr>
        <w:t>2024</w:t>
      </w:r>
      <w:r>
        <w:rPr>
          <w:rFonts w:eastAsia="仿宋_GB2312" w:hint="eastAsia"/>
          <w:sz w:val="32"/>
          <w:szCs w:val="32"/>
        </w:rPr>
        <w:t>年起步会及表彰会议、春耕生产会议、七一总结表彰会、镇人大工作安排会两次、入党积极份子、发展对象培训等会议；开</w:t>
      </w:r>
      <w:r>
        <w:rPr>
          <w:rFonts w:eastAsia="仿宋_GB2312" w:hint="eastAsia"/>
          <w:sz w:val="32"/>
          <w:szCs w:val="32"/>
        </w:rPr>
        <w:lastRenderedPageBreak/>
        <w:t>展</w:t>
      </w:r>
      <w:r>
        <w:rPr>
          <w:rFonts w:eastAsia="仿宋_GB2312" w:hint="eastAsia"/>
          <w:sz w:val="32"/>
          <w:szCs w:val="32"/>
        </w:rPr>
        <w:t>3</w:t>
      </w:r>
      <w:r>
        <w:rPr>
          <w:rFonts w:eastAsia="仿宋_GB2312" w:hint="eastAsia"/>
          <w:sz w:val="32"/>
          <w:szCs w:val="32"/>
        </w:rPr>
        <w:t>次培训，人数</w:t>
      </w:r>
      <w:r>
        <w:rPr>
          <w:rFonts w:eastAsia="仿宋_GB2312" w:hint="eastAsia"/>
          <w:sz w:val="32"/>
          <w:szCs w:val="32"/>
        </w:rPr>
        <w:t>300</w:t>
      </w:r>
      <w:r>
        <w:rPr>
          <w:rFonts w:eastAsia="仿宋_GB2312" w:hint="eastAsia"/>
          <w:sz w:val="32"/>
          <w:szCs w:val="32"/>
        </w:rPr>
        <w:t>余人，内容为党建培训、村级财务报账员培训、市域社会治理培训等。</w:t>
      </w:r>
    </w:p>
    <w:p w:rsidR="00FC2256" w:rsidRDefault="00000000">
      <w:pPr>
        <w:spacing w:line="560" w:lineRule="exact"/>
        <w:rPr>
          <w:rFonts w:ascii="Times New Roman" w:eastAsia="仿宋_GB2312" w:hAnsi="Times New Roman"/>
          <w:sz w:val="32"/>
          <w:szCs w:val="32"/>
        </w:rPr>
      </w:pPr>
      <w:r>
        <w:rPr>
          <w:rFonts w:ascii="Times New Roman" w:eastAsia="仿宋_GB2312" w:hAnsi="Times New Roman" w:hint="eastAsia"/>
          <w:sz w:val="32"/>
          <w:szCs w:val="32"/>
        </w:rPr>
        <w:t xml:space="preserve">    </w:t>
      </w:r>
      <w:r>
        <w:rPr>
          <w:rFonts w:ascii="Times New Roman" w:eastAsia="仿宋_GB2312" w:hAnsi="Times New Roman"/>
          <w:sz w:val="32"/>
          <w:szCs w:val="32"/>
        </w:rPr>
        <w:t>（</w:t>
      </w:r>
      <w:r>
        <w:rPr>
          <w:rFonts w:ascii="Times New Roman" w:eastAsia="仿宋_GB2312" w:hAnsi="Times New Roman"/>
          <w:sz w:val="32"/>
          <w:szCs w:val="32"/>
        </w:rPr>
        <w:t>2</w:t>
      </w:r>
      <w:r>
        <w:rPr>
          <w:rFonts w:ascii="Times New Roman" w:eastAsia="仿宋_GB2312" w:hAnsi="Times New Roman"/>
          <w:sz w:val="32"/>
          <w:szCs w:val="32"/>
        </w:rPr>
        <w:t>）质量指标。</w:t>
      </w:r>
      <w:r>
        <w:rPr>
          <w:rFonts w:ascii="Times New Roman" w:eastAsia="仿宋_GB2312" w:hAnsi="Times New Roman" w:hint="eastAsia"/>
          <w:sz w:val="32"/>
          <w:szCs w:val="32"/>
        </w:rPr>
        <w:t>单位正常运转率达到</w:t>
      </w:r>
      <w:r>
        <w:rPr>
          <w:rFonts w:ascii="Times New Roman" w:eastAsia="仿宋_GB2312" w:hAnsi="Times New Roman" w:hint="eastAsia"/>
          <w:sz w:val="32"/>
          <w:szCs w:val="32"/>
        </w:rPr>
        <w:t>100%</w:t>
      </w:r>
      <w:r>
        <w:rPr>
          <w:rFonts w:ascii="Times New Roman" w:eastAsia="仿宋_GB2312" w:hAnsi="Times New Roman" w:hint="eastAsia"/>
          <w:sz w:val="32"/>
          <w:szCs w:val="32"/>
        </w:rPr>
        <w:t>；活动参与率</w:t>
      </w:r>
      <w:r>
        <w:rPr>
          <w:rFonts w:ascii="Times New Roman" w:eastAsia="仿宋_GB2312" w:hAnsi="Times New Roman" w:hint="eastAsia"/>
          <w:sz w:val="32"/>
          <w:szCs w:val="32"/>
        </w:rPr>
        <w:t>100%</w:t>
      </w:r>
      <w:r>
        <w:rPr>
          <w:rFonts w:ascii="Times New Roman" w:eastAsia="仿宋_GB2312" w:hAnsi="Times New Roman" w:hint="eastAsia"/>
          <w:sz w:val="32"/>
          <w:szCs w:val="32"/>
        </w:rPr>
        <w:t>以上。</w:t>
      </w:r>
    </w:p>
    <w:p w:rsidR="00FC2256"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sz w:val="32"/>
          <w:szCs w:val="32"/>
        </w:rPr>
        <w:t>3</w:t>
      </w:r>
      <w:r>
        <w:rPr>
          <w:rFonts w:ascii="Times New Roman" w:eastAsia="仿宋_GB2312" w:hAnsi="Times New Roman"/>
          <w:sz w:val="32"/>
          <w:szCs w:val="32"/>
        </w:rPr>
        <w:t>）时效指标。</w:t>
      </w:r>
      <w:r>
        <w:rPr>
          <w:rFonts w:ascii="Times New Roman" w:eastAsia="仿宋_GB2312" w:hAnsi="Times New Roman" w:hint="eastAsia"/>
          <w:sz w:val="32"/>
          <w:szCs w:val="32"/>
        </w:rPr>
        <w:t>在</w:t>
      </w:r>
      <w:r>
        <w:rPr>
          <w:rFonts w:ascii="Times New Roman" w:eastAsia="仿宋_GB2312" w:hAnsi="Times New Roman" w:hint="eastAsia"/>
          <w:sz w:val="32"/>
          <w:szCs w:val="32"/>
        </w:rPr>
        <w:t>2025</w:t>
      </w:r>
      <w:r>
        <w:rPr>
          <w:rFonts w:ascii="Times New Roman" w:eastAsia="仿宋_GB2312" w:hAnsi="Times New Roman" w:hint="eastAsia"/>
          <w:sz w:val="32"/>
          <w:szCs w:val="32"/>
        </w:rPr>
        <w:t>年内完成</w:t>
      </w:r>
      <w:r>
        <w:rPr>
          <w:rFonts w:ascii="Times New Roman" w:eastAsia="仿宋_GB2312" w:hAnsi="Times New Roman"/>
          <w:sz w:val="32"/>
          <w:szCs w:val="32"/>
        </w:rPr>
        <w:t>。</w:t>
      </w:r>
    </w:p>
    <w:p w:rsidR="00FC2256"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sz w:val="32"/>
          <w:szCs w:val="32"/>
        </w:rPr>
        <w:t>4</w:t>
      </w:r>
      <w:r>
        <w:rPr>
          <w:rFonts w:ascii="Times New Roman" w:eastAsia="仿宋_GB2312" w:hAnsi="Times New Roman"/>
          <w:sz w:val="32"/>
          <w:szCs w:val="32"/>
        </w:rPr>
        <w:t>）成本指标。</w:t>
      </w:r>
      <w:r>
        <w:rPr>
          <w:rFonts w:ascii="Times New Roman" w:eastAsia="仿宋_GB2312" w:hAnsi="Times New Roman" w:hint="eastAsia"/>
          <w:sz w:val="32"/>
          <w:szCs w:val="32"/>
        </w:rPr>
        <w:t>成本控制率</w:t>
      </w:r>
      <w:r>
        <w:rPr>
          <w:rFonts w:ascii="Times New Roman" w:eastAsia="仿宋_GB2312" w:hAnsi="Times New Roman" w:hint="eastAsia"/>
          <w:sz w:val="32"/>
          <w:szCs w:val="32"/>
        </w:rPr>
        <w:t>100%</w:t>
      </w:r>
      <w:r>
        <w:rPr>
          <w:rFonts w:ascii="Times New Roman" w:eastAsia="仿宋_GB2312" w:hAnsi="Times New Roman" w:hint="eastAsia"/>
          <w:sz w:val="32"/>
          <w:szCs w:val="32"/>
        </w:rPr>
        <w:t>；基本支出控制额</w:t>
      </w:r>
      <w:r>
        <w:rPr>
          <w:rFonts w:eastAsia="仿宋_GB2312" w:hint="eastAsia"/>
          <w:sz w:val="32"/>
          <w:szCs w:val="32"/>
        </w:rPr>
        <w:t>1735.53</w:t>
      </w:r>
      <w:r>
        <w:rPr>
          <w:rFonts w:ascii="Times New Roman" w:eastAsia="仿宋_GB2312" w:hAnsi="Times New Roman" w:hint="eastAsia"/>
          <w:sz w:val="32"/>
          <w:szCs w:val="32"/>
        </w:rPr>
        <w:t>万元；项目支出控制额</w:t>
      </w:r>
      <w:r>
        <w:rPr>
          <w:rFonts w:ascii="Times New Roman" w:eastAsia="仿宋_GB2312" w:hAnsi="Times New Roman" w:hint="eastAsia"/>
          <w:sz w:val="32"/>
          <w:szCs w:val="32"/>
        </w:rPr>
        <w:t>192.51</w:t>
      </w:r>
      <w:r>
        <w:rPr>
          <w:rFonts w:ascii="Times New Roman" w:eastAsia="仿宋_GB2312" w:hAnsi="Times New Roman" w:hint="eastAsia"/>
          <w:sz w:val="32"/>
          <w:szCs w:val="32"/>
        </w:rPr>
        <w:t>万元。</w:t>
      </w:r>
    </w:p>
    <w:p w:rsidR="00FC2256" w:rsidRDefault="00000000">
      <w:pPr>
        <w:pStyle w:val="ac"/>
        <w:widowControl/>
        <w:spacing w:before="105" w:beforeAutospacing="0" w:after="105" w:afterAutospacing="0"/>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sz w:val="32"/>
          <w:szCs w:val="32"/>
        </w:rPr>
        <w:t>5</w:t>
      </w:r>
      <w:r>
        <w:rPr>
          <w:rFonts w:ascii="Times New Roman" w:eastAsia="仿宋_GB2312" w:hAnsi="Times New Roman"/>
          <w:sz w:val="32"/>
          <w:szCs w:val="32"/>
        </w:rPr>
        <w:t>）效益指标。任务完成及时率达</w:t>
      </w:r>
      <w:r>
        <w:rPr>
          <w:rFonts w:ascii="Times New Roman" w:eastAsia="仿宋_GB2312" w:hAnsi="Times New Roman"/>
          <w:sz w:val="32"/>
          <w:szCs w:val="32"/>
        </w:rPr>
        <w:t>100%</w:t>
      </w:r>
      <w:r>
        <w:rPr>
          <w:rFonts w:ascii="Times New Roman" w:eastAsia="仿宋_GB2312" w:hAnsi="Times New Roman"/>
          <w:sz w:val="32"/>
          <w:szCs w:val="32"/>
        </w:rPr>
        <w:t>；举办活动及时率达</w:t>
      </w:r>
      <w:r>
        <w:rPr>
          <w:rFonts w:ascii="Times New Roman" w:eastAsia="仿宋_GB2312" w:hAnsi="Times New Roman"/>
          <w:sz w:val="32"/>
          <w:szCs w:val="32"/>
        </w:rPr>
        <w:t>100%</w:t>
      </w:r>
      <w:r>
        <w:rPr>
          <w:rFonts w:ascii="Times New Roman" w:eastAsia="仿宋_GB2312" w:hAnsi="Times New Roman" w:hint="eastAsia"/>
          <w:sz w:val="32"/>
          <w:szCs w:val="32"/>
        </w:rPr>
        <w:t>。</w:t>
      </w:r>
    </w:p>
    <w:p w:rsidR="00FC2256" w:rsidRDefault="00000000">
      <w:pPr>
        <w:pStyle w:val="ac"/>
        <w:widowControl/>
        <w:spacing w:before="105" w:beforeAutospacing="0" w:after="105" w:afterAutospacing="0"/>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sz w:val="32"/>
          <w:szCs w:val="32"/>
        </w:rPr>
        <w:t>6</w:t>
      </w:r>
      <w:r>
        <w:rPr>
          <w:rFonts w:ascii="Times New Roman" w:eastAsia="仿宋_GB2312" w:hAnsi="Times New Roman"/>
          <w:sz w:val="32"/>
          <w:szCs w:val="32"/>
        </w:rPr>
        <w:t>）满意度。</w:t>
      </w:r>
      <w:r>
        <w:rPr>
          <w:rFonts w:ascii="Times New Roman" w:eastAsia="仿宋_GB2312" w:hAnsi="Times New Roman" w:hint="eastAsia"/>
          <w:sz w:val="32"/>
          <w:szCs w:val="32"/>
        </w:rPr>
        <w:t>社会公众或服务对象满意度达到</w:t>
      </w:r>
      <w:r>
        <w:rPr>
          <w:rFonts w:ascii="Times New Roman" w:eastAsia="仿宋_GB2312" w:hAnsi="Times New Roman"/>
          <w:sz w:val="32"/>
          <w:szCs w:val="32"/>
        </w:rPr>
        <w:t>9</w:t>
      </w:r>
      <w:r>
        <w:rPr>
          <w:rFonts w:ascii="Times New Roman" w:eastAsia="仿宋_GB2312" w:hAnsi="Times New Roman" w:hint="eastAsia"/>
          <w:sz w:val="32"/>
          <w:szCs w:val="32"/>
        </w:rPr>
        <w:t>5</w:t>
      </w:r>
      <w:r>
        <w:rPr>
          <w:rFonts w:ascii="Times New Roman" w:eastAsia="仿宋_GB2312" w:hAnsi="Times New Roman"/>
          <w:sz w:val="32"/>
          <w:szCs w:val="32"/>
        </w:rPr>
        <w:t>%</w:t>
      </w:r>
      <w:r>
        <w:rPr>
          <w:rFonts w:ascii="Times New Roman" w:eastAsia="仿宋_GB2312" w:hAnsi="Times New Roman"/>
          <w:sz w:val="32"/>
          <w:szCs w:val="32"/>
        </w:rPr>
        <w:t>以上。</w:t>
      </w:r>
    </w:p>
    <w:p w:rsidR="00FC2256" w:rsidRDefault="00000000">
      <w:pPr>
        <w:widowControl/>
        <w:jc w:val="left"/>
        <w:rPr>
          <w:rFonts w:ascii="楷体_GB2312" w:eastAsia="楷体_GB2312" w:hAnsi="楷体_GB2312" w:cs="楷体_GB2312" w:hint="eastAsia"/>
          <w:bCs/>
          <w:color w:val="000000"/>
          <w:kern w:val="0"/>
          <w:sz w:val="31"/>
          <w:szCs w:val="31"/>
        </w:rPr>
      </w:pPr>
      <w:r>
        <w:rPr>
          <w:rFonts w:ascii="楷体_GB2312" w:eastAsia="楷体_GB2312" w:hAnsi="楷体_GB2312" w:cs="楷体_GB2312" w:hint="eastAsia"/>
          <w:bCs/>
          <w:color w:val="000000"/>
          <w:kern w:val="0"/>
          <w:sz w:val="31"/>
          <w:szCs w:val="31"/>
        </w:rPr>
        <w:t>（二）部门整体支出绩效情况</w:t>
      </w:r>
    </w:p>
    <w:p w:rsidR="00FC2256" w:rsidRDefault="00000000">
      <w:pPr>
        <w:pStyle w:val="ac"/>
        <w:widowControl/>
        <w:spacing w:before="0" w:beforeAutospacing="0" w:after="106" w:afterAutospacing="0" w:line="20" w:lineRule="atLeast"/>
        <w:ind w:firstLineChars="200" w:firstLine="640"/>
        <w:rPr>
          <w:rFonts w:ascii="Times New Roman" w:eastAsia="仿宋_GB2312" w:hAnsi="Times New Roman" w:cstheme="minorBidi"/>
          <w:kern w:val="2"/>
          <w:sz w:val="32"/>
          <w:szCs w:val="32"/>
        </w:rPr>
      </w:pPr>
      <w:r>
        <w:rPr>
          <w:rFonts w:hint="eastAsia"/>
          <w:sz w:val="32"/>
          <w:szCs w:val="32"/>
        </w:rPr>
        <w:t xml:space="preserve"> </w:t>
      </w:r>
      <w:r>
        <w:rPr>
          <w:rFonts w:ascii="Times New Roman" w:eastAsia="仿宋_GB2312" w:hAnsi="Times New Roman" w:cstheme="minorBidi" w:hint="eastAsia"/>
          <w:kern w:val="2"/>
          <w:sz w:val="32"/>
          <w:szCs w:val="32"/>
        </w:rPr>
        <w:t>2025</w:t>
      </w:r>
      <w:r>
        <w:rPr>
          <w:rFonts w:ascii="Times New Roman" w:eastAsia="仿宋_GB2312" w:hAnsi="Times New Roman" w:cstheme="minorBidi" w:hint="eastAsia"/>
          <w:kern w:val="2"/>
          <w:sz w:val="32"/>
          <w:szCs w:val="32"/>
        </w:rPr>
        <w:t>年部门整体支出绩效自评结果显示，我镇绩效管理情况较为理想，达到了年初设定的各项绩效目标。所有资金使用严格按审批程序办理、操作规范，会计核算结果真实、准确，各项支出严格按照各项制度执行。</w:t>
      </w:r>
    </w:p>
    <w:p w:rsidR="00FC2256" w:rsidRDefault="00000000">
      <w:pPr>
        <w:widowControl/>
        <w:jc w:val="left"/>
        <w:rPr>
          <w:rFonts w:ascii="楷体_GB2312" w:eastAsia="楷体_GB2312" w:hAnsi="楷体_GB2312" w:cs="楷体_GB2312" w:hint="eastAsia"/>
          <w:b/>
          <w:color w:val="000000"/>
          <w:kern w:val="0"/>
          <w:sz w:val="31"/>
          <w:szCs w:val="31"/>
        </w:rPr>
      </w:pPr>
      <w:r>
        <w:rPr>
          <w:rFonts w:ascii="楷体_GB2312" w:eastAsia="楷体_GB2312" w:hAnsi="楷体_GB2312" w:cs="楷体_GB2312" w:hint="eastAsia"/>
          <w:b/>
          <w:color w:val="000000"/>
          <w:kern w:val="0"/>
          <w:sz w:val="31"/>
          <w:szCs w:val="31"/>
        </w:rPr>
        <w:t>四、绩效评价结论</w:t>
      </w:r>
    </w:p>
    <w:p w:rsidR="00FC2256"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2025</w:t>
      </w:r>
      <w:r>
        <w:rPr>
          <w:rFonts w:ascii="Times New Roman" w:eastAsia="仿宋_GB2312" w:hAnsi="Times New Roman" w:hint="eastAsia"/>
          <w:sz w:val="32"/>
          <w:szCs w:val="32"/>
        </w:rPr>
        <w:t>年组织整体支出绩效自评</w:t>
      </w:r>
      <w:r>
        <w:rPr>
          <w:rFonts w:ascii="Times New Roman" w:eastAsia="仿宋_GB2312" w:hAnsi="Times New Roman" w:hint="eastAsia"/>
          <w:sz w:val="32"/>
          <w:szCs w:val="32"/>
        </w:rPr>
        <w:t>96.5</w:t>
      </w:r>
      <w:r>
        <w:rPr>
          <w:rFonts w:ascii="Times New Roman" w:eastAsia="仿宋_GB2312" w:hAnsi="Times New Roman" w:hint="eastAsia"/>
          <w:sz w:val="32"/>
          <w:szCs w:val="32"/>
        </w:rPr>
        <w:t>分，自评结果将在政府网站对外公开，接受社会监督。</w:t>
      </w:r>
    </w:p>
    <w:p w:rsidR="00FC2256" w:rsidRDefault="00000000">
      <w:pPr>
        <w:widowControl/>
        <w:jc w:val="left"/>
        <w:rPr>
          <w:rFonts w:ascii="楷体_GB2312" w:eastAsia="楷体_GB2312" w:hAnsi="楷体_GB2312" w:cs="楷体_GB2312" w:hint="eastAsia"/>
          <w:b/>
          <w:color w:val="000000"/>
          <w:kern w:val="0"/>
          <w:sz w:val="31"/>
          <w:szCs w:val="31"/>
        </w:rPr>
      </w:pPr>
      <w:r>
        <w:rPr>
          <w:rFonts w:ascii="楷体_GB2312" w:eastAsia="楷体_GB2312" w:hAnsi="楷体_GB2312" w:cs="楷体_GB2312" w:hint="eastAsia"/>
          <w:b/>
          <w:color w:val="000000"/>
          <w:kern w:val="0"/>
          <w:sz w:val="31"/>
          <w:szCs w:val="31"/>
        </w:rPr>
        <w:t>五、存在的主要问题</w:t>
      </w:r>
    </w:p>
    <w:p w:rsidR="00FC2256"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财务管理工作是一项科学精细化的工作。现在实行的财务账预算账平行记账，会计处理同时实现双分录模式，细化了科目，提高了对财务核算的要求，加强了政府资产和负债的核算。</w:t>
      </w:r>
      <w:r>
        <w:rPr>
          <w:rFonts w:ascii="Times New Roman" w:eastAsia="仿宋_GB2312" w:hAnsi="Times New Roman" w:hint="eastAsia"/>
          <w:sz w:val="32"/>
          <w:szCs w:val="32"/>
        </w:rPr>
        <w:lastRenderedPageBreak/>
        <w:t>在财务会计核算中全面引入权责发生制，预算会计核算采用收付实现制。我镇存在的问题是：财务制度有待进一步健全，基本支出有待进一步细化。</w:t>
      </w:r>
    </w:p>
    <w:p w:rsidR="00FC2256" w:rsidRDefault="00000000">
      <w:pPr>
        <w:widowControl/>
        <w:jc w:val="left"/>
        <w:rPr>
          <w:rFonts w:ascii="楷体_GB2312" w:eastAsia="楷体_GB2312" w:hAnsi="楷体_GB2312" w:cs="楷体_GB2312" w:hint="eastAsia"/>
          <w:b/>
          <w:color w:val="000000"/>
          <w:kern w:val="0"/>
          <w:sz w:val="31"/>
          <w:szCs w:val="31"/>
        </w:rPr>
      </w:pPr>
      <w:r>
        <w:rPr>
          <w:rFonts w:ascii="楷体_GB2312" w:eastAsia="楷体_GB2312" w:hAnsi="楷体_GB2312" w:cs="楷体_GB2312" w:hint="eastAsia"/>
          <w:b/>
          <w:color w:val="000000"/>
          <w:kern w:val="0"/>
          <w:sz w:val="31"/>
          <w:szCs w:val="31"/>
        </w:rPr>
        <w:t>六、改进措施和有关建议</w:t>
      </w:r>
    </w:p>
    <w:p w:rsidR="00FC2256"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（一）加强绩效管理</w:t>
      </w:r>
    </w:p>
    <w:p w:rsidR="00FC2256"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建立健全的绩效管理制度，并参照绩效管理制度加强绩效管理，提高单位绩效管理水平。</w:t>
      </w:r>
    </w:p>
    <w:p w:rsidR="00FC2256"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（二）加强制度建设</w:t>
      </w:r>
    </w:p>
    <w:p w:rsidR="00FC2256"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我单位将联合相关业务科室制定专门的专项项目管理制度，为项目管理提供制度依据，提高项目效益。</w:t>
      </w:r>
    </w:p>
    <w:p w:rsidR="00FC2256" w:rsidRDefault="00FC2256">
      <w:pPr>
        <w:pStyle w:val="Default"/>
        <w:spacing w:line="600" w:lineRule="exact"/>
        <w:ind w:firstLineChars="200" w:firstLine="640"/>
        <w:rPr>
          <w:rFonts w:ascii="Times New Roman" w:eastAsia="仿宋_GB2312" w:hAnsi="Times New Roman" w:cs="Times New Roman"/>
          <w:sz w:val="32"/>
          <w:szCs w:val="32"/>
        </w:rPr>
      </w:pPr>
    </w:p>
    <w:p w:rsidR="00FC2256" w:rsidRDefault="00FC2256">
      <w:pPr>
        <w:pStyle w:val="Default"/>
        <w:jc w:val="both"/>
        <w:rPr>
          <w:rFonts w:ascii="Times New Roman" w:hAnsi="Times New Roman" w:cs="Times New Roman"/>
          <w:sz w:val="72"/>
          <w:szCs w:val="72"/>
        </w:rPr>
      </w:pPr>
    </w:p>
    <w:sectPr w:rsidR="00FC2256">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208D" w:rsidRDefault="00C6208D">
      <w:r>
        <w:separator/>
      </w:r>
    </w:p>
  </w:endnote>
  <w:endnote w:type="continuationSeparator" w:id="0">
    <w:p w:rsidR="00C6208D" w:rsidRDefault="00C62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2256" w:rsidRDefault="00FC225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2256" w:rsidRDefault="00FC2256">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2256" w:rsidRDefault="00FC2256">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C2256" w:rsidRDefault="00000000">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C2256" w:rsidRDefault="00000000">
                          <w:pPr>
                            <w:pStyle w:val="a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FC2256" w:rsidRDefault="00000000">
                    <w:pPr>
                      <w:pStyle w:val="a8"/>
                    </w:pPr>
                    <w:r>
                      <w:fldChar w:fldCharType="begin"/>
                    </w:r>
                    <w:r>
                      <w:instrText xml:space="preserve"> PAGE  \* MERGEFORMAT </w:instrText>
                    </w:r>
                    <w:r>
                      <w:fldChar w:fldCharType="separate"/>
                    </w:r>
                    <w:r>
                      <w:t>20</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208D" w:rsidRDefault="00C6208D">
      <w:r>
        <w:separator/>
      </w:r>
    </w:p>
  </w:footnote>
  <w:footnote w:type="continuationSeparator" w:id="0">
    <w:p w:rsidR="00C6208D" w:rsidRDefault="00C620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BB4BDA"/>
    <w:multiLevelType w:val="singleLevel"/>
    <w:tmpl w:val="A4BB4BDA"/>
    <w:lvl w:ilvl="0">
      <w:start w:val="2"/>
      <w:numFmt w:val="chineseCounting"/>
      <w:suff w:val="nothing"/>
      <w:lvlText w:val="（%1）"/>
      <w:lvlJc w:val="left"/>
      <w:rPr>
        <w:rFonts w:hint="eastAsia"/>
      </w:rPr>
    </w:lvl>
  </w:abstractNum>
  <w:abstractNum w:abstractNumId="1" w15:restartNumberingAfterBreak="0">
    <w:nsid w:val="AB2F250A"/>
    <w:multiLevelType w:val="singleLevel"/>
    <w:tmpl w:val="AB2F250A"/>
    <w:lvl w:ilvl="0">
      <w:start w:val="4"/>
      <w:numFmt w:val="decimal"/>
      <w:suff w:val="nothing"/>
      <w:lvlText w:val="%1、"/>
      <w:lvlJc w:val="left"/>
    </w:lvl>
  </w:abstractNum>
  <w:num w:numId="1" w16cid:durableId="2054452788">
    <w:abstractNumId w:val="1"/>
  </w:num>
  <w:num w:numId="2" w16cid:durableId="43066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6166A"/>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42F8"/>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6208D"/>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C2256"/>
    <w:rsid w:val="00FE16FA"/>
    <w:rsid w:val="00FE328A"/>
    <w:rsid w:val="00FE6269"/>
    <w:rsid w:val="00FF5CD6"/>
    <w:rsid w:val="015E5C9C"/>
    <w:rsid w:val="01940174"/>
    <w:rsid w:val="049773FB"/>
    <w:rsid w:val="04C661B4"/>
    <w:rsid w:val="0558327F"/>
    <w:rsid w:val="05B47B9B"/>
    <w:rsid w:val="06CC122B"/>
    <w:rsid w:val="075359E1"/>
    <w:rsid w:val="078F3C64"/>
    <w:rsid w:val="07AB30B6"/>
    <w:rsid w:val="07C96FEC"/>
    <w:rsid w:val="0936662D"/>
    <w:rsid w:val="09EF3148"/>
    <w:rsid w:val="0B7F7828"/>
    <w:rsid w:val="0F875966"/>
    <w:rsid w:val="104441EC"/>
    <w:rsid w:val="138435E5"/>
    <w:rsid w:val="1498111E"/>
    <w:rsid w:val="16216319"/>
    <w:rsid w:val="167E2B80"/>
    <w:rsid w:val="16EE1125"/>
    <w:rsid w:val="1721706F"/>
    <w:rsid w:val="182E3264"/>
    <w:rsid w:val="18FC0DC5"/>
    <w:rsid w:val="1AB01AA7"/>
    <w:rsid w:val="1D843A98"/>
    <w:rsid w:val="1D97DEFF"/>
    <w:rsid w:val="1DBD243E"/>
    <w:rsid w:val="1DD2337D"/>
    <w:rsid w:val="1DFF72E5"/>
    <w:rsid w:val="1E7C4F1C"/>
    <w:rsid w:val="1EA96466"/>
    <w:rsid w:val="1EFC6F07"/>
    <w:rsid w:val="213967F0"/>
    <w:rsid w:val="254343E7"/>
    <w:rsid w:val="256A6916"/>
    <w:rsid w:val="258173ED"/>
    <w:rsid w:val="25AF714A"/>
    <w:rsid w:val="275E683A"/>
    <w:rsid w:val="27D13ED3"/>
    <w:rsid w:val="2821286D"/>
    <w:rsid w:val="28CD5901"/>
    <w:rsid w:val="291B7D29"/>
    <w:rsid w:val="2A092933"/>
    <w:rsid w:val="2A19418D"/>
    <w:rsid w:val="2B073C69"/>
    <w:rsid w:val="2C0167A4"/>
    <w:rsid w:val="2D025CC1"/>
    <w:rsid w:val="2F585356"/>
    <w:rsid w:val="2FDF85B8"/>
    <w:rsid w:val="2FFFEE04"/>
    <w:rsid w:val="30713BF6"/>
    <w:rsid w:val="325F08CF"/>
    <w:rsid w:val="333929A8"/>
    <w:rsid w:val="339B20AA"/>
    <w:rsid w:val="33E25DA2"/>
    <w:rsid w:val="34DF85B0"/>
    <w:rsid w:val="38950993"/>
    <w:rsid w:val="389531F5"/>
    <w:rsid w:val="398C5C90"/>
    <w:rsid w:val="39BE1E70"/>
    <w:rsid w:val="3ACF78CF"/>
    <w:rsid w:val="3B1F0A7D"/>
    <w:rsid w:val="3B8F36BC"/>
    <w:rsid w:val="3C4433B3"/>
    <w:rsid w:val="3CDC4742"/>
    <w:rsid w:val="3FE667EC"/>
    <w:rsid w:val="40363B10"/>
    <w:rsid w:val="41056038"/>
    <w:rsid w:val="433C2040"/>
    <w:rsid w:val="443C06F6"/>
    <w:rsid w:val="443C5382"/>
    <w:rsid w:val="4560472C"/>
    <w:rsid w:val="4574356D"/>
    <w:rsid w:val="45880314"/>
    <w:rsid w:val="4647790B"/>
    <w:rsid w:val="46A81775"/>
    <w:rsid w:val="475E22A4"/>
    <w:rsid w:val="48FA3911"/>
    <w:rsid w:val="490A5EA9"/>
    <w:rsid w:val="491FF225"/>
    <w:rsid w:val="498925F3"/>
    <w:rsid w:val="4A1749B1"/>
    <w:rsid w:val="4ABA00B9"/>
    <w:rsid w:val="4B2821B2"/>
    <w:rsid w:val="4B337A07"/>
    <w:rsid w:val="4CF6313B"/>
    <w:rsid w:val="4E063468"/>
    <w:rsid w:val="4E463881"/>
    <w:rsid w:val="4F3F0DE3"/>
    <w:rsid w:val="4FB2503A"/>
    <w:rsid w:val="4FFD214C"/>
    <w:rsid w:val="504E2060"/>
    <w:rsid w:val="50981B61"/>
    <w:rsid w:val="5223461B"/>
    <w:rsid w:val="530028C4"/>
    <w:rsid w:val="5347101E"/>
    <w:rsid w:val="53DA4569"/>
    <w:rsid w:val="54E63EA9"/>
    <w:rsid w:val="564F431A"/>
    <w:rsid w:val="568E273D"/>
    <w:rsid w:val="5777D4F5"/>
    <w:rsid w:val="580F0BC7"/>
    <w:rsid w:val="59DD8326"/>
    <w:rsid w:val="5A0675F9"/>
    <w:rsid w:val="5B0A7505"/>
    <w:rsid w:val="5C207979"/>
    <w:rsid w:val="5C836891"/>
    <w:rsid w:val="5D317660"/>
    <w:rsid w:val="5DEF592A"/>
    <w:rsid w:val="5E1C7428"/>
    <w:rsid w:val="5E837897"/>
    <w:rsid w:val="5F6C53EA"/>
    <w:rsid w:val="5FC6BB1E"/>
    <w:rsid w:val="5FF720F1"/>
    <w:rsid w:val="60262323"/>
    <w:rsid w:val="6261209E"/>
    <w:rsid w:val="629C7113"/>
    <w:rsid w:val="631819BB"/>
    <w:rsid w:val="649A3FD2"/>
    <w:rsid w:val="64E74617"/>
    <w:rsid w:val="65E22009"/>
    <w:rsid w:val="67FF5C0B"/>
    <w:rsid w:val="68053D79"/>
    <w:rsid w:val="68EA196D"/>
    <w:rsid w:val="6ABD7A72"/>
    <w:rsid w:val="6BB861EE"/>
    <w:rsid w:val="6CDB348D"/>
    <w:rsid w:val="6CED1CB3"/>
    <w:rsid w:val="6E6673AD"/>
    <w:rsid w:val="6EFC0924"/>
    <w:rsid w:val="6F6F076E"/>
    <w:rsid w:val="6FB74722"/>
    <w:rsid w:val="6FEF8B7E"/>
    <w:rsid w:val="70846758"/>
    <w:rsid w:val="71A6591B"/>
    <w:rsid w:val="71FD5766"/>
    <w:rsid w:val="737D59BA"/>
    <w:rsid w:val="741D3B37"/>
    <w:rsid w:val="74DC7363"/>
    <w:rsid w:val="757A4698"/>
    <w:rsid w:val="759C5487"/>
    <w:rsid w:val="761437E0"/>
    <w:rsid w:val="77A95E08"/>
    <w:rsid w:val="77C37683"/>
    <w:rsid w:val="77DB7327"/>
    <w:rsid w:val="78A075EA"/>
    <w:rsid w:val="79BE0BC7"/>
    <w:rsid w:val="79D19834"/>
    <w:rsid w:val="79FF515B"/>
    <w:rsid w:val="7BF549BF"/>
    <w:rsid w:val="7D2F7BB0"/>
    <w:rsid w:val="7D930B53"/>
    <w:rsid w:val="7DD776EA"/>
    <w:rsid w:val="7E2C4FD9"/>
    <w:rsid w:val="7E9E1962"/>
    <w:rsid w:val="7E9F11B4"/>
    <w:rsid w:val="7EF2441D"/>
    <w:rsid w:val="7F37EC1E"/>
    <w:rsid w:val="7F7DCD9D"/>
    <w:rsid w:val="7F8869B9"/>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741C6"/>
  <w15:docId w15:val="{94B0AA73-2DE3-4A0C-B63F-7DB6806D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a5">
    <w:name w:val="Body Text"/>
    <w:basedOn w:val="a"/>
    <w:next w:val="TOC5"/>
    <w:uiPriority w:val="99"/>
    <w:semiHidden/>
    <w:unhideWhenUsed/>
    <w:qFormat/>
    <w:pPr>
      <w:spacing w:after="120"/>
    </w:pPr>
  </w:style>
  <w:style w:type="paragraph" w:styleId="TOC5">
    <w:name w:val="toc 5"/>
    <w:basedOn w:val="a"/>
    <w:next w:val="a"/>
    <w:uiPriority w:val="39"/>
    <w:semiHidden/>
    <w:unhideWhenUsed/>
    <w:qFormat/>
    <w:pPr>
      <w:ind w:leftChars="800" w:left="1680"/>
    </w:p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uiPriority w:val="99"/>
    <w:semiHidden/>
    <w:unhideWhenUsed/>
    <w:qFormat/>
    <w:pPr>
      <w:spacing w:before="100" w:beforeAutospacing="1" w:after="100" w:afterAutospacing="1"/>
      <w:jc w:val="left"/>
    </w:pPr>
    <w:rPr>
      <w:rFonts w:cs="Times New Roman"/>
      <w:kern w:val="0"/>
      <w:sz w:val="24"/>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d">
    <w:name w:val="List Paragraph"/>
    <w:basedOn w:val="a"/>
    <w:uiPriority w:val="34"/>
    <w:qFormat/>
    <w:pPr>
      <w:ind w:firstLineChars="200" w:firstLine="420"/>
    </w:pPr>
  </w:style>
  <w:style w:type="character" w:customStyle="1" w:styleId="a7">
    <w:name w:val="批注框文本 字符"/>
    <w:basedOn w:val="a1"/>
    <w:link w:val="a6"/>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2852</Words>
  <Characters>16260</Characters>
  <Application>Microsoft Office Word</Application>
  <DocSecurity>0</DocSecurity>
  <Lines>135</Lines>
  <Paragraphs>38</Paragraphs>
  <ScaleCrop>false</ScaleCrop>
  <Company>Microsoft</Company>
  <LinksUpToDate>false</LinksUpToDate>
  <CharactersWithSpaces>19074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4</cp:revision>
  <cp:lastPrinted>2026-10-29T04:36:00Z</cp:lastPrinted>
  <dcterms:created xsi:type="dcterms:W3CDTF">2025-08-19T18:17:00Z</dcterms:created>
  <dcterms:modified xsi:type="dcterms:W3CDTF">2026-10-29T08:29:00Z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4F0B27C0AAC35EFA9177686ADDD5E058</vt:lpwstr>
  </property>
  <property fmtid="{D5CDD505-2E9C-101B-9397-08002B2CF9AE}" pid="4" name="KSOTemplateDocerSaveRecord">
    <vt:lpwstr>eyJoZGlkIjoiYTk4NTQwODAwNzA2MjliNmQzOWNjMTQ3MzA5MThkZTAiLCJ1c2VySWQiOiI0NjE1NzExODgifQ==</vt:lpwstr>
  </property>
</Properties>
</file>