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5"/>
        <w:jc w:val="center"/>
        <w:rPr>
          <w:rFonts w:ascii="Times New Roman" w:hAnsi="Times New Roman" w:cs="Times New Roman"/>
          <w:sz w:val="56"/>
          <w:szCs w:val="56"/>
        </w:rPr>
      </w:pPr>
    </w:p>
    <w:p>
      <w:pPr>
        <w:pStyle w:val="15"/>
        <w:jc w:val="center"/>
        <w:rPr>
          <w:rFonts w:ascii="Times New Roman" w:hAnsi="Times New Roman" w:cs="Times New Roman"/>
          <w:sz w:val="84"/>
          <w:szCs w:val="84"/>
        </w:rPr>
      </w:pPr>
    </w:p>
    <w:p>
      <w:pPr>
        <w:pStyle w:val="15"/>
        <w:jc w:val="center"/>
        <w:rPr>
          <w:rFonts w:ascii="Times New Roman" w:hAnsi="Times New Roman" w:cs="Times New Roman"/>
          <w:sz w:val="84"/>
          <w:szCs w:val="84"/>
        </w:rPr>
      </w:pPr>
    </w:p>
    <w:p>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祁阳市市场监督管理局</w:t>
      </w:r>
      <w:r>
        <w:rPr>
          <w:rFonts w:ascii="Times New Roman" w:hAnsi="Times New Roman" w:eastAsia="方正小标宋简体" w:cs="Times New Roman"/>
          <w:sz w:val="72"/>
          <w:szCs w:val="72"/>
        </w:rPr>
        <w:t>决算</w:t>
      </w:r>
    </w:p>
    <w:p>
      <w:pPr>
        <w:pStyle w:val="15"/>
        <w:jc w:val="center"/>
        <w:rPr>
          <w:rFonts w:ascii="Times New Roman" w:hAnsi="Times New Roman" w:eastAsia="方正小标宋_GBK" w:cs="Times New Roman"/>
          <w:sz w:val="56"/>
          <w:szCs w:val="56"/>
        </w:rPr>
      </w:pPr>
    </w:p>
    <w:p>
      <w:pPr>
        <w:pStyle w:val="15"/>
        <w:jc w:val="center"/>
        <w:rPr>
          <w:rFonts w:ascii="Times New Roman" w:hAnsi="Times New Roman" w:cs="Times New Roman"/>
          <w:sz w:val="56"/>
          <w:szCs w:val="56"/>
        </w:rPr>
      </w:pPr>
    </w:p>
    <w:p>
      <w:pPr>
        <w:pStyle w:val="15"/>
        <w:rPr>
          <w:rFonts w:ascii="Times New Roman" w:hAnsi="Times New Roman" w:cs="Times New Roman"/>
          <w:sz w:val="56"/>
          <w:szCs w:val="56"/>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5"/>
        <w:spacing w:line="600" w:lineRule="exact"/>
        <w:jc w:val="both"/>
        <w:rPr>
          <w:rFonts w:ascii="Times New Roman" w:hAnsi="Times New Roman" w:cs="Times New Roman"/>
          <w:b/>
          <w:sz w:val="36"/>
          <w:szCs w:val="28"/>
        </w:rPr>
      </w:pPr>
    </w:p>
    <w:p>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5"/>
        <w:spacing w:line="600" w:lineRule="exact"/>
        <w:jc w:val="center"/>
        <w:rPr>
          <w:rFonts w:ascii="Times New Roman" w:hAnsi="Times New Roman" w:cs="Times New Roman"/>
          <w:b/>
          <w:sz w:val="36"/>
          <w:szCs w:val="28"/>
        </w:rPr>
      </w:pPr>
    </w:p>
    <w:p>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祁阳市市场监督管理局</w:t>
      </w:r>
      <w:r>
        <w:rPr>
          <w:rFonts w:ascii="Times New Roman" w:hAnsi="Times New Roman" w:cs="Times New Roman"/>
          <w:bCs/>
          <w:sz w:val="32"/>
          <w:szCs w:val="32"/>
        </w:rPr>
        <w:t>概况</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5"/>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祁阳市市场监督管理局</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负责市场综合监督管理。贯彻执行国家、省、市有关市场监督管理的方针政策和法律法规，起草市场监督管理地方性法规、规范性文件草案，组织实施质量强市战略、食品安全战略、标准化战略和知识产权战略，拟订并组织实施有关规划，规范和维护市场秩序，营造诚实守信、公平竞争的市场环境。</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负责市场主体统一登记注册。负责全市各类企业、农民专业合作社和从事经营活动的单位、个体工商户等市场主体的登记注册和监督管理工作。建立市场主体信息公示和共享机制，依法公示和共享有关信息，加强信用监管，推动市场主体信用体系建设。</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三）负责权限范围内食品、药品、医疗器械、化妆品、特种设备、计量器具的许可管理。负责权限内食品生产、流通和餐饮服务环节的行政许可。负责权限内药品流通环节的行政许可。负责权限内医疗器械备案及医疗器械经营环节的行政许可。负责权限内特种设备、计量器具的行政许可及备案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(四）负责组织和指导市场监管综合执法工作。指导全市市场监管综合执法队伍整合和建设，推动实行统一的市场监管。组织查处重大违法案件。规范市场监管行政执法行为。</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五）根据上级委托负责反垄断工作。统筹推进竞争政策实施，组织实施公平竞争审查制度。根据委托依法对经营者集中行为进行反垄断审查，根据委托负责承担垄断协议、滥用市场支配地位和滥用行政权力排除、限制竞争等反垄断执法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六）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指导依法查处无照生产经营和相关无证生产经营行为。</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（七）负责宏观质量管理。拟订并组织实施质量强市发展的制度措施，会同有关部门组织实施较大工程设备质量监理制度，组织较大产品质量事故调查，贯彻实施缺陷产品召回制度，监督管理产品防伪工作。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（八）负责产品质量安全监督管理。管理产品质量安全风险监控、全市监督抽查工作，落实质量分级制度、质量安全追溯制度。负责工业产品生产许可管理。负责纤维质量监督工作。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（九）负责特种设备安全监督管理。综合管理特种设备安全监察、监督工作，监督检查高耗能特种设备节能标准和锅炉环境保护标准的执行情况。按规定权限组织调查处理特种设备事故并进行统计分析。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负责食品安全监督管理综合协调。组织制定食品安全有关政策措施并组织实施。负责食品安全应急体系建设，组织指导较大食品安全事件应急处置和调查处理工作。建立健全食品安全重要信息直报制度。承担市食品安全委员会日常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一）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（十二）负责统一管理计量工作。推行法定计量单位和国家计量制度，依职责管理计量器具及量值传递和比对工作。规范、监督商品量和市场计量行为。</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（十三）负责统一管理标准化工作。指导开展标准化试点示范工作。依据法定职责，对标准的制定进行指导监督，对标准的实施进行监督检查。推行采用国际标准。</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（十四）负责统一管理检验检测工作。规范检验检测市场，完善检验检测体系，指导协调检验检测行业发展。</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（十五）负责统一管理、监督和综合协调全市认证认可工作。依法监督管理全市认证认可和合格评定有关活动。</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（十六）负责市场监督管理、知识产权领域科技和信息化建设、新闻宣传、对外交流与合作。按规定承担技术性贸易措施有关工作。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（十七）负责实施知识产权战略，推进知识产权强市建设。组织制定实施知识产权创造、保护、运用的政策措施。负责知识产权公共服务体系建设、推动知识产权信息传播利用。统筹协调涉外知识产权有关事宜。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（十八）负责保护知识产权。落实严格保护商标、专利、原产地地理标志等相关工作，负责知识产权保护体系建设，组织指导商标、专利执法工作。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（十九）负责知识产权创造运用。按权限负责商标、专利和原产地地理标志的管理，开展知识产权运营体系建设和知识产权评议工作，规范知识产权交易和无形资产评估，促进知识产权转移转化。</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（二十）负责组织开展有关服务领域消费维权工作，查处制售假冒伪劣等违法行为，指导消费者咨询、申诉、举报受理、处理和网络体系建设等工作，保护经营者、消费者合法权益。</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一）负责职责范围内的药品、医疗器械和化妆品的质量管理。监督实施药品、医疗器械、化妆品标准和分类管理制度，配合有关部门实施国家基本药物制度。监督实施药品经营质量管理规范，监督实施医疗器械经营、使用质量管理规范，监督实施化妆品经营、使用卫生标准和技术规范。</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（二十二）负责职责范围内药品、医疗器械和化妆品上市后风险管理。指导开展药品不良反应、医疗器械不良事件的监测和处置工作。依法承担药品、医疗器械和化妆品安全应急管理工作。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三）负责组织实施职责范围内药品、医疗器械和化妆品监督检查。制定检查制度，依法查处药品零售、医疗器械和化妆品经营环节违法行为，以及药品、医疗器械使用环节违法行为。依职责组织指导查处其他环节违法行为。</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（二十四）负责市委组织部门安排的小微企业、个体工商户、专业市场的党建工作，指导全市相关工作。</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（二十五）完成市委、市人民政府交办的其他任务。</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祁阳市市场监督管理局内设机构包括：办公室、人事股、科技和财务股、政策法规股、行政审批股、信用监督管理股、网络交易监督管理股、广告监督管理股、消费者权益保护股（投诉举报办公室）、质量发展与安全管理股、食品安全协调股、食品生产安全监督管理股、餐饮服务食品安全监督管理股、食品流通安全监督管理股、特殊食品安全及化妆品监督管理股、特种设备安全监察股（安全生产办公室）、计</w:t>
      </w:r>
      <w:r>
        <w:rPr>
          <w:rFonts w:hint="eastAsia" w:ascii="仿宋_GB2312" w:hAnsi="仿宋_GB2312" w:eastAsia="仿宋_GB2312" w:cs="仿宋_GB2312"/>
          <w:color w:val="auto"/>
          <w:kern w:val="0"/>
          <w:sz w:val="32"/>
          <w:szCs w:val="32"/>
          <w:lang w:val="en-US" w:eastAsia="zh-CN" w:bidi="ar-SA"/>
        </w:rPr>
        <w:t>量股、标准化与认证认可监督管理股、药品与医疗器械监督管理股、知识产权监督管理股、非公有制经济组织党建办公室共21个职能股室、价格监督检查和反不正当竞争分局（规范直销与打击传销办公室、反垄断办公室）1个直属分局、市食品</w:t>
      </w:r>
      <w:r>
        <w:rPr>
          <w:rFonts w:hint="eastAsia" w:ascii="Times New Roman" w:hAnsi="Times New Roman" w:eastAsia="仿宋_GB2312" w:cs="仿宋_GB2312"/>
          <w:bCs/>
          <w:kern w:val="0"/>
          <w:sz w:val="32"/>
          <w:szCs w:val="32"/>
        </w:rPr>
        <w:t>药品稽查</w:t>
      </w:r>
      <w:r>
        <w:rPr>
          <w:rFonts w:hint="eastAsia" w:ascii="仿宋_GB2312" w:hAnsi="仿宋_GB2312" w:eastAsia="仿宋_GB2312" w:cs="仿宋_GB2312"/>
          <w:color w:val="auto"/>
          <w:kern w:val="0"/>
          <w:sz w:val="32"/>
          <w:szCs w:val="32"/>
          <w:lang w:val="en-US" w:eastAsia="zh-CN" w:bidi="ar-SA"/>
        </w:rPr>
        <w:t>大队等7个事业单位，下设浯溪、长虹、龙山、白水、黎家坪、文明铺、进宝塘、三口塘、潘市9个基层监督管理所。截至2025年底局机关共有人员编制349个，实有在职干部职工281人。</w:t>
      </w:r>
    </w:p>
    <w:p>
      <w:pPr>
        <w:widowControl/>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rPr>
        <w:t>祁阳市市场</w:t>
      </w:r>
      <w:r>
        <w:rPr>
          <w:rFonts w:hint="eastAsia" w:ascii="仿宋_GB2312" w:hAnsi="仿宋_GB2312" w:eastAsia="仿宋_GB2312" w:cs="仿宋_GB2312"/>
          <w:color w:val="auto"/>
          <w:kern w:val="0"/>
          <w:sz w:val="32"/>
          <w:szCs w:val="32"/>
          <w:lang w:val="en-US" w:eastAsia="zh-CN" w:bidi="ar-SA"/>
        </w:rPr>
        <w:t>监督管理局2025年部门决算汇总公开单位构成包括：祁阳市市场监督管理局本级。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577"/>
        <w:gridCol w:w="783"/>
        <w:gridCol w:w="1526"/>
        <w:gridCol w:w="4700"/>
        <w:gridCol w:w="783"/>
        <w:gridCol w:w="1527"/>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16"/>
                <w:szCs w:val="16"/>
              </w:rPr>
            </w:pPr>
            <w:r>
              <w:rPr>
                <w:rFonts w:ascii="Times New Roman" w:hAnsi="Times New Roman" w:eastAsia="仿宋_GB2312" w:cs="Times New Roman"/>
                <w:color w:val="000000"/>
                <w:kern w:val="0"/>
                <w:sz w:val="16"/>
                <w:szCs w:val="16"/>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16"/>
                <w:szCs w:val="16"/>
              </w:rPr>
            </w:pPr>
            <w:r>
              <w:rPr>
                <w:rFonts w:ascii="Times New Roman" w:hAnsi="Times New Roman" w:eastAsia="仿宋_GB2312" w:cs="Times New Roman"/>
                <w:color w:val="000000"/>
                <w:kern w:val="0"/>
                <w:sz w:val="16"/>
                <w:szCs w:val="16"/>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1"/>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4647.58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3731.09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488.25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162.68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265.56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4647.58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4647.58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4647.58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4647.58</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802"/>
        <w:gridCol w:w="1320"/>
        <w:gridCol w:w="1458"/>
        <w:gridCol w:w="1640"/>
        <w:gridCol w:w="1432"/>
        <w:gridCol w:w="1695"/>
        <w:gridCol w:w="2050"/>
        <w:gridCol w:w="1383"/>
      </w:tblGrid>
      <w:tr>
        <w:tblPrEx>
          <w:tblCellMar>
            <w:top w:w="0" w:type="dxa"/>
            <w:left w:w="0" w:type="dxa"/>
            <w:bottom w:w="0" w:type="dxa"/>
            <w:right w:w="0" w:type="dxa"/>
          </w:tblCellMar>
        </w:tblPrEx>
        <w:trPr>
          <w:trHeight w:val="450" w:hRule="atLeast"/>
          <w:jc w:val="center"/>
        </w:trPr>
        <w:tc>
          <w:tcPr>
            <w:tcW w:w="368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20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0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02"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2"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6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20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68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4647.58</w:t>
            </w:r>
            <w:r>
              <w:rPr>
                <w:rFonts w:ascii="Times New Roman" w:hAnsi="Times New Roman" w:eastAsia="仿宋_GB2312" w:cs="Times New Roman"/>
              </w:rPr>
              <w:t>　</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4647.58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一般公共服务支出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3731.09</w:t>
            </w:r>
            <w:r>
              <w:rPr>
                <w:rFonts w:ascii="Times New Roman" w:hAnsi="Times New Roman" w:eastAsia="仿宋_GB2312" w:cs="Times New Roman"/>
              </w:rPr>
              <w:t>　</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3731.09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市场监督管理事务</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3731.09</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3731.09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行政运行</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3356.45</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3356.45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2013802</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一般行政管理事务</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314.2</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314.2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2013810</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质量基础</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2013812</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药品事务</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4.27</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2013816</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食品安全监管</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5.64</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其他市场监督管理事项</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40.54</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40.54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社会保障和就业支出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488.25</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488.25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行政事业单位养老支出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365.02</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365.02</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就业补助</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10.6</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其他就业补助支出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10.6</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抚恤</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106.63</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死亡抚恤</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105.73</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其他优抚支出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0.9</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退役安置</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0.9</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其他退役安置支出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0.9</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5.1</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162.68</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162.68</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162.68</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住房保障支出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265.56</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w:t>
            </w:r>
          </w:p>
        </w:tc>
        <w:tc>
          <w:tcPr>
            <w:tcW w:w="180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住房改革支出</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265.56</w:t>
            </w:r>
          </w:p>
        </w:tc>
        <w:tc>
          <w:tcPr>
            <w:tcW w:w="145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4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20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1802"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住房公积金</w:t>
            </w:r>
          </w:p>
        </w:tc>
        <w:tc>
          <w:tcPr>
            <w:tcW w:w="1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265.56　</w:t>
            </w:r>
          </w:p>
        </w:tc>
        <w:tc>
          <w:tcPr>
            <w:tcW w:w="145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4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205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2058"/>
        <w:gridCol w:w="3576"/>
        <w:gridCol w:w="1484"/>
        <w:gridCol w:w="1209"/>
        <w:gridCol w:w="1056"/>
        <w:gridCol w:w="1515"/>
        <w:gridCol w:w="973"/>
        <w:gridCol w:w="2338"/>
      </w:tblGrid>
      <w:tr>
        <w:tblPrEx>
          <w:tblCellMar>
            <w:top w:w="0" w:type="dxa"/>
            <w:left w:w="108" w:type="dxa"/>
            <w:bottom w:w="0" w:type="dxa"/>
            <w:right w:w="108" w:type="dxa"/>
          </w:tblCellMar>
        </w:tblPrEx>
        <w:trPr>
          <w:trHeight w:val="595" w:hRule="atLeast"/>
          <w:jc w:val="center"/>
        </w:trPr>
        <w:tc>
          <w:tcPr>
            <w:tcW w:w="199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3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3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3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3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99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4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4"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99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4647.58</w:t>
            </w: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4149.71</w:t>
            </w: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497.88</w:t>
            </w: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一般公共服务支出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3731.09</w:t>
            </w:r>
            <w:r>
              <w:rPr>
                <w:rFonts w:ascii="Times New Roman" w:hAnsi="Times New Roman" w:eastAsia="仿宋_GB2312" w:cs="Times New Roman"/>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3356.45</w:t>
            </w: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374.65</w:t>
            </w: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市场监督管理事务</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3731.09</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3356.45</w:t>
            </w: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374.65</w:t>
            </w: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2013801</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行政运行</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3356.45</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3356.45</w:t>
            </w: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2013802</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一般行政管理事务</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314.2</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314.2</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2013810</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质量基础</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2013812</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药品事务</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4.27</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4.27</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2013816</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食品安全监管</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2013899</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其他市场监督管理事项</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40.54</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40.54</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社会保障和就业支出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488.25</w:t>
            </w:r>
          </w:p>
        </w:tc>
        <w:tc>
          <w:tcPr>
            <w:tcW w:w="354"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123.23</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行政事业单位养老支出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54"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机关事业单位基本养老保险缴费支出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54"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就业补助</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2080799</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其他就业补助支出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抚恤</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106.63</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106.63</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死亡抚恤</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105.73</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105.73</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2080899</w:t>
            </w:r>
          </w:p>
        </w:tc>
        <w:tc>
          <w:tcPr>
            <w:tcW w:w="1259" w:type="pct"/>
            <w:tcBorders>
              <w:top w:val="nil"/>
              <w:left w:val="nil"/>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其他优抚支出</w:t>
            </w:r>
          </w:p>
        </w:tc>
        <w:tc>
          <w:tcPr>
            <w:tcW w:w="545"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71"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54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20809</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退役安置</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其他退役安置支出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行政单位医疗</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住房保障支出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住房改革支出</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125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住房公积金</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　</w:t>
            </w: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　</w:t>
            </w:r>
          </w:p>
        </w:tc>
        <w:tc>
          <w:tcPr>
            <w:tcW w:w="37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9"/>
        <w:rPr>
          <w:rFonts w:ascii="Times New Roman" w:hAnsi="Times New Roman" w:eastAsia="黑体" w:cs="Times New Roman"/>
          <w:color w:val="000000"/>
          <w:kern w:val="0"/>
          <w:sz w:val="32"/>
          <w:szCs w:val="32"/>
          <w:lang w:bidi="ar"/>
        </w:rPr>
      </w:pPr>
    </w:p>
    <w:p>
      <w:pPr>
        <w:pStyle w:val="5"/>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9"/>
        <w:rPr>
          <w:rFonts w:ascii="Times New Roman" w:hAnsi="Times New Roman" w:eastAsia="黑体" w:cs="Times New Roman"/>
          <w:color w:val="000000"/>
          <w:kern w:val="0"/>
          <w:sz w:val="32"/>
          <w:szCs w:val="32"/>
          <w:lang w:bidi="ar"/>
        </w:rPr>
      </w:pPr>
    </w:p>
    <w:p>
      <w:pPr>
        <w:pStyle w:val="5"/>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9"/>
        <w:rPr>
          <w:rFonts w:ascii="Times New Roman" w:hAnsi="Times New Roman" w:eastAsia="黑体" w:cs="Times New Roman"/>
          <w:color w:val="000000"/>
          <w:kern w:val="0"/>
          <w:sz w:val="32"/>
          <w:szCs w:val="32"/>
          <w:lang w:bidi="ar"/>
        </w:rPr>
      </w:pPr>
    </w:p>
    <w:p>
      <w:pPr>
        <w:pStyle w:val="5"/>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9"/>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1126"/>
        <w:gridCol w:w="3516"/>
        <w:gridCol w:w="616"/>
        <w:gridCol w:w="1126"/>
        <w:gridCol w:w="1483"/>
        <w:gridCol w:w="1031"/>
        <w:gridCol w:w="119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3731.09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3731.09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488.25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488.25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162.68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162.68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十五、商业服务业等支出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十六、金融支出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265.56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265.56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二十四、债务还本支出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default" w:ascii="Times New Roman" w:hAnsi="Times New Roman" w:eastAsia="仿宋_GB2312" w:cs="Times New Roman"/>
                <w:kern w:val="0"/>
                <w:sz w:val="22"/>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0</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4647.58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0</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9"/>
        <w:rPr>
          <w:rFonts w:ascii="Times New Roman" w:hAnsi="Times New Roman" w:eastAsia="方正小标宋_GBK" w:cs="Times New Roman"/>
          <w:kern w:val="0"/>
          <w:sz w:val="36"/>
          <w:szCs w:val="36"/>
        </w:rPr>
      </w:pPr>
    </w:p>
    <w:p>
      <w:pPr>
        <w:pStyle w:val="5"/>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4647.58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ab/>
            </w:r>
            <w:r>
              <w:rPr>
                <w:rFonts w:hint="eastAsia" w:ascii="Times New Roman" w:hAnsi="Times New Roman" w:eastAsia="仿宋_GB2312" w:cs="Times New Roman"/>
                <w:b w:val="0"/>
                <w:bCs w:val="0"/>
                <w:lang w:val="en-US" w:eastAsia="zh-CN"/>
              </w:rPr>
              <w:t>4149.71</w:t>
            </w:r>
            <w:r>
              <w:rPr>
                <w:rFonts w:hint="eastAsia" w:ascii="Times New Roman" w:hAnsi="Times New Roman" w:eastAsia="仿宋_GB2312" w:cs="Times New Roman"/>
                <w:b w:val="0"/>
                <w:bCs w:val="0"/>
                <w:lang w:val="en-US" w:eastAsia="zh-CN"/>
              </w:rPr>
              <w:tab/>
            </w:r>
            <w:r>
              <w:rPr>
                <w:rFonts w:hint="eastAsia" w:ascii="Times New Roman" w:hAnsi="Times New Roman" w:eastAsia="仿宋_GB2312" w:cs="Times New Roman"/>
                <w:b w:val="0"/>
                <w:bCs w:val="0"/>
                <w:lang w:val="en-US" w:eastAsia="zh-CN"/>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497.88</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3731.09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　3356.45</w:t>
            </w: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　374.65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市场监督管理事务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3731.09</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3356.45</w:t>
            </w: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374.65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3356.45</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3356.45</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2013802</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314.2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314.2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2013810</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质量基础</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kern w:val="0"/>
                <w:szCs w:val="21"/>
                <w:lang w:val="en-US" w:eastAsia="zh-CN"/>
              </w:rPr>
            </w:pPr>
            <w:r>
              <w:rPr>
                <w:rFonts w:hint="eastAsia" w:ascii="Times New Roman" w:hAnsi="Times New Roman" w:eastAsia="仿宋_GB2312" w:cs="Times New Roman"/>
                <w:b w:val="0"/>
                <w:bCs w:val="0"/>
                <w:lang w:val="en-US" w:eastAsia="zh-CN"/>
              </w:rPr>
              <w:t>10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2013812</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药品事务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4.27</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b w:val="0"/>
                <w:bCs w:val="0"/>
                <w:kern w:val="0"/>
                <w:szCs w:val="21"/>
              </w:rPr>
            </w:pPr>
            <w:r>
              <w:rPr>
                <w:rFonts w:hint="eastAsia" w:ascii="Times New Roman" w:hAnsi="Times New Roman" w:eastAsia="仿宋_GB2312" w:cs="Times New Roman"/>
                <w:b w:val="0"/>
                <w:bCs w:val="0"/>
                <w:lang w:val="en-US" w:eastAsia="zh-CN"/>
              </w:rPr>
              <w:t>4.27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2013816</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食品安全监管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b w:val="0"/>
                <w:bCs w:val="0"/>
                <w:kern w:val="0"/>
                <w:szCs w:val="21"/>
              </w:rPr>
            </w:pPr>
            <w:r>
              <w:rPr>
                <w:rFonts w:hint="eastAsia" w:ascii="Times New Roman" w:hAnsi="Times New Roman" w:eastAsia="仿宋_GB2312" w:cs="Times New Roman"/>
                <w:b w:val="0"/>
                <w:bCs w:val="0"/>
                <w:lang w:val="en-US" w:eastAsia="zh-CN"/>
              </w:rPr>
              <w:t>5.64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2013899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其他市场监督管理事项</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40.54</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b w:val="0"/>
                <w:bCs w:val="0"/>
                <w:kern w:val="0"/>
                <w:szCs w:val="21"/>
              </w:rPr>
            </w:pPr>
            <w:r>
              <w:rPr>
                <w:rFonts w:hint="eastAsia" w:ascii="Times New Roman" w:hAnsi="Times New Roman" w:eastAsia="仿宋_GB2312" w:cs="Times New Roman"/>
                <w:b w:val="0"/>
                <w:bCs w:val="0"/>
                <w:lang w:val="en-US" w:eastAsia="zh-CN"/>
              </w:rPr>
              <w:t>40.54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488.25</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365.02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123.23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365.02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365.02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365.02</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imes New Roman" w:hAnsi="Times New Roman" w:eastAsia="仿宋_GB2312" w:cs="Times New Roman"/>
                <w:b w:val="0"/>
                <w:bCs w:val="0"/>
                <w:lang w:val="en-US" w:eastAsia="zh-CN"/>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就业补助</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10.6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其他就业补助支出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106.63</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106.63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105.73</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2080899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其他优抚支出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退役安置</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其他退役安置支出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2089999</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5.1</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162.68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住房改革支出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3527" w:type="dxa"/>
            <w:tcBorders>
              <w:top w:val="nil"/>
              <w:left w:val="nil"/>
              <w:bottom w:val="single" w:color="auto" w:sz="4" w:space="0"/>
              <w:right w:val="single" w:color="auto" w:sz="4" w:space="0"/>
            </w:tcBorders>
            <w:shd w:val="clear" w:color="auto" w:fill="auto"/>
            <w:vAlign w:val="center"/>
          </w:tcPr>
          <w:p>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住房公积金</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　</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265.56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3746.39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370.72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1443.25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17.55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869.33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34.66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607.71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3.9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365.02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21.71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5.12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162.68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20.86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27.18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265.56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 w:val="18"/>
                <w:szCs w:val="16"/>
              </w:rPr>
            </w:pPr>
            <w:r>
              <w:rPr>
                <w:rFonts w:hint="eastAsia" w:ascii="Times New Roman" w:hAnsi="Times New Roman" w:eastAsia="仿宋_GB2312" w:cs="Times New Roman"/>
                <w:color w:val="000000"/>
                <w:kern w:val="0"/>
                <w:sz w:val="18"/>
                <w:szCs w:val="16"/>
                <w:lang w:val="en-US" w:eastAsia="zh-CN"/>
              </w:rPr>
              <w:t>9.87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11.98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8.95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32.6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2.19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0.75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0.42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hint="eastAsia" w:ascii="Times New Roman" w:hAnsi="Times New Roman" w:eastAsia="仿宋_GB2312" w:cs="Times New Roman"/>
                <w:color w:val="000000"/>
                <w:kern w:val="0"/>
                <w:sz w:val="18"/>
                <w:szCs w:val="16"/>
                <w:lang w:val="en-US" w:eastAsia="zh-CN"/>
              </w:rPr>
              <w:t>20.94</w:t>
            </w: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25.22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78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11.66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51.5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18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20.25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18"/>
                <w:szCs w:val="16"/>
              </w:rPr>
            </w:pPr>
            <w:r>
              <w:rPr>
                <w:rFonts w:ascii="Times New Roman" w:hAnsi="Times New Roman" w:eastAsia="仿宋_GB2312" w:cs="Times New Roman"/>
                <w:color w:val="000000"/>
                <w:kern w:val="0"/>
                <w:sz w:val="18"/>
                <w:szCs w:val="16"/>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ascii="Times New Roman" w:hAnsi="Times New Roman" w:eastAsia="仿宋_GB2312" w:cs="Times New Roman"/>
                <w:color w:val="000000"/>
                <w:kern w:val="0"/>
                <w:sz w:val="18"/>
                <w:szCs w:val="16"/>
              </w:rPr>
              <w:t>　</w:t>
            </w:r>
            <w:r>
              <w:rPr>
                <w:rFonts w:hint="eastAsia" w:ascii="Times New Roman" w:hAnsi="Times New Roman" w:eastAsia="仿宋_GB2312" w:cs="Times New Roman"/>
                <w:color w:val="000000"/>
                <w:kern w:val="0"/>
                <w:sz w:val="18"/>
                <w:szCs w:val="16"/>
                <w:lang w:val="en-US" w:eastAsia="zh-CN"/>
              </w:rPr>
              <w:t>45.45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 w:val="20"/>
                <w:szCs w:val="18"/>
              </w:rPr>
            </w:pPr>
            <w:r>
              <w:rPr>
                <w:rFonts w:ascii="Times New Roman" w:hAnsi="Times New Roman" w:eastAsia="仿宋_GB2312" w:cs="Times New Roman"/>
                <w:color w:val="000000"/>
                <w:kern w:val="0"/>
                <w:sz w:val="20"/>
                <w:szCs w:val="18"/>
              </w:rPr>
              <w:t>　</w:t>
            </w:r>
          </w:p>
        </w:tc>
      </w:tr>
      <w:tr>
        <w:tblPrEx>
          <w:tblCellMar>
            <w:top w:w="0" w:type="dxa"/>
            <w:left w:w="108" w:type="dxa"/>
            <w:bottom w:w="0" w:type="dxa"/>
            <w:right w:w="108" w:type="dxa"/>
          </w:tblCellMar>
        </w:tblPrEx>
        <w:trPr>
          <w:trHeight w:val="300"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18"/>
                <w:szCs w:val="16"/>
                <w:lang w:val="en-US" w:eastAsia="zh-CN"/>
              </w:rPr>
            </w:pPr>
            <w:r>
              <w:rPr>
                <w:rFonts w:hint="eastAsia" w:ascii="Times New Roman" w:hAnsi="Times New Roman" w:eastAsia="仿宋_GB2312" w:cs="Times New Roman"/>
                <w:color w:val="000000"/>
                <w:kern w:val="0"/>
                <w:sz w:val="18"/>
                <w:szCs w:val="16"/>
                <w:lang w:val="en-US" w:eastAsia="zh-CN"/>
              </w:rPr>
              <w:t>3778.99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 w:val="20"/>
                <w:szCs w:val="16"/>
                <w:lang w:val="en-US" w:eastAsia="zh-CN"/>
              </w:rPr>
            </w:pPr>
            <w:r>
              <w:rPr>
                <w:rFonts w:hint="eastAsia" w:ascii="Times New Roman" w:hAnsi="Times New Roman" w:eastAsia="仿宋_GB2312" w:cs="Times New Roman"/>
                <w:color w:val="000000"/>
                <w:kern w:val="0"/>
                <w:sz w:val="20"/>
                <w:szCs w:val="16"/>
                <w:lang w:val="en-US" w:eastAsia="zh-CN"/>
              </w:rPr>
              <w:t>370.72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6" w:type="pct"/>
        <w:tblInd w:w="0" w:type="dxa"/>
        <w:tblLayout w:type="autofit"/>
        <w:tblCellMar>
          <w:top w:w="0" w:type="dxa"/>
          <w:left w:w="108" w:type="dxa"/>
          <w:bottom w:w="0" w:type="dxa"/>
          <w:right w:w="108" w:type="dxa"/>
        </w:tblCellMar>
      </w:tblPr>
      <w:tblGrid>
        <w:gridCol w:w="3090"/>
        <w:gridCol w:w="3098"/>
        <w:gridCol w:w="1831"/>
        <w:gridCol w:w="3095"/>
        <w:gridCol w:w="3095"/>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祁阳市市场监督管理局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18.42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0.42</w:t>
            </w:r>
          </w:p>
        </w:tc>
      </w:tr>
    </w:tbl>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r>
        <w:rPr>
          <w:rFonts w:ascii="Times New Roman" w:hAnsi="Times New Roman" w:eastAsia="黑体" w:cs="Times New Roman"/>
          <w:szCs w:val="21"/>
        </w:rPr>
        <w:br w:type="page"/>
      </w: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w:t>
      </w:r>
      <w:r>
        <w:rPr>
          <w:rFonts w:hint="eastAsia" w:ascii="Times New Roman" w:hAnsi="Times New Roman" w:eastAsia="仿宋_GB2312" w:cs="Times New Roman"/>
          <w:sz w:val="32"/>
          <w:szCs w:val="32"/>
          <w:lang w:eastAsia="zh-CN"/>
        </w:rPr>
        <w:t>年度收、</w:t>
      </w:r>
      <w:r>
        <w:rPr>
          <w:rFonts w:hint="eastAsia" w:ascii="仿宋_GB2312" w:hAnsi="仿宋_GB2312" w:eastAsia="仿宋_GB2312" w:cs="仿宋_GB2312"/>
          <w:color w:val="auto"/>
          <w:kern w:val="0"/>
          <w:sz w:val="32"/>
          <w:szCs w:val="32"/>
          <w:lang w:val="en-US" w:eastAsia="zh-CN" w:bidi="ar-SA"/>
        </w:rPr>
        <w:t>支总计4647.58万元。与上年相比，减少204.99万元，降低4.22%，主要是因为单位按照政府部门过紧日子要求，节省部分经费的开支。</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贯彻落实党政机</w:t>
      </w:r>
      <w:r>
        <w:rPr>
          <w:rFonts w:hint="eastAsia" w:ascii="仿宋_GB2312" w:hAnsi="仿宋_GB2312" w:eastAsia="仿宋_GB2312" w:cs="仿宋_GB2312"/>
          <w:color w:val="auto"/>
          <w:kern w:val="0"/>
          <w:sz w:val="32"/>
          <w:szCs w:val="32"/>
          <w:lang w:val="en-US" w:eastAsia="zh-CN" w:bidi="ar-SA"/>
        </w:rPr>
        <w:t>关习惯过紧日子有关要求，厉行节约办一切事业，严控一般性支出，进一步优化支出结构，持续压降“三公”经费、办公经费、会议培训等行政开支。同时坚持有保有压，优化支出结构，提高资金使用效率，合理保障人员经费、行政运行经费等重点支出，体现在有关支出科目中。</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2025年度收入合计4647.58万元，其中：财政拨款收入4647.58万元，占100%；上级补助收入0万元，占0%；事业收入0万元，占0%；经营收入0万元，占0%；附属单位上缴收入0万元，占0%；其他收入0万元，占0%。</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2025年度支出合计4647.58万元，其中：基本支出4149.71万元，占89.29%；项目支出497.88万元，占10.71%；上缴上级支出0万元，占0%；经营支出0万元，占0%；对附属单位补助支出0万元，占0%。</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2025年度财政拨款收、支总计4647.58万元，与上年相比，减少204.99万元,降低4.22%，主要是因为主要是贯彻落实党政机关习惯过紧日子有关要求，厉行节约。</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2025年度财政拨款支出4647.58万元，占本年支出合计的100%，与上年相比，财政拨款支出减少204.99万元，降低4.22%，主要是因为主要是贯彻落实党政机关习惯过紧日子有关要求，厉行节约。</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支出4647.58万元，主要用于以下方面：一般公共服务（201）支出3731.09万元，占80.28%；社会保障和就业（208）支出488.25万元，占10.51%；卫生健康（210）支出162.68万元，占3.5%；住房保障支出（221）支出265.56万元，占5.71%。</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2025年度财政拨款支出年初预算数为4222.751万元，支出决算数为4647.58万元，完成年初预算的110.06%，其中：</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w:t>
      </w:r>
      <w:r>
        <w:rPr>
          <w:rFonts w:hint="eastAsia" w:ascii="仿宋_GB2312" w:hAnsi="仿宋_GB2312" w:eastAsia="仿宋_GB2312" w:cs="仿宋_GB2312"/>
          <w:color w:val="auto"/>
          <w:kern w:val="0"/>
          <w:sz w:val="32"/>
          <w:szCs w:val="32"/>
          <w:lang w:val="en-US" w:eastAsia="zh-CN" w:bidi="ar-SA"/>
        </w:rPr>
        <w:t>一般公共服</w:t>
      </w:r>
      <w:r>
        <w:rPr>
          <w:rFonts w:hint="eastAsia" w:ascii="仿宋_GB2312" w:hAnsi="仿宋_GB2312" w:eastAsia="仿宋_GB2312" w:cs="仿宋_GB2312"/>
          <w:color w:val="auto"/>
          <w:kern w:val="0"/>
          <w:sz w:val="32"/>
          <w:szCs w:val="32"/>
          <w:lang w:val="en-US" w:eastAsia="zh-CN" w:bidi="ar-SA"/>
        </w:rPr>
        <w:t>务（201）市场监</w:t>
      </w:r>
      <w:r>
        <w:rPr>
          <w:rFonts w:hint="eastAsia" w:ascii="仿宋_GB2312" w:hAnsi="仿宋_GB2312" w:eastAsia="仿宋_GB2312" w:cs="仿宋_GB2312"/>
          <w:color w:val="auto"/>
          <w:kern w:val="0"/>
          <w:sz w:val="32"/>
          <w:szCs w:val="32"/>
          <w:lang w:val="en-US" w:eastAsia="zh-CN" w:bidi="ar-SA"/>
        </w:rPr>
        <w:t>督管理事务</w:t>
      </w:r>
      <w:r>
        <w:rPr>
          <w:rFonts w:hint="eastAsia" w:ascii="仿宋_GB2312" w:hAnsi="仿宋_GB2312" w:eastAsia="仿宋_GB2312" w:cs="仿宋_GB2312"/>
          <w:color w:val="auto"/>
          <w:kern w:val="0"/>
          <w:sz w:val="32"/>
          <w:szCs w:val="32"/>
          <w:lang w:val="en-US" w:eastAsia="zh-CN" w:bidi="ar-SA"/>
        </w:rPr>
        <w:t>（20138）行政运行（2013801）。</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年初预算为3219.681万元，支出决算为3356.45万元，完成年初预算的104.25%，决算数大于年初预算数的主要原因是：人员异动及晋升</w:t>
      </w:r>
      <w:r>
        <w:rPr>
          <w:rFonts w:hint="default"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人员经费增加。</w:t>
      </w:r>
    </w:p>
    <w:p>
      <w:pPr>
        <w:pStyle w:val="15"/>
        <w:overflowPunct w:val="0"/>
        <w:autoSpaceDE/>
        <w:autoSpaceDN/>
        <w:spacing w:line="600" w:lineRule="exact"/>
        <w:ind w:firstLine="640" w:firstLineChars="200"/>
        <w:jc w:val="both"/>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2、一</w:t>
      </w:r>
      <w:r>
        <w:rPr>
          <w:rFonts w:hint="eastAsia" w:ascii="仿宋_GB2312" w:hAnsi="仿宋_GB2312" w:eastAsia="仿宋_GB2312" w:cs="仿宋_GB2312"/>
          <w:color w:val="auto"/>
          <w:kern w:val="0"/>
          <w:sz w:val="32"/>
          <w:szCs w:val="32"/>
          <w:lang w:val="en-US" w:eastAsia="zh-CN" w:bidi="ar-SA"/>
        </w:rPr>
        <w:t xml:space="preserve">般公共服务（201）市场监督管理事务（20138）一般行政管理事务（2013802）。      </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年初预算为150万元，支出决算为314.2万元，完成年初预算的209.47%，决算数大于年初预算数的主要原因是：本年财政追加预算。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w:t>
      </w:r>
      <w:r>
        <w:rPr>
          <w:rFonts w:hint="eastAsia" w:ascii="仿宋_GB2312" w:hAnsi="仿宋_GB2312" w:eastAsia="仿宋_GB2312" w:cs="仿宋_GB2312"/>
          <w:color w:val="auto"/>
          <w:kern w:val="0"/>
          <w:sz w:val="32"/>
          <w:szCs w:val="32"/>
          <w:lang w:val="en-US" w:eastAsia="zh-CN" w:bidi="ar-SA"/>
        </w:rPr>
        <w:t>一般公共服务（201）市场监督管理事务（20138）质量基础（2013810）。</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年初预算为0万元，支出决算为10万元，由于预算数为0，无法计算百分比，决算数大于年初预算数的主要原因是：本年财政下达上级指标。</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w:t>
      </w:r>
      <w:r>
        <w:rPr>
          <w:rFonts w:hint="eastAsia" w:ascii="仿宋_GB2312" w:hAnsi="仿宋_GB2312" w:eastAsia="仿宋_GB2312" w:cs="仿宋_GB2312"/>
          <w:color w:val="auto"/>
          <w:kern w:val="0"/>
          <w:sz w:val="32"/>
          <w:szCs w:val="32"/>
          <w:lang w:val="en-US" w:eastAsia="zh-CN" w:bidi="ar-SA"/>
        </w:rPr>
        <w:t>一般公共服务（201）市场监督管理事务（20138）药品事务（2013812）。</w:t>
      </w:r>
    </w:p>
    <w:p>
      <w:pPr>
        <w:pStyle w:val="15"/>
        <w:overflowPunct w:val="0"/>
        <w:autoSpaceDE/>
        <w:autoSpaceDN/>
        <w:spacing w:line="600" w:lineRule="exact"/>
        <w:ind w:firstLine="640" w:firstLineChars="200"/>
        <w:jc w:val="both"/>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年初预算为0万元，支出决算为4.27万元，由于预算数为0，无法计算百分比，决算数大于年初预算数的主要原因是：本年财政下达上级指标。</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val="en-US" w:eastAsia="zh-CN" w:bidi="ar-SA"/>
        </w:rPr>
        <w:t>一般公共服务（201）市场监督管理事务（20138）食品安全监管（2013816）。</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年初预算为0万元，支出决算为5.64万元，由于预算数为0，无法计算百分比，决算数大于年初预算数的主要原因是：本年财政下达上级指标。</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6、</w:t>
      </w:r>
      <w:r>
        <w:rPr>
          <w:rFonts w:hint="eastAsia" w:ascii="仿宋_GB2312" w:hAnsi="仿宋_GB2312" w:eastAsia="仿宋_GB2312" w:cs="仿宋_GB2312"/>
          <w:color w:val="auto"/>
          <w:kern w:val="0"/>
          <w:sz w:val="32"/>
          <w:szCs w:val="32"/>
          <w:lang w:val="en-US" w:eastAsia="zh-CN" w:bidi="ar-SA"/>
        </w:rPr>
        <w:t>一般公共服务（201）市场监督管理事务（20138）其他市场监督管理事务（2013899）。</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年初预算为0万元，支出决算为40.54万元，由于预算数为0，无法计算百分比，决算数大于年初预算数的主要原因是：本年财政下达上级指标。</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7、</w:t>
      </w:r>
      <w:r>
        <w:rPr>
          <w:rFonts w:hint="eastAsia" w:ascii="仿宋_GB2312" w:hAnsi="仿宋_GB2312" w:eastAsia="仿宋_GB2312" w:cs="仿宋_GB2312"/>
          <w:color w:val="auto"/>
          <w:kern w:val="0"/>
          <w:sz w:val="32"/>
          <w:szCs w:val="32"/>
          <w:lang w:val="en-US" w:eastAsia="zh-CN" w:bidi="ar-SA"/>
        </w:rPr>
        <w:t>社会保障和就业支出（208）行政事业单位养老支出（20805）机关事业单位基本养老保险缴费支出（2080505）。</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年初预算为391.85万元，支出决算为365.02万元，完成年初预算的93.15%，决算数小于年初预算数的主要原因是：人员异动及退休。</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8、社会保障和就业支出（208）就业补助（20807）其他就业补助支出（2080799）。</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年初预算为0万元，支出决算为10.6万元，无法计算百分比，决算数大于年初预算数的主要原因是：本年财政追加预算。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9、社会保障和就业支出（208）抚恤（20808）死亡抚恤（2080801）。</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年初预算为0万元，支出决算为105.73万元，无法计算百分比，决算数大于年初预算数的主要原因是：本年财政追加预算。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10、社会保障和就业支出（208）抚恤（20808）其他优抚支出（2080899）。</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年初预算为0万元，支出决算为0.9万元，无法计算百分比，决算数大于年初预算数的主要原因是：本年财政追加预算。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11、社会保障和就业支出（208）退役安置（20809）其他退役安置支出（2080999）。</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年初预算为0万元，支出决算为0.9万元，无法计算百分比，决算数大于年初预算数的主要原因是：本年财政追加预算。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12、社会保障和就业支出（208）其他社会保障和就业支出（20899）其他社会保障和就业支出（2089999）。</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年初预算为0万元，支出决算为5.1万元，无法计算百分比，决算数大于年初预算数的主要原因是：本年财政追加预算。</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13、卫生健康支出（210）行政事业单位医疗（21011）行政单位医疗（2101101）。</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年初预算为176.63万元，支出决算为162.68万元，完成年初预算的92.1%，决算数小于年初预算数的主要原因是：人员异动及退休。</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14、住房保障支出（221）住房改革支出（22102）住房公积金（2210201）。</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年初预算为284.59万元，支出决算为265.56万元，完成年初预算的93.31%，决算数小于年初预算数的主要原因是：人员异动及退休。</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按照支出功能分类，基本支出方面的支出占财政拨款支出总额的比重较高，主要是：行政运行（2013801），2025年度决算数为3356.45万元，占财政拨款支出总额的72.22%，主要用于工资福利支出、商品和服务支出等方面。</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2025年度一般公共预算财政拨款基本支出4149.71万元，其中：</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b/>
          <w:bCs/>
          <w:sz w:val="32"/>
          <w:szCs w:val="32"/>
        </w:rPr>
        <w:t>人员经费</w:t>
      </w:r>
      <w:r>
        <w:rPr>
          <w:rFonts w:hint="eastAsia" w:ascii="仿宋_GB2312" w:hAnsi="仿宋_GB2312" w:eastAsia="仿宋_GB2312" w:cs="仿宋_GB2312"/>
          <w:color w:val="auto"/>
          <w:kern w:val="0"/>
          <w:sz w:val="32"/>
          <w:szCs w:val="32"/>
          <w:lang w:val="en-US" w:eastAsia="zh-CN" w:bidi="ar-SA"/>
        </w:rPr>
        <w:t>3778.99万元，占基本支出的91.07%,主要包括基本工资、津贴补贴、奖金、机关事业单位基本养老保险缴费、职工基本医疗保险缴费、其他社会保障缴费、住房公积金、其他工资福利支出、抚恤金、生活补助、其他对个人和家庭的补助。</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b/>
          <w:bCs/>
          <w:sz w:val="32"/>
          <w:szCs w:val="32"/>
        </w:rPr>
        <w:t>公用经费</w:t>
      </w:r>
      <w:r>
        <w:rPr>
          <w:rFonts w:hint="eastAsia" w:ascii="仿宋_GB2312" w:hAnsi="仿宋_GB2312" w:eastAsia="仿宋_GB2312" w:cs="仿宋_GB2312"/>
          <w:color w:val="auto"/>
          <w:kern w:val="0"/>
          <w:sz w:val="32"/>
          <w:szCs w:val="32"/>
          <w:lang w:val="en-US" w:eastAsia="zh-CN" w:bidi="ar-SA"/>
        </w:rPr>
        <w:t>370.72万元，占基本支出的8.93%，主要包括办公费、印刷费、水费、电费、邮电费、物业管理费、差旅费、维修（护）费、租赁费、会议费、公务接待费、劳务费、委托业务费、工会经费、福利费、公务用车运行维护费、其他交通费用、其他商品和服务支出。</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三公”经费财政拨款支出预算为23万元，支出决算为18.42万元，完成预算的80.09%；与上年相比增加1.89万元，增长11.43%。决算数小于预算数的主要原因是我局加强“三公”经费管理，严控“三公”经费支出。决算数大于上年数的主要原因是车辆由公车平台划转至我局账户，车辆保险费增加；市场监督管理任务繁重，工作量增加，车辆使用次数增加，使用年限增长</w:t>
      </w:r>
      <w:bookmarkStart w:id="3" w:name="_GoBack"/>
      <w:bookmarkEnd w:id="3"/>
      <w:r>
        <w:rPr>
          <w:rFonts w:hint="eastAsia" w:ascii="仿宋_GB2312" w:hAnsi="仿宋_GB2312" w:eastAsia="仿宋_GB2312" w:cs="仿宋_GB2312"/>
          <w:color w:val="auto"/>
          <w:kern w:val="0"/>
          <w:sz w:val="32"/>
          <w:szCs w:val="32"/>
          <w:lang w:val="en-US" w:eastAsia="zh-CN" w:bidi="ar-SA"/>
        </w:rPr>
        <w:t>，车辆老化，油费和维修成本增加。</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sz w:val="32"/>
          <w:szCs w:val="32"/>
        </w:rPr>
        <w:t>1.</w:t>
      </w:r>
      <w:r>
        <w:rPr>
          <w:rFonts w:hint="eastAsia" w:ascii="仿宋_GB2312" w:hAnsi="仿宋_GB2312" w:eastAsia="仿宋_GB2312" w:cs="仿宋_GB2312"/>
          <w:color w:val="auto"/>
          <w:kern w:val="0"/>
          <w:sz w:val="32"/>
          <w:szCs w:val="32"/>
          <w:lang w:val="en-US" w:eastAsia="zh-CN" w:bidi="ar-SA"/>
        </w:rPr>
        <w:t>因公出国（境）费支出预算为0万元，支出决算为0万元，本单位无因公出国（境）费支出。2025年度安排因公出国（境）团组0个，累计0人次</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sz w:val="32"/>
          <w:szCs w:val="32"/>
        </w:rPr>
        <w:t>2.</w:t>
      </w:r>
      <w:r>
        <w:rPr>
          <w:rFonts w:hint="eastAsia" w:ascii="仿宋_GB2312" w:hAnsi="仿宋_GB2312" w:eastAsia="仿宋_GB2312" w:cs="仿宋_GB2312"/>
          <w:color w:val="auto"/>
          <w:kern w:val="0"/>
          <w:sz w:val="32"/>
          <w:szCs w:val="32"/>
          <w:lang w:val="en-US" w:eastAsia="zh-CN" w:bidi="ar-SA"/>
        </w:rPr>
        <w:t>公务用车购置费及运行维护费支出预算为18万元，支出决算为18万元，完成预算的100%；与上年相比增加6.17万元，增长52.16%。其中：</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公务用车购置费支出预算为0万元，支出决算为0万元，由于预算数为0，无法计算百分比；决算数与预算数持平的主要原因是无公务用车购置费支出，与上年相比持平，无增减变化，无变化的主要原因是无公务用车购置费支出。单位本级更新公务用车10辆，原因是由公车平台划转至我局账户。</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公务用车运行维护费支出预算为18万元，支出决算为18万元，</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主要是车辆维修费、保险费、油卡费等支出，完成预算的100%；与上年相比增加6.17万元，增长52.16%。决算数与预算数持平，无增减变化，无变化的主要原因是我局严格控制了公务用车运行维护费支出。截止2025年12月31日，我单位开支财政拨款的公务用车保有量为11辆。</w:t>
      </w:r>
    </w:p>
    <w:p>
      <w:pPr>
        <w:pStyle w:val="15"/>
        <w:keepNext w:val="0"/>
        <w:keepLines w:val="0"/>
        <w:pageBreakBefore w:val="0"/>
        <w:widowControl w:val="0"/>
        <w:kinsoku/>
        <w:wordWrap/>
        <w:overflowPunct/>
        <w:topLinePunct w:val="0"/>
        <w:autoSpaceDE w:val="0"/>
        <w:autoSpaceDN w:val="0"/>
        <w:bidi w:val="0"/>
        <w:adjustRightInd w:val="0"/>
        <w:snapToGrid/>
        <w:spacing w:line="54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ascii="Times New Roman" w:hAnsi="Times New Roman" w:eastAsia="仿宋_GB2312" w:cs="Times New Roman"/>
          <w:sz w:val="32"/>
          <w:szCs w:val="32"/>
        </w:rPr>
        <w:t>3.</w:t>
      </w:r>
      <w:r>
        <w:rPr>
          <w:rFonts w:hint="eastAsia" w:ascii="仿宋_GB2312" w:hAnsi="仿宋_GB2312" w:eastAsia="仿宋_GB2312" w:cs="仿宋_GB2312"/>
          <w:color w:val="auto"/>
          <w:kern w:val="0"/>
          <w:sz w:val="32"/>
          <w:szCs w:val="32"/>
          <w:lang w:val="en-US" w:eastAsia="zh-CN" w:bidi="ar-SA"/>
        </w:rPr>
        <w:t>公务接待费支出预算为5万元，支出决算为0.42万元，完成预算的8.4%；与上年相比减少4.28万元，降低91.06%。决算数小于预算数的主要原因是认真贯彻落实中央八项规定精神和厉行节约要求，从严控制公务接待费支出。决算数小于上年数的主要原因是实行归口统一管理，先审批后安排，并明确接待地点和接待标准，凡未经批准或超过决算限额的公务接待一律不予报销。2025年度共接待来访团组5个、来宾47人次，主要是业务往来发生的接待支出。</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仿宋_GB2312" w:hAnsi="仿宋_GB2312" w:eastAsia="仿宋_GB2312" w:cs="仿宋_GB2312"/>
          <w:color w:val="auto"/>
          <w:kern w:val="0"/>
          <w:sz w:val="32"/>
          <w:szCs w:val="32"/>
          <w:lang w:val="en-US" w:eastAsia="zh-CN" w:bidi="ar-SA"/>
        </w:rPr>
        <w:t>2025年</w:t>
      </w:r>
      <w:r>
        <w:rPr>
          <w:rFonts w:ascii="Times New Roman" w:hAnsi="Times New Roman" w:eastAsia="仿宋_GB2312" w:cs="Times New Roman"/>
          <w:sz w:val="32"/>
          <w:szCs w:val="32"/>
        </w:rPr>
        <w:t>度本单位无政府性基金收支。</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5"/>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仿宋_GB2312" w:hAnsi="仿宋_GB2312" w:eastAsia="仿宋_GB2312" w:cs="仿宋_GB2312"/>
          <w:color w:val="auto"/>
          <w:kern w:val="0"/>
          <w:sz w:val="32"/>
          <w:szCs w:val="32"/>
          <w:lang w:val="en-US" w:eastAsia="zh-CN" w:bidi="ar-SA"/>
        </w:rPr>
        <w:t>本部门2025年度机关运行经费支出370.72万元，比年初预算数减少73.04 万元，降低16.46%。主要原因是：单位按照政府部门过紧日子要求，节省部分经费的开支。</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本部门开支会议费2.19万元，用于召开市场监管工作、经营主体培育等会议，内容为全面总结2024年工作，部署2025年重点工作；开支培训费0.75万元，用于开展特种设备培训等活动，内容为特种设备安全员培训等。</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本部门2025年度政府采购支出总额166.12万元，其中：政府采购货物支出45.45 万元、政府采购工程支出0万元、政府采购服务支出120.67万元。授予中小企业合同金额166.12万元，占政府采购支出总额的100%，其中：授予小微企业合同金额129.77万元，占授予中小企业合同金额的78.12%。货物采购授予中小企业合同金额占货物支出金额的100%，工程采购授予中小企业合同金额占工程支出金额的0%，服务采购授予中小企业合同金额占服务支出金额的100%。</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5"/>
        <w:overflowPunct w:val="0"/>
        <w:autoSpaceDE/>
        <w:autoSpaceDN/>
        <w:spacing w:line="60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截至2025年12月31日，部门（单位）共有车辆11辆，其中，副部（省）级及以上领导用车0辆、主要负责人用车0辆、机要通信用车0辆、应急保障用车0辆、执法执勤用车10辆、特种专业技术用车1辆、离退休干部服务用车0辆、其他用车0辆；单位价值100万元以上设备（不含车辆）0台（套）。</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仿宋_GB2312" w:hAnsi="仿宋_GB2312" w:eastAsia="仿宋_GB2312" w:cs="仿宋_GB2312"/>
          <w:color w:val="auto"/>
          <w:kern w:val="0"/>
          <w:sz w:val="32"/>
          <w:szCs w:val="32"/>
          <w:lang w:val="en-US" w:eastAsia="zh-CN" w:bidi="ar-SA"/>
        </w:rPr>
        <w:t>组织对2025年度本部门（单位）整体支出开展绩效自评，涉及项目0 个，共涉及资金4647.58万元。其中，一般公共预算项目0个0 万元，占一般公共预算支出总额的0%；政府性基金预算项目0 个0万元，占政府性基金预算支出总额的0%；国有资本经营预算项目0个0 万元，占国有资本经营预算支出总额的0%；社会保险基金预算项目0 个0 万元，占社会保险基金预算支出总额的0%。二是部门评价开展情况。组织对所属单位2025年度0个项目开展了部门评价，涉及一般公共预算支出0万元，政府性基金预算支出0万元，国有资本经营预算支出0万元，社会保险基金预算支出0万元。三是事前绩效评估开展情况。组织对2025年度0个新增重大政策和0个重大项目开展事前绩效评估，共涉及资金0万元。</w:t>
      </w:r>
    </w:p>
    <w:p>
      <w:pPr>
        <w:overflowPunct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仿宋_GB2312" w:hAnsi="仿宋_GB2312" w:eastAsia="仿宋_GB2312" w:cs="仿宋_GB2312"/>
          <w:color w:val="auto"/>
          <w:kern w:val="0"/>
          <w:sz w:val="32"/>
          <w:szCs w:val="32"/>
          <w:lang w:val="en-US" w:eastAsia="zh-CN" w:bidi="ar-SA"/>
        </w:rPr>
        <w:t>2025年度本部门（单位）整体支出全年预算数4222.751万元，执行数4647.58万元，完成预算的110.06%，绩效自评得分98分，评价等级为“优秀”。绩效目标完成情况：年度总体目标基本实现，各绩效指标基本完成。发现的主要问题及原因：一是部分食品药品、特种设备经营主体安全意识不强，未能按相关规定全面落实企业主体责任，安全监管形势不能掉以轻心。下一步改进措施：加强食品、药品安全监管</w:t>
      </w:r>
      <w:r>
        <w:rPr>
          <w:rFonts w:hint="default"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强化特种设备安全监管，强化重点工业产品安全监管。</w:t>
      </w:r>
      <w:r>
        <w:rPr>
          <w:rFonts w:ascii="Times New Roman" w:hAnsi="Times New Roman" w:eastAsia="仿宋_GB2312" w:cs="Times New Roman"/>
          <w:b/>
          <w:bCs/>
          <w:kern w:val="0"/>
          <w:sz w:val="32"/>
          <w:szCs w:val="32"/>
        </w:rPr>
        <w:t>二是部门评价结果。</w:t>
      </w:r>
      <w:r>
        <w:rPr>
          <w:rFonts w:hint="eastAsia" w:ascii="仿宋_GB2312" w:hAnsi="仿宋_GB2312" w:eastAsia="仿宋_GB2312" w:cs="仿宋_GB2312"/>
          <w:color w:val="auto"/>
          <w:kern w:val="0"/>
          <w:sz w:val="32"/>
          <w:szCs w:val="32"/>
          <w:lang w:val="en-US" w:eastAsia="zh-CN" w:bidi="ar-SA"/>
        </w:rPr>
        <w:t>项目全年预算数0万元，执行数0万元，完成预算的0%。</w:t>
      </w:r>
      <w:r>
        <w:rPr>
          <w:rFonts w:ascii="Times New Roman" w:hAnsi="Times New Roman" w:eastAsia="仿宋_GB2312" w:cs="Times New Roman"/>
          <w:b/>
          <w:bCs/>
          <w:kern w:val="0"/>
          <w:sz w:val="32"/>
          <w:szCs w:val="32"/>
        </w:rPr>
        <w:t>三是事前绩效评估结果。</w:t>
      </w:r>
      <w:r>
        <w:rPr>
          <w:rFonts w:hint="eastAsia" w:ascii="仿宋_GB2312" w:hAnsi="仿宋_GB2312" w:eastAsia="仿宋_GB2312" w:cs="仿宋_GB2312"/>
          <w:color w:val="auto"/>
          <w:kern w:val="0"/>
          <w:sz w:val="32"/>
          <w:szCs w:val="32"/>
          <w:lang w:val="en-US" w:eastAsia="zh-CN" w:bidi="ar-SA"/>
        </w:rPr>
        <w:t>2025年度0个重大项目事前绩效评估，其中，0个项目评估通过，涉及资金0万元，0个项目评估不通过，涉及资金0万元。</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_GB2312" w:hAnsi="仿宋_GB2312" w:eastAsia="仿宋_GB2312" w:cs="仿宋_GB2312"/>
          <w:color w:val="auto"/>
          <w:kern w:val="0"/>
          <w:sz w:val="32"/>
          <w:szCs w:val="32"/>
          <w:lang w:val="en-US" w:eastAsia="zh-CN" w:bidi="ar-SA"/>
        </w:rPr>
        <w:t>我局结合单位实际，根据2025年度业务工作报告及2025年实际工作情况，开展绩效自评。对于上年度绩效评价结果提出的需要整改的情况，我局领导高度重视，在评价工作结束后，积极开展整改行动抓落实，对照问题清单，认真填写整改报告书，对问题切实改正，用制度的手段规范资金使用，提升了资金使用效益，为</w:t>
      </w:r>
      <w:r>
        <w:rPr>
          <w:rFonts w:hint="default" w:ascii="仿宋_GB2312" w:hAnsi="仿宋_GB2312" w:eastAsia="仿宋_GB2312" w:cs="仿宋_GB2312"/>
          <w:color w:val="auto"/>
          <w:kern w:val="0"/>
          <w:sz w:val="32"/>
          <w:szCs w:val="32"/>
          <w:lang w:val="en-US" w:eastAsia="zh-CN" w:bidi="ar-SA"/>
        </w:rPr>
        <w:t>2025年</w:t>
      </w:r>
      <w:r>
        <w:rPr>
          <w:rFonts w:hint="eastAsia" w:ascii="仿宋_GB2312" w:hAnsi="仿宋_GB2312" w:eastAsia="仿宋_GB2312" w:cs="仿宋_GB2312"/>
          <w:color w:val="auto"/>
          <w:kern w:val="0"/>
          <w:sz w:val="32"/>
          <w:szCs w:val="32"/>
          <w:lang w:val="en-US" w:eastAsia="zh-CN" w:bidi="ar-SA"/>
        </w:rPr>
        <w:t>绩效评价</w:t>
      </w:r>
      <w:r>
        <w:rPr>
          <w:rFonts w:hint="default" w:ascii="仿宋_GB2312" w:hAnsi="仿宋_GB2312" w:eastAsia="仿宋_GB2312" w:cs="仿宋_GB2312"/>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预算安排、资金管理等方面做好准备。</w:t>
      </w: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ascii="Calibri" w:hAnsi="Calibri" w:cs="Calibri"/>
          <w:i w:val="0"/>
          <w:iCs w:val="0"/>
          <w:caps w:val="0"/>
          <w:color w:val="666666"/>
          <w:spacing w:val="0"/>
          <w:sz w:val="21"/>
          <w:szCs w:val="21"/>
          <w:u w:val="none"/>
        </w:rPr>
      </w:pPr>
      <w:r>
        <w:rPr>
          <w:rFonts w:ascii="仿宋" w:hAnsi="仿宋" w:eastAsia="仿宋" w:cs="仿宋"/>
          <w:i w:val="0"/>
          <w:iCs w:val="0"/>
          <w:caps w:val="0"/>
          <w:color w:val="000000"/>
          <w:spacing w:val="0"/>
          <w:sz w:val="32"/>
          <w:szCs w:val="32"/>
          <w:u w:val="none"/>
          <w:shd w:val="clear" w:color="auto" w:fill="FFFFFF"/>
        </w:rPr>
        <w:t>一、收入科目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、财政拨款收入：指财政当年拨付的资金。</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、事业收入：指事业单位开展专业业务活动及辅助活动取得的收入。</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、经营收入：指事业单位在专业业务活动及其辅助活动之外开展非独立核算经营活动取得的收入。</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、其他收入：指除上述“财政拨款收入”、“事业收入”、“经营收入”等以外的收入。</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6</w:t>
      </w:r>
      <w:r>
        <w:rPr>
          <w:rFonts w:hint="eastAsia" w:ascii="仿宋" w:hAnsi="仿宋" w:eastAsia="仿宋" w:cs="仿宋"/>
          <w:i w:val="0"/>
          <w:iCs w:val="0"/>
          <w:caps w:val="0"/>
          <w:color w:val="000000"/>
          <w:spacing w:val="0"/>
          <w:sz w:val="32"/>
          <w:szCs w:val="32"/>
          <w:u w:val="none"/>
          <w:shd w:val="clear" w:color="auto" w:fill="FFFFFF"/>
        </w:rPr>
        <w:t>、上年结转：指以前年尚未完成、结转到本年按有关规定继续使用的资金。</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eastAsia" w:ascii="仿宋" w:hAnsi="仿宋" w:eastAsia="仿宋" w:cs="仿宋"/>
          <w:i w:val="0"/>
          <w:iCs w:val="0"/>
          <w:caps w:val="0"/>
          <w:color w:val="000000"/>
          <w:spacing w:val="0"/>
          <w:sz w:val="32"/>
          <w:szCs w:val="32"/>
          <w:u w:val="none"/>
          <w:shd w:val="clear" w:color="auto" w:fill="FFFFFF"/>
        </w:rPr>
        <w:t>二、支出科目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、基本支出：是为保障其机构正常运转、完成日常工作任务而发生的人员支出和公用支出。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、项目支出：是指在基本支出之外完成特定行政任务和事业发展目标所发生的支出。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、工资福利支出：反映单位开支的在职职工和编制外长期聘用人员的各类劳动报酬，以及为上述人员缴纳的各项社会保险费等。</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、商品和服务支出：反映单位购买商品和服务的支出。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、对个人和家庭的补助：反映单位用于对个人和家庭的补助支出。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default" w:ascii="仿宋" w:hAnsi="仿宋" w:eastAsia="仿宋" w:cs="仿宋"/>
          <w:i w:val="0"/>
          <w:iCs w:val="0"/>
          <w:caps w:val="0"/>
          <w:color w:val="000000"/>
          <w:spacing w:val="0"/>
          <w:sz w:val="32"/>
          <w:szCs w:val="32"/>
          <w:u w:val="none"/>
          <w:shd w:val="clear" w:color="auto" w:fill="FFFFFF"/>
        </w:rPr>
      </w:pPr>
      <w:r>
        <w:rPr>
          <w:rFonts w:hint="eastAsia" w:ascii="仿宋" w:hAnsi="仿宋" w:eastAsia="仿宋" w:cs="仿宋"/>
          <w:i w:val="0"/>
          <w:iCs w:val="0"/>
          <w:caps w:val="0"/>
          <w:color w:val="000000"/>
          <w:spacing w:val="0"/>
          <w:sz w:val="32"/>
          <w:szCs w:val="32"/>
          <w:u w:val="none"/>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eastAsia" w:ascii="仿宋" w:hAnsi="仿宋" w:eastAsia="仿宋" w:cs="仿宋"/>
          <w:i w:val="0"/>
          <w:iCs w:val="0"/>
          <w:caps w:val="0"/>
          <w:color w:val="000000"/>
          <w:spacing w:val="0"/>
          <w:sz w:val="32"/>
          <w:szCs w:val="32"/>
          <w:u w:val="none"/>
          <w:shd w:val="clear" w:color="auto" w:fill="FFFFFF"/>
        </w:rPr>
        <w:t>四、“三公”经费科目</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、因公出国（境）费用：反映单位公务出国（境）的国际旅费、国内城市间交通费、住宿费、伙食费、培训费、公杂费等支出。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default" w:ascii="Times New Roman" w:hAnsi="Times New Roman" w:eastAsia="宋体" w:cs="Times New Roman"/>
          <w:i w:val="0"/>
          <w:iCs w:val="0"/>
          <w:caps w:val="0"/>
          <w:color w:val="333333"/>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、公务接待费：反映单位按规定开支的各类公务接待（含外宾接待）费用。</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仿宋" w:hAnsi="仿宋" w:eastAsia="仿宋" w:cs="仿宋"/>
          <w:i w:val="0"/>
          <w:iCs w:val="0"/>
          <w:caps w:val="0"/>
          <w:color w:val="000000"/>
          <w:spacing w:val="0"/>
          <w:sz w:val="32"/>
          <w:szCs w:val="32"/>
          <w:u w:val="none"/>
          <w:shd w:val="clear" w:color="auto" w:fill="FFFFFF"/>
        </w:rPr>
      </w:pPr>
      <w:r>
        <w:rPr>
          <w:rFonts w:hint="default" w:ascii="仿宋" w:hAnsi="仿宋" w:eastAsia="仿宋" w:cs="仿宋"/>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、公务用车购置及运行维护费：反映单位公务用车车辆购置支出（含车辆购置税），以及燃料费、维修费、过路过桥费、保险费等支出。</w:t>
      </w: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keepNext w:val="0"/>
        <w:keepLines w:val="0"/>
        <w:pageBreakBefore w:val="0"/>
        <w:widowControl w:val="0"/>
        <w:kinsoku/>
        <w:wordWrap/>
        <w:overflowPunct/>
        <w:topLinePunct w:val="0"/>
        <w:autoSpaceDE/>
        <w:autoSpaceDN/>
        <w:bidi w:val="0"/>
        <w:adjustRightInd/>
        <w:snapToGrid/>
        <w:spacing w:after="251" w:afterLines="80"/>
        <w:jc w:val="center"/>
        <w:textAlignment w:val="auto"/>
        <w:rPr>
          <w:sz w:val="44"/>
          <w:szCs w:val="44"/>
        </w:rPr>
      </w:pPr>
      <w:r>
        <w:rPr>
          <w:rFonts w:hint="eastAsia" w:ascii="方正小标宋简体" w:hAnsi="方正小标宋简体" w:eastAsia="方正小标宋简体" w:cs="方正小标宋简体"/>
          <w:sz w:val="44"/>
          <w:szCs w:val="44"/>
        </w:rPr>
        <w:t>自评报告综述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w:t>
      </w:r>
      <w:r>
        <w:rPr>
          <w:rFonts w:hint="eastAsia" w:ascii="黑体" w:hAnsi="黑体" w:eastAsia="黑体" w:cs="黑体"/>
          <w:sz w:val="32"/>
          <w:szCs w:val="32"/>
          <w:lang w:eastAsia="zh-CN"/>
        </w:rPr>
        <w:t>（</w:t>
      </w:r>
      <w:r>
        <w:rPr>
          <w:rFonts w:hint="eastAsia" w:ascii="黑体" w:hAnsi="黑体" w:eastAsia="黑体" w:cs="黑体"/>
          <w:sz w:val="32"/>
          <w:szCs w:val="32"/>
        </w:rPr>
        <w:t>单位</w:t>
      </w:r>
      <w:r>
        <w:rPr>
          <w:rFonts w:hint="eastAsia" w:ascii="黑体" w:hAnsi="黑体" w:eastAsia="黑体" w:cs="黑体"/>
          <w:sz w:val="32"/>
          <w:szCs w:val="32"/>
          <w:lang w:eastAsia="zh-CN"/>
        </w:rPr>
        <w:t>）</w:t>
      </w:r>
      <w:r>
        <w:rPr>
          <w:rFonts w:hint="eastAsia" w:ascii="黑体" w:hAnsi="黑体" w:eastAsia="黑体" w:cs="黑体"/>
          <w:sz w:val="32"/>
          <w:szCs w:val="32"/>
        </w:rPr>
        <w:t>概况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一</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部门</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单位</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基本情况</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负责市场综合监督管理。贯彻执行国家、省、市有关市场监督管理的方针政策和法律法规，起草市场监督管理地方性法规、规范性文件草案，组织实施质量强市战略、食品安全战略、标准化战略和知识产权战略，拟订并组织实施有关规划，规范和维护市场秩序，营造诚实守信、公平竞争的市场环境。</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负责市场主体统一登记注册。负责全市各类企业、农民专业合作社和从事经营活动的单位、个体工商户等市场主体的登记注册和监督管理工作。建立市场主体信息公示和共享机制，依法公示和共享有关信息，加强信用监管，推动市场主体信用体系建设。</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负责权限范围内食品、药品、医疗器械、化妆品、特种设备、计量器具的许可管理。负责权限内食品生产、流通和餐饮服务环节的行政许可。负责权限内药品流通环节的行政许可。负责权限内医疗器械备案及医疗器械经营环节的行政许可。负责权限内特种设备、计量器具的行政许可及备案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4、负责组织和指导市场监管综合执法工作。指导全市市场监管综合执法队伍整合和建设，推动实行统一的市场监管。组织查处重大违法案件。规范市场监管行政执法行为。</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根据上级委托负责反垄断工作。统筹推进竞争政策实施，组织实施公平竞争审查制度。根据委托依法对经营者集中行为进行反垄断审查，根据委托负责承担垄断协议、滥用市场支配地位和滥用行政权力排除、限制竞争等反垄断执法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负责监督管理市场秩序。依法监督管理市场交易、网络商品交易及有关服务的行为。组织指导查处价格收费违法违规、不正当竞争、违法直销、传销、侵犯商标专利知识产权和制售假冒伪劣行为。指导广告业的发展，监督管理广告活动。指导依法查处无照生产经营和相关无证生产经营行为。</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7、负责宏观质量管理。拟订并组织实施质量强市发展的制度措施，会同有关部门组织实施较大工程设备质量监理制度，组织较大产品质量事故调查，贯彻实施缺陷产品召回制度，监督管理产品防伪工作。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8、负责产品质量安全监督管理。管理产品质量安全风险监控、全市监督抽查工作，落实质量分级制度、质量安全追溯制度。负责工业产品生产许可管理。负责纤维质量监督工作。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9、负责特种设备安全监督管理。综合管理特种设备安全监察、监督工作，监督检查高耗能特种设备节能标准和锅炉环境保护标准的执行情况。按规定权限组织调查处理特种设备事故并进行统计分析。</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10、负责食品安全监督管理综合协调。组织制定食品安全有关政策措施并组织实施。负责食品安全应急体系建设，组织指导较大食品安全事件应急处置和调查处理工作。建立健全食品安全重要信息直报制度。承担市食品安全委员会日常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11、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负责食盐专营管理和食盐安全监督管理。</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12、负责统一管理计量工作。推行法定计量单位和国家计量制度，依职责管理计量器具及量值传递和比对工作。规范、监督商品量和市场计量行为。</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13、负责统一管理标准化工作。指导开展标准化试点示范工作。依据法定职责，对标准的制定进行指导监督，对标准的实施进行监督检查。推行采用国际标准。</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14、负责统一管理检验检测工作。规范检验检测市场，完善检验检测体系，指导协调检验检测行业发展。</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15、负责统一管理、监督和综合协调全市认证认可工作。依法监督管理全市认证认可和合格评定有关活动。</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16、负责市场监督管理、知识产权领域科技和信息化建设、新闻宣传、对外交流与合作。按规定承担技术性贸易措施有关工作。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17、负责实施知识产权战略，推进知识产权强市建设。组织制定实施知识产权创造、保护、运用的政策措施。负责知识产权公共服务体系建设、推动知识产权信息传播利用。统筹协调涉外知识产权有关事宜。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18、负责保护知识产权。落实严格保护商标、专利、原产地地理标志等相关工作，负责知识产权保护体系建设，组织指导商标、专利执法工作。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19、负责知识产权创造运用。按权限负责商标、专利和原产地地理标志的管理，开展知识产权运营体系建设和知识产权评议工作，规范知识产权交易和无形资产评估，促进知识产权转移转化。</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20、负责组织开展有关服务领域消费维权工作，查处制售假冒伪劣等违法行为，指导消费者咨询、申诉、举报受理、处理和网络体系建设等工作，保护经营者、消费者合法权益。</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21、负责职责范围内的药品、医疗器械和化妆品的质量管理。监督实施药品、医疗器械、化妆品标准和分类管理制度，配合有关部门实施国家基本药物制度。监督实施药品经营质量管理规范，监督实施医疗器械经营、使用质量管理规范，监督实施化妆品经营、使用卫生标准和技术规范。</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22、负责职责范围内药品、医疗器械和化妆品上市后风险管理。指导开展药品不良反应、医疗器械不良事件的监测和处置工作。依法承担药品、医疗器械和化妆品安全应急管理工作。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23、负责组织实施职责范围内药品、医疗器械和化妆品监督检查。制定检查制度，依法查处药品零售、医疗器械和化妆品经营环节违法行为，以及药品、医疗器械使用环节违法行为。依职责组织指导查处其他环节违法行为。</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24、负责市委组织部门安排的小微企业、个体工商户、专业市场的党建工作，指导全市相关工作。</w:t>
      </w:r>
    </w:p>
    <w:p>
      <w:pPr>
        <w:pStyle w:val="16"/>
        <w:keepNext w:val="0"/>
        <w:keepLines w:val="0"/>
        <w:pageBreakBefore w:val="0"/>
        <w:numPr>
          <w:ilvl w:val="0"/>
          <w:numId w:val="0"/>
        </w:numPr>
        <w:kinsoku/>
        <w:wordWrap/>
        <w:overflowPunct/>
        <w:topLinePunct w:val="0"/>
        <w:autoSpaceDE/>
        <w:autoSpaceDN/>
        <w:bidi w:val="0"/>
        <w:adjustRightInd/>
        <w:snapToGrid/>
        <w:spacing w:before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25、完成市委、市人民政府交办的其他任务。</w:t>
      </w:r>
    </w:p>
    <w:p>
      <w:pPr>
        <w:pStyle w:val="10"/>
        <w:keepNext w:val="0"/>
        <w:keepLines w:val="0"/>
        <w:pageBreakBefore w:val="0"/>
        <w:widowControl/>
        <w:kinsoku/>
        <w:wordWrap/>
        <w:overflowPunct/>
        <w:topLinePunct w:val="0"/>
        <w:autoSpaceDE/>
        <w:autoSpaceDN/>
        <w:bidi w:val="0"/>
        <w:adjustRightInd/>
        <w:spacing w:before="0" w:beforeAutospacing="0" w:after="0" w:line="560" w:lineRule="exact"/>
        <w:ind w:left="0" w:leftChars="0" w:right="0" w:rightChars="0" w:firstLine="600" w:firstLineChars="200"/>
        <w:jc w:val="both"/>
        <w:rPr>
          <w:rFonts w:hint="eastAsia" w:ascii="仿宋_GB2312" w:hAnsi="仿宋_GB2312" w:eastAsia="仿宋_GB2312" w:cs="仿宋_GB2312"/>
          <w:b/>
          <w:bCs w:val="0"/>
          <w:color w:val="auto"/>
          <w:kern w:val="0"/>
          <w:sz w:val="30"/>
          <w:szCs w:val="30"/>
          <w:lang w:eastAsia="zh-CN"/>
        </w:rPr>
      </w:pPr>
      <w:r>
        <w:rPr>
          <w:rFonts w:hint="eastAsia" w:ascii="仿宋_GB2312" w:hAnsi="仿宋_GB2312" w:eastAsia="仿宋_GB2312" w:cs="仿宋_GB2312"/>
          <w:b/>
          <w:bCs w:val="0"/>
          <w:color w:val="auto"/>
          <w:kern w:val="0"/>
          <w:sz w:val="30"/>
          <w:szCs w:val="30"/>
          <w:lang w:val="en-US" w:eastAsia="zh-CN"/>
        </w:rPr>
        <w:t>（二）</w:t>
      </w:r>
      <w:r>
        <w:rPr>
          <w:rFonts w:hint="eastAsia" w:ascii="仿宋_GB2312" w:hAnsi="仿宋_GB2312" w:eastAsia="仿宋_GB2312" w:cs="仿宋_GB2312"/>
          <w:b/>
          <w:bCs w:val="0"/>
          <w:color w:val="auto"/>
          <w:kern w:val="0"/>
          <w:sz w:val="30"/>
          <w:szCs w:val="30"/>
          <w:lang w:eastAsia="zh-CN"/>
        </w:rPr>
        <w:t>机构设置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1、机构设置：</w:t>
      </w:r>
      <w:r>
        <w:rPr>
          <w:rFonts w:hint="eastAsia" w:ascii="Times New Roman" w:hAnsi="Times New Roman" w:eastAsia="仿宋_GB2312" w:cs="Times New Roman"/>
          <w:sz w:val="32"/>
          <w:szCs w:val="32"/>
          <w:lang w:val="en-US" w:eastAsia="zh-CN"/>
        </w:rPr>
        <w:t>内设办公室、人事股、科技和财务股、政策法规股、行政审批股、信用监督管理股、网络交易监督管理股、广告监督管理股、消费者权益保护股（投诉举报办公室）、质量发展与安全管理股、食品安全协调股、食品生产安全监督管理股、餐饮服务食品安全监督管理股、食品流通安全监督管理股、特殊食品安全及化妆品监督管理股、特种设备安全监察股（安全生产办公室）、计量股、标准化与认证认可监督管理股、药品与医疗器械监督管理股、知识产权、监督管理股非公有制经济组织党建办</w:t>
      </w:r>
      <w:r>
        <w:rPr>
          <w:rFonts w:hint="eastAsia" w:ascii="仿宋_GB2312" w:hAnsi="仿宋_GB2312" w:eastAsia="仿宋_GB2312" w:cs="仿宋_GB2312"/>
          <w:color w:val="auto"/>
          <w:kern w:val="0"/>
          <w:sz w:val="32"/>
          <w:szCs w:val="32"/>
          <w:lang w:val="en-US" w:eastAsia="zh-CN"/>
        </w:rPr>
        <w:t>公室共21个职能股室、价格监督检查和反不正当竞争分局（规</w:t>
      </w:r>
      <w:r>
        <w:rPr>
          <w:rFonts w:hint="eastAsia" w:ascii="Times New Roman" w:hAnsi="Times New Roman" w:eastAsia="仿宋_GB2312" w:cs="Times New Roman"/>
          <w:sz w:val="32"/>
          <w:szCs w:val="32"/>
          <w:lang w:val="en-US" w:eastAsia="zh-CN"/>
        </w:rPr>
        <w:t>范直销与打击传销办</w:t>
      </w:r>
      <w:r>
        <w:rPr>
          <w:rFonts w:hint="eastAsia" w:ascii="仿宋_GB2312" w:hAnsi="仿宋_GB2312" w:eastAsia="仿宋_GB2312" w:cs="仿宋_GB2312"/>
          <w:color w:val="auto"/>
          <w:kern w:val="0"/>
          <w:sz w:val="32"/>
          <w:szCs w:val="32"/>
          <w:lang w:val="en-US" w:eastAsia="zh-CN"/>
        </w:rPr>
        <w:t>公室、反垄断办公室）1个直属分局、市食品药品稽查大队等7个事业</w:t>
      </w:r>
      <w:r>
        <w:rPr>
          <w:rFonts w:hint="eastAsia" w:ascii="Times New Roman" w:hAnsi="Times New Roman" w:eastAsia="仿宋_GB2312" w:cs="Times New Roman"/>
          <w:sz w:val="32"/>
          <w:szCs w:val="32"/>
          <w:lang w:val="en-US" w:eastAsia="zh-CN"/>
        </w:rPr>
        <w:t>单位</w:t>
      </w:r>
      <w:r>
        <w:rPr>
          <w:rFonts w:hint="eastAsia" w:ascii="仿宋_GB2312" w:hAnsi="仿宋_GB2312" w:eastAsia="仿宋_GB2312" w:cs="仿宋_GB2312"/>
          <w:color w:val="auto"/>
          <w:kern w:val="0"/>
          <w:sz w:val="32"/>
          <w:szCs w:val="32"/>
          <w:lang w:val="en-US" w:eastAsia="zh-CN"/>
        </w:rPr>
        <w:t>，下设浯溪、长虹、龙山、白水、黎家坪、文明铺、进宝塘、三口塘、潘市9个基层监督管理所。我局辖区总面积约2600平方千米，3个街道办事处、19个镇。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2、人员（不含临聘人员）：</w:t>
      </w:r>
      <w:r>
        <w:rPr>
          <w:rFonts w:hint="eastAsia" w:ascii="Times New Roman" w:hAnsi="Times New Roman" w:eastAsia="仿宋_GB2312" w:cs="Times New Roman"/>
          <w:sz w:val="32"/>
          <w:szCs w:val="32"/>
          <w:lang w:val="en-US" w:eastAsia="zh-CN"/>
        </w:rPr>
        <w:t>祁阳市市场监督管理局</w:t>
      </w:r>
      <w:r>
        <w:rPr>
          <w:rFonts w:hint="default" w:ascii="Times New Roman" w:hAnsi="Times New Roman" w:eastAsia="仿宋_GB2312" w:cs="Times New Roman"/>
          <w:sz w:val="32"/>
          <w:szCs w:val="32"/>
          <w:lang w:val="en-US" w:eastAsia="zh-CN"/>
        </w:rPr>
        <w:t>共有在编干部</w:t>
      </w:r>
      <w:r>
        <w:rPr>
          <w:rFonts w:hint="default" w:ascii="仿宋_GB2312" w:hAnsi="仿宋_GB2312" w:eastAsia="仿宋_GB2312" w:cs="仿宋_GB2312"/>
          <w:color w:val="auto"/>
          <w:kern w:val="0"/>
          <w:sz w:val="32"/>
          <w:szCs w:val="32"/>
          <w:lang w:val="en-US" w:eastAsia="zh-CN"/>
        </w:rPr>
        <w:t>职工</w:t>
      </w:r>
      <w:r>
        <w:rPr>
          <w:rFonts w:hint="eastAsia" w:ascii="仿宋_GB2312" w:hAnsi="仿宋_GB2312" w:eastAsia="仿宋_GB2312" w:cs="仿宋_GB2312"/>
          <w:color w:val="auto"/>
          <w:kern w:val="0"/>
          <w:sz w:val="32"/>
          <w:szCs w:val="32"/>
          <w:lang w:val="en-US" w:eastAsia="zh-CN"/>
        </w:rPr>
        <w:t>281</w:t>
      </w:r>
      <w:r>
        <w:rPr>
          <w:rFonts w:hint="default" w:ascii="仿宋_GB2312" w:hAnsi="仿宋_GB2312" w:eastAsia="仿宋_GB2312" w:cs="仿宋_GB2312"/>
          <w:color w:val="auto"/>
          <w:kern w:val="0"/>
          <w:sz w:val="32"/>
          <w:szCs w:val="32"/>
          <w:lang w:val="en-US" w:eastAsia="zh-CN"/>
        </w:rPr>
        <w:t>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二</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部门</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单位</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整体支出规模、使用方向和主要内容、涉及范围等</w:t>
      </w:r>
    </w:p>
    <w:p>
      <w:pPr>
        <w:pStyle w:val="2"/>
        <w:ind w:firstLine="640" w:firstLineChars="200"/>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2025年度财政拨款支出总计4647.58万元，其中：一般公共预算拨款支出3731.09万元，社会保障和就业支出488.25万元，卫生健康支出162.68万元，住房保障支出265.56万元。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二、部门</w:t>
      </w:r>
      <w:r>
        <w:rPr>
          <w:rFonts w:hint="eastAsia" w:ascii="黑体" w:hAnsi="黑体" w:eastAsia="黑体" w:cs="黑体"/>
          <w:sz w:val="32"/>
          <w:szCs w:val="32"/>
          <w:lang w:eastAsia="zh-CN"/>
        </w:rPr>
        <w:t>（</w:t>
      </w:r>
      <w:r>
        <w:rPr>
          <w:rFonts w:hint="eastAsia" w:ascii="黑体" w:hAnsi="黑体" w:eastAsia="黑体" w:cs="黑体"/>
          <w:sz w:val="32"/>
          <w:szCs w:val="32"/>
        </w:rPr>
        <w:t>单位</w:t>
      </w:r>
      <w:r>
        <w:rPr>
          <w:rFonts w:hint="eastAsia" w:ascii="黑体" w:hAnsi="黑体" w:eastAsia="黑体" w:cs="黑体"/>
          <w:sz w:val="32"/>
          <w:szCs w:val="32"/>
          <w:lang w:eastAsia="zh-CN"/>
        </w:rPr>
        <w:t>）</w:t>
      </w:r>
      <w:r>
        <w:rPr>
          <w:rFonts w:hint="eastAsia" w:ascii="黑体" w:hAnsi="黑体" w:eastAsia="黑体" w:cs="黑体"/>
          <w:sz w:val="32"/>
          <w:szCs w:val="32"/>
        </w:rPr>
        <w:t>整体支出管理及使用情况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（一）基本支出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2025年本部门使用一般公共预算财政拨款安排基本支出4149.71万元，占一般公共预算财政拨款支出总额的89.29%。其中：1、人员经费3778.99万元，占基本支出91.07%。主要用于基本工资、津贴补贴、</w:t>
      </w:r>
      <w:r>
        <w:rPr>
          <w:rFonts w:hint="eastAsia" w:ascii="仿宋_GB2312" w:hAnsi="仿宋_GB2312" w:eastAsia="仿宋_GB2312" w:cs="仿宋_GB2312"/>
          <w:color w:val="auto"/>
          <w:kern w:val="0"/>
          <w:sz w:val="32"/>
          <w:szCs w:val="32"/>
          <w:lang w:val="zh-CN" w:eastAsia="zh-CN"/>
        </w:rPr>
        <w:t>奖金、伙食补助费、绩效工资、机关事业单位基本养老保险缴费、职业年金缴费、职工基本医疗保险缴费、其他社会保障缴费、住房公积金、其他工资福利支出、离休费、退休费、抚恤金、生活补助、医疗费补助、奖励金、其他对个人和家庭的补助</w:t>
      </w:r>
      <w:r>
        <w:rPr>
          <w:rFonts w:hint="eastAsia" w:ascii="仿宋_GB2312" w:hAnsi="仿宋_GB2312" w:eastAsia="仿宋_GB2312" w:cs="仿宋_GB2312"/>
          <w:color w:val="auto"/>
          <w:kern w:val="0"/>
          <w:sz w:val="32"/>
          <w:szCs w:val="32"/>
          <w:lang w:val="en-US" w:eastAsia="zh-CN"/>
        </w:rPr>
        <w:t>；2、公用经费370.72万元，占基本支出的8.93%。主要用于办公费、印刷费、咨询费、手续费、水费、电费、邮电费、取暖费、物业管理费、差旅费、维修（护）费、租赁费、会议费、培训费、公务接待费、专用材料费、劳务费、委托业务费、工会经费、福利费、其他交通费用、其他商品和服务支出、办公设备购置、专用设备购置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（二）项目支出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.项目支出基本情况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2025年本部门使用一般公共预算财政拨款安排项目支出497.87万元，占一般公共预算财政拨款支出总额的10.71%。其中业务工作经费497.87元，主要是工作经费314.2万元，用于保障市场监督管理行动的开展；检验检测能力提升10万元，用于提升检验检测能力；药品事务4.27万元，用于强化药品专项监督；食品安全监管5.64万元，用于强化食品专项监督；其他市场监督管理事务40.53万元，用于其他市场监督管理事项；就业补助资金10.6万元；一次性抚恤金及丧葬费105.73万元；退役军人生活补助0.9万元；退役人员生活补助0.9万元；引进人才购房补贴及好老人慰问金5.1万元。</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项目资金安排</w:t>
      </w:r>
      <w:r>
        <w:rPr>
          <w:rFonts w:hint="eastAsia" w:ascii="Times New Roman" w:hAnsi="Times New Roman" w:eastAsia="仿宋_GB2312" w:cs="Times New Roman"/>
          <w:sz w:val="32"/>
          <w:szCs w:val="32"/>
          <w:lang w:val="en-US" w:eastAsia="zh-CN"/>
        </w:rPr>
        <w:t>和实际使用</w:t>
      </w:r>
      <w:r>
        <w:rPr>
          <w:rFonts w:hint="default" w:ascii="Times New Roman" w:hAnsi="Times New Roman" w:eastAsia="仿宋_GB2312" w:cs="Times New Roman"/>
          <w:sz w:val="32"/>
          <w:szCs w:val="32"/>
        </w:rPr>
        <w:t>等情况分析</w:t>
      </w:r>
    </w:p>
    <w:p>
      <w:pPr>
        <w:pStyle w:val="10"/>
        <w:keepNext w:val="0"/>
        <w:keepLines w:val="0"/>
        <w:pageBreakBefore w:val="0"/>
        <w:kinsoku/>
        <w:wordWrap/>
        <w:overflowPunct/>
        <w:topLinePunct w:val="0"/>
        <w:autoSpaceDE/>
        <w:autoSpaceDN/>
        <w:bidi w:val="0"/>
        <w:adjustRightInd/>
        <w:spacing w:before="0" w:beforeAutospacing="0" w:after="0" w:afterAutospacing="0" w:line="560" w:lineRule="exact"/>
        <w:ind w:left="0" w:leftChars="0" w:right="0" w:rightChars="0" w:firstLine="640" w:firstLineChars="2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我单位认真贯彻落实相关文件，在项目资金使用中各司其职，分级管理，规范使用资金，严肃财经纪律，从严控制资</w:t>
      </w:r>
      <w:r>
        <w:rPr>
          <w:rFonts w:hint="eastAsia" w:ascii="仿宋_GB2312" w:hAnsi="仿宋_GB2312" w:eastAsia="仿宋_GB2312" w:cs="仿宋_GB2312"/>
          <w:color w:val="auto"/>
          <w:kern w:val="0"/>
          <w:sz w:val="32"/>
          <w:szCs w:val="32"/>
          <w:lang w:val="en-US" w:eastAsia="zh-CN" w:bidi="ar-SA"/>
        </w:rPr>
        <w:t>金使用。专项资金用于强化市场监管各项工作，资金使用率100%，确保</w:t>
      </w:r>
      <w:r>
        <w:rPr>
          <w:rFonts w:hint="eastAsia" w:eastAsia="仿宋_GB2312" w:cs="Times New Roman"/>
          <w:kern w:val="2"/>
          <w:sz w:val="32"/>
          <w:szCs w:val="32"/>
          <w:lang w:val="en-US" w:eastAsia="zh-CN" w:bidi="ar-SA"/>
        </w:rPr>
        <w:t>了</w:t>
      </w:r>
      <w:r>
        <w:rPr>
          <w:rFonts w:hint="eastAsia" w:ascii="Times New Roman" w:hAnsi="Times New Roman" w:eastAsia="仿宋_GB2312" w:cs="Times New Roman"/>
          <w:kern w:val="2"/>
          <w:sz w:val="32"/>
          <w:szCs w:val="32"/>
          <w:lang w:val="en-US" w:eastAsia="zh-CN" w:bidi="ar-SA"/>
        </w:rPr>
        <w:t>各专项资金绩效指标在规定期限内完成。</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项目资金</w:t>
      </w:r>
      <w:r>
        <w:rPr>
          <w:rFonts w:hint="eastAsia" w:ascii="Times New Roman" w:hAnsi="Times New Roman" w:eastAsia="仿宋_GB2312" w:cs="Times New Roman"/>
          <w:sz w:val="32"/>
          <w:szCs w:val="32"/>
          <w:lang w:val="en-US" w:eastAsia="zh-CN"/>
        </w:rPr>
        <w:t>绩效</w:t>
      </w:r>
      <w:r>
        <w:rPr>
          <w:rFonts w:hint="default" w:ascii="Times New Roman" w:hAnsi="Times New Roman" w:eastAsia="仿宋_GB2312" w:cs="Times New Roman"/>
          <w:sz w:val="32"/>
          <w:szCs w:val="32"/>
        </w:rPr>
        <w:t>情况分析</w:t>
      </w:r>
    </w:p>
    <w:p>
      <w:pPr>
        <w:pStyle w:val="10"/>
        <w:keepNext w:val="0"/>
        <w:keepLines w:val="0"/>
        <w:pageBreakBefore w:val="0"/>
        <w:kinsoku/>
        <w:wordWrap/>
        <w:overflowPunct/>
        <w:topLinePunct w:val="0"/>
        <w:autoSpaceDE/>
        <w:autoSpaceDN/>
        <w:bidi w:val="0"/>
        <w:adjustRightInd/>
        <w:spacing w:before="0" w:beforeAutospacing="0" w:after="0" w:afterAutospacing="0" w:line="560" w:lineRule="exact"/>
        <w:ind w:left="0" w:leftChars="0" w:right="0" w:rightChars="0" w:firstLine="640" w:firstLineChars="20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根据专项资金分配方案，我局建立了专项资金管理制度，确保专项资金</w:t>
      </w:r>
      <w:r>
        <w:rPr>
          <w:rFonts w:hint="eastAsia" w:ascii="仿宋_GB2312" w:hAnsi="仿宋_GB2312" w:eastAsia="仿宋_GB2312" w:cs="仿宋_GB2312"/>
          <w:color w:val="auto"/>
          <w:kern w:val="0"/>
          <w:sz w:val="32"/>
          <w:szCs w:val="32"/>
          <w:lang w:val="en-US" w:eastAsia="zh-CN" w:bidi="ar-SA"/>
        </w:rPr>
        <w:t>及时到位，执法办案取得实效。完成本级食品抽检1609批次，检出不合格样品59批次，问题发现率3.67%；圆满完成重大活动食品安全保障任务，完成快速检测60批次，</w:t>
      </w:r>
      <w:r>
        <w:rPr>
          <w:rFonts w:hint="eastAsia" w:ascii="仿宋_GB2312" w:hAnsi="仿宋_GB2312" w:eastAsia="仿宋_GB2312" w:cs="仿宋_GB2312"/>
          <w:color w:val="auto"/>
          <w:kern w:val="0"/>
          <w:sz w:val="32"/>
          <w:szCs w:val="32"/>
          <w:lang w:val="en-US" w:eastAsia="zh-CN"/>
        </w:rPr>
        <w:t>以及完成其他相关抽检批次等</w:t>
      </w:r>
      <w:r>
        <w:rPr>
          <w:rFonts w:hint="eastAsia" w:ascii="仿宋_GB2312" w:hAnsi="仿宋_GB2312" w:eastAsia="仿宋_GB2312" w:cs="仿宋_GB2312"/>
          <w:color w:val="auto"/>
          <w:kern w:val="0"/>
          <w:sz w:val="32"/>
          <w:szCs w:val="32"/>
          <w:lang w:val="en-US" w:eastAsia="zh-CN" w:bidi="ar-SA"/>
        </w:rPr>
        <w:t>。检查药品零售及使用单位580家次，责令整改95家，立案查处60起。特殊药品、疫苗实现全链条、可追溯监管，未发生流弊和安全事故等。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三、部门</w:t>
      </w:r>
      <w:r>
        <w:rPr>
          <w:rFonts w:hint="eastAsia" w:ascii="黑体" w:hAnsi="黑体" w:eastAsia="黑体" w:cs="黑体"/>
          <w:sz w:val="32"/>
          <w:szCs w:val="32"/>
          <w:lang w:eastAsia="zh-CN"/>
        </w:rPr>
        <w:t>（</w:t>
      </w:r>
      <w:r>
        <w:rPr>
          <w:rFonts w:hint="eastAsia" w:ascii="黑体" w:hAnsi="黑体" w:eastAsia="黑体" w:cs="黑体"/>
          <w:sz w:val="32"/>
          <w:szCs w:val="32"/>
        </w:rPr>
        <w:t>单位</w:t>
      </w:r>
      <w:r>
        <w:rPr>
          <w:rFonts w:hint="eastAsia" w:ascii="黑体" w:hAnsi="黑体" w:eastAsia="黑体" w:cs="黑体"/>
          <w:sz w:val="32"/>
          <w:szCs w:val="32"/>
          <w:lang w:eastAsia="zh-CN"/>
        </w:rPr>
        <w:t>）</w:t>
      </w:r>
      <w:r>
        <w:rPr>
          <w:rFonts w:hint="eastAsia" w:ascii="黑体" w:hAnsi="黑体" w:eastAsia="黑体" w:cs="黑体"/>
          <w:sz w:val="32"/>
          <w:szCs w:val="32"/>
        </w:rPr>
        <w:t>整体支出绩效情况</w:t>
      </w:r>
    </w:p>
    <w:p>
      <w:pPr>
        <w:autoSpaceDE/>
        <w:autoSpaceDN/>
        <w:spacing w:line="56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（一）优</w:t>
      </w:r>
      <w:r>
        <w:rPr>
          <w:rFonts w:hint="eastAsia" w:ascii="仿宋_GB2312" w:hAnsi="仿宋_GB2312" w:eastAsia="仿宋_GB2312" w:cs="仿宋_GB2312"/>
          <w:b/>
          <w:bCs/>
          <w:color w:val="auto"/>
          <w:kern w:val="0"/>
          <w:sz w:val="32"/>
          <w:szCs w:val="32"/>
          <w:lang w:val="en-US" w:eastAsia="zh-CN" w:bidi="ar-SA"/>
        </w:rPr>
        <w:t>化服务发展，激发市场活力。一是推动经营主体量质齐升。</w:t>
      </w:r>
      <w:r>
        <w:rPr>
          <w:rFonts w:hint="eastAsia" w:ascii="仿宋_GB2312" w:hAnsi="仿宋_GB2312" w:eastAsia="仿宋_GB2312" w:cs="仿宋_GB2312"/>
          <w:color w:val="auto"/>
          <w:kern w:val="0"/>
          <w:sz w:val="32"/>
          <w:szCs w:val="32"/>
          <w:lang w:val="en-US" w:eastAsia="zh-CN" w:bidi="ar-SA"/>
        </w:rPr>
        <w:t>至2025年底，全市实有经营主体达73695户，年度净增3387户，其中企业16261户，净增981户；“个转企”248户。企业占比22.07%。</w:t>
      </w:r>
      <w:r>
        <w:rPr>
          <w:rFonts w:hint="eastAsia" w:ascii="Times New Roman" w:hAnsi="Times New Roman" w:eastAsia="仿宋_GB2312" w:cs="Times New Roman"/>
          <w:b/>
          <w:bCs/>
          <w:kern w:val="2"/>
          <w:sz w:val="32"/>
          <w:szCs w:val="32"/>
          <w:lang w:val="en-US" w:eastAsia="zh-CN" w:bidi="ar-SA"/>
        </w:rPr>
        <w:t>二是加快知识产权强市建设。</w:t>
      </w:r>
      <w:r>
        <w:rPr>
          <w:rFonts w:hint="eastAsia" w:ascii="仿宋_GB2312" w:hAnsi="仿宋_GB2312" w:eastAsia="仿宋_GB2312" w:cs="仿宋_GB2312"/>
          <w:color w:val="auto"/>
          <w:kern w:val="0"/>
          <w:sz w:val="32"/>
          <w:szCs w:val="32"/>
          <w:lang w:val="en-US" w:eastAsia="zh-CN" w:bidi="ar-SA"/>
        </w:rPr>
        <w:t>新增有效发明专利授权44件，总量达192件，同比增长率居永州市前列。新增高价值发明专利13件。有效商标总量7334件，居永州市第二。完成专利转让许可182件，专利质押融资2748万元。查处知识产权侵权案件7起，办结专利纠纷15件。</w:t>
      </w:r>
      <w:r>
        <w:rPr>
          <w:rFonts w:hint="eastAsia" w:ascii="Times New Roman" w:hAnsi="Times New Roman" w:eastAsia="仿宋_GB2312" w:cs="Times New Roman"/>
          <w:b/>
          <w:bCs/>
          <w:kern w:val="2"/>
          <w:sz w:val="32"/>
          <w:szCs w:val="32"/>
          <w:lang w:val="en-US" w:eastAsia="zh-CN" w:bidi="ar-SA"/>
        </w:rPr>
        <w:t>三是发挥质量标准引领作用。</w:t>
      </w:r>
      <w:r>
        <w:rPr>
          <w:rFonts w:hint="eastAsia" w:ascii="仿宋_GB2312" w:hAnsi="仿宋_GB2312" w:eastAsia="仿宋_GB2312" w:cs="仿宋_GB2312"/>
          <w:color w:val="auto"/>
          <w:kern w:val="0"/>
          <w:sz w:val="32"/>
          <w:szCs w:val="32"/>
          <w:lang w:val="en-US" w:eastAsia="zh-CN" w:bidi="ar-SA"/>
        </w:rPr>
        <w:t>获批国家中小企业特色产业集群和省级先进制造业集群。纺织产业集群质量升级路径成为省级典型经验。科力尔成为永州市首个省级领军企业，培育中国名牌产品4</w:t>
      </w:r>
      <w:r>
        <w:rPr>
          <w:rFonts w:hint="eastAsia" w:ascii="仿宋_GB2312" w:hAnsi="仿宋_GB2312" w:eastAsia="仿宋_GB2312" w:cs="仿宋_GB2312"/>
          <w:color w:val="auto"/>
          <w:kern w:val="0"/>
          <w:sz w:val="32"/>
          <w:szCs w:val="32"/>
          <w:lang w:val="en-US" w:eastAsia="zh-CN"/>
        </w:rPr>
        <w:t>个、</w:t>
      </w:r>
      <w:r>
        <w:rPr>
          <w:rFonts w:hint="eastAsia" w:ascii="仿宋_GB2312" w:hAnsi="仿宋_GB2312" w:eastAsia="仿宋_GB2312" w:cs="仿宋_GB2312"/>
          <w:color w:val="auto"/>
          <w:kern w:val="0"/>
          <w:sz w:val="32"/>
          <w:szCs w:val="32"/>
          <w:lang w:val="en-US" w:eastAsia="zh-CN" w:bidi="ar-SA"/>
        </w:rPr>
        <w:t>中国驰名商标6件、湖南省著名商标15件、湖南名牌产品11个，品牌数量居永州首位。</w:t>
      </w:r>
      <w:r>
        <w:rPr>
          <w:rFonts w:hint="eastAsia" w:ascii="Times New Roman" w:hAnsi="Times New Roman" w:eastAsia="仿宋_GB2312" w:cs="Times New Roman"/>
          <w:b/>
          <w:bCs/>
          <w:kern w:val="2"/>
          <w:sz w:val="32"/>
          <w:szCs w:val="32"/>
          <w:lang w:val="en-US" w:eastAsia="zh-CN" w:bidi="ar-SA"/>
        </w:rPr>
        <w:t>四是优化准入准营环境。</w:t>
      </w:r>
      <w:r>
        <w:rPr>
          <w:rFonts w:hint="eastAsia" w:ascii="仿宋_GB2312" w:hAnsi="仿宋_GB2312" w:eastAsia="仿宋_GB2312" w:cs="仿宋_GB2312"/>
          <w:color w:val="auto"/>
          <w:kern w:val="0"/>
          <w:sz w:val="32"/>
          <w:szCs w:val="32"/>
          <w:lang w:val="en-US" w:eastAsia="zh-CN" w:bidi="ar-SA"/>
        </w:rPr>
        <w:t>深化“放管服”改革，设立“个转企”绿色通道，颁发永州市首张升级版营业执照。推行“一窗受理”“证照联办”，办理集成事项560件。有效落实歇业备案、简易注销等制度，不断完善经营主体退出机制。</w:t>
      </w:r>
      <w:r>
        <w:rPr>
          <w:rFonts w:hint="eastAsia" w:ascii="Times New Roman" w:hAnsi="Times New Roman" w:eastAsia="仿宋_GB2312" w:cs="Times New Roman"/>
          <w:b/>
          <w:bCs/>
          <w:kern w:val="2"/>
          <w:sz w:val="32"/>
          <w:szCs w:val="32"/>
          <w:lang w:val="en-US" w:eastAsia="zh-CN" w:bidi="ar-SA"/>
        </w:rPr>
        <w:t>五是深入推进公平竞争审查。</w:t>
      </w:r>
      <w:r>
        <w:rPr>
          <w:rFonts w:hint="eastAsia" w:ascii="仿宋_GB2312" w:hAnsi="仿宋_GB2312" w:eastAsia="仿宋_GB2312" w:cs="仿宋_GB2312"/>
          <w:color w:val="auto"/>
          <w:kern w:val="0"/>
          <w:sz w:val="32"/>
          <w:szCs w:val="32"/>
          <w:lang w:val="en-US" w:eastAsia="zh-CN" w:bidi="ar-SA"/>
        </w:rPr>
        <w:t>开展公平审查“进机关、进党校、进企业”宣讲，联席会议机制有效运行，清理政策措施18件。</w:t>
      </w:r>
    </w:p>
    <w:p>
      <w:pPr>
        <w:autoSpaceDE/>
        <w:autoSpaceDN/>
        <w:spacing w:line="56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（二）严守“四大安全”底线，保障民生安全。一是加强食品安全监管。</w:t>
      </w:r>
      <w:r>
        <w:rPr>
          <w:rFonts w:hint="eastAsia" w:ascii="仿宋_GB2312" w:hAnsi="仿宋_GB2312" w:eastAsia="仿宋_GB2312" w:cs="仿宋_GB2312"/>
          <w:color w:val="auto"/>
          <w:kern w:val="0"/>
          <w:sz w:val="32"/>
          <w:szCs w:val="32"/>
          <w:lang w:val="en-US" w:eastAsia="zh-CN" w:bidi="ar-SA"/>
        </w:rPr>
        <w:t>校园食品安全整治成效突出，实现全市中小学、幼儿园食堂全覆盖检查，</w:t>
      </w:r>
      <w:r>
        <w:rPr>
          <w:rFonts w:hint="eastAsia" w:ascii="仿宋_GB2312" w:hAnsi="仿宋_GB2312" w:eastAsia="仿宋_GB2312" w:cs="仿宋_GB2312"/>
          <w:color w:val="auto"/>
          <w:kern w:val="0"/>
          <w:sz w:val="32"/>
          <w:szCs w:val="32"/>
          <w:lang w:val="en-US" w:eastAsia="zh-CN"/>
        </w:rPr>
        <w:t>对发现问题整改到位，指导提质改造食堂15家，38户食品流通企业实施风险分级监管，规范祁阳特色食品标签标识，推动42家特色食品小作坊提质改造。食品安全“两个责任”全面落实，全市9251户在营获证主体配备安全总监121人、安全员8735人，ABC三级主体“日管控、周排查、月调度”实现全覆盖。深入开展“年关守护”“生鲜灯”、肉制品、特供酒、校园及周边等专项整治，野生蘑菇防控、农村假冒伪劣食品整治等工作扎实有力。查处食品类案件112起，捣</w:t>
      </w:r>
      <w:r>
        <w:rPr>
          <w:rFonts w:hint="eastAsia" w:ascii="仿宋_GB2312" w:hAnsi="仿宋_GB2312" w:eastAsia="仿宋_GB2312" w:cs="仿宋_GB2312"/>
          <w:color w:val="auto"/>
          <w:kern w:val="0"/>
          <w:sz w:val="32"/>
          <w:szCs w:val="32"/>
          <w:lang w:val="en-US" w:eastAsia="zh-CN" w:bidi="ar-SA"/>
        </w:rPr>
        <w:t>毁“黑作坊”“黑窝点”13个，无害化处置问题肉制品、粽子等10余吨。</w:t>
      </w:r>
      <w:r>
        <w:rPr>
          <w:rFonts w:hint="eastAsia" w:ascii="Times New Roman" w:hAnsi="Times New Roman" w:eastAsia="仿宋_GB2312" w:cs="Times New Roman"/>
          <w:b/>
          <w:bCs/>
          <w:kern w:val="2"/>
          <w:sz w:val="32"/>
          <w:szCs w:val="32"/>
          <w:lang w:val="en-US" w:eastAsia="zh-CN" w:bidi="ar-SA"/>
        </w:rPr>
        <w:t>二是强化药械化安全监管。</w:t>
      </w:r>
      <w:r>
        <w:rPr>
          <w:rFonts w:hint="eastAsia" w:ascii="仿宋_GB2312" w:hAnsi="仿宋_GB2312" w:eastAsia="仿宋_GB2312" w:cs="仿宋_GB2312"/>
          <w:color w:val="auto"/>
          <w:kern w:val="0"/>
          <w:sz w:val="32"/>
          <w:szCs w:val="32"/>
          <w:lang w:val="en-US" w:eastAsia="zh-CN" w:bidi="ar-SA"/>
        </w:rPr>
        <w:t>深入开展药品安全“清源行动”，检查药品零售及使用单位580家次，责令整改95家，立案查处60起。特殊药品、疫苗实现全链条、可追溯监管，未发生流弊和安全事故。强化化妆品质量监管，立案14起，完成化妆品不良反应监测107起、125份报告，监测任</w:t>
      </w:r>
      <w:r>
        <w:rPr>
          <w:rFonts w:hint="eastAsia" w:ascii="仿宋_GB2312" w:hAnsi="仿宋_GB2312" w:eastAsia="仿宋_GB2312" w:cs="仿宋_GB2312"/>
          <w:color w:val="auto"/>
          <w:kern w:val="0"/>
          <w:sz w:val="32"/>
          <w:szCs w:val="32"/>
          <w:lang w:val="en-US" w:eastAsia="zh-CN"/>
        </w:rPr>
        <w:t>务超额完成。药械化不良反应/事件监测报</w:t>
      </w:r>
      <w:r>
        <w:rPr>
          <w:rFonts w:hint="eastAsia" w:ascii="仿宋_GB2312" w:hAnsi="仿宋_GB2312" w:eastAsia="仿宋_GB2312" w:cs="仿宋_GB2312"/>
          <w:color w:val="auto"/>
          <w:kern w:val="0"/>
          <w:sz w:val="32"/>
          <w:szCs w:val="32"/>
          <w:lang w:val="en-US" w:eastAsia="zh-CN" w:bidi="ar-SA"/>
        </w:rPr>
        <w:t>告数量和质量稳中有升。</w:t>
      </w:r>
      <w:r>
        <w:rPr>
          <w:rFonts w:hint="eastAsia" w:ascii="Times New Roman" w:hAnsi="Times New Roman" w:eastAsia="仿宋_GB2312" w:cs="Times New Roman"/>
          <w:b/>
          <w:bCs/>
          <w:kern w:val="2"/>
          <w:sz w:val="32"/>
          <w:szCs w:val="32"/>
          <w:lang w:val="en-US" w:eastAsia="zh-CN" w:bidi="ar-SA"/>
        </w:rPr>
        <w:t>三是严格重点工业产品质量监管。</w:t>
      </w:r>
      <w:r>
        <w:rPr>
          <w:rFonts w:hint="eastAsia" w:ascii="仿宋_GB2312" w:hAnsi="仿宋_GB2312" w:eastAsia="仿宋_GB2312" w:cs="仿宋_GB2312"/>
          <w:color w:val="auto"/>
          <w:kern w:val="0"/>
          <w:sz w:val="32"/>
          <w:szCs w:val="32"/>
          <w:lang w:val="en-US" w:eastAsia="zh-CN" w:bidi="ar-SA"/>
        </w:rPr>
        <w:t>完成重点工业产品监督抽查89批次，合格率100%。聚焦儿童用品、电动自行车、燃气具、电线电缆、农资、“瘦身钢筋”等重点工业产品开展专项整治，检查经营主体338家次，有效消除质量安全隐患。配合开展道路交通整治，查处电动自行车、摩托车销售环节违法案件9起。</w:t>
      </w:r>
      <w:r>
        <w:rPr>
          <w:rFonts w:hint="eastAsia" w:ascii="Times New Roman" w:hAnsi="Times New Roman" w:eastAsia="仿宋_GB2312" w:cs="Times New Roman"/>
          <w:b/>
          <w:bCs/>
          <w:kern w:val="2"/>
          <w:sz w:val="32"/>
          <w:szCs w:val="32"/>
          <w:lang w:val="en-US" w:eastAsia="zh-CN" w:bidi="ar-SA"/>
        </w:rPr>
        <w:t>四是狠抓特种设备安全。</w:t>
      </w:r>
      <w:r>
        <w:rPr>
          <w:rFonts w:hint="eastAsia" w:ascii="仿宋_GB2312" w:hAnsi="仿宋_GB2312" w:eastAsia="仿宋_GB2312" w:cs="仿宋_GB2312"/>
          <w:color w:val="auto"/>
          <w:kern w:val="0"/>
          <w:sz w:val="32"/>
          <w:szCs w:val="32"/>
          <w:lang w:val="en-US" w:eastAsia="zh-CN" w:bidi="ar-SA"/>
        </w:rPr>
        <w:t>全市3787台套特种设备安全运行。深入开展城镇燃气安全整治、电梯安全筑底三年行动、淘汰类锅炉清理等专项行动，检查单位197家</w:t>
      </w:r>
      <w:r>
        <w:rPr>
          <w:rFonts w:hint="eastAsia" w:ascii="仿宋_GB2312" w:hAnsi="仿宋_GB2312" w:eastAsia="仿宋_GB2312" w:cs="仿宋_GB2312"/>
          <w:color w:val="auto"/>
          <w:kern w:val="0"/>
          <w:sz w:val="32"/>
          <w:szCs w:val="32"/>
          <w:lang w:val="en-US" w:eastAsia="zh-CN"/>
        </w:rPr>
        <w:t>，整改重大隐患9处，立案查处16起。电梯无纸化维保率达94%，超永州市指标。</w:t>
      </w:r>
      <w:r>
        <w:rPr>
          <w:rFonts w:hint="eastAsia" w:ascii="仿宋_GB2312" w:hAnsi="仿宋_GB2312" w:eastAsia="仿宋_GB2312" w:cs="仿宋_GB2312"/>
          <w:color w:val="auto"/>
          <w:kern w:val="0"/>
          <w:sz w:val="32"/>
          <w:szCs w:val="32"/>
          <w:lang w:val="en-US" w:eastAsia="zh-CN" w:bidi="ar-SA"/>
        </w:rPr>
        <w:t>液化石油气瓶信息化管理持续推进。</w:t>
      </w:r>
    </w:p>
    <w:p>
      <w:pPr>
        <w:autoSpaceDE/>
        <w:autoSpaceDN/>
        <w:spacing w:line="56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（三）强化监管执法，维护市场秩序。一是强化重点领域执法。</w:t>
      </w:r>
      <w:r>
        <w:rPr>
          <w:rFonts w:hint="eastAsia" w:ascii="仿宋_GB2312" w:hAnsi="仿宋_GB2312" w:eastAsia="仿宋_GB2312" w:cs="仿宋_GB2312"/>
          <w:color w:val="auto"/>
          <w:kern w:val="0"/>
          <w:sz w:val="32"/>
          <w:szCs w:val="32"/>
          <w:lang w:val="en-US" w:eastAsia="zh-CN" w:bidi="ar-SA"/>
        </w:rPr>
        <w:t>组织开展食品安全、校园安全托管整治、农资打假“护农”、保护鸟类野生动物、钢筋质量安全等系列专项行动，成效明显，全年立案281起。其中，“瘦身钢筋”立案2起。查处医疗领域商业贿赂案件10起。联合开展烟草制品专项整治，查处烟草无证经营13起。深化水电气计量专项整治，查处案件28起等。</w:t>
      </w:r>
      <w:r>
        <w:rPr>
          <w:rFonts w:hint="eastAsia" w:ascii="Times New Roman" w:hAnsi="Times New Roman" w:eastAsia="仿宋_GB2312" w:cs="Times New Roman"/>
          <w:b/>
          <w:bCs/>
          <w:kern w:val="2"/>
          <w:sz w:val="32"/>
          <w:szCs w:val="32"/>
          <w:lang w:val="en-US" w:eastAsia="zh-CN" w:bidi="ar-SA"/>
        </w:rPr>
        <w:t>二是加强价格与反不正当竞争监管。</w:t>
      </w:r>
      <w:r>
        <w:rPr>
          <w:rFonts w:hint="eastAsia" w:ascii="仿宋_GB2312" w:hAnsi="仿宋_GB2312" w:eastAsia="仿宋_GB2312" w:cs="仿宋_GB2312"/>
          <w:color w:val="auto"/>
          <w:kern w:val="0"/>
          <w:sz w:val="32"/>
          <w:szCs w:val="32"/>
          <w:lang w:val="en-US" w:eastAsia="zh-CN" w:bidi="ar-SA"/>
        </w:rPr>
        <w:t>加强民生领域价格监管，稳定生活必需品价格。立案查处殡葬、水电气、教育医疗等领域价格违法案件13起。加大反不正当竞争执法力度，立案查处相关案件20起。</w:t>
      </w:r>
      <w:r>
        <w:rPr>
          <w:rFonts w:hint="eastAsia" w:ascii="Times New Roman" w:hAnsi="Times New Roman" w:eastAsia="仿宋_GB2312" w:cs="Times New Roman"/>
          <w:b/>
          <w:bCs/>
          <w:kern w:val="2"/>
          <w:sz w:val="32"/>
          <w:szCs w:val="32"/>
          <w:lang w:val="en-US" w:eastAsia="zh-CN" w:bidi="ar-SA"/>
        </w:rPr>
        <w:t>三是深化网络与广告市场监管。</w:t>
      </w:r>
      <w:r>
        <w:rPr>
          <w:rFonts w:hint="eastAsia" w:ascii="仿宋_GB2312" w:hAnsi="仿宋_GB2312" w:eastAsia="仿宋_GB2312" w:cs="仿宋_GB2312"/>
          <w:color w:val="auto"/>
          <w:kern w:val="0"/>
          <w:sz w:val="32"/>
          <w:szCs w:val="32"/>
          <w:lang w:val="en-US" w:eastAsia="zh-CN" w:bidi="ar-SA"/>
        </w:rPr>
        <w:t>加强线上巡查监测，查处网络违法案件2起。聚焦医疗、保健食品、金融、房地产等重点领域，查处广告违法案件6起，上报优秀公益广告6件。</w:t>
      </w:r>
      <w:r>
        <w:rPr>
          <w:rFonts w:hint="eastAsia" w:ascii="Times New Roman" w:hAnsi="Times New Roman" w:eastAsia="仿宋_GB2312" w:cs="Times New Roman"/>
          <w:b/>
          <w:bCs/>
          <w:kern w:val="2"/>
          <w:sz w:val="32"/>
          <w:szCs w:val="32"/>
          <w:lang w:val="en-US" w:eastAsia="zh-CN" w:bidi="ar-SA"/>
        </w:rPr>
        <w:t>四是提升消费维权效能。</w:t>
      </w:r>
      <w:r>
        <w:rPr>
          <w:rFonts w:hint="eastAsia" w:ascii="仿宋_GB2312" w:hAnsi="仿宋_GB2312" w:eastAsia="仿宋_GB2312" w:cs="仿宋_GB2312"/>
          <w:color w:val="auto"/>
          <w:kern w:val="0"/>
          <w:sz w:val="32"/>
          <w:szCs w:val="32"/>
          <w:lang w:val="en-US" w:eastAsia="zh-CN" w:bidi="ar-SA"/>
        </w:rPr>
        <w:t>处理消费者诉求5166件，为消费者挽回经济损失30余万元，投诉按时办结率100%，收</w:t>
      </w:r>
      <w:r>
        <w:rPr>
          <w:rFonts w:hint="eastAsia" w:ascii="仿宋_GB2312" w:hAnsi="仿宋_GB2312" w:eastAsia="仿宋_GB2312" w:cs="仿宋_GB2312"/>
          <w:color w:val="auto"/>
          <w:kern w:val="0"/>
          <w:sz w:val="32"/>
          <w:szCs w:val="32"/>
          <w:lang w:val="en-US" w:eastAsia="zh-CN"/>
        </w:rPr>
        <w:t>到锦旗2面、热线表扬2起。</w:t>
      </w:r>
      <w:r>
        <w:rPr>
          <w:rFonts w:hint="eastAsia" w:ascii="仿宋_GB2312" w:hAnsi="仿宋_GB2312" w:eastAsia="仿宋_GB2312" w:cs="仿宋_GB2312"/>
          <w:color w:val="auto"/>
          <w:kern w:val="0"/>
          <w:sz w:val="32"/>
          <w:szCs w:val="32"/>
          <w:lang w:val="en-US" w:eastAsia="zh-CN" w:bidi="ar-SA"/>
        </w:rPr>
        <w:t>放心消费创建活动深入开展，130家经营主体参与创建。发布消费维权案例8个。ODR机制建设持续推进。</w:t>
      </w:r>
      <w:r>
        <w:rPr>
          <w:rFonts w:hint="eastAsia" w:ascii="Times New Roman" w:hAnsi="Times New Roman" w:eastAsia="仿宋_GB2312" w:cs="Times New Roman"/>
          <w:b/>
          <w:bCs/>
          <w:kern w:val="2"/>
          <w:sz w:val="32"/>
          <w:szCs w:val="32"/>
          <w:lang w:val="en-US" w:eastAsia="zh-CN" w:bidi="ar-SA"/>
        </w:rPr>
        <w:t>五是夯实信用监管基础。</w:t>
      </w:r>
      <w:r>
        <w:rPr>
          <w:rFonts w:hint="eastAsia" w:ascii="仿宋_GB2312" w:hAnsi="仿宋_GB2312" w:eastAsia="仿宋_GB2312" w:cs="仿宋_GB2312"/>
          <w:color w:val="auto"/>
          <w:kern w:val="0"/>
          <w:sz w:val="32"/>
          <w:szCs w:val="32"/>
          <w:lang w:val="en-US" w:eastAsia="zh-CN" w:bidi="ar-SA"/>
        </w:rPr>
        <w:t>扎实推进年报公示工作，2024年度企业年报率92.82%。完成“双随机、一公开”抽查任务130项，其中跨部门联合抽查98项，联合抽查比例75.38%。受理信用修复申请600余件。查处提交虚假材料登记案2起、向未成年人提供文身服务案1起等案件。</w:t>
      </w:r>
    </w:p>
    <w:p>
      <w:pPr>
        <w:autoSpaceDE/>
        <w:autoSpaceDN/>
        <w:spacing w:line="560" w:lineRule="exact"/>
        <w:ind w:firstLine="640" w:firstLineChars="200"/>
        <w:jc w:val="both"/>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（四）夯实强基固本，提升保障能力。一是强化检测能力。</w:t>
      </w:r>
      <w:r>
        <w:rPr>
          <w:rFonts w:hint="eastAsia" w:ascii="仿宋_GB2312" w:hAnsi="仿宋_GB2312" w:eastAsia="仿宋_GB2312" w:cs="仿宋_GB2312"/>
          <w:color w:val="auto"/>
          <w:kern w:val="0"/>
          <w:sz w:val="32"/>
          <w:szCs w:val="32"/>
          <w:lang w:val="en-US" w:eastAsia="zh-CN" w:bidi="ar-SA"/>
        </w:rPr>
        <w:t>完成本级食品抽检1609批次，检出不合格样品59批次，问题发现率3.67%；圆满完成重大活动食品安全保障任务，完成快速检测60批次，以及完成其他相关抽检批次等。稳步提升计量技术支撑水平，强制检定各类计量器具8700余台件；成功新增燃气表、谷物水分仪两项计量检定标准，顺利通过考核授权，拓展了检定服务范围。</w:t>
      </w:r>
      <w:r>
        <w:rPr>
          <w:rFonts w:hint="eastAsia" w:ascii="Times New Roman" w:hAnsi="Times New Roman" w:eastAsia="仿宋_GB2312" w:cs="Times New Roman"/>
          <w:b/>
          <w:bCs/>
          <w:kern w:val="2"/>
          <w:sz w:val="32"/>
          <w:szCs w:val="32"/>
          <w:lang w:val="en-US" w:eastAsia="zh-CN" w:bidi="ar-SA"/>
        </w:rPr>
        <w:t>二是优化计量服务。</w:t>
      </w:r>
      <w:r>
        <w:rPr>
          <w:rFonts w:hint="eastAsia" w:ascii="仿宋_GB2312" w:hAnsi="仿宋_GB2312" w:eastAsia="仿宋_GB2312" w:cs="仿宋_GB2312"/>
          <w:color w:val="auto"/>
          <w:kern w:val="0"/>
          <w:sz w:val="32"/>
          <w:szCs w:val="32"/>
          <w:lang w:val="en-US" w:eastAsia="zh-CN" w:bidi="ar-SA"/>
        </w:rPr>
        <w:t>高效完成强检计量器具备案4904台件，创新科普宣传形式，以“5·20世界计量日”为契机，组织开展手机变“砝码”等宣传活动，提升社会公众的计量意识。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四、绩效评价结论</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我局结合单位实际，根据2025年度业务工作报告及2025年实际工作情况，开展绩效自评。对于上年度绩效评价结果需要更进一步的情况，我局领导高度重视，在评价工作结束后，积极开展整改行动抓落实，对问题切实改正，用制度的手段规范资金使用，提升了资金使用效益，为下一次绩效评价工作做好准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五、存在的问题</w:t>
      </w:r>
      <w:r>
        <w:rPr>
          <w:rFonts w:hint="eastAsia" w:ascii="黑体" w:hAnsi="黑体" w:eastAsia="黑体" w:cs="黑体"/>
          <w:sz w:val="32"/>
          <w:szCs w:val="32"/>
          <w:lang w:val="en-US" w:eastAsia="zh-CN"/>
        </w:rPr>
        <w:t>及原因分析</w:t>
      </w:r>
    </w:p>
    <w:p>
      <w:pPr>
        <w:pStyle w:val="2"/>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1.“三品一特”安全风险仍然存在，保障人民群众生命财产安全任重道远。</w:t>
      </w:r>
    </w:p>
    <w:p>
      <w:pPr>
        <w:pStyle w:val="2"/>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2.质量基础设施建设水平滞后，知识产权与产业创新融合不够，服务高质量发展的能力有待提升。</w:t>
      </w:r>
    </w:p>
    <w:p>
      <w:pPr>
        <w:pStyle w:val="2"/>
        <w:ind w:firstLine="640" w:firstLineChars="200"/>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3.监管能力与发展需求尚有差距。面对新产业、新业态、新模式，监管知识储备、技术手段和方式方法需要加快更新；基层基础设施滞后，执法装备存在短板。</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改进措施和有关建议</w:t>
      </w:r>
    </w:p>
    <w:p>
      <w:pPr>
        <w:pStyle w:val="2"/>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1.深化重点领域专项整治。持续巩固“瘦身钢筋”专项整治成果，紧盯建筑材料、危化品、烟花爆竹、液化气灶具、食品相关产品等高风险产品，开展隐患排查治理。</w:t>
      </w:r>
    </w:p>
    <w:p>
      <w:pPr>
        <w:pStyle w:val="2"/>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加强质量基础设施建设，进一步优化质量基础设施“一站式”服务平台功能。加强质量“三强”建设，强化领军标杆企业质量引领。加强标准建设，持续推进地方标准制（修）订，做好企业标准自我声明公开专项检查整改。</w:t>
      </w:r>
    </w:p>
    <w:p>
      <w:pPr>
        <w:pStyle w:val="2"/>
        <w:ind w:firstLine="640" w:firstLineChars="200"/>
        <w:rPr>
          <w:rFonts w:hint="default"/>
          <w:lang w:val="en-US" w:eastAsia="zh-CN"/>
        </w:rPr>
      </w:pPr>
      <w:r>
        <w:rPr>
          <w:rFonts w:hint="eastAsia" w:ascii="Times New Roman" w:hAnsi="Times New Roman" w:eastAsia="仿宋_GB2312" w:cs="Times New Roman"/>
          <w:kern w:val="2"/>
          <w:sz w:val="32"/>
          <w:szCs w:val="32"/>
          <w:lang w:val="en-US" w:eastAsia="zh-CN" w:bidi="ar-SA"/>
        </w:rPr>
        <w:t>3.持续加强能力建设。坚持正确选人用人导向，优化干部队伍结构，让优秀者优先，选出的干部让组织放心、群众满意、干部服气。围绕新法规、新业态、新技能开展分层分类培训，加强执法骨干培养和轮岗交流，全面提升一线监管执法水平。</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其他需要说明的情况</w:t>
      </w:r>
    </w:p>
    <w:p>
      <w:pPr>
        <w:pStyle w:val="2"/>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由于祁阳的人口和企业较多，涉及行业较广。要加强法治建设，做到依法行政，健全市场监管权责清单，落实案件内部审核机制，提升执法质量。市场监督管理工作难度较大，目前的市场监管专项经费已满足不了现有需求，建议上级加强市场监管方面的业务培训，加大对我局的资金帮扶，让市监工作更好的落到实处。</w:t>
      </w:r>
    </w:p>
    <w:p>
      <w:pPr>
        <w:pStyle w:val="15"/>
        <w:spacing w:line="600" w:lineRule="exact"/>
        <w:ind w:firstLine="640" w:firstLineChars="200"/>
        <w:rPr>
          <w:rFonts w:ascii="Times New Roman" w:hAnsi="Times New Roman" w:eastAsia="仿宋_GB2312" w:cs="Times New Roman"/>
          <w:sz w:val="32"/>
          <w:szCs w:val="3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altName w:val="方正楷体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汉仪中宋简">
    <w:panose1 w:val="02010600000101010101"/>
    <w:charset w:val="86"/>
    <w:family w:val="auto"/>
    <w:pitch w:val="default"/>
    <w:sig w:usb0="00000001" w:usb1="080E0800" w:usb2="00000002" w:usb3="00000000" w:csb0="00040000" w:csb1="00000000"/>
  </w:font>
  <w:font w:name="Cambria">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CESI仿宋-GB2312">
    <w:panose1 w:val="02000500000000000000"/>
    <w:charset w:val="86"/>
    <w:family w:val="auto"/>
    <w:pitch w:val="default"/>
    <w:sig w:usb0="800002AF" w:usb1="084F6CF8" w:usb2="00000010" w:usb3="00000000" w:csb0="0004000F" w:csb1="00000000"/>
  </w:font>
  <w:font w:name="CESI仿宋-GB13000">
    <w:panose1 w:val="02000500000000000000"/>
    <w:charset w:val="86"/>
    <w:family w:val="auto"/>
    <w:pitch w:val="default"/>
    <w:sig w:usb0="800002BF" w:usb1="18CF7CF8" w:usb2="00000016" w:usb3="00000000" w:csb0="0004000F" w:csb1="00000000"/>
  </w:font>
  <w:font w:name="CESI宋体-GB18030">
    <w:panose1 w:val="02000500000000000000"/>
    <w:charset w:val="86"/>
    <w:family w:val="auto"/>
    <w:pitch w:val="default"/>
    <w:sig w:usb0="A00002BF" w:usb1="38C77CFA" w:usb2="00000016" w:usb3="00000000" w:csb0="0004000F" w:csb1="00000000"/>
  </w:font>
  <w:font w:name="CESI仿宋-GB18030">
    <w:panose1 w:val="02000500000000000000"/>
    <w:charset w:val="86"/>
    <w:family w:val="auto"/>
    <w:pitch w:val="default"/>
    <w:sig w:usb0="A00002BF" w:usb1="38C77CFA" w:usb2="00000016" w:usb3="00000000" w:csb0="0004000F" w:csb1="00000000"/>
  </w:font>
  <w:font w:name="方正行楷_GBK">
    <w:panose1 w:val="02000000000000000000"/>
    <w:charset w:val="86"/>
    <w:family w:val="auto"/>
    <w:pitch w:val="default"/>
    <w:sig w:usb0="00000001" w:usb1="08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楷体-GB13000">
    <w:panose1 w:val="02000500000000000000"/>
    <w:charset w:val="86"/>
    <w:family w:val="auto"/>
    <w:pitch w:val="default"/>
    <w:sig w:usb0="800002BF" w:usb1="38CF7CF8" w:usb2="00000016" w:usb3="00000000" w:csb0="0004000F" w:csb1="00000000"/>
  </w:font>
  <w:font w:name="CESI楷体-GB2312">
    <w:panose1 w:val="02000500000000000000"/>
    <w:charset w:val="86"/>
    <w:family w:val="auto"/>
    <w:pitch w:val="default"/>
    <w:sig w:usb0="800002BF" w:usb1="184F6CF8" w:usb2="00000012" w:usb3="00000000" w:csb0="0004000F" w:csb1="00000000"/>
  </w:font>
  <w:font w:name="CESI黑体-GB13000">
    <w:panose1 w:val="02000500000000000000"/>
    <w:charset w:val="86"/>
    <w:family w:val="auto"/>
    <w:pitch w:val="default"/>
    <w:sig w:usb0="800002BF" w:usb1="38CF7CF8"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F397E"/>
    <w:multiLevelType w:val="singleLevel"/>
    <w:tmpl w:val="977F397E"/>
    <w:lvl w:ilvl="0" w:tentative="0">
      <w:start w:val="2"/>
      <w:numFmt w:val="decimal"/>
      <w:lvlText w:val="%1."/>
      <w:lvlJc w:val="left"/>
      <w:pPr>
        <w:tabs>
          <w:tab w:val="left" w:pos="312"/>
        </w:tabs>
      </w:pPr>
    </w:lvl>
  </w:abstractNum>
  <w:abstractNum w:abstractNumId="1">
    <w:nsid w:val="AFF46A6D"/>
    <w:multiLevelType w:val="singleLevel"/>
    <w:tmpl w:val="AFF46A6D"/>
    <w:lvl w:ilvl="0" w:tentative="0">
      <w:start w:val="7"/>
      <w:numFmt w:val="chineseCounting"/>
      <w:suff w:val="nothing"/>
      <w:lvlText w:val="%1、"/>
      <w:lvlJc w:val="left"/>
      <w:rPr>
        <w:rFonts w:hint="eastAsia"/>
      </w:rPr>
    </w:lvl>
  </w:abstractNum>
  <w:abstractNum w:abstractNumId="2">
    <w:nsid w:val="6F56D6FC"/>
    <w:multiLevelType w:val="singleLevel"/>
    <w:tmpl w:val="6F56D6FC"/>
    <w:lvl w:ilvl="0" w:tentative="0">
      <w:start w:val="6"/>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30A2D14"/>
    <w:rsid w:val="13DF5F62"/>
    <w:rsid w:val="13FF7ACE"/>
    <w:rsid w:val="155E98C3"/>
    <w:rsid w:val="16AB1D15"/>
    <w:rsid w:val="17DB84B8"/>
    <w:rsid w:val="1A3FD78E"/>
    <w:rsid w:val="1BF4A108"/>
    <w:rsid w:val="1D97DEFF"/>
    <w:rsid w:val="1DFF72E5"/>
    <w:rsid w:val="1EE83305"/>
    <w:rsid w:val="1EFBEF7A"/>
    <w:rsid w:val="1EFC6F07"/>
    <w:rsid w:val="1EFFFD74"/>
    <w:rsid w:val="1F7DC65B"/>
    <w:rsid w:val="1FF7B7BA"/>
    <w:rsid w:val="1FFFD782"/>
    <w:rsid w:val="26850E84"/>
    <w:rsid w:val="26ED898D"/>
    <w:rsid w:val="2736B499"/>
    <w:rsid w:val="27DFC592"/>
    <w:rsid w:val="293FABD4"/>
    <w:rsid w:val="29DE3890"/>
    <w:rsid w:val="2ABC665E"/>
    <w:rsid w:val="2BBF694C"/>
    <w:rsid w:val="2C5D0F92"/>
    <w:rsid w:val="2D5FE412"/>
    <w:rsid w:val="2D7B9966"/>
    <w:rsid w:val="2E7FDC07"/>
    <w:rsid w:val="2F7CEB1D"/>
    <w:rsid w:val="2FDF85B8"/>
    <w:rsid w:val="2FFFA23D"/>
    <w:rsid w:val="2FFFEE04"/>
    <w:rsid w:val="3376E367"/>
    <w:rsid w:val="34DF85B0"/>
    <w:rsid w:val="353D46FD"/>
    <w:rsid w:val="36FF5ACC"/>
    <w:rsid w:val="37761723"/>
    <w:rsid w:val="379ED38E"/>
    <w:rsid w:val="37BA60C9"/>
    <w:rsid w:val="37EEBCC3"/>
    <w:rsid w:val="37EF1629"/>
    <w:rsid w:val="37FCC03C"/>
    <w:rsid w:val="37FD6D50"/>
    <w:rsid w:val="39A45667"/>
    <w:rsid w:val="3B8F36BC"/>
    <w:rsid w:val="3B973D10"/>
    <w:rsid w:val="3BEBA35E"/>
    <w:rsid w:val="3BF4553D"/>
    <w:rsid w:val="3BFFD30B"/>
    <w:rsid w:val="3D330B76"/>
    <w:rsid w:val="3D79BAA3"/>
    <w:rsid w:val="3DF76CFA"/>
    <w:rsid w:val="3DFE4E3A"/>
    <w:rsid w:val="3EF32A69"/>
    <w:rsid w:val="3EF50CCB"/>
    <w:rsid w:val="3EFB1D5F"/>
    <w:rsid w:val="3EFEBC72"/>
    <w:rsid w:val="3F2442E4"/>
    <w:rsid w:val="3F51552C"/>
    <w:rsid w:val="3F991933"/>
    <w:rsid w:val="3FEE7800"/>
    <w:rsid w:val="3FF51850"/>
    <w:rsid w:val="3FF53F91"/>
    <w:rsid w:val="3FFD52C7"/>
    <w:rsid w:val="3FFD6134"/>
    <w:rsid w:val="3FFEB056"/>
    <w:rsid w:val="3FFED74F"/>
    <w:rsid w:val="453FFCDD"/>
    <w:rsid w:val="47077C50"/>
    <w:rsid w:val="47E70539"/>
    <w:rsid w:val="491FF225"/>
    <w:rsid w:val="4B7F8FDF"/>
    <w:rsid w:val="4BEEB415"/>
    <w:rsid w:val="4D619A2A"/>
    <w:rsid w:val="4D7B38ED"/>
    <w:rsid w:val="4DF65DF7"/>
    <w:rsid w:val="4DFFD618"/>
    <w:rsid w:val="4EBB1308"/>
    <w:rsid w:val="4EFFADDB"/>
    <w:rsid w:val="4FDB52E2"/>
    <w:rsid w:val="4FFD214C"/>
    <w:rsid w:val="4FFDA94A"/>
    <w:rsid w:val="50DF0E3F"/>
    <w:rsid w:val="53FC05E5"/>
    <w:rsid w:val="54FFE8A7"/>
    <w:rsid w:val="575A7922"/>
    <w:rsid w:val="5777D4F5"/>
    <w:rsid w:val="57D3599E"/>
    <w:rsid w:val="57DF5E4C"/>
    <w:rsid w:val="58FE4B6C"/>
    <w:rsid w:val="595D0AD9"/>
    <w:rsid w:val="59DD8326"/>
    <w:rsid w:val="5AB725DA"/>
    <w:rsid w:val="5AEBF5F7"/>
    <w:rsid w:val="5AFF5E21"/>
    <w:rsid w:val="5B3FD027"/>
    <w:rsid w:val="5B69E240"/>
    <w:rsid w:val="5B7E45B1"/>
    <w:rsid w:val="5BF94B7F"/>
    <w:rsid w:val="5BFB1FDF"/>
    <w:rsid w:val="5BFB6751"/>
    <w:rsid w:val="5BFDB175"/>
    <w:rsid w:val="5BFF845E"/>
    <w:rsid w:val="5C1BB929"/>
    <w:rsid w:val="5C3FDB17"/>
    <w:rsid w:val="5CBD8221"/>
    <w:rsid w:val="5CE92D59"/>
    <w:rsid w:val="5CFBCF4A"/>
    <w:rsid w:val="5DEF592A"/>
    <w:rsid w:val="5DF3CE11"/>
    <w:rsid w:val="5DFFAFBA"/>
    <w:rsid w:val="5E57BFBA"/>
    <w:rsid w:val="5EBD9DA1"/>
    <w:rsid w:val="5EEF02D6"/>
    <w:rsid w:val="5F15A166"/>
    <w:rsid w:val="5F377CB0"/>
    <w:rsid w:val="5F971481"/>
    <w:rsid w:val="5FAF3C4B"/>
    <w:rsid w:val="5FC6BB1E"/>
    <w:rsid w:val="5FD6F39A"/>
    <w:rsid w:val="5FDE2244"/>
    <w:rsid w:val="5FE371B8"/>
    <w:rsid w:val="5FEFCE93"/>
    <w:rsid w:val="5FF720F1"/>
    <w:rsid w:val="5FF7B593"/>
    <w:rsid w:val="5FF7F862"/>
    <w:rsid w:val="5FFF7615"/>
    <w:rsid w:val="63F575FC"/>
    <w:rsid w:val="63FF3F69"/>
    <w:rsid w:val="65F736E9"/>
    <w:rsid w:val="66F73E24"/>
    <w:rsid w:val="66F75DF1"/>
    <w:rsid w:val="66FB5531"/>
    <w:rsid w:val="677533D7"/>
    <w:rsid w:val="677E24F5"/>
    <w:rsid w:val="67FF5C0B"/>
    <w:rsid w:val="68F74B2D"/>
    <w:rsid w:val="6B1F603D"/>
    <w:rsid w:val="6B3BC8C3"/>
    <w:rsid w:val="6B7E34D5"/>
    <w:rsid w:val="6B9FAA16"/>
    <w:rsid w:val="6BB563BC"/>
    <w:rsid w:val="6BB61DA3"/>
    <w:rsid w:val="6CFFAB4F"/>
    <w:rsid w:val="6DB848B9"/>
    <w:rsid w:val="6DD5DD64"/>
    <w:rsid w:val="6DDE07A9"/>
    <w:rsid w:val="6E7137CF"/>
    <w:rsid w:val="6EFC0924"/>
    <w:rsid w:val="6F39D6A0"/>
    <w:rsid w:val="6FAAADCD"/>
    <w:rsid w:val="6FB74722"/>
    <w:rsid w:val="6FCB8368"/>
    <w:rsid w:val="6FDD1B6B"/>
    <w:rsid w:val="6FED3173"/>
    <w:rsid w:val="6FEF8B7E"/>
    <w:rsid w:val="6FF53441"/>
    <w:rsid w:val="6FFA1CEC"/>
    <w:rsid w:val="6FFB3A94"/>
    <w:rsid w:val="6FFD9519"/>
    <w:rsid w:val="6FFDBB2C"/>
    <w:rsid w:val="71A6591B"/>
    <w:rsid w:val="71F66916"/>
    <w:rsid w:val="71FF33C8"/>
    <w:rsid w:val="7273AA77"/>
    <w:rsid w:val="72FFC966"/>
    <w:rsid w:val="736FF134"/>
    <w:rsid w:val="737D59BA"/>
    <w:rsid w:val="73B5E87E"/>
    <w:rsid w:val="73DDAC21"/>
    <w:rsid w:val="73FF957A"/>
    <w:rsid w:val="73FFF01C"/>
    <w:rsid w:val="756E6DFF"/>
    <w:rsid w:val="757ECA3A"/>
    <w:rsid w:val="75DFCC4F"/>
    <w:rsid w:val="76D4A0F9"/>
    <w:rsid w:val="777963AE"/>
    <w:rsid w:val="7779A52A"/>
    <w:rsid w:val="777E0DEE"/>
    <w:rsid w:val="777E0F4E"/>
    <w:rsid w:val="77C37683"/>
    <w:rsid w:val="77DF3AA2"/>
    <w:rsid w:val="77E50319"/>
    <w:rsid w:val="77F12ACE"/>
    <w:rsid w:val="77FE77EE"/>
    <w:rsid w:val="77FF49B8"/>
    <w:rsid w:val="77FF9467"/>
    <w:rsid w:val="77FFAD9C"/>
    <w:rsid w:val="78D6069C"/>
    <w:rsid w:val="792F771E"/>
    <w:rsid w:val="795FC3A1"/>
    <w:rsid w:val="79BD1B32"/>
    <w:rsid w:val="79BF546E"/>
    <w:rsid w:val="79D19834"/>
    <w:rsid w:val="79EF06B9"/>
    <w:rsid w:val="79FF515B"/>
    <w:rsid w:val="7A758CDD"/>
    <w:rsid w:val="7A7F7025"/>
    <w:rsid w:val="7A9F77DD"/>
    <w:rsid w:val="7ABD64E7"/>
    <w:rsid w:val="7B7D6DAA"/>
    <w:rsid w:val="7B7FB221"/>
    <w:rsid w:val="7BB76261"/>
    <w:rsid w:val="7BD3E38E"/>
    <w:rsid w:val="7BDEDE23"/>
    <w:rsid w:val="7BF549BF"/>
    <w:rsid w:val="7BFFFF8F"/>
    <w:rsid w:val="7C776106"/>
    <w:rsid w:val="7CABAD34"/>
    <w:rsid w:val="7CDD0720"/>
    <w:rsid w:val="7CF3BB4D"/>
    <w:rsid w:val="7CFBC46F"/>
    <w:rsid w:val="7CFDA253"/>
    <w:rsid w:val="7CFF8166"/>
    <w:rsid w:val="7D1F69E1"/>
    <w:rsid w:val="7D4FF2FD"/>
    <w:rsid w:val="7D9D0B71"/>
    <w:rsid w:val="7DBAB3D4"/>
    <w:rsid w:val="7DCE0E7B"/>
    <w:rsid w:val="7DCF43B1"/>
    <w:rsid w:val="7DD3E996"/>
    <w:rsid w:val="7DFDFE14"/>
    <w:rsid w:val="7E6504DD"/>
    <w:rsid w:val="7E6FA3D3"/>
    <w:rsid w:val="7E9E1962"/>
    <w:rsid w:val="7E9F11B4"/>
    <w:rsid w:val="7EBFC128"/>
    <w:rsid w:val="7EDAB0B9"/>
    <w:rsid w:val="7EF652EB"/>
    <w:rsid w:val="7EF94A14"/>
    <w:rsid w:val="7EFFBDD7"/>
    <w:rsid w:val="7EFFCBF1"/>
    <w:rsid w:val="7F1E2C86"/>
    <w:rsid w:val="7F37EC1E"/>
    <w:rsid w:val="7F3E9F33"/>
    <w:rsid w:val="7F71DF4B"/>
    <w:rsid w:val="7F7A94A2"/>
    <w:rsid w:val="7F7DCD9D"/>
    <w:rsid w:val="7F7F97E2"/>
    <w:rsid w:val="7F7FA34C"/>
    <w:rsid w:val="7F7FD52B"/>
    <w:rsid w:val="7F970A6F"/>
    <w:rsid w:val="7F99AD13"/>
    <w:rsid w:val="7FA264EF"/>
    <w:rsid w:val="7FB75723"/>
    <w:rsid w:val="7FBE9F2F"/>
    <w:rsid w:val="7FBFE9A2"/>
    <w:rsid w:val="7FC1FFF3"/>
    <w:rsid w:val="7FC69637"/>
    <w:rsid w:val="7FC6D214"/>
    <w:rsid w:val="7FCDD090"/>
    <w:rsid w:val="7FD735F1"/>
    <w:rsid w:val="7FD8BACC"/>
    <w:rsid w:val="7FDB61EC"/>
    <w:rsid w:val="7FDCDCA0"/>
    <w:rsid w:val="7FDDAA78"/>
    <w:rsid w:val="7FDF8620"/>
    <w:rsid w:val="7FE2919A"/>
    <w:rsid w:val="7FE6D0DD"/>
    <w:rsid w:val="7FE722EB"/>
    <w:rsid w:val="7FE72753"/>
    <w:rsid w:val="7FE7BFE4"/>
    <w:rsid w:val="7FE8C8F7"/>
    <w:rsid w:val="7FE98BD7"/>
    <w:rsid w:val="7FE9F46A"/>
    <w:rsid w:val="7FEB780F"/>
    <w:rsid w:val="7FED4B7F"/>
    <w:rsid w:val="7FEF1883"/>
    <w:rsid w:val="7FEF3F53"/>
    <w:rsid w:val="7FF22196"/>
    <w:rsid w:val="7FF72F77"/>
    <w:rsid w:val="7FF913A2"/>
    <w:rsid w:val="7FFAB3E8"/>
    <w:rsid w:val="7FFB242F"/>
    <w:rsid w:val="7FFBF8D4"/>
    <w:rsid w:val="7FFD3987"/>
    <w:rsid w:val="7FFDB408"/>
    <w:rsid w:val="7FFE08D1"/>
    <w:rsid w:val="7FFE4EEB"/>
    <w:rsid w:val="7FFF4D12"/>
    <w:rsid w:val="7FFF5BD6"/>
    <w:rsid w:val="7FFF68F4"/>
    <w:rsid w:val="95FB2B98"/>
    <w:rsid w:val="96FF5295"/>
    <w:rsid w:val="97DDF30B"/>
    <w:rsid w:val="97F1CC5B"/>
    <w:rsid w:val="9A639BC2"/>
    <w:rsid w:val="9ABFE20E"/>
    <w:rsid w:val="9AF3659F"/>
    <w:rsid w:val="9BFA491D"/>
    <w:rsid w:val="9DEED084"/>
    <w:rsid w:val="9DFF5945"/>
    <w:rsid w:val="9F8FA72F"/>
    <w:rsid w:val="9FAF704A"/>
    <w:rsid w:val="9FE70BE9"/>
    <w:rsid w:val="9FF7D786"/>
    <w:rsid w:val="9FFF7D45"/>
    <w:rsid w:val="A3EF7D5C"/>
    <w:rsid w:val="A4FF72EC"/>
    <w:rsid w:val="ABBFB23D"/>
    <w:rsid w:val="ABFB279D"/>
    <w:rsid w:val="ACEE058C"/>
    <w:rsid w:val="AD274B74"/>
    <w:rsid w:val="ADFAD1B6"/>
    <w:rsid w:val="ADFF8746"/>
    <w:rsid w:val="AEFFD94E"/>
    <w:rsid w:val="AFDF9D8E"/>
    <w:rsid w:val="AFF54393"/>
    <w:rsid w:val="AFF9ABED"/>
    <w:rsid w:val="AFFFE611"/>
    <w:rsid w:val="B0BD6BBB"/>
    <w:rsid w:val="B2A73AD5"/>
    <w:rsid w:val="B413E274"/>
    <w:rsid w:val="B51DD05C"/>
    <w:rsid w:val="B5DFC6F4"/>
    <w:rsid w:val="B5FE81F0"/>
    <w:rsid w:val="B6AFFE39"/>
    <w:rsid w:val="B7FB836B"/>
    <w:rsid w:val="B9FFD252"/>
    <w:rsid w:val="BA75CD06"/>
    <w:rsid w:val="BA9C059F"/>
    <w:rsid w:val="BB4B749F"/>
    <w:rsid w:val="BB4FD208"/>
    <w:rsid w:val="BBBF00CA"/>
    <w:rsid w:val="BBFBEA30"/>
    <w:rsid w:val="BBFDD0E4"/>
    <w:rsid w:val="BBFFA312"/>
    <w:rsid w:val="BBFFEDC0"/>
    <w:rsid w:val="BC7F3D71"/>
    <w:rsid w:val="BD3EA4CB"/>
    <w:rsid w:val="BDBD7A27"/>
    <w:rsid w:val="BDFD46B1"/>
    <w:rsid w:val="BDFF9343"/>
    <w:rsid w:val="BDFFB058"/>
    <w:rsid w:val="BED9355F"/>
    <w:rsid w:val="BEF5CCC4"/>
    <w:rsid w:val="BEF73806"/>
    <w:rsid w:val="BF6731B2"/>
    <w:rsid w:val="BF9A058D"/>
    <w:rsid w:val="BFB2D6D0"/>
    <w:rsid w:val="BFCFA653"/>
    <w:rsid w:val="BFD3A54E"/>
    <w:rsid w:val="BFDBD66C"/>
    <w:rsid w:val="BFDE0193"/>
    <w:rsid w:val="BFDFF1FE"/>
    <w:rsid w:val="BFEB7DD7"/>
    <w:rsid w:val="BFEFAB61"/>
    <w:rsid w:val="BFF47DBD"/>
    <w:rsid w:val="BFF5F55E"/>
    <w:rsid w:val="BFFB4BE8"/>
    <w:rsid w:val="BFFF40F4"/>
    <w:rsid w:val="C3B4DA5A"/>
    <w:rsid w:val="CAF75385"/>
    <w:rsid w:val="CB711D16"/>
    <w:rsid w:val="CBFF70E0"/>
    <w:rsid w:val="CCFFDEA8"/>
    <w:rsid w:val="CDFB954B"/>
    <w:rsid w:val="CEE58D21"/>
    <w:rsid w:val="CFDFF2AE"/>
    <w:rsid w:val="CFEBBEB9"/>
    <w:rsid w:val="CFF50B82"/>
    <w:rsid w:val="CFFFAD89"/>
    <w:rsid w:val="D1BCE3A4"/>
    <w:rsid w:val="D2DF52A5"/>
    <w:rsid w:val="D2FB9E5F"/>
    <w:rsid w:val="D33F59FC"/>
    <w:rsid w:val="D5D2A625"/>
    <w:rsid w:val="D5FA1695"/>
    <w:rsid w:val="D61F6280"/>
    <w:rsid w:val="D6DFAEBE"/>
    <w:rsid w:val="D74BE870"/>
    <w:rsid w:val="D7D5989D"/>
    <w:rsid w:val="D95DE617"/>
    <w:rsid w:val="D9BF607E"/>
    <w:rsid w:val="D9FD4A0D"/>
    <w:rsid w:val="DAF70206"/>
    <w:rsid w:val="DAFF4F04"/>
    <w:rsid w:val="DB9F4724"/>
    <w:rsid w:val="DBBEBA75"/>
    <w:rsid w:val="DBDA3992"/>
    <w:rsid w:val="DBE88EDB"/>
    <w:rsid w:val="DBFFE661"/>
    <w:rsid w:val="DCFBE9F4"/>
    <w:rsid w:val="DDBF29CB"/>
    <w:rsid w:val="DE7F8B64"/>
    <w:rsid w:val="DE9F8ABC"/>
    <w:rsid w:val="DEEF498F"/>
    <w:rsid w:val="DEFD075A"/>
    <w:rsid w:val="DEFFA2BD"/>
    <w:rsid w:val="DF48147A"/>
    <w:rsid w:val="DF7558EC"/>
    <w:rsid w:val="DF77E5DF"/>
    <w:rsid w:val="DF7D8752"/>
    <w:rsid w:val="DF7F11BA"/>
    <w:rsid w:val="DFDECC99"/>
    <w:rsid w:val="DFF5B21E"/>
    <w:rsid w:val="DFF91413"/>
    <w:rsid w:val="DFFE359E"/>
    <w:rsid w:val="DFFE4FFD"/>
    <w:rsid w:val="DFFFEA0C"/>
    <w:rsid w:val="E53904D4"/>
    <w:rsid w:val="E5FF0829"/>
    <w:rsid w:val="E6753141"/>
    <w:rsid w:val="E67E08EA"/>
    <w:rsid w:val="E6FFB1ED"/>
    <w:rsid w:val="E77D063E"/>
    <w:rsid w:val="E77DBAD0"/>
    <w:rsid w:val="E7FBDF45"/>
    <w:rsid w:val="E7FC7FC3"/>
    <w:rsid w:val="E8BBFA38"/>
    <w:rsid w:val="EB6F37FF"/>
    <w:rsid w:val="EB7FE2B4"/>
    <w:rsid w:val="EBDF6D4C"/>
    <w:rsid w:val="EBFE23A9"/>
    <w:rsid w:val="EBFF2512"/>
    <w:rsid w:val="EBFFAA9A"/>
    <w:rsid w:val="EBFFEB5D"/>
    <w:rsid w:val="ED57ADED"/>
    <w:rsid w:val="ED6F351E"/>
    <w:rsid w:val="EDAF26B4"/>
    <w:rsid w:val="EDFD0089"/>
    <w:rsid w:val="EE762DF0"/>
    <w:rsid w:val="EEABED75"/>
    <w:rsid w:val="EEBF4B45"/>
    <w:rsid w:val="EECDE325"/>
    <w:rsid w:val="EEFB9FA3"/>
    <w:rsid w:val="EEFE01EB"/>
    <w:rsid w:val="EEFF1813"/>
    <w:rsid w:val="EEFF5247"/>
    <w:rsid w:val="EF3F0081"/>
    <w:rsid w:val="EF5DE816"/>
    <w:rsid w:val="EFBF3CCE"/>
    <w:rsid w:val="EFDB6FD0"/>
    <w:rsid w:val="EFECA0C5"/>
    <w:rsid w:val="EFF757E6"/>
    <w:rsid w:val="EFFB7D2A"/>
    <w:rsid w:val="EFFE02D3"/>
    <w:rsid w:val="EFFE309A"/>
    <w:rsid w:val="F2FE4FE2"/>
    <w:rsid w:val="F3A91525"/>
    <w:rsid w:val="F43D6991"/>
    <w:rsid w:val="F56FDF51"/>
    <w:rsid w:val="F5D31E11"/>
    <w:rsid w:val="F61FB715"/>
    <w:rsid w:val="F6B69F17"/>
    <w:rsid w:val="F6DF28E4"/>
    <w:rsid w:val="F6E3F4E8"/>
    <w:rsid w:val="F6FDC7FF"/>
    <w:rsid w:val="F6FE55C9"/>
    <w:rsid w:val="F7279A2B"/>
    <w:rsid w:val="F75C8B37"/>
    <w:rsid w:val="F75E11E9"/>
    <w:rsid w:val="F77F1D61"/>
    <w:rsid w:val="F7BF1755"/>
    <w:rsid w:val="F7F6889C"/>
    <w:rsid w:val="F7F7D455"/>
    <w:rsid w:val="F7FED3A9"/>
    <w:rsid w:val="F7FF4AFD"/>
    <w:rsid w:val="F8C9DB26"/>
    <w:rsid w:val="F8F9BA37"/>
    <w:rsid w:val="F97E8EAE"/>
    <w:rsid w:val="F9DFBDB1"/>
    <w:rsid w:val="F9EE1412"/>
    <w:rsid w:val="F9EF378F"/>
    <w:rsid w:val="F9FD7EA8"/>
    <w:rsid w:val="FA5EDD3E"/>
    <w:rsid w:val="FA5F69DA"/>
    <w:rsid w:val="FA8F1993"/>
    <w:rsid w:val="FAF9C0C2"/>
    <w:rsid w:val="FB1F4190"/>
    <w:rsid w:val="FB36E1A6"/>
    <w:rsid w:val="FB3BE134"/>
    <w:rsid w:val="FB5EF2A1"/>
    <w:rsid w:val="FB8773AC"/>
    <w:rsid w:val="FBA87C42"/>
    <w:rsid w:val="FBB3AB2C"/>
    <w:rsid w:val="FBCE255E"/>
    <w:rsid w:val="FBDEFFD5"/>
    <w:rsid w:val="FBDF44C9"/>
    <w:rsid w:val="FBDF7C0F"/>
    <w:rsid w:val="FBDFC8B1"/>
    <w:rsid w:val="FBF5C872"/>
    <w:rsid w:val="FBFC6A8D"/>
    <w:rsid w:val="FBFF520B"/>
    <w:rsid w:val="FBFF5E76"/>
    <w:rsid w:val="FCF57358"/>
    <w:rsid w:val="FCFBB774"/>
    <w:rsid w:val="FCFF4275"/>
    <w:rsid w:val="FD238265"/>
    <w:rsid w:val="FD75B7A0"/>
    <w:rsid w:val="FD7E2B39"/>
    <w:rsid w:val="FD7FEEEA"/>
    <w:rsid w:val="FDBB6B51"/>
    <w:rsid w:val="FDBFE32A"/>
    <w:rsid w:val="FDEB617A"/>
    <w:rsid w:val="FDF64E77"/>
    <w:rsid w:val="FDFA6B13"/>
    <w:rsid w:val="FDFD4718"/>
    <w:rsid w:val="FDFFB577"/>
    <w:rsid w:val="FE3F1917"/>
    <w:rsid w:val="FE63E239"/>
    <w:rsid w:val="FEB51F5F"/>
    <w:rsid w:val="FED1D2A7"/>
    <w:rsid w:val="FEDF6B23"/>
    <w:rsid w:val="FEEA50FE"/>
    <w:rsid w:val="FEF661EF"/>
    <w:rsid w:val="FEFBBEA6"/>
    <w:rsid w:val="FF0FA018"/>
    <w:rsid w:val="FF373A50"/>
    <w:rsid w:val="FF3B9D7E"/>
    <w:rsid w:val="FF73B3A4"/>
    <w:rsid w:val="FF79A097"/>
    <w:rsid w:val="FF7D47A9"/>
    <w:rsid w:val="FF7E4FB5"/>
    <w:rsid w:val="FF7F63BE"/>
    <w:rsid w:val="FF7FFF6A"/>
    <w:rsid w:val="FF85612C"/>
    <w:rsid w:val="FFA549B8"/>
    <w:rsid w:val="FFA770DA"/>
    <w:rsid w:val="FFAE014F"/>
    <w:rsid w:val="FFB5085E"/>
    <w:rsid w:val="FFB7013E"/>
    <w:rsid w:val="FFBFB365"/>
    <w:rsid w:val="FFCB2D3F"/>
    <w:rsid w:val="FFCB9073"/>
    <w:rsid w:val="FFCF21CB"/>
    <w:rsid w:val="FFCF4750"/>
    <w:rsid w:val="FFD71050"/>
    <w:rsid w:val="FFDD9E44"/>
    <w:rsid w:val="FFDE843A"/>
    <w:rsid w:val="FFDF7896"/>
    <w:rsid w:val="FFE7EEF4"/>
    <w:rsid w:val="FFEF4EA5"/>
    <w:rsid w:val="FFEF6EA6"/>
    <w:rsid w:val="FFEFD0A5"/>
    <w:rsid w:val="FFEFFC8D"/>
    <w:rsid w:val="FFF3ED36"/>
    <w:rsid w:val="FFF69C59"/>
    <w:rsid w:val="FFF8CB08"/>
    <w:rsid w:val="FFFA2D17"/>
    <w:rsid w:val="FFFBE58E"/>
    <w:rsid w:val="FFFDBD19"/>
    <w:rsid w:val="FFFEBA64"/>
    <w:rsid w:val="FFFF1C8B"/>
    <w:rsid w:val="FFFF420E"/>
    <w:rsid w:val="FFFF52EA"/>
    <w:rsid w:val="FFFF5FFC"/>
    <w:rsid w:val="FFFF7760"/>
    <w:rsid w:val="FFFFC75E"/>
    <w:rsid w:val="FFFFE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99"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5"/>
    <w:basedOn w:val="1"/>
    <w:next w:val="1"/>
    <w:qFormat/>
    <w:uiPriority w:val="99"/>
    <w:pPr>
      <w:ind w:left="168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12</TotalTime>
  <ScaleCrop>false</ScaleCrop>
  <LinksUpToDate>false</LinksUpToDate>
  <CharactersWithSpaces>9786</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2025-08-22T18:17:00Z</dcterms:created>
  <dc:creator>李航 null</dc:creator>
  <cp:lastModifiedBy>kylin</cp:lastModifiedBy>
  <cp:lastPrinted>2024-08-13T02:20:00Z</cp:lastPrinted>
  <dcterms:modified xsi:type="dcterms:W3CDTF">2026-10-27T16:14:47Z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4F0B27C0AAC35EFA9177686ADDD5E058</vt:lpwstr>
  </property>
</Properties>
</file>