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20978">
      <w:pPr>
        <w:pStyle w:val="17"/>
        <w:keepNext w:val="0"/>
        <w:keepLines w:val="0"/>
        <w:pageBreakBefore w:val="0"/>
        <w:shd w:val="clear"/>
        <w:kinsoku/>
        <w:topLinePunct w:val="0"/>
        <w:bidi w:val="0"/>
        <w:spacing w:line="560" w:lineRule="exact"/>
        <w:ind w:left="0" w:leftChars="0" w:firstLine="720" w:firstLineChars="200"/>
        <w:jc w:val="both"/>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附件2</w:t>
      </w:r>
    </w:p>
    <w:p w14:paraId="7989FC97">
      <w:pPr>
        <w:pStyle w:val="17"/>
        <w:keepNext w:val="0"/>
        <w:keepLines w:val="0"/>
        <w:pageBreakBefore w:val="0"/>
        <w:shd w:val="clear"/>
        <w:kinsoku/>
        <w:topLinePunct w:val="0"/>
        <w:bidi w:val="0"/>
        <w:spacing w:line="560" w:lineRule="exact"/>
        <w:ind w:left="0" w:leftChars="0" w:firstLine="1120" w:firstLineChars="200"/>
        <w:jc w:val="center"/>
        <w:rPr>
          <w:rFonts w:hint="eastAsia" w:ascii="仿宋" w:hAnsi="仿宋" w:eastAsia="仿宋" w:cs="仿宋"/>
          <w:color w:val="auto"/>
          <w:sz w:val="56"/>
          <w:szCs w:val="56"/>
          <w:highlight w:val="none"/>
        </w:rPr>
      </w:pPr>
    </w:p>
    <w:p w14:paraId="6616805D">
      <w:pPr>
        <w:pStyle w:val="17"/>
        <w:keepNext w:val="0"/>
        <w:keepLines w:val="0"/>
        <w:pageBreakBefore w:val="0"/>
        <w:shd w:val="clear"/>
        <w:kinsoku/>
        <w:topLinePunct w:val="0"/>
        <w:bidi w:val="0"/>
        <w:spacing w:line="560" w:lineRule="exact"/>
        <w:ind w:left="0" w:leftChars="0" w:firstLine="1680" w:firstLineChars="200"/>
        <w:jc w:val="center"/>
        <w:rPr>
          <w:rFonts w:hint="eastAsia" w:ascii="仿宋" w:hAnsi="仿宋" w:eastAsia="仿宋" w:cs="仿宋"/>
          <w:color w:val="auto"/>
          <w:sz w:val="84"/>
          <w:szCs w:val="84"/>
          <w:highlight w:val="none"/>
        </w:rPr>
      </w:pPr>
    </w:p>
    <w:p w14:paraId="5CAE3934">
      <w:pPr>
        <w:pStyle w:val="17"/>
        <w:keepNext w:val="0"/>
        <w:keepLines w:val="0"/>
        <w:pageBreakBefore w:val="0"/>
        <w:shd w:val="clear"/>
        <w:kinsoku/>
        <w:topLinePunct w:val="0"/>
        <w:bidi w:val="0"/>
        <w:spacing w:line="560" w:lineRule="exact"/>
        <w:ind w:left="0" w:leftChars="0" w:firstLine="1680" w:firstLineChars="200"/>
        <w:jc w:val="center"/>
        <w:rPr>
          <w:rFonts w:hint="eastAsia" w:ascii="仿宋" w:hAnsi="仿宋" w:eastAsia="仿宋" w:cs="仿宋"/>
          <w:color w:val="auto"/>
          <w:sz w:val="84"/>
          <w:szCs w:val="84"/>
          <w:highlight w:val="none"/>
        </w:rPr>
      </w:pPr>
    </w:p>
    <w:p w14:paraId="5564341C">
      <w:pPr>
        <w:pStyle w:val="17"/>
        <w:keepNext w:val="0"/>
        <w:keepLines w:val="0"/>
        <w:pageBreakBefore w:val="0"/>
        <w:shd w:val="clear"/>
        <w:kinsoku/>
        <w:topLinePunct w:val="0"/>
        <w:bidi w:val="0"/>
        <w:spacing w:line="560" w:lineRule="exact"/>
        <w:ind w:left="0" w:leftChars="0" w:firstLine="1680" w:firstLineChars="200"/>
        <w:jc w:val="center"/>
        <w:rPr>
          <w:rFonts w:hint="eastAsia" w:ascii="仿宋" w:hAnsi="仿宋" w:eastAsia="仿宋" w:cs="仿宋"/>
          <w:color w:val="auto"/>
          <w:sz w:val="84"/>
          <w:szCs w:val="84"/>
          <w:highlight w:val="none"/>
        </w:rPr>
      </w:pPr>
    </w:p>
    <w:p w14:paraId="0AB52C67">
      <w:pPr>
        <w:pStyle w:val="17"/>
        <w:keepNext w:val="0"/>
        <w:keepLines w:val="0"/>
        <w:pageBreakBefore w:val="0"/>
        <w:shd w:val="clear"/>
        <w:kinsoku/>
        <w:topLinePunct w:val="0"/>
        <w:bidi w:val="0"/>
        <w:spacing w:line="560" w:lineRule="exact"/>
        <w:ind w:left="0" w:leftChars="0" w:firstLine="1680" w:firstLineChars="200"/>
        <w:jc w:val="center"/>
        <w:rPr>
          <w:rFonts w:hint="eastAsia" w:ascii="仿宋" w:hAnsi="仿宋" w:eastAsia="仿宋" w:cs="仿宋"/>
          <w:color w:val="auto"/>
          <w:sz w:val="84"/>
          <w:szCs w:val="84"/>
          <w:highlight w:val="none"/>
        </w:rPr>
      </w:pPr>
    </w:p>
    <w:p w14:paraId="74FCF2C1">
      <w:pPr>
        <w:pStyle w:val="17"/>
        <w:keepNext w:val="0"/>
        <w:keepLines w:val="0"/>
        <w:pageBreakBefore w:val="0"/>
        <w:shd w:val="clear"/>
        <w:kinsoku/>
        <w:topLinePunct w:val="0"/>
        <w:bidi w:val="0"/>
        <w:spacing w:line="560" w:lineRule="exact"/>
        <w:ind w:left="0" w:leftChars="0" w:firstLine="1680" w:firstLineChars="200"/>
        <w:jc w:val="center"/>
        <w:rPr>
          <w:rFonts w:hint="eastAsia" w:ascii="仿宋" w:hAnsi="仿宋" w:eastAsia="仿宋" w:cs="仿宋"/>
          <w:color w:val="auto"/>
          <w:sz w:val="84"/>
          <w:szCs w:val="84"/>
          <w:highlight w:val="none"/>
        </w:rPr>
      </w:pPr>
    </w:p>
    <w:p w14:paraId="6AC98661">
      <w:pPr>
        <w:pStyle w:val="17"/>
        <w:keepNext w:val="0"/>
        <w:keepLines w:val="0"/>
        <w:pageBreakBefore w:val="0"/>
        <w:shd w:val="clear"/>
        <w:kinsoku/>
        <w:topLinePunct w:val="0"/>
        <w:bidi w:val="0"/>
        <w:spacing w:line="560" w:lineRule="exact"/>
        <w:ind w:left="0" w:leftChars="0" w:firstLine="1680" w:firstLineChars="200"/>
        <w:jc w:val="center"/>
        <w:rPr>
          <w:rFonts w:hint="eastAsia" w:ascii="仿宋" w:hAnsi="仿宋" w:eastAsia="仿宋" w:cs="仿宋"/>
          <w:color w:val="auto"/>
          <w:sz w:val="84"/>
          <w:szCs w:val="84"/>
          <w:highlight w:val="none"/>
        </w:rPr>
      </w:pPr>
    </w:p>
    <w:p w14:paraId="5F714FA4">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2025年度</w:t>
      </w:r>
    </w:p>
    <w:p w14:paraId="3BDC3608">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lang w:eastAsia="zh-CN"/>
        </w:rPr>
        <w:t>政协祁阳市委员会</w:t>
      </w:r>
      <w:r>
        <w:rPr>
          <w:rFonts w:hint="eastAsia" w:ascii="仿宋" w:hAnsi="仿宋" w:eastAsia="仿宋" w:cs="仿宋"/>
          <w:b/>
          <w:bCs/>
          <w:color w:val="auto"/>
          <w:sz w:val="72"/>
          <w:szCs w:val="72"/>
          <w:highlight w:val="none"/>
        </w:rPr>
        <w:t>部门</w:t>
      </w:r>
    </w:p>
    <w:p w14:paraId="76F62182">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（单位）部门决算</w:t>
      </w:r>
    </w:p>
    <w:p w14:paraId="5892A1AD">
      <w:pPr>
        <w:pStyle w:val="17"/>
        <w:keepNext w:val="0"/>
        <w:keepLines w:val="0"/>
        <w:pageBreakBefore w:val="0"/>
        <w:shd w:val="clear"/>
        <w:kinsoku/>
        <w:topLinePunct w:val="0"/>
        <w:bidi w:val="0"/>
        <w:spacing w:line="560" w:lineRule="exact"/>
        <w:ind w:left="0" w:leftChars="0" w:firstLine="1120" w:firstLineChars="200"/>
        <w:jc w:val="center"/>
        <w:rPr>
          <w:rFonts w:hint="eastAsia" w:ascii="仿宋" w:hAnsi="仿宋" w:eastAsia="仿宋" w:cs="仿宋"/>
          <w:color w:val="auto"/>
          <w:sz w:val="56"/>
          <w:szCs w:val="56"/>
          <w:highlight w:val="none"/>
        </w:rPr>
      </w:pPr>
    </w:p>
    <w:p w14:paraId="4533D95A">
      <w:pPr>
        <w:pStyle w:val="17"/>
        <w:keepNext w:val="0"/>
        <w:keepLines w:val="0"/>
        <w:pageBreakBefore w:val="0"/>
        <w:shd w:val="clear"/>
        <w:kinsoku/>
        <w:topLinePunct w:val="0"/>
        <w:bidi w:val="0"/>
        <w:spacing w:line="560" w:lineRule="exact"/>
        <w:ind w:left="0" w:leftChars="0" w:firstLine="1120" w:firstLineChars="200"/>
        <w:jc w:val="center"/>
        <w:rPr>
          <w:rFonts w:hint="eastAsia" w:ascii="仿宋" w:hAnsi="仿宋" w:eastAsia="仿宋" w:cs="仿宋"/>
          <w:color w:val="auto"/>
          <w:sz w:val="56"/>
          <w:szCs w:val="56"/>
          <w:highlight w:val="none"/>
        </w:rPr>
      </w:pPr>
    </w:p>
    <w:p w14:paraId="5988EC37">
      <w:pPr>
        <w:pStyle w:val="17"/>
        <w:keepNext w:val="0"/>
        <w:keepLines w:val="0"/>
        <w:pageBreakBefore w:val="0"/>
        <w:shd w:val="clear"/>
        <w:kinsoku/>
        <w:topLinePunct w:val="0"/>
        <w:bidi w:val="0"/>
        <w:spacing w:line="560" w:lineRule="exact"/>
        <w:ind w:left="0" w:leftChars="0" w:firstLine="1120" w:firstLineChars="200"/>
        <w:rPr>
          <w:rFonts w:hint="eastAsia" w:ascii="仿宋" w:hAnsi="仿宋" w:eastAsia="仿宋" w:cs="仿宋"/>
          <w:color w:val="auto"/>
          <w:sz w:val="56"/>
          <w:szCs w:val="56"/>
          <w:highlight w:val="none"/>
        </w:rPr>
      </w:pPr>
    </w:p>
    <w:p w14:paraId="730C7ECB">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color w:val="auto"/>
          <w:sz w:val="32"/>
          <w:szCs w:val="32"/>
          <w:highlight w:val="none"/>
        </w:rPr>
      </w:pPr>
    </w:p>
    <w:p w14:paraId="0400D773">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color w:val="auto"/>
          <w:sz w:val="32"/>
          <w:szCs w:val="32"/>
          <w:highlight w:val="none"/>
        </w:rPr>
      </w:pPr>
    </w:p>
    <w:p w14:paraId="44FB7E2A">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color w:val="auto"/>
          <w:sz w:val="32"/>
          <w:szCs w:val="32"/>
          <w:highlight w:val="none"/>
        </w:rPr>
      </w:pPr>
    </w:p>
    <w:p w14:paraId="0A478E0E">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color w:val="auto"/>
          <w:sz w:val="32"/>
          <w:szCs w:val="32"/>
          <w:highlight w:val="none"/>
        </w:rPr>
      </w:pPr>
    </w:p>
    <w:p w14:paraId="6E0A7329">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color w:val="auto"/>
          <w:sz w:val="32"/>
          <w:szCs w:val="32"/>
          <w:highlight w:val="none"/>
        </w:rPr>
      </w:pPr>
    </w:p>
    <w:p w14:paraId="7E4A7FB3">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color w:val="auto"/>
          <w:sz w:val="32"/>
          <w:szCs w:val="32"/>
          <w:highlight w:val="none"/>
        </w:rPr>
      </w:pPr>
    </w:p>
    <w:p w14:paraId="52FA1BFF">
      <w:pPr>
        <w:pStyle w:val="17"/>
        <w:keepNext w:val="0"/>
        <w:keepLines w:val="0"/>
        <w:pageBreakBefore w:val="0"/>
        <w:shd w:val="clear"/>
        <w:kinsoku/>
        <w:topLinePunct w:val="0"/>
        <w:bidi w:val="0"/>
        <w:spacing w:line="560" w:lineRule="exact"/>
        <w:ind w:left="0" w:leftChars="0" w:firstLine="1120" w:firstLineChars="200"/>
        <w:jc w:val="center"/>
        <w:rPr>
          <w:rFonts w:hint="eastAsia" w:ascii="仿宋" w:hAnsi="仿宋" w:eastAsia="仿宋" w:cs="仿宋"/>
          <w:color w:val="auto"/>
          <w:sz w:val="56"/>
          <w:szCs w:val="56"/>
          <w:highlight w:val="none"/>
        </w:rPr>
      </w:pPr>
    </w:p>
    <w:p w14:paraId="30DA8F47">
      <w:pPr>
        <w:keepNext w:val="0"/>
        <w:keepLines w:val="0"/>
        <w:pageBreakBefore w:val="0"/>
        <w:shd w:val="clear"/>
        <w:kinsoku/>
        <w:topLinePunct w:val="0"/>
        <w:bidi w:val="0"/>
        <w:spacing w:line="560" w:lineRule="exact"/>
        <w:ind w:left="0" w:leftChars="0" w:firstLine="723" w:firstLineChars="200"/>
        <w:rPr>
          <w:rFonts w:hint="eastAsia" w:ascii="仿宋" w:hAnsi="仿宋" w:eastAsia="仿宋" w:cs="仿宋"/>
          <w:b/>
          <w:color w:val="auto"/>
          <w:sz w:val="36"/>
          <w:szCs w:val="28"/>
          <w:highlight w:val="none"/>
        </w:rPr>
        <w:sectPr>
          <w:pgSz w:w="11906" w:h="16838"/>
          <w:pgMar w:top="1417" w:right="1417" w:bottom="1417" w:left="141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CC29399">
      <w:pPr>
        <w:pStyle w:val="17"/>
        <w:keepNext w:val="0"/>
        <w:keepLines w:val="0"/>
        <w:pageBreakBefore w:val="0"/>
        <w:shd w:val="clear"/>
        <w:kinsoku/>
        <w:topLinePunct w:val="0"/>
        <w:bidi w:val="0"/>
        <w:spacing w:line="560" w:lineRule="exact"/>
        <w:ind w:left="0" w:leftChars="0" w:firstLine="723" w:firstLineChars="200"/>
        <w:jc w:val="both"/>
        <w:rPr>
          <w:rFonts w:hint="eastAsia" w:ascii="仿宋" w:hAnsi="仿宋" w:eastAsia="仿宋" w:cs="仿宋"/>
          <w:b/>
          <w:color w:val="auto"/>
          <w:sz w:val="36"/>
          <w:szCs w:val="28"/>
          <w:highlight w:val="none"/>
        </w:rPr>
      </w:pPr>
    </w:p>
    <w:p w14:paraId="60CA06E9">
      <w:pPr>
        <w:pStyle w:val="17"/>
        <w:keepNext w:val="0"/>
        <w:keepLines w:val="0"/>
        <w:pageBreakBefore w:val="0"/>
        <w:widowControl w:val="0"/>
        <w:shd w:val="clear"/>
        <w:kinsoku/>
        <w:wordWrap/>
        <w:overflowPunct/>
        <w:topLinePunct w:val="0"/>
        <w:autoSpaceDE w:val="0"/>
        <w:autoSpaceDN w:val="0"/>
        <w:bidi w:val="0"/>
        <w:adjustRightInd w:val="0"/>
        <w:snapToGrid/>
        <w:spacing w:line="560" w:lineRule="exact"/>
        <w:ind w:left="0" w:leftChars="0" w:firstLine="0" w:firstLineChars="0"/>
        <w:jc w:val="center"/>
        <w:textAlignment w:val="auto"/>
        <w:rPr>
          <w:rFonts w:hint="eastAsia" w:ascii="宋体" w:hAnsi="宋体" w:eastAsia="宋体" w:cs="宋体"/>
          <w:b/>
          <w:bCs w:val="0"/>
          <w:color w:val="auto"/>
          <w:sz w:val="40"/>
          <w:szCs w:val="40"/>
          <w:highlight w:val="none"/>
        </w:rPr>
      </w:pPr>
      <w:r>
        <w:rPr>
          <w:rFonts w:hint="eastAsia" w:ascii="宋体" w:hAnsi="宋体" w:eastAsia="宋体" w:cs="宋体"/>
          <w:b/>
          <w:bCs w:val="0"/>
          <w:color w:val="auto"/>
          <w:sz w:val="40"/>
          <w:szCs w:val="40"/>
          <w:highlight w:val="none"/>
        </w:rPr>
        <w:t>目  录</w:t>
      </w:r>
    </w:p>
    <w:p w14:paraId="6A2ACB4E">
      <w:pPr>
        <w:pStyle w:val="17"/>
        <w:keepNext w:val="0"/>
        <w:keepLines w:val="0"/>
        <w:pageBreakBefore w:val="0"/>
        <w:shd w:val="clear"/>
        <w:kinsoku/>
        <w:topLinePunct w:val="0"/>
        <w:bidi w:val="0"/>
        <w:spacing w:line="560" w:lineRule="exact"/>
        <w:ind w:left="0" w:leftChars="0" w:firstLine="723" w:firstLineChars="200"/>
        <w:jc w:val="center"/>
        <w:rPr>
          <w:rFonts w:hint="eastAsia" w:ascii="仿宋" w:hAnsi="仿宋" w:eastAsia="仿宋" w:cs="仿宋"/>
          <w:b/>
          <w:color w:val="auto"/>
          <w:sz w:val="36"/>
          <w:szCs w:val="28"/>
          <w:highlight w:val="none"/>
        </w:rPr>
      </w:pPr>
    </w:p>
    <w:p w14:paraId="6B449ADC">
      <w:pPr>
        <w:pStyle w:val="17"/>
        <w:keepNext w:val="0"/>
        <w:keepLines w:val="0"/>
        <w:pageBreakBefore w:val="0"/>
        <w:shd w:val="clear"/>
        <w:kinsoku/>
        <w:topLinePunct w:val="0"/>
        <w:bidi w:val="0"/>
        <w:spacing w:line="560" w:lineRule="exact"/>
        <w:ind w:left="0" w:leftChars="0" w:firstLine="640" w:firstLineChars="200"/>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 xml:space="preserve">第一部分 </w:t>
      </w:r>
      <w:r>
        <w:rPr>
          <w:rFonts w:hint="eastAsia" w:ascii="黑体" w:hAnsi="黑体" w:eastAsia="黑体" w:cs="黑体"/>
          <w:bCs/>
          <w:color w:val="auto"/>
          <w:sz w:val="32"/>
          <w:szCs w:val="32"/>
          <w:highlight w:val="none"/>
          <w:lang w:eastAsia="zh-CN"/>
        </w:rPr>
        <w:t>政协祁阳市委员会</w:t>
      </w:r>
      <w:r>
        <w:rPr>
          <w:rFonts w:hint="eastAsia" w:ascii="黑体" w:hAnsi="黑体" w:eastAsia="黑体" w:cs="黑体"/>
          <w:bCs/>
          <w:color w:val="auto"/>
          <w:sz w:val="32"/>
          <w:szCs w:val="32"/>
          <w:highlight w:val="none"/>
        </w:rPr>
        <w:t>部门（单位）概况</w:t>
      </w:r>
    </w:p>
    <w:p w14:paraId="3E5A2675">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一、部门职责</w:t>
      </w:r>
    </w:p>
    <w:p w14:paraId="13509129">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二、机构设置及决算单位构成</w:t>
      </w:r>
    </w:p>
    <w:p w14:paraId="3D6FF191">
      <w:pPr>
        <w:pStyle w:val="17"/>
        <w:keepNext w:val="0"/>
        <w:keepLines w:val="0"/>
        <w:pageBreakBefore w:val="0"/>
        <w:shd w:val="clear"/>
        <w:kinsoku/>
        <w:topLinePunct w:val="0"/>
        <w:bidi w:val="0"/>
        <w:spacing w:line="560" w:lineRule="exact"/>
        <w:ind w:left="0" w:leftChars="0" w:firstLine="640" w:firstLineChars="200"/>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第二部分 部门决算表</w:t>
      </w:r>
    </w:p>
    <w:p w14:paraId="051C4BA1">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一、收入支出决算总表</w:t>
      </w:r>
    </w:p>
    <w:p w14:paraId="423A2276">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二、收入决算表</w:t>
      </w:r>
    </w:p>
    <w:p w14:paraId="26DDA35C">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三、支出决算表</w:t>
      </w:r>
    </w:p>
    <w:p w14:paraId="2DFC9752">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四、财政拨款收入支出决算总表</w:t>
      </w:r>
    </w:p>
    <w:p w14:paraId="0CF68FC9">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五、一般公共预算财政拨款支出决算表</w:t>
      </w:r>
    </w:p>
    <w:p w14:paraId="45D101AB">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六、一般公共预算财政拨款基本支出决算明细表</w:t>
      </w:r>
    </w:p>
    <w:p w14:paraId="6E6CBA1F">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七、政府性基金预算财政拨款收入支出决算表</w:t>
      </w:r>
    </w:p>
    <w:p w14:paraId="704B0571">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八、国有资本经营预算财政拨款支出决算表</w:t>
      </w:r>
    </w:p>
    <w:p w14:paraId="425B8C7B">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九、财政拨款“三公”经费支出决算表</w:t>
      </w:r>
    </w:p>
    <w:p w14:paraId="766C26ED">
      <w:pPr>
        <w:pStyle w:val="17"/>
        <w:keepNext w:val="0"/>
        <w:keepLines w:val="0"/>
        <w:pageBreakBefore w:val="0"/>
        <w:shd w:val="clear"/>
        <w:kinsoku/>
        <w:topLinePunct w:val="0"/>
        <w:bidi w:val="0"/>
        <w:spacing w:line="560" w:lineRule="exact"/>
        <w:ind w:left="0" w:leftChars="0" w:firstLine="640" w:firstLineChars="200"/>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第三部分 部门决算情况说明</w:t>
      </w:r>
    </w:p>
    <w:p w14:paraId="4DDFC194">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一、收入支出决算总体情况说明</w:t>
      </w:r>
    </w:p>
    <w:p w14:paraId="25FE8DA4">
      <w:pPr>
        <w:keepNext w:val="0"/>
        <w:keepLines w:val="0"/>
        <w:pageBreakBefore w:val="0"/>
        <w:shd w:val="clear"/>
        <w:kinsoku/>
        <w:topLinePunct w:val="0"/>
        <w:bidi w:val="0"/>
        <w:spacing w:line="560" w:lineRule="exact"/>
        <w:ind w:left="0" w:leftChars="0"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二、收入决算情况说明</w:t>
      </w:r>
    </w:p>
    <w:p w14:paraId="67ECE97A">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三、支出决算情况说明</w:t>
      </w:r>
    </w:p>
    <w:p w14:paraId="76FD5FB6">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四、财政拨款收入支出决算总体情况说明</w:t>
      </w:r>
    </w:p>
    <w:p w14:paraId="176CE035">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五、一般公共预算财政拨款支出决算情况说明</w:t>
      </w:r>
    </w:p>
    <w:p w14:paraId="60CE8B0A">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14:paraId="44CA1739">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六、一般公共预算财政拨款基本支出决算情况说明</w:t>
      </w:r>
    </w:p>
    <w:p w14:paraId="634B4098">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七、财政拨款“三公”经费支出决算情况说明</w:t>
      </w:r>
    </w:p>
    <w:p w14:paraId="0CDACFD8">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八、政府性基金预算收入支出决算情况</w:t>
      </w:r>
    </w:p>
    <w:p w14:paraId="6462A94C">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九、关于机关运行经费支出说明</w:t>
      </w:r>
    </w:p>
    <w:p w14:paraId="7D6CB6A8">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十、一般性支出情况说明</w:t>
      </w:r>
    </w:p>
    <w:p w14:paraId="5C8F0719">
      <w:pPr>
        <w:keepNext w:val="0"/>
        <w:keepLines w:val="0"/>
        <w:pageBreakBefore w:val="0"/>
        <w:shd w:val="clear"/>
        <w:kinsoku/>
        <w:topLinePunct w:val="0"/>
        <w:autoSpaceDE w:val="0"/>
        <w:autoSpaceDN w:val="0"/>
        <w:bidi w:val="0"/>
        <w:adjustRightInd w:val="0"/>
        <w:spacing w:line="560" w:lineRule="exact"/>
        <w:ind w:left="0" w:leftChars="0"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十一、关于政府采购支出说明</w:t>
      </w:r>
    </w:p>
    <w:p w14:paraId="18724488">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十二、关于国有资产占用情况说明</w:t>
      </w:r>
    </w:p>
    <w:p w14:paraId="3DBC2B1A">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十三、关于2025年度预算绩效管理情况的说明</w:t>
      </w:r>
    </w:p>
    <w:p w14:paraId="24DCA106">
      <w:pPr>
        <w:pStyle w:val="17"/>
        <w:keepNext w:val="0"/>
        <w:keepLines w:val="0"/>
        <w:pageBreakBefore w:val="0"/>
        <w:shd w:val="clear"/>
        <w:kinsoku/>
        <w:topLinePunct w:val="0"/>
        <w:bidi w:val="0"/>
        <w:spacing w:line="560" w:lineRule="exact"/>
        <w:ind w:left="0" w:leftChars="0" w:firstLine="640" w:firstLineChars="200"/>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第四部分 名词解释</w:t>
      </w:r>
    </w:p>
    <w:p w14:paraId="3F44F1AA">
      <w:pPr>
        <w:pStyle w:val="17"/>
        <w:keepNext w:val="0"/>
        <w:keepLines w:val="0"/>
        <w:pageBreakBefore w:val="0"/>
        <w:shd w:val="clear"/>
        <w:kinsoku/>
        <w:topLinePunct w:val="0"/>
        <w:bidi w:val="0"/>
        <w:spacing w:line="560" w:lineRule="exact"/>
        <w:ind w:left="0" w:leftChars="0" w:firstLine="640" w:firstLineChars="200"/>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第五部分 附件</w:t>
      </w:r>
    </w:p>
    <w:p w14:paraId="4A744954">
      <w:pPr>
        <w:pStyle w:val="17"/>
        <w:keepNext w:val="0"/>
        <w:keepLines w:val="0"/>
        <w:pageBreakBefore w:val="0"/>
        <w:shd w:val="clear"/>
        <w:kinsoku/>
        <w:topLinePunct w:val="0"/>
        <w:bidi w:val="0"/>
        <w:spacing w:line="560" w:lineRule="exact"/>
        <w:ind w:left="0" w:leftChars="0" w:firstLine="560" w:firstLineChars="200"/>
        <w:rPr>
          <w:rFonts w:hint="eastAsia" w:ascii="仿宋" w:hAnsi="仿宋" w:eastAsia="仿宋" w:cs="仿宋"/>
          <w:bCs/>
          <w:color w:val="auto"/>
          <w:sz w:val="28"/>
          <w:szCs w:val="28"/>
          <w:highlight w:val="none"/>
        </w:rPr>
      </w:pPr>
    </w:p>
    <w:p w14:paraId="00DEF5FA">
      <w:pPr>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6E9B5552">
      <w:pPr>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156A36E6">
      <w:pPr>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1876C5E2">
      <w:pPr>
        <w:pStyle w:val="9"/>
        <w:keepNext w:val="0"/>
        <w:keepLines w:val="0"/>
        <w:pageBreakBefore w:val="0"/>
        <w:shd w:val="clear"/>
        <w:kinsoku/>
        <w:topLinePunct w:val="0"/>
        <w:bidi w:val="0"/>
        <w:spacing w:line="560" w:lineRule="exact"/>
        <w:ind w:left="0" w:leftChars="0" w:firstLine="360" w:firstLineChars="200"/>
        <w:rPr>
          <w:rFonts w:hint="eastAsia" w:ascii="仿宋" w:hAnsi="仿宋" w:eastAsia="仿宋" w:cs="仿宋"/>
          <w:color w:val="auto"/>
          <w:highlight w:val="none"/>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14:paraId="78B1BB4A">
      <w:pPr>
        <w:keepNext w:val="0"/>
        <w:keepLines w:val="0"/>
        <w:pageBreakBefore w:val="0"/>
        <w:shd w:val="clear"/>
        <w:kinsoku/>
        <w:topLinePunct w:val="0"/>
        <w:bidi w:val="0"/>
        <w:spacing w:line="560" w:lineRule="exact"/>
        <w:ind w:left="0" w:leftChars="0" w:firstLine="1440" w:firstLineChars="200"/>
        <w:rPr>
          <w:rFonts w:hint="eastAsia" w:ascii="仿宋" w:hAnsi="仿宋" w:eastAsia="仿宋" w:cs="仿宋"/>
          <w:color w:val="auto"/>
          <w:sz w:val="72"/>
          <w:szCs w:val="72"/>
          <w:highlight w:val="none"/>
        </w:rPr>
      </w:pPr>
    </w:p>
    <w:p w14:paraId="3B543F3C">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26FE5D83">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026A8DF6">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127EBF3A">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第一部分</w:t>
      </w:r>
    </w:p>
    <w:p w14:paraId="7554B764">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lang w:eastAsia="zh-CN"/>
        </w:rPr>
        <w:t>政协祁阳市委员会</w:t>
      </w:r>
      <w:r>
        <w:rPr>
          <w:rFonts w:hint="eastAsia" w:ascii="仿宋" w:hAnsi="仿宋" w:eastAsia="仿宋" w:cs="仿宋"/>
          <w:b/>
          <w:bCs/>
          <w:color w:val="auto"/>
          <w:sz w:val="72"/>
          <w:szCs w:val="72"/>
          <w:highlight w:val="none"/>
        </w:rPr>
        <w:t>部门</w:t>
      </w:r>
    </w:p>
    <w:p w14:paraId="224D533C">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（单位）概况</w:t>
      </w:r>
    </w:p>
    <w:p w14:paraId="69885F39">
      <w:pPr>
        <w:pStyle w:val="5"/>
        <w:keepNext w:val="0"/>
        <w:keepLines w:val="0"/>
        <w:pageBreakBefore w:val="0"/>
        <w:shd w:val="clear"/>
        <w:kinsoku/>
        <w:topLinePunct w:val="0"/>
        <w:bidi w:val="0"/>
        <w:spacing w:after="0" w:line="560" w:lineRule="exact"/>
        <w:ind w:left="0" w:leftChars="0" w:firstLine="480" w:firstLineChars="200"/>
        <w:rPr>
          <w:rFonts w:hint="eastAsia" w:ascii="仿宋" w:hAnsi="仿宋" w:eastAsia="仿宋" w:cs="仿宋"/>
          <w:color w:val="auto"/>
          <w:highlight w:val="none"/>
        </w:rPr>
      </w:pPr>
    </w:p>
    <w:p w14:paraId="7CCE2E2C">
      <w:pPr>
        <w:shd w:val="clea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p>
    <w:p w14:paraId="270B76EB">
      <w:pPr>
        <w:pStyle w:val="18"/>
        <w:keepNext w:val="0"/>
        <w:keepLines w:val="0"/>
        <w:pageBreakBefore w:val="0"/>
        <w:shd w:val="clear"/>
        <w:kinsoku/>
        <w:topLinePunct w:val="0"/>
        <w:bidi w:val="0"/>
        <w:spacing w:line="560" w:lineRule="exact"/>
        <w:ind w:left="0" w:leftChars="0" w:firstLine="640" w:firstLineChars="200"/>
        <w:jc w:val="left"/>
        <w:rPr>
          <w:rFonts w:hint="eastAsia" w:ascii="黑体" w:hAnsi="黑体" w:eastAsia="黑体" w:cs="黑体"/>
          <w:color w:val="auto"/>
          <w:sz w:val="32"/>
          <w:szCs w:val="32"/>
          <w:highlight w:val="none"/>
        </w:rPr>
      </w:pPr>
    </w:p>
    <w:p w14:paraId="0EBC5A46">
      <w:pPr>
        <w:pStyle w:val="18"/>
        <w:keepNext w:val="0"/>
        <w:keepLines w:val="0"/>
        <w:pageBreakBefore w:val="0"/>
        <w:shd w:val="clear"/>
        <w:kinsoku/>
        <w:topLinePunct w:val="0"/>
        <w:bidi w:val="0"/>
        <w:spacing w:line="560" w:lineRule="exact"/>
        <w:ind w:left="0" w:leftChars="0" w:firstLine="640" w:firstLineChars="200"/>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一、部门职责</w:t>
      </w:r>
    </w:p>
    <w:p w14:paraId="21A1E7E8">
      <w:pPr>
        <w:pStyle w:val="11"/>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一</w:t>
      </w:r>
      <w:r>
        <w:rPr>
          <w:rFonts w:hint="eastAsia" w:ascii="仿宋" w:hAnsi="仿宋" w:eastAsia="仿宋" w:cs="仿宋"/>
          <w:color w:val="auto"/>
          <w:sz w:val="32"/>
          <w:szCs w:val="32"/>
          <w:highlight w:val="none"/>
        </w:rPr>
        <w:t>）负责市政协全体会议、常务委员会会议、主席会议、主席办公会议、专题协商会议的会务工作，负责上述会议所形成的决议、决定、建议案的组织实施。</w:t>
      </w:r>
    </w:p>
    <w:p w14:paraId="046AB1E4">
      <w:pPr>
        <w:pStyle w:val="11"/>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二</w:t>
      </w:r>
      <w:r>
        <w:rPr>
          <w:rFonts w:hint="eastAsia" w:ascii="仿宋" w:hAnsi="仿宋" w:eastAsia="仿宋" w:cs="仿宋"/>
          <w:color w:val="auto"/>
          <w:sz w:val="32"/>
          <w:szCs w:val="32"/>
          <w:highlight w:val="none"/>
        </w:rPr>
        <w:t>）协调市政协各专门委员会的工作，充分发挥市政协委员的作用，履行好政治协商、民主监督、参政议政的基本职能。</w:t>
      </w:r>
    </w:p>
    <w:p w14:paraId="4D2A1353">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三</w:t>
      </w:r>
      <w:r>
        <w:rPr>
          <w:rFonts w:hint="eastAsia" w:ascii="仿宋" w:hAnsi="仿宋" w:eastAsia="仿宋" w:cs="仿宋"/>
          <w:color w:val="auto"/>
          <w:sz w:val="32"/>
          <w:szCs w:val="32"/>
          <w:highlight w:val="none"/>
        </w:rPr>
        <w:t>）负责市政协委员进行视察、考察、参观、调查、座谈、学习、研讨等日常活动的服务和具体组织工作，受市政协的委托，组织在祁阳的省、市政协委员进行视察、考察等活动。</w:t>
      </w:r>
    </w:p>
    <w:p w14:paraId="697DF03D">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四</w:t>
      </w:r>
      <w:r>
        <w:rPr>
          <w:rFonts w:hint="eastAsia" w:ascii="仿宋" w:hAnsi="仿宋" w:eastAsia="仿宋" w:cs="仿宋"/>
          <w:color w:val="auto"/>
          <w:sz w:val="32"/>
          <w:szCs w:val="32"/>
          <w:highlight w:val="none"/>
        </w:rPr>
        <w:t>）研究统一战线和人民政协的理论、政策，调查研究地方政协的共同性问题及其解决办法。</w:t>
      </w:r>
    </w:p>
    <w:p w14:paraId="2BD67C2D">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五</w:t>
      </w:r>
      <w:r>
        <w:rPr>
          <w:rFonts w:hint="eastAsia" w:ascii="仿宋" w:hAnsi="仿宋" w:eastAsia="仿宋" w:cs="仿宋"/>
          <w:color w:val="auto"/>
          <w:sz w:val="32"/>
          <w:szCs w:val="32"/>
          <w:highlight w:val="none"/>
        </w:rPr>
        <w:t>）宣传人民政协的方针政策、工作业绩、经验及政协委员的先进事迹，收集和反映市政协委员和各界人士的意见和建议，综合反映社情民意。</w:t>
      </w:r>
    </w:p>
    <w:p w14:paraId="00F6EB69">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六</w:t>
      </w:r>
      <w:r>
        <w:rPr>
          <w:rFonts w:hint="eastAsia" w:ascii="仿宋" w:hAnsi="仿宋" w:eastAsia="仿宋" w:cs="仿宋"/>
          <w:color w:val="auto"/>
          <w:sz w:val="32"/>
          <w:szCs w:val="32"/>
          <w:highlight w:val="none"/>
        </w:rPr>
        <w:t>）联系工商联、各人民团体和无党派人士。联系市直各部门，互通信息，协调工作。</w:t>
      </w:r>
    </w:p>
    <w:p w14:paraId="02C272C8">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七</w:t>
      </w:r>
      <w:r>
        <w:rPr>
          <w:rFonts w:hint="eastAsia" w:ascii="仿宋" w:hAnsi="仿宋" w:eastAsia="仿宋" w:cs="仿宋"/>
          <w:color w:val="auto"/>
          <w:sz w:val="32"/>
          <w:szCs w:val="32"/>
          <w:highlight w:val="none"/>
        </w:rPr>
        <w:t>）负责“政协云”平台运行、管理和维护工作。</w:t>
      </w:r>
    </w:p>
    <w:p w14:paraId="3FD39DD4">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八</w:t>
      </w:r>
      <w:r>
        <w:rPr>
          <w:rFonts w:hint="eastAsia" w:ascii="仿宋" w:hAnsi="仿宋" w:eastAsia="仿宋" w:cs="仿宋"/>
          <w:color w:val="auto"/>
          <w:sz w:val="32"/>
          <w:szCs w:val="32"/>
          <w:highlight w:val="none"/>
        </w:rPr>
        <w:t>）负责市政协开展各项活动的有关后勤服务管理工作和市政协机关行政事务管理工作。</w:t>
      </w:r>
    </w:p>
    <w:p w14:paraId="088C6922">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九</w:t>
      </w:r>
      <w:r>
        <w:rPr>
          <w:rFonts w:hint="eastAsia" w:ascii="仿宋" w:hAnsi="仿宋" w:eastAsia="仿宋" w:cs="仿宋"/>
          <w:color w:val="auto"/>
          <w:sz w:val="32"/>
          <w:szCs w:val="32"/>
          <w:highlight w:val="none"/>
        </w:rPr>
        <w:t>）负责权限范围内人事任免。</w:t>
      </w:r>
    </w:p>
    <w:p w14:paraId="08D77DF5">
      <w:pPr>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十</w:t>
      </w:r>
      <w:r>
        <w:rPr>
          <w:rFonts w:hint="eastAsia" w:ascii="仿宋" w:hAnsi="仿宋" w:eastAsia="仿宋" w:cs="仿宋"/>
          <w:color w:val="auto"/>
          <w:sz w:val="32"/>
          <w:szCs w:val="32"/>
          <w:highlight w:val="none"/>
        </w:rPr>
        <w:t>）负责接待来祁访问的海内外有关友好人士和对外联谊工作。</w:t>
      </w:r>
    </w:p>
    <w:p w14:paraId="009AE168">
      <w:pPr>
        <w:pStyle w:val="2"/>
        <w:keepNext w:val="0"/>
        <w:keepLines w:val="0"/>
        <w:pageBreakBefore w:val="0"/>
        <w:shd w:val="clear"/>
        <w:kinsoku/>
        <w:topLinePunct w:val="0"/>
        <w:bidi w:val="0"/>
        <w:spacing w:after="0" w:line="560" w:lineRule="exact"/>
        <w:ind w:left="0" w:leftChars="0" w:firstLine="640" w:firstLineChars="200"/>
        <w:rPr>
          <w:rFonts w:hint="eastAsia" w:ascii="仿宋" w:hAnsi="仿宋" w:eastAsia="仿宋" w:cs="仿宋"/>
          <w:b/>
          <w:bCs/>
          <w:color w:val="auto"/>
          <w:kern w:val="0"/>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十一</w:t>
      </w:r>
      <w:r>
        <w:rPr>
          <w:rFonts w:hint="eastAsia" w:ascii="仿宋" w:hAnsi="仿宋" w:eastAsia="仿宋" w:cs="仿宋"/>
          <w:color w:val="auto"/>
          <w:sz w:val="32"/>
          <w:szCs w:val="32"/>
          <w:highlight w:val="none"/>
        </w:rPr>
        <w:t>）承办市委交办的其他工作。</w:t>
      </w:r>
    </w:p>
    <w:p w14:paraId="6D3F0FE3">
      <w:pPr>
        <w:pStyle w:val="18"/>
        <w:keepNext w:val="0"/>
        <w:keepLines w:val="0"/>
        <w:pageBreakBefore w:val="0"/>
        <w:shd w:val="clear"/>
        <w:kinsoku/>
        <w:topLinePunct w:val="0"/>
        <w:bidi w:val="0"/>
        <w:spacing w:line="560" w:lineRule="exact"/>
        <w:ind w:left="0" w:leftChars="0" w:firstLine="640" w:firstLineChars="200"/>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二、机构设置及决算单位构成</w:t>
      </w:r>
    </w:p>
    <w:p w14:paraId="7932814D">
      <w:pPr>
        <w:keepNext w:val="0"/>
        <w:keepLines w:val="0"/>
        <w:pageBreakBefore w:val="0"/>
        <w:widowControl/>
        <w:shd w:val="clear"/>
        <w:kinsoku/>
        <w:topLinePunct w:val="0"/>
        <w:bidi w:val="0"/>
        <w:spacing w:line="560" w:lineRule="exact"/>
        <w:ind w:left="0" w:leftChars="0" w:firstLine="643" w:firstLineChars="200"/>
        <w:rPr>
          <w:rFonts w:hint="eastAsia" w:ascii="楷体" w:hAnsi="楷体" w:eastAsia="楷体" w:cs="楷体"/>
          <w:b/>
          <w:bCs w:val="0"/>
          <w:color w:val="auto"/>
          <w:kern w:val="0"/>
          <w:sz w:val="32"/>
          <w:szCs w:val="32"/>
          <w:highlight w:val="none"/>
        </w:rPr>
      </w:pPr>
      <w:r>
        <w:rPr>
          <w:rFonts w:hint="eastAsia" w:ascii="楷体" w:hAnsi="楷体" w:eastAsia="楷体" w:cs="楷体"/>
          <w:b/>
          <w:bCs w:val="0"/>
          <w:color w:val="auto"/>
          <w:kern w:val="0"/>
          <w:sz w:val="32"/>
          <w:szCs w:val="32"/>
          <w:highlight w:val="none"/>
        </w:rPr>
        <w:t>（一）内设机构设置。</w:t>
      </w:r>
    </w:p>
    <w:p w14:paraId="463F6149">
      <w:pPr>
        <w:keepNext w:val="0"/>
        <w:keepLines w:val="0"/>
        <w:pageBreakBefore w:val="0"/>
        <w:widowControl/>
        <w:shd w:val="clear"/>
        <w:kinsoku/>
        <w:topLinePunct w:val="0"/>
        <w:bidi w:val="0"/>
        <w:spacing w:line="560" w:lineRule="exact"/>
        <w:ind w:left="0" w:leftChars="0" w:firstLine="640" w:firstLineChars="200"/>
        <w:rPr>
          <w:rFonts w:hint="eastAsia" w:ascii="仿宋" w:hAnsi="仿宋" w:eastAsia="仿宋" w:cs="仿宋"/>
          <w:bCs/>
          <w:color w:val="auto"/>
          <w:kern w:val="0"/>
          <w:sz w:val="32"/>
          <w:szCs w:val="32"/>
          <w:highlight w:val="none"/>
        </w:rPr>
      </w:pPr>
      <w:r>
        <w:rPr>
          <w:rFonts w:hint="eastAsia" w:ascii="仿宋" w:hAnsi="仿宋" w:eastAsia="仿宋" w:cs="仿宋"/>
          <w:bCs/>
          <w:color w:val="auto"/>
          <w:kern w:val="0"/>
          <w:sz w:val="32"/>
          <w:szCs w:val="32"/>
          <w:highlight w:val="none"/>
        </w:rPr>
        <w:t>内设机构设置：祁阳市政协委员会内设机构包括：</w:t>
      </w:r>
    </w:p>
    <w:p w14:paraId="50C4D67C">
      <w:pPr>
        <w:keepNext w:val="0"/>
        <w:keepLines w:val="0"/>
        <w:pageBreakBefore w:val="0"/>
        <w:widowControl/>
        <w:shd w:val="clear"/>
        <w:kinsoku/>
        <w:topLinePunct w:val="0"/>
        <w:bidi w:val="0"/>
        <w:spacing w:line="560" w:lineRule="exact"/>
        <w:ind w:left="0" w:leftChars="0" w:firstLine="640" w:firstLineChars="200"/>
        <w:rPr>
          <w:rFonts w:hint="eastAsia" w:ascii="仿宋" w:hAnsi="仿宋" w:eastAsia="仿宋" w:cs="仿宋"/>
          <w:bCs/>
          <w:color w:val="auto"/>
          <w:kern w:val="0"/>
          <w:sz w:val="32"/>
          <w:szCs w:val="32"/>
          <w:highlight w:val="none"/>
        </w:rPr>
      </w:pPr>
      <w:r>
        <w:rPr>
          <w:rFonts w:hint="eastAsia" w:ascii="仿宋" w:hAnsi="仿宋" w:eastAsia="仿宋" w:cs="仿宋"/>
          <w:bCs/>
          <w:color w:val="auto"/>
          <w:kern w:val="0"/>
          <w:sz w:val="32"/>
          <w:szCs w:val="32"/>
          <w:highlight w:val="none"/>
        </w:rPr>
        <w:t>办公室、委员学习联络委、提案委、经济科技和外事委、文教卫体和文史委、农业农村和人口资源环境委、社会法制和民族宗教委等一办六委和政协云管理中心。</w:t>
      </w:r>
    </w:p>
    <w:p w14:paraId="76EB7931">
      <w:pPr>
        <w:keepNext w:val="0"/>
        <w:keepLines w:val="0"/>
        <w:pageBreakBefore w:val="0"/>
        <w:widowControl/>
        <w:shd w:val="clear"/>
        <w:kinsoku/>
        <w:topLinePunct w:val="0"/>
        <w:bidi w:val="0"/>
        <w:spacing w:line="560" w:lineRule="exact"/>
        <w:ind w:left="0" w:leftChars="0" w:firstLine="643" w:firstLineChars="200"/>
        <w:rPr>
          <w:rFonts w:hint="eastAsia" w:ascii="楷体" w:hAnsi="楷体" w:eastAsia="楷体" w:cs="楷体"/>
          <w:b/>
          <w:bCs w:val="0"/>
          <w:color w:val="auto"/>
          <w:kern w:val="0"/>
          <w:sz w:val="32"/>
          <w:szCs w:val="32"/>
          <w:highlight w:val="none"/>
        </w:rPr>
      </w:pPr>
      <w:r>
        <w:rPr>
          <w:rFonts w:hint="eastAsia" w:ascii="楷体" w:hAnsi="楷体" w:eastAsia="楷体" w:cs="楷体"/>
          <w:b/>
          <w:bCs w:val="0"/>
          <w:color w:val="auto"/>
          <w:kern w:val="0"/>
          <w:sz w:val="32"/>
          <w:szCs w:val="32"/>
          <w:highlight w:val="none"/>
        </w:rPr>
        <w:t>（二）决算单位构成。</w:t>
      </w:r>
    </w:p>
    <w:p w14:paraId="7B714C0F">
      <w:pPr>
        <w:keepNext w:val="0"/>
        <w:keepLines w:val="0"/>
        <w:pageBreakBefore w:val="0"/>
        <w:widowControl/>
        <w:shd w:val="clear"/>
        <w:kinsoku/>
        <w:topLinePunct w:val="0"/>
        <w:bidi w:val="0"/>
        <w:spacing w:line="560" w:lineRule="exact"/>
        <w:ind w:left="0" w:leftChars="0" w:firstLine="640" w:firstLineChars="200"/>
        <w:rPr>
          <w:rFonts w:hint="eastAsia" w:ascii="仿宋" w:hAnsi="仿宋" w:eastAsia="仿宋" w:cs="仿宋"/>
          <w:bCs/>
          <w:color w:val="auto"/>
          <w:kern w:val="0"/>
          <w:sz w:val="32"/>
          <w:szCs w:val="32"/>
          <w:highlight w:val="none"/>
        </w:rPr>
      </w:pPr>
      <w:r>
        <w:rPr>
          <w:rFonts w:hint="eastAsia" w:ascii="仿宋" w:hAnsi="仿宋" w:eastAsia="仿宋" w:cs="仿宋"/>
          <w:bCs/>
          <w:color w:val="auto"/>
          <w:kern w:val="0"/>
          <w:sz w:val="32"/>
          <w:szCs w:val="32"/>
          <w:highlight w:val="none"/>
        </w:rPr>
        <w:t>祁阳市政协委员会</w:t>
      </w:r>
      <w:r>
        <w:rPr>
          <w:rFonts w:hint="eastAsia" w:ascii="仿宋" w:hAnsi="仿宋" w:eastAsia="仿宋" w:cs="仿宋"/>
          <w:bCs/>
          <w:color w:val="auto"/>
          <w:kern w:val="0"/>
          <w:sz w:val="32"/>
          <w:szCs w:val="32"/>
          <w:highlight w:val="none"/>
          <w:lang w:val="en-US" w:eastAsia="zh-CN"/>
        </w:rPr>
        <w:t>2025</w:t>
      </w:r>
      <w:r>
        <w:rPr>
          <w:rFonts w:hint="eastAsia" w:ascii="仿宋" w:hAnsi="仿宋" w:eastAsia="仿宋" w:cs="仿宋"/>
          <w:bCs/>
          <w:color w:val="auto"/>
          <w:kern w:val="0"/>
          <w:sz w:val="32"/>
          <w:szCs w:val="32"/>
          <w:highlight w:val="none"/>
        </w:rPr>
        <w:t>年部门决算汇总公开单位构成包括：祁阳市政协委员会以祁阳市政协委员会为决算单位，无下属单位，单位性质为财政全额拨款行政单位，决算编报类型为单户表，按照行政单位会计制度填报决算数据。</w:t>
      </w:r>
    </w:p>
    <w:p w14:paraId="76C8DDC6">
      <w:pPr>
        <w:keepNext w:val="0"/>
        <w:keepLines w:val="0"/>
        <w:pageBreakBefore w:val="0"/>
        <w:widowControl/>
        <w:shd w:val="clear"/>
        <w:kinsoku/>
        <w:topLinePunct w:val="0"/>
        <w:bidi w:val="0"/>
        <w:spacing w:line="560" w:lineRule="exact"/>
        <w:ind w:left="0" w:leftChars="0" w:firstLine="640" w:firstLineChars="200"/>
        <w:rPr>
          <w:rFonts w:hint="eastAsia" w:ascii="仿宋" w:hAnsi="仿宋" w:eastAsia="仿宋" w:cs="仿宋"/>
          <w:bCs/>
          <w:color w:val="auto"/>
          <w:kern w:val="0"/>
          <w:sz w:val="32"/>
          <w:szCs w:val="32"/>
          <w:highlight w:val="none"/>
        </w:rPr>
      </w:pPr>
    </w:p>
    <w:p w14:paraId="1717566A">
      <w:pPr>
        <w:keepNext w:val="0"/>
        <w:keepLines w:val="0"/>
        <w:pageBreakBefore w:val="0"/>
        <w:shd w:val="clear"/>
        <w:kinsoku/>
        <w:topLinePunct w:val="0"/>
        <w:bidi w:val="0"/>
        <w:spacing w:line="560" w:lineRule="exact"/>
        <w:ind w:left="0" w:leftChars="0" w:firstLine="560" w:firstLineChars="200"/>
        <w:jc w:val="left"/>
        <w:rPr>
          <w:rFonts w:hint="eastAsia" w:ascii="仿宋" w:hAnsi="仿宋" w:eastAsia="仿宋" w:cs="仿宋"/>
          <w:color w:val="auto"/>
          <w:sz w:val="28"/>
          <w:szCs w:val="32"/>
          <w:highlight w:val="none"/>
        </w:rPr>
      </w:pPr>
    </w:p>
    <w:p w14:paraId="13D64B59">
      <w:pPr>
        <w:keepNext w:val="0"/>
        <w:keepLines w:val="0"/>
        <w:pageBreakBefore w:val="0"/>
        <w:shd w:val="clear"/>
        <w:kinsoku/>
        <w:topLinePunct w:val="0"/>
        <w:bidi w:val="0"/>
        <w:spacing w:line="560" w:lineRule="exact"/>
        <w:ind w:left="0" w:leftChars="0" w:firstLine="560" w:firstLineChars="200"/>
        <w:jc w:val="center"/>
        <w:rPr>
          <w:rFonts w:hint="eastAsia" w:ascii="仿宋" w:hAnsi="仿宋" w:eastAsia="仿宋" w:cs="仿宋"/>
          <w:color w:val="auto"/>
          <w:sz w:val="28"/>
          <w:szCs w:val="28"/>
          <w:highlight w:val="none"/>
        </w:rPr>
      </w:pPr>
    </w:p>
    <w:p w14:paraId="48CA4172">
      <w:pPr>
        <w:keepNext w:val="0"/>
        <w:keepLines w:val="0"/>
        <w:pageBreakBefore w:val="0"/>
        <w:shd w:val="clear"/>
        <w:kinsoku/>
        <w:topLinePunct w:val="0"/>
        <w:bidi w:val="0"/>
        <w:spacing w:line="560" w:lineRule="exact"/>
        <w:ind w:left="0" w:leftChars="0" w:firstLine="560" w:firstLineChars="200"/>
        <w:jc w:val="center"/>
        <w:rPr>
          <w:rFonts w:hint="eastAsia" w:ascii="仿宋" w:hAnsi="仿宋" w:eastAsia="仿宋" w:cs="仿宋"/>
          <w:color w:val="auto"/>
          <w:sz w:val="28"/>
          <w:szCs w:val="28"/>
          <w:highlight w:val="none"/>
        </w:rPr>
      </w:pPr>
    </w:p>
    <w:p w14:paraId="0EF358E3">
      <w:pPr>
        <w:keepNext w:val="0"/>
        <w:keepLines w:val="0"/>
        <w:pageBreakBefore w:val="0"/>
        <w:shd w:val="clear"/>
        <w:kinsoku/>
        <w:topLinePunct w:val="0"/>
        <w:bidi w:val="0"/>
        <w:spacing w:line="560" w:lineRule="exact"/>
        <w:ind w:left="0" w:leftChars="0" w:firstLine="560" w:firstLineChars="200"/>
        <w:jc w:val="center"/>
        <w:rPr>
          <w:rFonts w:hint="eastAsia" w:ascii="仿宋" w:hAnsi="仿宋" w:eastAsia="仿宋" w:cs="仿宋"/>
          <w:color w:val="auto"/>
          <w:sz w:val="28"/>
          <w:szCs w:val="28"/>
          <w:highlight w:val="none"/>
        </w:rPr>
      </w:pPr>
    </w:p>
    <w:p w14:paraId="6338DABB">
      <w:pPr>
        <w:pStyle w:val="9"/>
        <w:keepNext w:val="0"/>
        <w:keepLines w:val="0"/>
        <w:pageBreakBefore w:val="0"/>
        <w:shd w:val="clear"/>
        <w:tabs>
          <w:tab w:val="left" w:pos="5318"/>
        </w:tabs>
        <w:kinsoku/>
        <w:topLinePunct w:val="0"/>
        <w:bidi w:val="0"/>
        <w:spacing w:line="560" w:lineRule="exact"/>
        <w:ind w:left="0" w:leftChars="0" w:firstLine="360" w:firstLineChars="200"/>
        <w:rPr>
          <w:rFonts w:hint="eastAsia" w:ascii="仿宋" w:hAnsi="仿宋" w:eastAsia="仿宋" w:cs="仿宋"/>
          <w:color w:val="auto"/>
          <w:highlight w:val="none"/>
          <w:lang w:eastAsia="zh-C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eastAsia" w:ascii="仿宋" w:hAnsi="仿宋" w:eastAsia="仿宋" w:cs="仿宋"/>
          <w:color w:val="auto"/>
          <w:highlight w:val="none"/>
          <w:lang w:eastAsia="zh-CN"/>
        </w:rPr>
        <w:tab/>
      </w:r>
    </w:p>
    <w:p w14:paraId="0A50C8CD">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05CD76B3">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3B3DEF0D">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76270373">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7D7349DD">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第二部分    部门决算表</w:t>
      </w:r>
    </w:p>
    <w:p w14:paraId="7B76B9F8">
      <w:pPr>
        <w:shd w:val="clea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br w:type="page"/>
      </w:r>
    </w:p>
    <w:p w14:paraId="2BAC2BF6">
      <w:pPr>
        <w:keepNext w:val="0"/>
        <w:keepLines w:val="0"/>
        <w:pageBreakBefore w:val="0"/>
        <w:widowControl/>
        <w:shd w:val="clear"/>
        <w:kinsoku/>
        <w:wordWrap/>
        <w:overflowPunct/>
        <w:topLinePunct w:val="0"/>
        <w:autoSpaceDE/>
        <w:autoSpaceDN/>
        <w:bidi w:val="0"/>
        <w:adjustRightInd/>
        <w:snapToGrid/>
        <w:spacing w:line="40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p>
    <w:p w14:paraId="3C3765A5">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收入支出决算总表</w:t>
      </w:r>
    </w:p>
    <w:p w14:paraId="2E7BD979">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eastAsia="zh-CN"/>
        </w:rPr>
        <w:t>公开01表</w:t>
      </w:r>
    </w:p>
    <w:p w14:paraId="41675823">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8"/>
          <w:szCs w:val="28"/>
          <w:highlight w:val="none"/>
          <w:lang w:eastAsia="zh-CN"/>
        </w:rPr>
        <w:t xml:space="preserve">部门：中国人民政治协商会议湖南省祁阳市委员会  </w:t>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eastAsia="zh-CN"/>
        </w:rPr>
        <w:tab/>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eastAsia="zh-CN"/>
        </w:rPr>
        <w:t>单位：万元</w:t>
      </w:r>
    </w:p>
    <w:tbl>
      <w:tblPr>
        <w:tblStyle w:val="12"/>
        <w:tblW w:w="14896" w:type="dxa"/>
        <w:jc w:val="center"/>
        <w:shd w:val="clear" w:color="auto" w:fill="auto"/>
        <w:tblLayout w:type="autofit"/>
        <w:tblCellMar>
          <w:top w:w="0" w:type="dxa"/>
          <w:left w:w="108" w:type="dxa"/>
          <w:bottom w:w="0" w:type="dxa"/>
          <w:right w:w="108" w:type="dxa"/>
        </w:tblCellMar>
      </w:tblPr>
      <w:tblGrid>
        <w:gridCol w:w="5869"/>
        <w:gridCol w:w="1047"/>
        <w:gridCol w:w="1393"/>
        <w:gridCol w:w="4146"/>
        <w:gridCol w:w="1047"/>
        <w:gridCol w:w="1394"/>
      </w:tblGrid>
      <w:tr w14:paraId="37F57306">
        <w:tblPrEx>
          <w:shd w:val="clear" w:color="auto" w:fill="auto"/>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956B544">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41EBDF2">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支出</w:t>
            </w:r>
          </w:p>
        </w:tc>
      </w:tr>
      <w:tr w14:paraId="6E2B9B0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8DA3F9">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2F88B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9C727D">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决算数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65E325">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D5289B">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87301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决算数</w:t>
            </w:r>
          </w:p>
        </w:tc>
      </w:tr>
      <w:tr w14:paraId="5A54813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4F559A">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26DA94">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b/>
                <w:bCs/>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955EB9">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3A5E47">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469CCC">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b/>
                <w:bCs/>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2533DC">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2</w:t>
            </w:r>
          </w:p>
        </w:tc>
      </w:tr>
      <w:tr w14:paraId="62B878E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B3DBE1">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B4D127">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FE68A7">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693.30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D790FB">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C71538">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57F18B">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599.91</w:t>
            </w:r>
          </w:p>
        </w:tc>
      </w:tr>
      <w:tr w14:paraId="1EA282E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9EF647">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2CE0DE">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9F6A08">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44763A">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82BF8D">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D6BF21">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r>
      <w:tr w14:paraId="5AD2FB8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FC9440">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7E213A">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66E134">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F0336C">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3891DD">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3DEC66">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r>
      <w:tr w14:paraId="4AE9474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CFAC6A">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6FF47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11A904">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B0BEA7">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97DC6F">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4DF191">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r>
      <w:tr w14:paraId="6E3C29D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92EE54">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B8D411">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9E09D2">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9597BF">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A7D6B3">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7E7F32">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r>
      <w:tr w14:paraId="77DADF4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ECF94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D6AC0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3FE112">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34ACC3">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A3AD19">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7A4E07">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r>
      <w:tr w14:paraId="064593E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E0397E">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A42B6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769C19">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59C3B1">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七、社会保障和就业支出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A2D02B">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C48F82">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43.48</w:t>
            </w:r>
          </w:p>
        </w:tc>
      </w:tr>
      <w:tr w14:paraId="50ACECA0">
        <w:tblPrEx>
          <w:tblCellMar>
            <w:top w:w="0" w:type="dxa"/>
            <w:left w:w="108" w:type="dxa"/>
            <w:bottom w:w="0" w:type="dxa"/>
            <w:right w:w="108" w:type="dxa"/>
          </w:tblCellMar>
        </w:tblPrEx>
        <w:trPr>
          <w:trHeight w:val="30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9B4473">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5FB577">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26042C">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E2DF13">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八</w:t>
            </w:r>
            <w:r>
              <w:rPr>
                <w:rFonts w:hint="eastAsia" w:ascii="宋体" w:hAnsi="宋体" w:eastAsia="宋体" w:cs="宋体"/>
                <w:color w:val="auto"/>
                <w:sz w:val="21"/>
                <w:szCs w:val="21"/>
                <w:highlight w:val="none"/>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BE8E28">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0E75A3">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19.03</w:t>
            </w:r>
          </w:p>
        </w:tc>
      </w:tr>
      <w:tr w14:paraId="0A60C4B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09A2F7">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7EBC31">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818FFC">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A8DACA">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1B36F8">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45930D">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30.88</w:t>
            </w:r>
          </w:p>
        </w:tc>
      </w:tr>
      <w:tr w14:paraId="474EAC8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F087D2">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E6C6B1">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47187E">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693.3</w:t>
            </w:r>
            <w:r>
              <w:rPr>
                <w:rFonts w:hint="eastAsia" w:ascii="宋体" w:hAnsi="宋体" w:eastAsia="宋体" w:cs="宋体"/>
                <w:color w:val="auto"/>
                <w:sz w:val="21"/>
                <w:szCs w:val="21"/>
                <w:highlight w:val="none"/>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792498">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328184">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4E5CB8">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693.30</w:t>
            </w:r>
          </w:p>
        </w:tc>
      </w:tr>
      <w:tr w14:paraId="7B0B881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4DEFF8">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8C72B7">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5A8DA5">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50A5DC">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结余分配</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E1FB7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A9DDDE">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r>
      <w:tr w14:paraId="78D228B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8D78EE">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F9AFCF">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C0BE71">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5A90B9">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7BEC6D">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46F38A">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rPr>
            </w:pPr>
          </w:p>
        </w:tc>
      </w:tr>
      <w:tr w14:paraId="7DE96DB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E8FBD7">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2E458F">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06DE4B">
            <w:pPr>
              <w:keepNext w:val="0"/>
              <w:keepLines w:val="0"/>
              <w:pageBreakBefore w:val="0"/>
              <w:shd w:val="clear"/>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693.3</w:t>
            </w:r>
            <w:r>
              <w:rPr>
                <w:rFonts w:hint="eastAsia" w:ascii="宋体" w:hAnsi="宋体" w:eastAsia="宋体" w:cs="宋体"/>
                <w:color w:val="auto"/>
                <w:sz w:val="21"/>
                <w:szCs w:val="21"/>
                <w:highlight w:val="none"/>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A40B0F">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BED810">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772E25">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693.30</w:t>
            </w:r>
          </w:p>
        </w:tc>
      </w:tr>
    </w:tbl>
    <w:p w14:paraId="70680AD1">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280" w:lineRule="exact"/>
        <w:ind w:left="0" w:leftChars="0" w:firstLine="560" w:firstLineChars="200"/>
        <w:jc w:val="both"/>
        <w:textAlignment w:val="center"/>
        <w:rPr>
          <w:rFonts w:hint="eastAsia" w:ascii="宋体" w:hAnsi="宋体" w:eastAsia="宋体" w:cs="宋体"/>
          <w:color w:val="auto"/>
          <w:kern w:val="0"/>
          <w:sz w:val="28"/>
          <w:szCs w:val="28"/>
          <w:highlight w:val="none"/>
          <w:lang w:eastAsia="zh-CN"/>
        </w:rPr>
      </w:pPr>
    </w:p>
    <w:p w14:paraId="22EB84C3">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8"/>
          <w:szCs w:val="28"/>
          <w:highlight w:val="none"/>
          <w:lang w:eastAsia="zh-CN"/>
        </w:rPr>
        <w:t>注：1.本表反映部门本年度的总收支和年末结转结余情况。</w:t>
      </w:r>
      <w:r>
        <w:rPr>
          <w:rFonts w:hint="eastAsia" w:ascii="宋体" w:hAnsi="宋体" w:eastAsia="宋体" w:cs="宋体"/>
          <w:color w:val="auto"/>
          <w:kern w:val="0"/>
          <w:sz w:val="28"/>
          <w:szCs w:val="28"/>
          <w:highlight w:val="none"/>
          <w:lang w:eastAsia="zh-CN"/>
        </w:rPr>
        <w:br w:type="textWrapping"/>
      </w:r>
      <w:r>
        <w:rPr>
          <w:rFonts w:hint="eastAsia" w:ascii="宋体" w:hAnsi="宋体" w:eastAsia="宋体" w:cs="宋体"/>
          <w:color w:val="auto"/>
          <w:kern w:val="0"/>
          <w:sz w:val="28"/>
          <w:szCs w:val="28"/>
          <w:highlight w:val="none"/>
          <w:lang w:eastAsia="zh-CN"/>
        </w:rPr>
        <w:t xml:space="preserve">    2.本套报表金额单位转换时可能存在尾数误差。</w:t>
      </w:r>
    </w:p>
    <w:p w14:paraId="6AB030F0">
      <w:pPr>
        <w:keepNext w:val="0"/>
        <w:keepLines w:val="0"/>
        <w:pageBreakBefore w:val="0"/>
        <w:shd w:val="clear"/>
        <w:kinsoku/>
        <w:topLinePunct w:val="0"/>
        <w:bidi w:val="0"/>
        <w:spacing w:line="560" w:lineRule="exact"/>
        <w:ind w:left="0" w:leftChars="0" w:firstLine="420" w:firstLineChars="200"/>
        <w:rPr>
          <w:rFonts w:hint="eastAsia" w:ascii="仿宋" w:hAnsi="仿宋" w:eastAsia="仿宋" w:cs="仿宋"/>
          <w:color w:val="auto"/>
          <w:sz w:val="32"/>
          <w:szCs w:val="32"/>
          <w:highlight w:val="none"/>
        </w:rPr>
      </w:pPr>
      <w:r>
        <w:rPr>
          <w:rFonts w:hint="eastAsia" w:ascii="仿宋" w:hAnsi="仿宋" w:eastAsia="仿宋" w:cs="仿宋"/>
          <w:color w:val="auto"/>
          <w:highlight w:val="none"/>
        </w:rPr>
        <w:br w:type="page"/>
      </w:r>
    </w:p>
    <w:p w14:paraId="1F489335">
      <w:pPr>
        <w:keepNext w:val="0"/>
        <w:keepLines w:val="0"/>
        <w:pageBreakBefore w:val="0"/>
        <w:widowControl/>
        <w:shd w:val="clear"/>
        <w:kinsoku/>
        <w:topLinePunct w:val="0"/>
        <w:bidi w:val="0"/>
        <w:spacing w:line="560" w:lineRule="exact"/>
        <w:ind w:left="0" w:leftChars="0" w:firstLine="640" w:firstLineChars="200"/>
        <w:jc w:val="center"/>
        <w:textAlignment w:val="center"/>
        <w:rPr>
          <w:rFonts w:hint="eastAsia" w:ascii="仿宋" w:hAnsi="仿宋" w:eastAsia="仿宋" w:cs="仿宋"/>
          <w:color w:val="auto"/>
          <w:kern w:val="0"/>
          <w:sz w:val="32"/>
          <w:szCs w:val="32"/>
          <w:highlight w:val="none"/>
        </w:rPr>
      </w:pPr>
    </w:p>
    <w:p w14:paraId="32A367F8">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收入决算表</w:t>
      </w:r>
    </w:p>
    <w:p w14:paraId="64D4744F">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42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highlight w:val="none"/>
        </w:rPr>
        <w:t>　</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lang w:val="en-US" w:eastAsia="zh-CN"/>
        </w:rPr>
        <w:t xml:space="preserve">                                      </w:t>
      </w:r>
      <w:r>
        <w:rPr>
          <w:rFonts w:hint="eastAsia" w:ascii="宋体" w:hAnsi="宋体" w:eastAsia="宋体" w:cs="宋体"/>
          <w:color w:val="auto"/>
          <w:kern w:val="0"/>
          <w:sz w:val="28"/>
          <w:szCs w:val="28"/>
          <w:highlight w:val="none"/>
          <w:lang w:val="en-US" w:eastAsia="zh-CN"/>
        </w:rPr>
        <w:t>公开02表</w:t>
      </w:r>
    </w:p>
    <w:p w14:paraId="7B24FCAA">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部门：中国人民政治协商会议湖南省祁阳市委员会                     单位：万元</w:t>
      </w:r>
    </w:p>
    <w:tbl>
      <w:tblPr>
        <w:tblStyle w:val="12"/>
        <w:tblW w:w="13960" w:type="dxa"/>
        <w:jc w:val="center"/>
        <w:tblLayout w:type="fixed"/>
        <w:tblCellMar>
          <w:top w:w="0" w:type="dxa"/>
          <w:left w:w="0" w:type="dxa"/>
          <w:bottom w:w="0" w:type="dxa"/>
          <w:right w:w="0" w:type="dxa"/>
        </w:tblCellMar>
      </w:tblPr>
      <w:tblGrid>
        <w:gridCol w:w="1528"/>
        <w:gridCol w:w="2275"/>
        <w:gridCol w:w="1277"/>
        <w:gridCol w:w="1480"/>
        <w:gridCol w:w="1480"/>
        <w:gridCol w:w="1480"/>
        <w:gridCol w:w="1480"/>
        <w:gridCol w:w="1712"/>
        <w:gridCol w:w="1248"/>
      </w:tblGrid>
      <w:tr w14:paraId="6E11D423">
        <w:tblPrEx>
          <w:tblCellMar>
            <w:top w:w="0" w:type="dxa"/>
            <w:left w:w="0" w:type="dxa"/>
            <w:bottom w:w="0" w:type="dxa"/>
            <w:right w:w="0" w:type="dxa"/>
          </w:tblCellMar>
        </w:tblPrEx>
        <w:trPr>
          <w:trHeight w:val="478" w:hRule="atLeast"/>
          <w:jc w:val="center"/>
        </w:trPr>
        <w:tc>
          <w:tcPr>
            <w:tcW w:w="380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35F97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    目</w:t>
            </w:r>
          </w:p>
        </w:tc>
        <w:tc>
          <w:tcPr>
            <w:tcW w:w="12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A5B4A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本年收入合计</w:t>
            </w:r>
          </w:p>
        </w:tc>
        <w:tc>
          <w:tcPr>
            <w:tcW w:w="148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D39AE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财政拨款收入</w:t>
            </w:r>
          </w:p>
        </w:tc>
        <w:tc>
          <w:tcPr>
            <w:tcW w:w="14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08D40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上级补助收入</w:t>
            </w:r>
          </w:p>
        </w:tc>
        <w:tc>
          <w:tcPr>
            <w:tcW w:w="14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BAECE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事业收入</w:t>
            </w:r>
          </w:p>
        </w:tc>
        <w:tc>
          <w:tcPr>
            <w:tcW w:w="14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53183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经营收入</w:t>
            </w:r>
          </w:p>
        </w:tc>
        <w:tc>
          <w:tcPr>
            <w:tcW w:w="17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A1AF2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附属单位上缴收入</w:t>
            </w:r>
          </w:p>
        </w:tc>
        <w:tc>
          <w:tcPr>
            <w:tcW w:w="12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A4802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其他收入</w:t>
            </w:r>
          </w:p>
        </w:tc>
      </w:tr>
      <w:tr w14:paraId="19795A89">
        <w:tblPrEx>
          <w:tblCellMar>
            <w:top w:w="0" w:type="dxa"/>
            <w:left w:w="0" w:type="dxa"/>
            <w:bottom w:w="0" w:type="dxa"/>
            <w:right w:w="0" w:type="dxa"/>
          </w:tblCellMar>
        </w:tblPrEx>
        <w:trPr>
          <w:trHeight w:val="336" w:hRule="exact"/>
          <w:jc w:val="center"/>
        </w:trPr>
        <w:tc>
          <w:tcPr>
            <w:tcW w:w="15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A52CA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功能分类科目编码</w:t>
            </w:r>
          </w:p>
        </w:tc>
        <w:tc>
          <w:tcPr>
            <w:tcW w:w="227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06E5F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科目名称</w:t>
            </w:r>
          </w:p>
        </w:tc>
        <w:tc>
          <w:tcPr>
            <w:tcW w:w="1277" w:type="dxa"/>
            <w:vMerge w:val="continue"/>
            <w:tcBorders>
              <w:top w:val="single" w:color="auto" w:sz="4" w:space="0"/>
              <w:left w:val="single" w:color="auto" w:sz="4" w:space="0"/>
              <w:bottom w:val="single" w:color="auto" w:sz="4" w:space="0"/>
              <w:right w:val="single" w:color="auto" w:sz="4" w:space="0"/>
            </w:tcBorders>
            <w:vAlign w:val="center"/>
          </w:tcPr>
          <w:p w14:paraId="3AB5484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41A00DE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48ABA0B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3912CE9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58E7966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vMerge w:val="continue"/>
            <w:tcBorders>
              <w:top w:val="single" w:color="auto" w:sz="4" w:space="0"/>
              <w:left w:val="single" w:color="auto" w:sz="4" w:space="0"/>
              <w:bottom w:val="single" w:color="auto" w:sz="4" w:space="0"/>
              <w:right w:val="single" w:color="auto" w:sz="4" w:space="0"/>
            </w:tcBorders>
            <w:vAlign w:val="center"/>
          </w:tcPr>
          <w:p w14:paraId="12F7184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vMerge w:val="continue"/>
            <w:tcBorders>
              <w:top w:val="single" w:color="auto" w:sz="4" w:space="0"/>
              <w:left w:val="single" w:color="auto" w:sz="4" w:space="0"/>
              <w:bottom w:val="single" w:color="auto" w:sz="4" w:space="0"/>
              <w:right w:val="single" w:color="auto" w:sz="4" w:space="0"/>
            </w:tcBorders>
            <w:vAlign w:val="center"/>
          </w:tcPr>
          <w:p w14:paraId="0A3BF2B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603A99A6">
        <w:tblPrEx>
          <w:tblCellMar>
            <w:top w:w="0" w:type="dxa"/>
            <w:left w:w="0" w:type="dxa"/>
            <w:bottom w:w="0" w:type="dxa"/>
            <w:right w:w="0" w:type="dxa"/>
          </w:tblCellMar>
        </w:tblPrEx>
        <w:trPr>
          <w:trHeight w:val="324" w:hRule="atLeast"/>
          <w:jc w:val="center"/>
        </w:trPr>
        <w:tc>
          <w:tcPr>
            <w:tcW w:w="1528" w:type="dxa"/>
            <w:vMerge w:val="continue"/>
            <w:tcBorders>
              <w:top w:val="single" w:color="auto" w:sz="4" w:space="0"/>
              <w:left w:val="single" w:color="auto" w:sz="4" w:space="0"/>
              <w:bottom w:val="single" w:color="auto" w:sz="4" w:space="0"/>
              <w:right w:val="single" w:color="auto" w:sz="4" w:space="0"/>
            </w:tcBorders>
            <w:vAlign w:val="center"/>
          </w:tcPr>
          <w:p w14:paraId="41A4592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2275" w:type="dxa"/>
            <w:vMerge w:val="continue"/>
            <w:tcBorders>
              <w:top w:val="nil"/>
              <w:left w:val="single" w:color="auto" w:sz="4" w:space="0"/>
              <w:bottom w:val="single" w:color="auto" w:sz="4" w:space="0"/>
              <w:right w:val="single" w:color="auto" w:sz="4" w:space="0"/>
            </w:tcBorders>
            <w:vAlign w:val="center"/>
          </w:tcPr>
          <w:p w14:paraId="5A86591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77" w:type="dxa"/>
            <w:vMerge w:val="continue"/>
            <w:tcBorders>
              <w:top w:val="single" w:color="auto" w:sz="4" w:space="0"/>
              <w:left w:val="single" w:color="auto" w:sz="4" w:space="0"/>
              <w:bottom w:val="single" w:color="auto" w:sz="4" w:space="0"/>
              <w:right w:val="single" w:color="auto" w:sz="4" w:space="0"/>
            </w:tcBorders>
            <w:vAlign w:val="center"/>
          </w:tcPr>
          <w:p w14:paraId="1229D84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15E61DA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649CD22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2770A81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021B923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vMerge w:val="continue"/>
            <w:tcBorders>
              <w:top w:val="single" w:color="auto" w:sz="4" w:space="0"/>
              <w:left w:val="single" w:color="auto" w:sz="4" w:space="0"/>
              <w:bottom w:val="single" w:color="auto" w:sz="4" w:space="0"/>
              <w:right w:val="single" w:color="auto" w:sz="4" w:space="0"/>
            </w:tcBorders>
            <w:vAlign w:val="center"/>
          </w:tcPr>
          <w:p w14:paraId="0F665CC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vMerge w:val="continue"/>
            <w:tcBorders>
              <w:top w:val="single" w:color="auto" w:sz="4" w:space="0"/>
              <w:left w:val="single" w:color="auto" w:sz="4" w:space="0"/>
              <w:bottom w:val="single" w:color="auto" w:sz="4" w:space="0"/>
              <w:right w:val="single" w:color="auto" w:sz="4" w:space="0"/>
            </w:tcBorders>
            <w:vAlign w:val="center"/>
          </w:tcPr>
          <w:p w14:paraId="5A42884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2F6335E6">
        <w:tblPrEx>
          <w:tblCellMar>
            <w:top w:w="0" w:type="dxa"/>
            <w:left w:w="0" w:type="dxa"/>
            <w:bottom w:w="0" w:type="dxa"/>
            <w:right w:w="0" w:type="dxa"/>
          </w:tblCellMar>
        </w:tblPrEx>
        <w:trPr>
          <w:trHeight w:val="478" w:hRule="atLeast"/>
          <w:jc w:val="center"/>
        </w:trPr>
        <w:tc>
          <w:tcPr>
            <w:tcW w:w="38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B6E01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栏次</w:t>
            </w:r>
          </w:p>
        </w:tc>
        <w:tc>
          <w:tcPr>
            <w:tcW w:w="12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F8047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4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F682B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4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306AB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4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749B3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4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37652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7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FC469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DD2AC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r>
      <w:tr w14:paraId="20C14DE7">
        <w:tblPrEx>
          <w:tblCellMar>
            <w:top w:w="0" w:type="dxa"/>
            <w:left w:w="0" w:type="dxa"/>
            <w:bottom w:w="0" w:type="dxa"/>
            <w:right w:w="0" w:type="dxa"/>
          </w:tblCellMar>
        </w:tblPrEx>
        <w:trPr>
          <w:trHeight w:val="478" w:hRule="atLeast"/>
          <w:jc w:val="center"/>
        </w:trPr>
        <w:tc>
          <w:tcPr>
            <w:tcW w:w="38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45B72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合计</w:t>
            </w:r>
          </w:p>
        </w:tc>
        <w:tc>
          <w:tcPr>
            <w:tcW w:w="12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0F7A9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693.30</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9013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693.30</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E29B9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ABE9C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B877C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3550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A564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110FA512">
        <w:tblPrEx>
          <w:tblCellMar>
            <w:top w:w="0" w:type="dxa"/>
            <w:left w:w="0" w:type="dxa"/>
            <w:bottom w:w="0" w:type="dxa"/>
            <w:right w:w="0" w:type="dxa"/>
          </w:tblCellMar>
        </w:tblPrEx>
        <w:trPr>
          <w:trHeight w:val="478" w:hRule="atLeast"/>
          <w:jc w:val="center"/>
        </w:trPr>
        <w:tc>
          <w:tcPr>
            <w:tcW w:w="15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3CEB1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2010201</w:t>
            </w:r>
          </w:p>
        </w:tc>
        <w:tc>
          <w:tcPr>
            <w:tcW w:w="22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C8A4E0">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行政运行</w:t>
            </w:r>
          </w:p>
        </w:tc>
        <w:tc>
          <w:tcPr>
            <w:tcW w:w="12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59A3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433.38</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F76A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433.38</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07056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248B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5692D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BA39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E113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07474B36">
        <w:tblPrEx>
          <w:tblCellMar>
            <w:top w:w="0" w:type="dxa"/>
            <w:left w:w="0" w:type="dxa"/>
            <w:bottom w:w="0" w:type="dxa"/>
            <w:right w:w="0" w:type="dxa"/>
          </w:tblCellMar>
        </w:tblPrEx>
        <w:trPr>
          <w:trHeight w:val="478" w:hRule="atLeast"/>
          <w:jc w:val="center"/>
        </w:trPr>
        <w:tc>
          <w:tcPr>
            <w:tcW w:w="15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D0A2D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2010202</w:t>
            </w:r>
          </w:p>
        </w:tc>
        <w:tc>
          <w:tcPr>
            <w:tcW w:w="22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C75EB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一般行政管理事务</w:t>
            </w:r>
          </w:p>
        </w:tc>
        <w:tc>
          <w:tcPr>
            <w:tcW w:w="12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D147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164.22</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8FC1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164.22</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2F4D8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52F93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7082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F1E1B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4848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2AF9E7DB">
        <w:tblPrEx>
          <w:tblCellMar>
            <w:top w:w="0" w:type="dxa"/>
            <w:left w:w="0" w:type="dxa"/>
            <w:bottom w:w="0" w:type="dxa"/>
            <w:right w:w="0" w:type="dxa"/>
          </w:tblCellMar>
        </w:tblPrEx>
        <w:trPr>
          <w:trHeight w:val="478" w:hRule="atLeast"/>
          <w:jc w:val="center"/>
        </w:trPr>
        <w:tc>
          <w:tcPr>
            <w:tcW w:w="15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6DBAD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2010299</w:t>
            </w:r>
          </w:p>
        </w:tc>
        <w:tc>
          <w:tcPr>
            <w:tcW w:w="22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3499D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其他政协事务支出</w:t>
            </w:r>
          </w:p>
        </w:tc>
        <w:tc>
          <w:tcPr>
            <w:tcW w:w="12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58B9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2.31</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1A9FC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7A0E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497D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ECCB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1C6D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211A7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5EB57852">
        <w:tblPrEx>
          <w:tblCellMar>
            <w:top w:w="0" w:type="dxa"/>
            <w:left w:w="0" w:type="dxa"/>
            <w:bottom w:w="0" w:type="dxa"/>
            <w:right w:w="0" w:type="dxa"/>
          </w:tblCellMar>
        </w:tblPrEx>
        <w:trPr>
          <w:trHeight w:val="654" w:hRule="atLeast"/>
          <w:jc w:val="center"/>
        </w:trPr>
        <w:tc>
          <w:tcPr>
            <w:tcW w:w="15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EC772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2080505</w:t>
            </w:r>
          </w:p>
        </w:tc>
        <w:tc>
          <w:tcPr>
            <w:tcW w:w="22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D33FB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机关事业单位基本养老保险缴费支出</w:t>
            </w:r>
          </w:p>
        </w:tc>
        <w:tc>
          <w:tcPr>
            <w:tcW w:w="12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3AEBA">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42.98</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4E72F9">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42.98</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8FEAA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59D0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3E6E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0245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2C9F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4E223B04">
        <w:tblPrEx>
          <w:tblCellMar>
            <w:top w:w="0" w:type="dxa"/>
            <w:left w:w="0" w:type="dxa"/>
            <w:bottom w:w="0" w:type="dxa"/>
            <w:right w:w="0" w:type="dxa"/>
          </w:tblCellMar>
        </w:tblPrEx>
        <w:trPr>
          <w:trHeight w:val="654" w:hRule="atLeast"/>
          <w:jc w:val="center"/>
        </w:trPr>
        <w:tc>
          <w:tcPr>
            <w:tcW w:w="15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4EA2D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2089999</w:t>
            </w:r>
          </w:p>
        </w:tc>
        <w:tc>
          <w:tcPr>
            <w:tcW w:w="22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D1243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其他社会保障和就业支出</w:t>
            </w:r>
          </w:p>
        </w:tc>
        <w:tc>
          <w:tcPr>
            <w:tcW w:w="12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1563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0.5</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7AAD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0.5</w:t>
            </w: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D2CB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53D7B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6DE3D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C9E4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736B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5D534B8B">
        <w:tblPrEx>
          <w:tblCellMar>
            <w:top w:w="0" w:type="dxa"/>
            <w:left w:w="0" w:type="dxa"/>
            <w:bottom w:w="0" w:type="dxa"/>
            <w:right w:w="0" w:type="dxa"/>
          </w:tblCellMar>
        </w:tblPrEx>
        <w:trPr>
          <w:trHeight w:val="478" w:hRule="atLeast"/>
          <w:jc w:val="center"/>
        </w:trPr>
        <w:tc>
          <w:tcPr>
            <w:tcW w:w="15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AC6A1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2101101</w:t>
            </w:r>
          </w:p>
        </w:tc>
        <w:tc>
          <w:tcPr>
            <w:tcW w:w="22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CCA1D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行政单位医疗</w:t>
            </w:r>
          </w:p>
        </w:tc>
        <w:tc>
          <w:tcPr>
            <w:tcW w:w="12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78F56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19.03</w:t>
            </w: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CEDE7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19.03</w:t>
            </w: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4B504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72332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DB7B7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283DC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70E4C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r w14:paraId="2848CE2E">
        <w:tblPrEx>
          <w:tblCellMar>
            <w:top w:w="0" w:type="dxa"/>
            <w:left w:w="0" w:type="dxa"/>
            <w:bottom w:w="0" w:type="dxa"/>
            <w:right w:w="0" w:type="dxa"/>
          </w:tblCellMar>
        </w:tblPrEx>
        <w:trPr>
          <w:trHeight w:val="488" w:hRule="atLeast"/>
          <w:jc w:val="center"/>
        </w:trPr>
        <w:tc>
          <w:tcPr>
            <w:tcW w:w="15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17277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2210201</w:t>
            </w:r>
          </w:p>
        </w:tc>
        <w:tc>
          <w:tcPr>
            <w:tcW w:w="22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454F9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住房公积金</w:t>
            </w:r>
          </w:p>
        </w:tc>
        <w:tc>
          <w:tcPr>
            <w:tcW w:w="12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04BB6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30.88</w:t>
            </w: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F699C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30.88</w:t>
            </w: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7C79F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88424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9A387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7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131B9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c>
          <w:tcPr>
            <w:tcW w:w="12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424D7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rPr>
            </w:pPr>
          </w:p>
        </w:tc>
      </w:tr>
    </w:tbl>
    <w:p w14:paraId="184E8ABA">
      <w:pPr>
        <w:keepNext w:val="0"/>
        <w:keepLines w:val="0"/>
        <w:pageBreakBefore w:val="0"/>
        <w:shd w:val="clear"/>
        <w:kinsoku/>
        <w:topLinePunct w:val="0"/>
        <w:bidi w:val="0"/>
        <w:spacing w:line="560" w:lineRule="exact"/>
        <w:ind w:left="0" w:leftChars="0" w:firstLine="420" w:firstLineChars="200"/>
        <w:rPr>
          <w:rFonts w:hint="eastAsia" w:ascii="仿宋" w:hAnsi="仿宋" w:eastAsia="仿宋" w:cs="仿宋"/>
          <w:color w:val="auto"/>
          <w:sz w:val="24"/>
          <w:szCs w:val="24"/>
          <w:highlight w:val="none"/>
        </w:rPr>
      </w:pPr>
      <w:r>
        <w:rPr>
          <w:rFonts w:hint="eastAsia" w:ascii="仿宋" w:hAnsi="仿宋" w:eastAsia="仿宋" w:cs="仿宋"/>
          <w:color w:val="auto"/>
          <w:highlight w:val="none"/>
        </w:rPr>
        <w:t>注：本表反映部门本年度取得的各项收入情况。</w:t>
      </w:r>
    </w:p>
    <w:p w14:paraId="297E5166">
      <w:pPr>
        <w:keepNext w:val="0"/>
        <w:keepLines w:val="0"/>
        <w:pageBreakBefore w:val="0"/>
        <w:widowControl/>
        <w:shd w:val="clear"/>
        <w:kinsoku/>
        <w:topLinePunct w:val="0"/>
        <w:bidi w:val="0"/>
        <w:spacing w:line="560" w:lineRule="exact"/>
        <w:ind w:left="0" w:leftChars="0" w:firstLine="640" w:firstLineChars="200"/>
        <w:jc w:val="left"/>
        <w:rPr>
          <w:rFonts w:hint="eastAsia" w:ascii="仿宋" w:hAnsi="仿宋" w:eastAsia="仿宋" w:cs="仿宋"/>
          <w:bCs/>
          <w:color w:val="auto"/>
          <w:kern w:val="0"/>
          <w:sz w:val="32"/>
          <w:szCs w:val="32"/>
          <w:highlight w:val="none"/>
        </w:rPr>
      </w:pPr>
      <w:r>
        <w:rPr>
          <w:rFonts w:hint="eastAsia" w:ascii="仿宋" w:hAnsi="仿宋" w:eastAsia="仿宋" w:cs="仿宋"/>
          <w:bCs/>
          <w:color w:val="auto"/>
          <w:kern w:val="0"/>
          <w:sz w:val="32"/>
          <w:szCs w:val="32"/>
          <w:highlight w:val="none"/>
        </w:rPr>
        <w:t xml:space="preserve"> </w:t>
      </w:r>
      <w:r>
        <w:rPr>
          <w:rFonts w:hint="eastAsia" w:ascii="仿宋" w:hAnsi="仿宋" w:eastAsia="仿宋" w:cs="仿宋"/>
          <w:color w:val="auto"/>
          <w:highlight w:val="none"/>
        </w:rPr>
        <w:br w:type="page"/>
      </w:r>
    </w:p>
    <w:p w14:paraId="485A70FA">
      <w:pPr>
        <w:keepNext w:val="0"/>
        <w:keepLines w:val="0"/>
        <w:pageBreakBefore w:val="0"/>
        <w:widowControl/>
        <w:shd w:val="clear"/>
        <w:kinsoku/>
        <w:topLinePunct w:val="0"/>
        <w:bidi w:val="0"/>
        <w:spacing w:line="560" w:lineRule="exact"/>
        <w:ind w:left="0" w:leftChars="0" w:firstLine="640" w:firstLineChars="200"/>
        <w:jc w:val="center"/>
        <w:textAlignment w:val="center"/>
        <w:rPr>
          <w:rFonts w:hint="eastAsia" w:ascii="仿宋" w:hAnsi="仿宋" w:eastAsia="仿宋" w:cs="仿宋"/>
          <w:color w:val="auto"/>
          <w:kern w:val="0"/>
          <w:sz w:val="32"/>
          <w:szCs w:val="32"/>
          <w:highlight w:val="none"/>
        </w:rPr>
      </w:pPr>
    </w:p>
    <w:p w14:paraId="7A7A9B21">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支出决算表</w:t>
      </w:r>
    </w:p>
    <w:p w14:paraId="6FEDEB46">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48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lang w:val="en-US" w:eastAsia="zh-CN"/>
        </w:rPr>
        <w:t xml:space="preserve">                                                          </w:t>
      </w:r>
      <w:r>
        <w:rPr>
          <w:rFonts w:hint="eastAsia" w:ascii="宋体" w:hAnsi="宋体" w:eastAsia="宋体" w:cs="宋体"/>
          <w:color w:val="auto"/>
          <w:kern w:val="0"/>
          <w:sz w:val="28"/>
          <w:szCs w:val="28"/>
          <w:highlight w:val="none"/>
          <w:lang w:val="en-US" w:eastAsia="zh-CN"/>
        </w:rPr>
        <w:t>公开03表</w:t>
      </w:r>
    </w:p>
    <w:p w14:paraId="083090E1">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部门：中国人民政治协商会议湖南省祁阳市委员会  　</w:t>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单位：万元</w:t>
      </w:r>
    </w:p>
    <w:tbl>
      <w:tblPr>
        <w:tblStyle w:val="12"/>
        <w:tblW w:w="4977" w:type="pct"/>
        <w:jc w:val="center"/>
        <w:tblLayout w:type="autofit"/>
        <w:tblCellMar>
          <w:top w:w="0" w:type="dxa"/>
          <w:left w:w="108" w:type="dxa"/>
          <w:bottom w:w="0" w:type="dxa"/>
          <w:right w:w="108" w:type="dxa"/>
        </w:tblCellMar>
      </w:tblPr>
      <w:tblGrid>
        <w:gridCol w:w="2023"/>
        <w:gridCol w:w="4056"/>
        <w:gridCol w:w="1480"/>
        <w:gridCol w:w="939"/>
        <w:gridCol w:w="939"/>
        <w:gridCol w:w="1480"/>
        <w:gridCol w:w="939"/>
        <w:gridCol w:w="2299"/>
      </w:tblGrid>
      <w:tr w14:paraId="0C745C46">
        <w:tblPrEx>
          <w:tblCellMar>
            <w:top w:w="0" w:type="dxa"/>
            <w:left w:w="108" w:type="dxa"/>
            <w:bottom w:w="0" w:type="dxa"/>
            <w:right w:w="108" w:type="dxa"/>
          </w:tblCellMar>
        </w:tblPrEx>
        <w:trPr>
          <w:trHeight w:val="534" w:hRule="atLeast"/>
          <w:jc w:val="center"/>
        </w:trPr>
        <w:tc>
          <w:tcPr>
            <w:tcW w:w="214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9C8C1A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    目</w:t>
            </w:r>
          </w:p>
        </w:tc>
        <w:tc>
          <w:tcPr>
            <w:tcW w:w="52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4AD65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本年支</w:t>
            </w:r>
          </w:p>
          <w:p w14:paraId="256BF52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出合计</w:t>
            </w:r>
          </w:p>
        </w:tc>
        <w:tc>
          <w:tcPr>
            <w:tcW w:w="3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86B05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基本</w:t>
            </w:r>
          </w:p>
          <w:p w14:paraId="09C7417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支出</w:t>
            </w:r>
          </w:p>
        </w:tc>
        <w:tc>
          <w:tcPr>
            <w:tcW w:w="3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308AF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w:t>
            </w:r>
          </w:p>
          <w:p w14:paraId="73F67E6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支出</w:t>
            </w:r>
          </w:p>
        </w:tc>
        <w:tc>
          <w:tcPr>
            <w:tcW w:w="52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498C0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上缴上</w:t>
            </w:r>
          </w:p>
          <w:p w14:paraId="4F8C2AD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级支出</w:t>
            </w:r>
          </w:p>
        </w:tc>
        <w:tc>
          <w:tcPr>
            <w:tcW w:w="3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11E48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经营</w:t>
            </w:r>
          </w:p>
          <w:p w14:paraId="2F13A9A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支出</w:t>
            </w:r>
          </w:p>
        </w:tc>
        <w:tc>
          <w:tcPr>
            <w:tcW w:w="81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0AAAF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对附属单位</w:t>
            </w:r>
          </w:p>
          <w:p w14:paraId="728FE67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补助支出</w:t>
            </w:r>
          </w:p>
        </w:tc>
      </w:tr>
      <w:tr w14:paraId="62F37D6D">
        <w:tblPrEx>
          <w:tblCellMar>
            <w:top w:w="0" w:type="dxa"/>
            <w:left w:w="108" w:type="dxa"/>
            <w:bottom w:w="0" w:type="dxa"/>
            <w:right w:w="108" w:type="dxa"/>
          </w:tblCellMar>
        </w:tblPrEx>
        <w:trPr>
          <w:trHeight w:val="312" w:hRule="exact"/>
          <w:jc w:val="center"/>
        </w:trPr>
        <w:tc>
          <w:tcPr>
            <w:tcW w:w="7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450DE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功能分类科目编码</w:t>
            </w:r>
          </w:p>
        </w:tc>
        <w:tc>
          <w:tcPr>
            <w:tcW w:w="1427" w:type="pct"/>
            <w:vMerge w:val="restart"/>
            <w:tcBorders>
              <w:top w:val="nil"/>
              <w:left w:val="single" w:color="auto" w:sz="4" w:space="0"/>
              <w:bottom w:val="single" w:color="auto" w:sz="4" w:space="0"/>
              <w:right w:val="single" w:color="auto" w:sz="4" w:space="0"/>
            </w:tcBorders>
            <w:shd w:val="clear" w:color="000000" w:fill="FFFFFF"/>
            <w:vAlign w:val="center"/>
          </w:tcPr>
          <w:p w14:paraId="334B9FA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科目名称</w:t>
            </w:r>
          </w:p>
        </w:tc>
        <w:tc>
          <w:tcPr>
            <w:tcW w:w="523" w:type="pct"/>
            <w:vMerge w:val="continue"/>
            <w:tcBorders>
              <w:top w:val="single" w:color="auto" w:sz="4" w:space="0"/>
              <w:left w:val="single" w:color="auto" w:sz="4" w:space="0"/>
              <w:bottom w:val="single" w:color="auto" w:sz="4" w:space="0"/>
              <w:right w:val="single" w:color="auto" w:sz="4" w:space="0"/>
            </w:tcBorders>
            <w:vAlign w:val="center"/>
          </w:tcPr>
          <w:p w14:paraId="20D2C67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77907B8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2B6C69E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14:paraId="7F56EF0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25BAC1D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c>
          <w:tcPr>
            <w:tcW w:w="812" w:type="pct"/>
            <w:vMerge w:val="continue"/>
            <w:tcBorders>
              <w:top w:val="single" w:color="auto" w:sz="4" w:space="0"/>
              <w:left w:val="single" w:color="auto" w:sz="4" w:space="0"/>
              <w:bottom w:val="single" w:color="auto" w:sz="4" w:space="0"/>
              <w:right w:val="single" w:color="auto" w:sz="4" w:space="0"/>
            </w:tcBorders>
            <w:vAlign w:val="center"/>
          </w:tcPr>
          <w:p w14:paraId="77F6D77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r>
      <w:tr w14:paraId="6DCB6941">
        <w:tblPrEx>
          <w:tblCellMar>
            <w:top w:w="0" w:type="dxa"/>
            <w:left w:w="108" w:type="dxa"/>
            <w:bottom w:w="0" w:type="dxa"/>
            <w:right w:w="108" w:type="dxa"/>
          </w:tblCellMar>
        </w:tblPrEx>
        <w:trPr>
          <w:trHeight w:val="534" w:hRule="atLeast"/>
          <w:jc w:val="center"/>
        </w:trPr>
        <w:tc>
          <w:tcPr>
            <w:tcW w:w="715" w:type="pct"/>
            <w:vMerge w:val="continue"/>
            <w:tcBorders>
              <w:top w:val="single" w:color="auto" w:sz="4" w:space="0"/>
              <w:left w:val="single" w:color="auto" w:sz="4" w:space="0"/>
              <w:bottom w:val="single" w:color="auto" w:sz="4" w:space="0"/>
              <w:right w:val="single" w:color="auto" w:sz="4" w:space="0"/>
            </w:tcBorders>
            <w:vAlign w:val="center"/>
          </w:tcPr>
          <w:p w14:paraId="76E722E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427" w:type="pct"/>
            <w:vMerge w:val="continue"/>
            <w:tcBorders>
              <w:top w:val="nil"/>
              <w:left w:val="single" w:color="auto" w:sz="4" w:space="0"/>
              <w:bottom w:val="single" w:color="auto" w:sz="4" w:space="0"/>
              <w:right w:val="single" w:color="auto" w:sz="4" w:space="0"/>
            </w:tcBorders>
            <w:vAlign w:val="center"/>
          </w:tcPr>
          <w:p w14:paraId="446A4D3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14:paraId="3D43B44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4171190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117CE64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14:paraId="4EFBC23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1C8A22F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812" w:type="pct"/>
            <w:vMerge w:val="continue"/>
            <w:tcBorders>
              <w:top w:val="single" w:color="auto" w:sz="4" w:space="0"/>
              <w:left w:val="single" w:color="auto" w:sz="4" w:space="0"/>
              <w:bottom w:val="single" w:color="auto" w:sz="4" w:space="0"/>
              <w:right w:val="single" w:color="auto" w:sz="4" w:space="0"/>
            </w:tcBorders>
            <w:vAlign w:val="center"/>
          </w:tcPr>
          <w:p w14:paraId="609501F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13737086">
        <w:tblPrEx>
          <w:tblCellMar>
            <w:top w:w="0" w:type="dxa"/>
            <w:left w:w="108" w:type="dxa"/>
            <w:bottom w:w="0" w:type="dxa"/>
            <w:right w:w="108" w:type="dxa"/>
          </w:tblCellMar>
        </w:tblPrEx>
        <w:trPr>
          <w:trHeight w:val="534" w:hRule="atLeast"/>
          <w:jc w:val="center"/>
        </w:trPr>
        <w:tc>
          <w:tcPr>
            <w:tcW w:w="21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922AB8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栏次</w:t>
            </w:r>
          </w:p>
        </w:tc>
        <w:tc>
          <w:tcPr>
            <w:tcW w:w="523" w:type="pct"/>
            <w:tcBorders>
              <w:top w:val="nil"/>
              <w:left w:val="nil"/>
              <w:bottom w:val="single" w:color="auto" w:sz="4" w:space="0"/>
              <w:right w:val="single" w:color="auto" w:sz="4" w:space="0"/>
            </w:tcBorders>
            <w:shd w:val="clear" w:color="000000" w:fill="FFFFFF"/>
            <w:noWrap/>
            <w:vAlign w:val="center"/>
          </w:tcPr>
          <w:p w14:paraId="5FACD79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332" w:type="pct"/>
            <w:tcBorders>
              <w:top w:val="nil"/>
              <w:left w:val="nil"/>
              <w:bottom w:val="single" w:color="auto" w:sz="4" w:space="0"/>
              <w:right w:val="single" w:color="auto" w:sz="4" w:space="0"/>
            </w:tcBorders>
            <w:shd w:val="clear" w:color="000000" w:fill="FFFFFF"/>
            <w:noWrap/>
            <w:vAlign w:val="center"/>
          </w:tcPr>
          <w:p w14:paraId="51A9C85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32" w:type="pct"/>
            <w:tcBorders>
              <w:top w:val="nil"/>
              <w:left w:val="nil"/>
              <w:bottom w:val="single" w:color="auto" w:sz="4" w:space="0"/>
              <w:right w:val="single" w:color="auto" w:sz="4" w:space="0"/>
            </w:tcBorders>
            <w:shd w:val="clear" w:color="000000" w:fill="FFFFFF"/>
            <w:noWrap/>
            <w:vAlign w:val="center"/>
          </w:tcPr>
          <w:p w14:paraId="70EA059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523" w:type="pct"/>
            <w:tcBorders>
              <w:top w:val="nil"/>
              <w:left w:val="nil"/>
              <w:bottom w:val="single" w:color="auto" w:sz="4" w:space="0"/>
              <w:right w:val="single" w:color="auto" w:sz="4" w:space="0"/>
            </w:tcBorders>
            <w:shd w:val="clear" w:color="000000" w:fill="FFFFFF"/>
            <w:noWrap/>
            <w:vAlign w:val="center"/>
          </w:tcPr>
          <w:p w14:paraId="0CED699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332" w:type="pct"/>
            <w:tcBorders>
              <w:top w:val="nil"/>
              <w:left w:val="nil"/>
              <w:bottom w:val="single" w:color="auto" w:sz="4" w:space="0"/>
              <w:right w:val="single" w:color="auto" w:sz="4" w:space="0"/>
            </w:tcBorders>
            <w:shd w:val="clear" w:color="000000" w:fill="FFFFFF"/>
            <w:noWrap/>
            <w:vAlign w:val="center"/>
          </w:tcPr>
          <w:p w14:paraId="467B685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812" w:type="pct"/>
            <w:tcBorders>
              <w:top w:val="nil"/>
              <w:left w:val="nil"/>
              <w:bottom w:val="single" w:color="auto" w:sz="4" w:space="0"/>
              <w:right w:val="single" w:color="auto" w:sz="4" w:space="0"/>
            </w:tcBorders>
            <w:shd w:val="clear" w:color="000000" w:fill="FFFFFF"/>
            <w:noWrap/>
            <w:vAlign w:val="center"/>
          </w:tcPr>
          <w:p w14:paraId="6F8A851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r>
      <w:tr w14:paraId="531A9FB8">
        <w:tblPrEx>
          <w:tblCellMar>
            <w:top w:w="0" w:type="dxa"/>
            <w:left w:w="108" w:type="dxa"/>
            <w:bottom w:w="0" w:type="dxa"/>
            <w:right w:w="108" w:type="dxa"/>
          </w:tblCellMar>
        </w:tblPrEx>
        <w:trPr>
          <w:trHeight w:val="534" w:hRule="atLeast"/>
          <w:jc w:val="center"/>
        </w:trPr>
        <w:tc>
          <w:tcPr>
            <w:tcW w:w="21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0E9462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合计</w:t>
            </w:r>
          </w:p>
        </w:tc>
        <w:tc>
          <w:tcPr>
            <w:tcW w:w="523" w:type="pct"/>
            <w:tcBorders>
              <w:top w:val="nil"/>
              <w:left w:val="nil"/>
              <w:bottom w:val="single" w:color="auto" w:sz="4" w:space="0"/>
              <w:right w:val="single" w:color="auto" w:sz="4" w:space="0"/>
            </w:tcBorders>
            <w:shd w:val="clear" w:color="auto" w:fill="auto"/>
            <w:noWrap/>
            <w:vAlign w:val="center"/>
          </w:tcPr>
          <w:p w14:paraId="6C97CE7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693.30　</w:t>
            </w:r>
          </w:p>
        </w:tc>
        <w:tc>
          <w:tcPr>
            <w:tcW w:w="332" w:type="pct"/>
            <w:tcBorders>
              <w:top w:val="nil"/>
              <w:left w:val="nil"/>
              <w:bottom w:val="single" w:color="auto" w:sz="4" w:space="0"/>
              <w:right w:val="single" w:color="auto" w:sz="4" w:space="0"/>
            </w:tcBorders>
            <w:shd w:val="clear" w:color="auto" w:fill="auto"/>
            <w:noWrap/>
            <w:vAlign w:val="center"/>
          </w:tcPr>
          <w:p w14:paraId="37838BF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526.77</w:t>
            </w:r>
          </w:p>
        </w:tc>
        <w:tc>
          <w:tcPr>
            <w:tcW w:w="332" w:type="pct"/>
            <w:tcBorders>
              <w:top w:val="nil"/>
              <w:left w:val="nil"/>
              <w:bottom w:val="single" w:color="auto" w:sz="4" w:space="0"/>
              <w:right w:val="single" w:color="auto" w:sz="4" w:space="0"/>
            </w:tcBorders>
            <w:shd w:val="clear" w:color="auto" w:fill="auto"/>
            <w:noWrap/>
            <w:vAlign w:val="center"/>
          </w:tcPr>
          <w:p w14:paraId="61321FB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166.53　</w:t>
            </w:r>
          </w:p>
        </w:tc>
        <w:tc>
          <w:tcPr>
            <w:tcW w:w="523" w:type="pct"/>
            <w:tcBorders>
              <w:top w:val="nil"/>
              <w:left w:val="nil"/>
              <w:bottom w:val="single" w:color="auto" w:sz="4" w:space="0"/>
              <w:right w:val="single" w:color="auto" w:sz="4" w:space="0"/>
            </w:tcBorders>
            <w:shd w:val="clear" w:color="auto" w:fill="auto"/>
            <w:noWrap/>
            <w:vAlign w:val="center"/>
          </w:tcPr>
          <w:p w14:paraId="370581E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32" w:type="pct"/>
            <w:tcBorders>
              <w:top w:val="nil"/>
              <w:left w:val="nil"/>
              <w:bottom w:val="single" w:color="auto" w:sz="4" w:space="0"/>
              <w:right w:val="single" w:color="auto" w:sz="4" w:space="0"/>
            </w:tcBorders>
            <w:shd w:val="clear" w:color="auto" w:fill="auto"/>
            <w:noWrap/>
            <w:vAlign w:val="center"/>
          </w:tcPr>
          <w:p w14:paraId="2F5BD12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812" w:type="pct"/>
            <w:tcBorders>
              <w:top w:val="nil"/>
              <w:left w:val="nil"/>
              <w:bottom w:val="single" w:color="auto" w:sz="4" w:space="0"/>
              <w:right w:val="single" w:color="auto" w:sz="4" w:space="0"/>
            </w:tcBorders>
            <w:shd w:val="clear" w:color="auto" w:fill="auto"/>
            <w:noWrap/>
            <w:vAlign w:val="center"/>
          </w:tcPr>
          <w:p w14:paraId="55878B4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450F84E9">
        <w:tblPrEx>
          <w:tblCellMar>
            <w:top w:w="0" w:type="dxa"/>
            <w:left w:w="108" w:type="dxa"/>
            <w:bottom w:w="0" w:type="dxa"/>
            <w:right w:w="108" w:type="dxa"/>
          </w:tblCellMar>
        </w:tblPrEx>
        <w:trPr>
          <w:trHeight w:val="534"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E0847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2010201</w:t>
            </w:r>
          </w:p>
        </w:tc>
        <w:tc>
          <w:tcPr>
            <w:tcW w:w="1427" w:type="pct"/>
            <w:tcBorders>
              <w:top w:val="nil"/>
              <w:left w:val="nil"/>
              <w:bottom w:val="single" w:color="auto" w:sz="4" w:space="0"/>
              <w:right w:val="single" w:color="auto" w:sz="4" w:space="0"/>
            </w:tcBorders>
            <w:shd w:val="clear" w:color="auto" w:fill="auto"/>
            <w:noWrap/>
            <w:vAlign w:val="center"/>
          </w:tcPr>
          <w:p w14:paraId="27341FF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行政运行</w:t>
            </w:r>
          </w:p>
        </w:tc>
        <w:tc>
          <w:tcPr>
            <w:tcW w:w="523" w:type="pct"/>
            <w:tcBorders>
              <w:top w:val="nil"/>
              <w:left w:val="nil"/>
              <w:bottom w:val="single" w:color="auto" w:sz="4" w:space="0"/>
              <w:right w:val="single" w:color="auto" w:sz="4" w:space="0"/>
            </w:tcBorders>
            <w:shd w:val="clear" w:color="auto" w:fill="auto"/>
            <w:noWrap/>
            <w:vAlign w:val="center"/>
          </w:tcPr>
          <w:p w14:paraId="528B33E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433.38　</w:t>
            </w:r>
          </w:p>
        </w:tc>
        <w:tc>
          <w:tcPr>
            <w:tcW w:w="332" w:type="pct"/>
            <w:tcBorders>
              <w:top w:val="nil"/>
              <w:left w:val="nil"/>
              <w:bottom w:val="single" w:color="auto" w:sz="4" w:space="0"/>
              <w:right w:val="single" w:color="auto" w:sz="4" w:space="0"/>
            </w:tcBorders>
            <w:shd w:val="clear" w:color="auto" w:fill="auto"/>
            <w:noWrap/>
            <w:vAlign w:val="center"/>
          </w:tcPr>
          <w:p w14:paraId="4F0227C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433.38　</w:t>
            </w:r>
          </w:p>
        </w:tc>
        <w:tc>
          <w:tcPr>
            <w:tcW w:w="332" w:type="pct"/>
            <w:tcBorders>
              <w:top w:val="nil"/>
              <w:left w:val="nil"/>
              <w:bottom w:val="single" w:color="auto" w:sz="4" w:space="0"/>
              <w:right w:val="single" w:color="auto" w:sz="4" w:space="0"/>
            </w:tcBorders>
            <w:shd w:val="clear" w:color="auto" w:fill="auto"/>
            <w:noWrap/>
            <w:vAlign w:val="center"/>
          </w:tcPr>
          <w:p w14:paraId="12144BB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523" w:type="pct"/>
            <w:tcBorders>
              <w:top w:val="nil"/>
              <w:left w:val="nil"/>
              <w:bottom w:val="single" w:color="auto" w:sz="4" w:space="0"/>
              <w:right w:val="single" w:color="auto" w:sz="4" w:space="0"/>
            </w:tcBorders>
            <w:shd w:val="clear" w:color="auto" w:fill="auto"/>
            <w:noWrap/>
            <w:vAlign w:val="center"/>
          </w:tcPr>
          <w:p w14:paraId="76ADCD1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32" w:type="pct"/>
            <w:tcBorders>
              <w:top w:val="nil"/>
              <w:left w:val="nil"/>
              <w:bottom w:val="single" w:color="auto" w:sz="4" w:space="0"/>
              <w:right w:val="single" w:color="auto" w:sz="4" w:space="0"/>
            </w:tcBorders>
            <w:shd w:val="clear" w:color="auto" w:fill="auto"/>
            <w:noWrap/>
            <w:vAlign w:val="center"/>
          </w:tcPr>
          <w:p w14:paraId="591C1B0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812" w:type="pct"/>
            <w:tcBorders>
              <w:top w:val="nil"/>
              <w:left w:val="nil"/>
              <w:bottom w:val="single" w:color="auto" w:sz="4" w:space="0"/>
              <w:right w:val="single" w:color="auto" w:sz="4" w:space="0"/>
            </w:tcBorders>
            <w:shd w:val="clear" w:color="auto" w:fill="auto"/>
            <w:noWrap/>
            <w:vAlign w:val="center"/>
          </w:tcPr>
          <w:p w14:paraId="42150E1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442A845D">
        <w:tblPrEx>
          <w:tblCellMar>
            <w:top w:w="0" w:type="dxa"/>
            <w:left w:w="108" w:type="dxa"/>
            <w:bottom w:w="0" w:type="dxa"/>
            <w:right w:w="108" w:type="dxa"/>
          </w:tblCellMar>
        </w:tblPrEx>
        <w:trPr>
          <w:trHeight w:val="534"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B0D8A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2010202</w:t>
            </w:r>
          </w:p>
        </w:tc>
        <w:tc>
          <w:tcPr>
            <w:tcW w:w="1427" w:type="pct"/>
            <w:tcBorders>
              <w:top w:val="nil"/>
              <w:left w:val="nil"/>
              <w:bottom w:val="single" w:color="auto" w:sz="4" w:space="0"/>
              <w:right w:val="single" w:color="auto" w:sz="4" w:space="0"/>
            </w:tcBorders>
            <w:shd w:val="clear" w:color="000000" w:fill="FFFFFF"/>
            <w:noWrap/>
            <w:vAlign w:val="center"/>
          </w:tcPr>
          <w:p w14:paraId="3DA1A5A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一般行政管理事务</w:t>
            </w:r>
          </w:p>
        </w:tc>
        <w:tc>
          <w:tcPr>
            <w:tcW w:w="523" w:type="pct"/>
            <w:tcBorders>
              <w:top w:val="nil"/>
              <w:left w:val="nil"/>
              <w:bottom w:val="single" w:color="auto" w:sz="4" w:space="0"/>
              <w:right w:val="single" w:color="auto" w:sz="4" w:space="0"/>
            </w:tcBorders>
            <w:shd w:val="clear" w:color="auto" w:fill="auto"/>
            <w:noWrap/>
            <w:vAlign w:val="center"/>
          </w:tcPr>
          <w:p w14:paraId="084629B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164.22　</w:t>
            </w:r>
          </w:p>
        </w:tc>
        <w:tc>
          <w:tcPr>
            <w:tcW w:w="332" w:type="pct"/>
            <w:tcBorders>
              <w:top w:val="nil"/>
              <w:left w:val="nil"/>
              <w:bottom w:val="single" w:color="auto" w:sz="4" w:space="0"/>
              <w:right w:val="single" w:color="auto" w:sz="4" w:space="0"/>
            </w:tcBorders>
            <w:shd w:val="clear" w:color="auto" w:fill="auto"/>
            <w:noWrap/>
            <w:vAlign w:val="center"/>
          </w:tcPr>
          <w:p w14:paraId="18672E4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332" w:type="pct"/>
            <w:tcBorders>
              <w:top w:val="nil"/>
              <w:left w:val="nil"/>
              <w:bottom w:val="single" w:color="auto" w:sz="4" w:space="0"/>
              <w:right w:val="single" w:color="auto" w:sz="4" w:space="0"/>
            </w:tcBorders>
            <w:shd w:val="clear" w:color="auto" w:fill="auto"/>
            <w:noWrap/>
            <w:vAlign w:val="center"/>
          </w:tcPr>
          <w:p w14:paraId="31C5B71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164.22　</w:t>
            </w:r>
          </w:p>
        </w:tc>
        <w:tc>
          <w:tcPr>
            <w:tcW w:w="523" w:type="pct"/>
            <w:tcBorders>
              <w:top w:val="nil"/>
              <w:left w:val="nil"/>
              <w:bottom w:val="single" w:color="auto" w:sz="4" w:space="0"/>
              <w:right w:val="single" w:color="auto" w:sz="4" w:space="0"/>
            </w:tcBorders>
            <w:shd w:val="clear" w:color="auto" w:fill="auto"/>
            <w:noWrap/>
            <w:vAlign w:val="center"/>
          </w:tcPr>
          <w:p w14:paraId="323D512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32" w:type="pct"/>
            <w:tcBorders>
              <w:top w:val="nil"/>
              <w:left w:val="nil"/>
              <w:bottom w:val="single" w:color="auto" w:sz="4" w:space="0"/>
              <w:right w:val="single" w:color="auto" w:sz="4" w:space="0"/>
            </w:tcBorders>
            <w:shd w:val="clear" w:color="auto" w:fill="auto"/>
            <w:noWrap/>
            <w:vAlign w:val="center"/>
          </w:tcPr>
          <w:p w14:paraId="33A1673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812" w:type="pct"/>
            <w:tcBorders>
              <w:top w:val="nil"/>
              <w:left w:val="nil"/>
              <w:bottom w:val="single" w:color="auto" w:sz="4" w:space="0"/>
              <w:right w:val="single" w:color="auto" w:sz="4" w:space="0"/>
            </w:tcBorders>
            <w:shd w:val="clear" w:color="auto" w:fill="auto"/>
            <w:noWrap/>
            <w:vAlign w:val="center"/>
          </w:tcPr>
          <w:p w14:paraId="295D467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3B303004">
        <w:tblPrEx>
          <w:tblCellMar>
            <w:top w:w="0" w:type="dxa"/>
            <w:left w:w="108" w:type="dxa"/>
            <w:bottom w:w="0" w:type="dxa"/>
            <w:right w:w="108" w:type="dxa"/>
          </w:tblCellMar>
        </w:tblPrEx>
        <w:trPr>
          <w:trHeight w:val="534"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9411F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2010299</w:t>
            </w:r>
          </w:p>
        </w:tc>
        <w:tc>
          <w:tcPr>
            <w:tcW w:w="1427" w:type="pct"/>
            <w:tcBorders>
              <w:top w:val="nil"/>
              <w:left w:val="nil"/>
              <w:bottom w:val="single" w:color="auto" w:sz="4" w:space="0"/>
              <w:right w:val="single" w:color="auto" w:sz="4" w:space="0"/>
            </w:tcBorders>
            <w:shd w:val="clear" w:color="000000" w:fill="FFFFFF"/>
            <w:noWrap/>
            <w:vAlign w:val="center"/>
          </w:tcPr>
          <w:p w14:paraId="1948A84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其他政协事务支出　</w:t>
            </w:r>
          </w:p>
        </w:tc>
        <w:tc>
          <w:tcPr>
            <w:tcW w:w="523" w:type="pct"/>
            <w:tcBorders>
              <w:top w:val="nil"/>
              <w:left w:val="nil"/>
              <w:bottom w:val="single" w:color="auto" w:sz="4" w:space="0"/>
              <w:right w:val="single" w:color="auto" w:sz="4" w:space="0"/>
            </w:tcBorders>
            <w:shd w:val="clear" w:color="auto" w:fill="auto"/>
            <w:noWrap/>
            <w:vAlign w:val="center"/>
          </w:tcPr>
          <w:p w14:paraId="121B8C9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2.31　</w:t>
            </w:r>
          </w:p>
        </w:tc>
        <w:tc>
          <w:tcPr>
            <w:tcW w:w="332" w:type="pct"/>
            <w:tcBorders>
              <w:top w:val="nil"/>
              <w:left w:val="nil"/>
              <w:bottom w:val="single" w:color="auto" w:sz="4" w:space="0"/>
              <w:right w:val="single" w:color="auto" w:sz="4" w:space="0"/>
            </w:tcBorders>
            <w:shd w:val="clear" w:color="auto" w:fill="auto"/>
            <w:noWrap/>
            <w:vAlign w:val="center"/>
          </w:tcPr>
          <w:p w14:paraId="1A1FDAD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332" w:type="pct"/>
            <w:tcBorders>
              <w:top w:val="nil"/>
              <w:left w:val="nil"/>
              <w:bottom w:val="single" w:color="auto" w:sz="4" w:space="0"/>
              <w:right w:val="single" w:color="auto" w:sz="4" w:space="0"/>
            </w:tcBorders>
            <w:shd w:val="clear" w:color="auto" w:fill="auto"/>
            <w:noWrap/>
            <w:vAlign w:val="center"/>
          </w:tcPr>
          <w:p w14:paraId="560E896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2.31　</w:t>
            </w:r>
          </w:p>
        </w:tc>
        <w:tc>
          <w:tcPr>
            <w:tcW w:w="523" w:type="pct"/>
            <w:tcBorders>
              <w:top w:val="nil"/>
              <w:left w:val="nil"/>
              <w:bottom w:val="single" w:color="auto" w:sz="4" w:space="0"/>
              <w:right w:val="single" w:color="auto" w:sz="4" w:space="0"/>
            </w:tcBorders>
            <w:shd w:val="clear" w:color="auto" w:fill="auto"/>
            <w:noWrap/>
            <w:vAlign w:val="center"/>
          </w:tcPr>
          <w:p w14:paraId="4E802C2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32" w:type="pct"/>
            <w:tcBorders>
              <w:top w:val="nil"/>
              <w:left w:val="nil"/>
              <w:bottom w:val="single" w:color="auto" w:sz="4" w:space="0"/>
              <w:right w:val="single" w:color="auto" w:sz="4" w:space="0"/>
            </w:tcBorders>
            <w:shd w:val="clear" w:color="auto" w:fill="auto"/>
            <w:noWrap/>
            <w:vAlign w:val="center"/>
          </w:tcPr>
          <w:p w14:paraId="1015CEB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812" w:type="pct"/>
            <w:tcBorders>
              <w:top w:val="nil"/>
              <w:left w:val="nil"/>
              <w:bottom w:val="single" w:color="auto" w:sz="4" w:space="0"/>
              <w:right w:val="single" w:color="auto" w:sz="4" w:space="0"/>
            </w:tcBorders>
            <w:shd w:val="clear" w:color="auto" w:fill="auto"/>
            <w:noWrap/>
            <w:vAlign w:val="center"/>
          </w:tcPr>
          <w:p w14:paraId="73D61B0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47627572">
        <w:tblPrEx>
          <w:tblCellMar>
            <w:top w:w="0" w:type="dxa"/>
            <w:left w:w="108" w:type="dxa"/>
            <w:bottom w:w="0" w:type="dxa"/>
            <w:right w:w="108" w:type="dxa"/>
          </w:tblCellMar>
        </w:tblPrEx>
        <w:trPr>
          <w:trHeight w:val="534"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1FCB9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2080505</w:t>
            </w:r>
          </w:p>
        </w:tc>
        <w:tc>
          <w:tcPr>
            <w:tcW w:w="1427" w:type="pct"/>
            <w:tcBorders>
              <w:top w:val="nil"/>
              <w:left w:val="nil"/>
              <w:bottom w:val="single" w:color="auto" w:sz="4" w:space="0"/>
              <w:right w:val="single" w:color="auto" w:sz="4" w:space="0"/>
            </w:tcBorders>
            <w:shd w:val="clear" w:color="000000" w:fill="FFFFFF"/>
            <w:noWrap/>
            <w:vAlign w:val="center"/>
          </w:tcPr>
          <w:p w14:paraId="4C19509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机关事业单位基本养老保险缴费支出</w:t>
            </w:r>
          </w:p>
        </w:tc>
        <w:tc>
          <w:tcPr>
            <w:tcW w:w="523" w:type="pct"/>
            <w:tcBorders>
              <w:top w:val="nil"/>
              <w:left w:val="nil"/>
              <w:bottom w:val="single" w:color="auto" w:sz="4" w:space="0"/>
              <w:right w:val="single" w:color="auto" w:sz="4" w:space="0"/>
            </w:tcBorders>
            <w:shd w:val="clear" w:color="auto" w:fill="auto"/>
            <w:noWrap/>
            <w:vAlign w:val="center"/>
          </w:tcPr>
          <w:p w14:paraId="787C855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42.98 </w:t>
            </w:r>
          </w:p>
        </w:tc>
        <w:tc>
          <w:tcPr>
            <w:tcW w:w="332" w:type="pct"/>
            <w:tcBorders>
              <w:top w:val="nil"/>
              <w:left w:val="nil"/>
              <w:bottom w:val="single" w:color="auto" w:sz="4" w:space="0"/>
              <w:right w:val="single" w:color="auto" w:sz="4" w:space="0"/>
            </w:tcBorders>
            <w:shd w:val="clear" w:color="auto" w:fill="auto"/>
            <w:noWrap/>
            <w:vAlign w:val="center"/>
          </w:tcPr>
          <w:p w14:paraId="0EBCE5C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42.98 </w:t>
            </w:r>
          </w:p>
        </w:tc>
        <w:tc>
          <w:tcPr>
            <w:tcW w:w="332" w:type="pct"/>
            <w:tcBorders>
              <w:top w:val="nil"/>
              <w:left w:val="nil"/>
              <w:bottom w:val="single" w:color="auto" w:sz="4" w:space="0"/>
              <w:right w:val="single" w:color="auto" w:sz="4" w:space="0"/>
            </w:tcBorders>
            <w:shd w:val="clear" w:color="auto" w:fill="auto"/>
            <w:noWrap/>
            <w:vAlign w:val="center"/>
          </w:tcPr>
          <w:p w14:paraId="2814D75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523" w:type="pct"/>
            <w:tcBorders>
              <w:top w:val="nil"/>
              <w:left w:val="nil"/>
              <w:bottom w:val="single" w:color="auto" w:sz="4" w:space="0"/>
              <w:right w:val="single" w:color="auto" w:sz="4" w:space="0"/>
            </w:tcBorders>
            <w:shd w:val="clear" w:color="auto" w:fill="auto"/>
            <w:noWrap/>
            <w:vAlign w:val="center"/>
          </w:tcPr>
          <w:p w14:paraId="7235297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32" w:type="pct"/>
            <w:tcBorders>
              <w:top w:val="nil"/>
              <w:left w:val="nil"/>
              <w:bottom w:val="single" w:color="auto" w:sz="4" w:space="0"/>
              <w:right w:val="single" w:color="auto" w:sz="4" w:space="0"/>
            </w:tcBorders>
            <w:shd w:val="clear" w:color="auto" w:fill="auto"/>
            <w:noWrap/>
            <w:vAlign w:val="center"/>
          </w:tcPr>
          <w:p w14:paraId="0B2D0EC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812" w:type="pct"/>
            <w:tcBorders>
              <w:top w:val="nil"/>
              <w:left w:val="nil"/>
              <w:bottom w:val="single" w:color="auto" w:sz="4" w:space="0"/>
              <w:right w:val="single" w:color="auto" w:sz="4" w:space="0"/>
            </w:tcBorders>
            <w:shd w:val="clear" w:color="auto" w:fill="auto"/>
            <w:noWrap/>
            <w:vAlign w:val="center"/>
          </w:tcPr>
          <w:p w14:paraId="32BC0FD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60E6575E">
        <w:tblPrEx>
          <w:tblCellMar>
            <w:top w:w="0" w:type="dxa"/>
            <w:left w:w="108" w:type="dxa"/>
            <w:bottom w:w="0" w:type="dxa"/>
            <w:right w:w="108" w:type="dxa"/>
          </w:tblCellMar>
        </w:tblPrEx>
        <w:trPr>
          <w:trHeight w:val="534"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A62F6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2089999</w:t>
            </w:r>
          </w:p>
        </w:tc>
        <w:tc>
          <w:tcPr>
            <w:tcW w:w="1427" w:type="pct"/>
            <w:tcBorders>
              <w:top w:val="nil"/>
              <w:left w:val="nil"/>
              <w:bottom w:val="single" w:color="000000" w:sz="4" w:space="0"/>
              <w:right w:val="single" w:color="auto" w:sz="4" w:space="0"/>
            </w:tcBorders>
            <w:shd w:val="clear" w:color="000000" w:fill="FFFFFF"/>
            <w:noWrap/>
            <w:vAlign w:val="center"/>
          </w:tcPr>
          <w:p w14:paraId="5D65FBD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其他社会保障和就业支出</w:t>
            </w:r>
          </w:p>
        </w:tc>
        <w:tc>
          <w:tcPr>
            <w:tcW w:w="523" w:type="pct"/>
            <w:tcBorders>
              <w:top w:val="nil"/>
              <w:left w:val="nil"/>
              <w:bottom w:val="single" w:color="000000" w:sz="4" w:space="0"/>
              <w:right w:val="single" w:color="auto" w:sz="4" w:space="0"/>
            </w:tcBorders>
            <w:shd w:val="clear" w:color="auto" w:fill="auto"/>
            <w:noWrap/>
            <w:vAlign w:val="center"/>
          </w:tcPr>
          <w:p w14:paraId="48F1F69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　</w:t>
            </w:r>
          </w:p>
        </w:tc>
        <w:tc>
          <w:tcPr>
            <w:tcW w:w="332" w:type="pct"/>
            <w:tcBorders>
              <w:top w:val="nil"/>
              <w:left w:val="nil"/>
              <w:bottom w:val="single" w:color="000000" w:sz="4" w:space="0"/>
              <w:right w:val="single" w:color="auto" w:sz="4" w:space="0"/>
            </w:tcBorders>
            <w:shd w:val="clear" w:color="auto" w:fill="auto"/>
            <w:noWrap/>
            <w:vAlign w:val="center"/>
          </w:tcPr>
          <w:p w14:paraId="7E93CB8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　</w:t>
            </w:r>
          </w:p>
        </w:tc>
        <w:tc>
          <w:tcPr>
            <w:tcW w:w="332" w:type="pct"/>
            <w:tcBorders>
              <w:top w:val="nil"/>
              <w:left w:val="nil"/>
              <w:bottom w:val="single" w:color="000000" w:sz="4" w:space="0"/>
              <w:right w:val="single" w:color="auto" w:sz="4" w:space="0"/>
            </w:tcBorders>
            <w:shd w:val="clear" w:color="auto" w:fill="auto"/>
            <w:noWrap/>
            <w:vAlign w:val="center"/>
          </w:tcPr>
          <w:p w14:paraId="2E991CE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523" w:type="pct"/>
            <w:tcBorders>
              <w:top w:val="nil"/>
              <w:left w:val="nil"/>
              <w:bottom w:val="single" w:color="000000" w:sz="4" w:space="0"/>
              <w:right w:val="single" w:color="auto" w:sz="4" w:space="0"/>
            </w:tcBorders>
            <w:shd w:val="clear" w:color="auto" w:fill="auto"/>
            <w:noWrap/>
            <w:vAlign w:val="center"/>
          </w:tcPr>
          <w:p w14:paraId="39C9ABD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32" w:type="pct"/>
            <w:tcBorders>
              <w:top w:val="nil"/>
              <w:left w:val="nil"/>
              <w:bottom w:val="single" w:color="000000" w:sz="4" w:space="0"/>
              <w:right w:val="single" w:color="auto" w:sz="4" w:space="0"/>
            </w:tcBorders>
            <w:shd w:val="clear" w:color="auto" w:fill="auto"/>
            <w:noWrap/>
            <w:vAlign w:val="center"/>
          </w:tcPr>
          <w:p w14:paraId="03DF874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812" w:type="pct"/>
            <w:tcBorders>
              <w:top w:val="nil"/>
              <w:left w:val="nil"/>
              <w:bottom w:val="single" w:color="000000" w:sz="4" w:space="0"/>
              <w:right w:val="single" w:color="auto" w:sz="4" w:space="0"/>
            </w:tcBorders>
            <w:shd w:val="clear" w:color="auto" w:fill="auto"/>
            <w:noWrap/>
            <w:vAlign w:val="center"/>
          </w:tcPr>
          <w:p w14:paraId="5ADD477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77F7402C">
        <w:tblPrEx>
          <w:tblCellMar>
            <w:top w:w="0" w:type="dxa"/>
            <w:left w:w="108" w:type="dxa"/>
            <w:bottom w:w="0" w:type="dxa"/>
            <w:right w:w="108" w:type="dxa"/>
          </w:tblCellMar>
        </w:tblPrEx>
        <w:trPr>
          <w:trHeight w:val="534" w:hRule="atLeast"/>
          <w:jc w:val="center"/>
        </w:trPr>
        <w:tc>
          <w:tcPr>
            <w:tcW w:w="715" w:type="pct"/>
            <w:tcBorders>
              <w:top w:val="single" w:color="auto" w:sz="4" w:space="0"/>
              <w:left w:val="single" w:color="auto" w:sz="4" w:space="0"/>
              <w:bottom w:val="single" w:color="auto" w:sz="4" w:space="0"/>
              <w:right w:val="single" w:color="000000" w:sz="4" w:space="0"/>
            </w:tcBorders>
            <w:shd w:val="clear" w:color="000000" w:fill="FFFFFF"/>
            <w:noWrap/>
            <w:vAlign w:val="center"/>
          </w:tcPr>
          <w:p w14:paraId="38AB71A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2101101</w:t>
            </w:r>
          </w:p>
        </w:tc>
        <w:tc>
          <w:tcPr>
            <w:tcW w:w="1427"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0B6B8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行政单位医疗</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92B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19.03　</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8F7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19.03　</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38A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3D8C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9BC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BFF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1A20FDAE">
        <w:tblPrEx>
          <w:tblCellMar>
            <w:top w:w="0" w:type="dxa"/>
            <w:left w:w="108" w:type="dxa"/>
            <w:bottom w:w="0" w:type="dxa"/>
            <w:right w:w="108" w:type="dxa"/>
          </w:tblCellMar>
        </w:tblPrEx>
        <w:trPr>
          <w:trHeight w:val="543" w:hRule="atLeast"/>
          <w:jc w:val="center"/>
        </w:trPr>
        <w:tc>
          <w:tcPr>
            <w:tcW w:w="715" w:type="pct"/>
            <w:tcBorders>
              <w:top w:val="single" w:color="auto" w:sz="4" w:space="0"/>
              <w:left w:val="single" w:color="auto" w:sz="4" w:space="0"/>
              <w:bottom w:val="single" w:color="auto" w:sz="4" w:space="0"/>
              <w:right w:val="single" w:color="000000" w:sz="4" w:space="0"/>
            </w:tcBorders>
            <w:shd w:val="clear" w:color="000000" w:fill="FFFFFF"/>
            <w:noWrap/>
            <w:vAlign w:val="top"/>
          </w:tcPr>
          <w:p w14:paraId="27D3711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2210201</w:t>
            </w:r>
          </w:p>
        </w:tc>
        <w:tc>
          <w:tcPr>
            <w:tcW w:w="1427"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C7020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住房公积金</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480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30.88</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3FD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30.88</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E14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9D2A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8CA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166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bl>
    <w:p w14:paraId="0A102095">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注：本表反映部门本年度各项支出情况。</w:t>
      </w:r>
    </w:p>
    <w:p w14:paraId="6013211C">
      <w:pPr>
        <w:keepNext w:val="0"/>
        <w:keepLines w:val="0"/>
        <w:pageBreakBefore w:val="0"/>
        <w:widowControl/>
        <w:shd w:val="clear"/>
        <w:tabs>
          <w:tab w:val="left" w:pos="3595"/>
          <w:tab w:val="left" w:pos="4031"/>
          <w:tab w:val="left" w:pos="5605"/>
          <w:tab w:val="left" w:pos="9152"/>
          <w:tab w:val="left" w:pos="9587"/>
          <w:tab w:val="left" w:pos="11160"/>
          <w:tab w:val="left" w:pos="12554"/>
          <w:tab w:val="left" w:pos="13948"/>
        </w:tabs>
        <w:kinsoku/>
        <w:topLinePunct w:val="0"/>
        <w:bidi w:val="0"/>
        <w:spacing w:line="560" w:lineRule="exact"/>
        <w:ind w:left="0" w:leftChars="0" w:firstLine="480" w:firstLineChars="200"/>
        <w:jc w:val="right"/>
        <w:rPr>
          <w:rFonts w:hint="eastAsia" w:ascii="仿宋" w:hAnsi="仿宋" w:eastAsia="仿宋" w:cs="仿宋"/>
          <w:color w:val="auto"/>
          <w:kern w:val="0"/>
          <w:sz w:val="24"/>
          <w:szCs w:val="24"/>
          <w:highlight w:val="none"/>
        </w:rPr>
      </w:pPr>
      <w:bookmarkStart w:id="0" w:name="RANGE!A1:I22"/>
      <w:bookmarkEnd w:id="0"/>
      <w:bookmarkStart w:id="1" w:name="RANGE!A1:F16"/>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ab/>
      </w:r>
    </w:p>
    <w:p w14:paraId="1D5A3CA4">
      <w:pPr>
        <w:keepNext w:val="0"/>
        <w:keepLines w:val="0"/>
        <w:pageBreakBefore w:val="0"/>
        <w:widowControl/>
        <w:shd w:val="clear"/>
        <w:kinsoku/>
        <w:topLinePunct w:val="0"/>
        <w:bidi w:val="0"/>
        <w:spacing w:line="560" w:lineRule="exact"/>
        <w:ind w:left="0" w:leftChars="0" w:firstLine="640" w:firstLineChars="200"/>
        <w:jc w:val="center"/>
        <w:textAlignment w:val="center"/>
        <w:rPr>
          <w:rFonts w:hint="eastAsia" w:ascii="仿宋" w:hAnsi="仿宋" w:eastAsia="仿宋" w:cs="仿宋"/>
          <w:color w:val="auto"/>
          <w:kern w:val="0"/>
          <w:sz w:val="32"/>
          <w:szCs w:val="32"/>
          <w:highlight w:val="none"/>
        </w:rPr>
      </w:pPr>
    </w:p>
    <w:p w14:paraId="69D38CFF">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财政拨款收入支出决算总表</w:t>
      </w:r>
    </w:p>
    <w:p w14:paraId="3FE0A2C2">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40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仿宋" w:hAnsi="仿宋" w:eastAsia="仿宋" w:cs="仿宋"/>
          <w:color w:val="auto"/>
          <w:kern w:val="0"/>
          <w:sz w:val="20"/>
          <w:szCs w:val="20"/>
          <w:highlight w:val="none"/>
        </w:rPr>
        <w:t xml:space="preserve">                                                                                                                  </w:t>
      </w:r>
      <w:r>
        <w:rPr>
          <w:rFonts w:hint="eastAsia" w:ascii="宋体" w:hAnsi="宋体" w:eastAsia="宋体" w:cs="宋体"/>
          <w:color w:val="auto"/>
          <w:kern w:val="0"/>
          <w:sz w:val="28"/>
          <w:szCs w:val="28"/>
          <w:highlight w:val="none"/>
          <w:lang w:val="en-US" w:eastAsia="zh-CN"/>
        </w:rPr>
        <w:t>公开04表</w:t>
      </w:r>
    </w:p>
    <w:p w14:paraId="5CA43464">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 xml:space="preserve">部门：中国人民政治协商会议湖南省祁阳市委员会  　  　　     </w:t>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　单位：万元</w:t>
      </w:r>
    </w:p>
    <w:tbl>
      <w:tblPr>
        <w:tblStyle w:val="12"/>
        <w:tblW w:w="15099" w:type="dxa"/>
        <w:jc w:val="center"/>
        <w:tblLayout w:type="fixed"/>
        <w:tblCellMar>
          <w:top w:w="0" w:type="dxa"/>
          <w:left w:w="108" w:type="dxa"/>
          <w:bottom w:w="0" w:type="dxa"/>
          <w:right w:w="108" w:type="dxa"/>
        </w:tblCellMar>
      </w:tblPr>
      <w:tblGrid>
        <w:gridCol w:w="3560"/>
        <w:gridCol w:w="721"/>
        <w:gridCol w:w="1015"/>
        <w:gridCol w:w="2861"/>
        <w:gridCol w:w="617"/>
        <w:gridCol w:w="697"/>
        <w:gridCol w:w="1708"/>
        <w:gridCol w:w="1807"/>
        <w:gridCol w:w="2113"/>
      </w:tblGrid>
      <w:tr w14:paraId="15465B3E">
        <w:tblPrEx>
          <w:tblCellMar>
            <w:top w:w="0" w:type="dxa"/>
            <w:left w:w="108" w:type="dxa"/>
            <w:bottom w:w="0" w:type="dxa"/>
            <w:right w:w="108" w:type="dxa"/>
          </w:tblCellMar>
        </w:tblPrEx>
        <w:trPr>
          <w:trHeight w:val="365" w:hRule="atLeast"/>
          <w:jc w:val="center"/>
        </w:trPr>
        <w:tc>
          <w:tcPr>
            <w:tcW w:w="52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CAA614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收入</w:t>
            </w:r>
          </w:p>
        </w:tc>
        <w:tc>
          <w:tcPr>
            <w:tcW w:w="9803" w:type="dxa"/>
            <w:gridSpan w:val="6"/>
            <w:tcBorders>
              <w:top w:val="single" w:color="auto" w:sz="4" w:space="0"/>
              <w:left w:val="nil"/>
              <w:bottom w:val="single" w:color="auto" w:sz="4" w:space="0"/>
              <w:right w:val="single" w:color="auto" w:sz="4" w:space="0"/>
            </w:tcBorders>
            <w:shd w:val="clear" w:color="000000" w:fill="FFFFFF"/>
            <w:noWrap/>
            <w:vAlign w:val="center"/>
          </w:tcPr>
          <w:p w14:paraId="776785A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支出</w:t>
            </w:r>
          </w:p>
        </w:tc>
      </w:tr>
      <w:tr w14:paraId="33D222A5">
        <w:tblPrEx>
          <w:tblCellMar>
            <w:top w:w="0" w:type="dxa"/>
            <w:left w:w="108" w:type="dxa"/>
            <w:bottom w:w="0" w:type="dxa"/>
            <w:right w:w="108" w:type="dxa"/>
          </w:tblCellMar>
        </w:tblPrEx>
        <w:trPr>
          <w:trHeight w:val="561"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70C7D15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    目</w:t>
            </w:r>
          </w:p>
        </w:tc>
        <w:tc>
          <w:tcPr>
            <w:tcW w:w="721" w:type="dxa"/>
            <w:tcBorders>
              <w:top w:val="nil"/>
              <w:left w:val="nil"/>
              <w:bottom w:val="single" w:color="auto" w:sz="4" w:space="0"/>
              <w:right w:val="single" w:color="auto" w:sz="4" w:space="0"/>
            </w:tcBorders>
            <w:shd w:val="clear" w:color="auto" w:fill="auto"/>
            <w:noWrap/>
            <w:vAlign w:val="center"/>
          </w:tcPr>
          <w:p w14:paraId="6ACCD3C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行次</w:t>
            </w:r>
          </w:p>
        </w:tc>
        <w:tc>
          <w:tcPr>
            <w:tcW w:w="1015" w:type="dxa"/>
            <w:tcBorders>
              <w:top w:val="nil"/>
              <w:left w:val="nil"/>
              <w:bottom w:val="single" w:color="auto" w:sz="4" w:space="0"/>
              <w:right w:val="single" w:color="auto" w:sz="4" w:space="0"/>
            </w:tcBorders>
            <w:shd w:val="clear" w:color="auto" w:fill="auto"/>
            <w:noWrap/>
            <w:vAlign w:val="center"/>
          </w:tcPr>
          <w:p w14:paraId="01E0109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金额</w:t>
            </w:r>
          </w:p>
        </w:tc>
        <w:tc>
          <w:tcPr>
            <w:tcW w:w="2861" w:type="dxa"/>
            <w:tcBorders>
              <w:top w:val="nil"/>
              <w:left w:val="nil"/>
              <w:bottom w:val="single" w:color="auto" w:sz="4" w:space="0"/>
              <w:right w:val="single" w:color="auto" w:sz="4" w:space="0"/>
            </w:tcBorders>
            <w:shd w:val="clear" w:color="auto" w:fill="auto"/>
            <w:noWrap/>
            <w:vAlign w:val="center"/>
          </w:tcPr>
          <w:p w14:paraId="020EB2B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    目</w:t>
            </w:r>
          </w:p>
        </w:tc>
        <w:tc>
          <w:tcPr>
            <w:tcW w:w="617" w:type="dxa"/>
            <w:tcBorders>
              <w:top w:val="nil"/>
              <w:left w:val="nil"/>
              <w:bottom w:val="single" w:color="auto" w:sz="4" w:space="0"/>
              <w:right w:val="single" w:color="auto" w:sz="4" w:space="0"/>
            </w:tcBorders>
            <w:shd w:val="clear" w:color="auto" w:fill="auto"/>
            <w:noWrap/>
            <w:vAlign w:val="center"/>
          </w:tcPr>
          <w:p w14:paraId="1C7C891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行次</w:t>
            </w:r>
          </w:p>
        </w:tc>
        <w:tc>
          <w:tcPr>
            <w:tcW w:w="697" w:type="dxa"/>
            <w:tcBorders>
              <w:top w:val="nil"/>
              <w:left w:val="nil"/>
              <w:bottom w:val="single" w:color="auto" w:sz="4" w:space="0"/>
              <w:right w:val="single" w:color="auto" w:sz="4" w:space="0"/>
            </w:tcBorders>
            <w:shd w:val="clear" w:color="auto" w:fill="auto"/>
            <w:noWrap/>
            <w:vAlign w:val="center"/>
          </w:tcPr>
          <w:p w14:paraId="2BB8E93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合计</w:t>
            </w:r>
          </w:p>
        </w:tc>
        <w:tc>
          <w:tcPr>
            <w:tcW w:w="1708" w:type="dxa"/>
            <w:tcBorders>
              <w:top w:val="nil"/>
              <w:left w:val="nil"/>
              <w:bottom w:val="single" w:color="auto" w:sz="4" w:space="0"/>
              <w:right w:val="single" w:color="auto" w:sz="4" w:space="0"/>
            </w:tcBorders>
            <w:shd w:val="clear" w:color="auto" w:fill="auto"/>
            <w:vAlign w:val="center"/>
          </w:tcPr>
          <w:p w14:paraId="55ED74B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一般公共预算财政拨款</w:t>
            </w:r>
          </w:p>
        </w:tc>
        <w:tc>
          <w:tcPr>
            <w:tcW w:w="1807" w:type="dxa"/>
            <w:tcBorders>
              <w:top w:val="nil"/>
              <w:left w:val="nil"/>
              <w:bottom w:val="single" w:color="auto" w:sz="4" w:space="0"/>
              <w:right w:val="single" w:color="auto" w:sz="4" w:space="0"/>
            </w:tcBorders>
            <w:shd w:val="clear" w:color="auto" w:fill="auto"/>
            <w:vAlign w:val="center"/>
          </w:tcPr>
          <w:p w14:paraId="324EB56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政府性基金预算财政拨款</w:t>
            </w:r>
          </w:p>
        </w:tc>
        <w:tc>
          <w:tcPr>
            <w:tcW w:w="2113" w:type="dxa"/>
            <w:tcBorders>
              <w:top w:val="nil"/>
              <w:left w:val="nil"/>
              <w:bottom w:val="single" w:color="auto" w:sz="4" w:space="0"/>
              <w:right w:val="single" w:color="auto" w:sz="4" w:space="0"/>
            </w:tcBorders>
            <w:shd w:val="clear" w:color="auto" w:fill="auto"/>
            <w:vAlign w:val="center"/>
          </w:tcPr>
          <w:p w14:paraId="4EAB21B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国有资本经营预算财政拨款</w:t>
            </w:r>
          </w:p>
        </w:tc>
      </w:tr>
      <w:tr w14:paraId="1C87656B">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7213AB5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栏    次</w:t>
            </w:r>
          </w:p>
        </w:tc>
        <w:tc>
          <w:tcPr>
            <w:tcW w:w="721" w:type="dxa"/>
            <w:tcBorders>
              <w:top w:val="nil"/>
              <w:left w:val="nil"/>
              <w:bottom w:val="single" w:color="auto" w:sz="4" w:space="0"/>
              <w:right w:val="single" w:color="auto" w:sz="4" w:space="0"/>
            </w:tcBorders>
            <w:shd w:val="clear" w:color="auto" w:fill="auto"/>
            <w:noWrap/>
            <w:vAlign w:val="center"/>
          </w:tcPr>
          <w:p w14:paraId="1CEB09A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w:t>
            </w:r>
          </w:p>
        </w:tc>
        <w:tc>
          <w:tcPr>
            <w:tcW w:w="1015" w:type="dxa"/>
            <w:tcBorders>
              <w:top w:val="nil"/>
              <w:left w:val="nil"/>
              <w:bottom w:val="single" w:color="auto" w:sz="4" w:space="0"/>
              <w:right w:val="single" w:color="auto" w:sz="4" w:space="0"/>
            </w:tcBorders>
            <w:shd w:val="clear" w:color="auto" w:fill="auto"/>
            <w:noWrap/>
            <w:vAlign w:val="center"/>
          </w:tcPr>
          <w:p w14:paraId="7D8C7E5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p>
        </w:tc>
        <w:tc>
          <w:tcPr>
            <w:tcW w:w="2861" w:type="dxa"/>
            <w:tcBorders>
              <w:top w:val="nil"/>
              <w:left w:val="nil"/>
              <w:bottom w:val="single" w:color="auto" w:sz="4" w:space="0"/>
              <w:right w:val="single" w:color="auto" w:sz="4" w:space="0"/>
            </w:tcBorders>
            <w:shd w:val="clear" w:color="auto" w:fill="auto"/>
            <w:noWrap/>
            <w:vAlign w:val="center"/>
          </w:tcPr>
          <w:p w14:paraId="3205038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栏    次</w:t>
            </w:r>
          </w:p>
        </w:tc>
        <w:tc>
          <w:tcPr>
            <w:tcW w:w="617" w:type="dxa"/>
            <w:tcBorders>
              <w:top w:val="nil"/>
              <w:left w:val="nil"/>
              <w:bottom w:val="single" w:color="auto" w:sz="4" w:space="0"/>
              <w:right w:val="single" w:color="auto" w:sz="4" w:space="0"/>
            </w:tcBorders>
            <w:shd w:val="clear" w:color="auto" w:fill="auto"/>
            <w:noWrap/>
            <w:vAlign w:val="center"/>
          </w:tcPr>
          <w:p w14:paraId="56E8AD8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w:t>
            </w:r>
          </w:p>
        </w:tc>
        <w:tc>
          <w:tcPr>
            <w:tcW w:w="697" w:type="dxa"/>
            <w:tcBorders>
              <w:top w:val="nil"/>
              <w:left w:val="nil"/>
              <w:bottom w:val="single" w:color="auto" w:sz="4" w:space="0"/>
              <w:right w:val="single" w:color="auto" w:sz="4" w:space="0"/>
            </w:tcBorders>
            <w:shd w:val="clear" w:color="auto" w:fill="auto"/>
            <w:noWrap/>
            <w:vAlign w:val="center"/>
          </w:tcPr>
          <w:p w14:paraId="767DFFE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p>
        </w:tc>
        <w:tc>
          <w:tcPr>
            <w:tcW w:w="1708" w:type="dxa"/>
            <w:tcBorders>
              <w:top w:val="nil"/>
              <w:left w:val="nil"/>
              <w:bottom w:val="single" w:color="auto" w:sz="4" w:space="0"/>
              <w:right w:val="single" w:color="auto" w:sz="4" w:space="0"/>
            </w:tcBorders>
            <w:shd w:val="clear" w:color="auto" w:fill="auto"/>
            <w:noWrap/>
            <w:vAlign w:val="center"/>
          </w:tcPr>
          <w:p w14:paraId="484FC7F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p>
        </w:tc>
        <w:tc>
          <w:tcPr>
            <w:tcW w:w="1807" w:type="dxa"/>
            <w:tcBorders>
              <w:top w:val="nil"/>
              <w:left w:val="nil"/>
              <w:bottom w:val="single" w:color="auto" w:sz="4" w:space="0"/>
              <w:right w:val="single" w:color="auto" w:sz="4" w:space="0"/>
            </w:tcBorders>
            <w:shd w:val="clear" w:color="auto" w:fill="auto"/>
            <w:noWrap/>
            <w:vAlign w:val="center"/>
          </w:tcPr>
          <w:p w14:paraId="14A7873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w:t>
            </w:r>
          </w:p>
        </w:tc>
        <w:tc>
          <w:tcPr>
            <w:tcW w:w="2113" w:type="dxa"/>
            <w:tcBorders>
              <w:top w:val="nil"/>
              <w:left w:val="nil"/>
              <w:bottom w:val="single" w:color="auto" w:sz="4" w:space="0"/>
              <w:right w:val="single" w:color="auto" w:sz="4" w:space="0"/>
            </w:tcBorders>
            <w:shd w:val="clear" w:color="auto" w:fill="auto"/>
            <w:noWrap/>
            <w:vAlign w:val="center"/>
          </w:tcPr>
          <w:p w14:paraId="5FE2644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w:t>
            </w:r>
          </w:p>
        </w:tc>
      </w:tr>
      <w:tr w14:paraId="0FAEE337">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524A71F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一、一般公共预算财政拨款</w:t>
            </w:r>
          </w:p>
        </w:tc>
        <w:tc>
          <w:tcPr>
            <w:tcW w:w="721" w:type="dxa"/>
            <w:tcBorders>
              <w:top w:val="nil"/>
              <w:left w:val="nil"/>
              <w:bottom w:val="single" w:color="auto" w:sz="4" w:space="0"/>
              <w:right w:val="single" w:color="auto" w:sz="4" w:space="0"/>
            </w:tcBorders>
            <w:shd w:val="clear" w:color="auto" w:fill="auto"/>
            <w:noWrap/>
            <w:vAlign w:val="center"/>
          </w:tcPr>
          <w:p w14:paraId="0295E58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015" w:type="dxa"/>
            <w:tcBorders>
              <w:top w:val="nil"/>
              <w:left w:val="nil"/>
              <w:bottom w:val="single" w:color="auto" w:sz="4" w:space="0"/>
              <w:right w:val="single" w:color="auto" w:sz="4" w:space="0"/>
            </w:tcBorders>
            <w:shd w:val="clear" w:color="auto" w:fill="auto"/>
            <w:noWrap/>
            <w:vAlign w:val="center"/>
          </w:tcPr>
          <w:p w14:paraId="7F263D5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693.30　</w:t>
            </w:r>
          </w:p>
        </w:tc>
        <w:tc>
          <w:tcPr>
            <w:tcW w:w="2861" w:type="dxa"/>
            <w:tcBorders>
              <w:top w:val="nil"/>
              <w:left w:val="nil"/>
              <w:bottom w:val="single" w:color="auto" w:sz="4" w:space="0"/>
              <w:right w:val="single" w:color="auto" w:sz="4" w:space="0"/>
            </w:tcBorders>
            <w:shd w:val="clear" w:color="auto" w:fill="auto"/>
            <w:noWrap/>
            <w:vAlign w:val="center"/>
          </w:tcPr>
          <w:p w14:paraId="1836356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一、一般公共服务支出</w:t>
            </w:r>
          </w:p>
        </w:tc>
        <w:tc>
          <w:tcPr>
            <w:tcW w:w="617" w:type="dxa"/>
            <w:tcBorders>
              <w:top w:val="nil"/>
              <w:left w:val="nil"/>
              <w:bottom w:val="single" w:color="auto" w:sz="4" w:space="0"/>
              <w:right w:val="single" w:color="auto" w:sz="4" w:space="0"/>
            </w:tcBorders>
            <w:shd w:val="clear" w:color="auto" w:fill="auto"/>
            <w:noWrap/>
            <w:vAlign w:val="center"/>
          </w:tcPr>
          <w:p w14:paraId="61C840D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697" w:type="dxa"/>
            <w:tcBorders>
              <w:top w:val="nil"/>
              <w:left w:val="nil"/>
              <w:bottom w:val="single" w:color="auto" w:sz="4" w:space="0"/>
              <w:right w:val="single" w:color="auto" w:sz="4" w:space="0"/>
            </w:tcBorders>
            <w:shd w:val="clear" w:color="auto" w:fill="auto"/>
            <w:noWrap/>
            <w:vAlign w:val="center"/>
          </w:tcPr>
          <w:p w14:paraId="7B8C6F2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47580C4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599.91</w:t>
            </w:r>
          </w:p>
        </w:tc>
        <w:tc>
          <w:tcPr>
            <w:tcW w:w="1807" w:type="dxa"/>
            <w:tcBorders>
              <w:top w:val="nil"/>
              <w:left w:val="nil"/>
              <w:bottom w:val="single" w:color="auto" w:sz="4" w:space="0"/>
              <w:right w:val="single" w:color="auto" w:sz="4" w:space="0"/>
            </w:tcBorders>
            <w:shd w:val="clear" w:color="auto" w:fill="auto"/>
            <w:noWrap/>
            <w:vAlign w:val="center"/>
          </w:tcPr>
          <w:p w14:paraId="2444889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3364935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7A92BF31">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7F438C0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二、政府性基金预算财政拨款</w:t>
            </w:r>
          </w:p>
        </w:tc>
        <w:tc>
          <w:tcPr>
            <w:tcW w:w="721" w:type="dxa"/>
            <w:tcBorders>
              <w:top w:val="nil"/>
              <w:left w:val="nil"/>
              <w:bottom w:val="single" w:color="auto" w:sz="4" w:space="0"/>
              <w:right w:val="single" w:color="auto" w:sz="4" w:space="0"/>
            </w:tcBorders>
            <w:shd w:val="clear" w:color="auto" w:fill="auto"/>
            <w:noWrap/>
            <w:vAlign w:val="center"/>
          </w:tcPr>
          <w:p w14:paraId="18133D3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015" w:type="dxa"/>
            <w:tcBorders>
              <w:top w:val="nil"/>
              <w:left w:val="nil"/>
              <w:bottom w:val="single" w:color="auto" w:sz="4" w:space="0"/>
              <w:right w:val="single" w:color="auto" w:sz="4" w:space="0"/>
            </w:tcBorders>
            <w:shd w:val="clear" w:color="auto" w:fill="auto"/>
            <w:noWrap/>
            <w:vAlign w:val="center"/>
          </w:tcPr>
          <w:p w14:paraId="30A0D83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28964AC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二、外交支出</w:t>
            </w:r>
          </w:p>
        </w:tc>
        <w:tc>
          <w:tcPr>
            <w:tcW w:w="617" w:type="dxa"/>
            <w:tcBorders>
              <w:top w:val="nil"/>
              <w:left w:val="nil"/>
              <w:bottom w:val="single" w:color="auto" w:sz="4" w:space="0"/>
              <w:right w:val="single" w:color="auto" w:sz="4" w:space="0"/>
            </w:tcBorders>
            <w:shd w:val="clear" w:color="auto" w:fill="auto"/>
            <w:noWrap/>
            <w:vAlign w:val="center"/>
          </w:tcPr>
          <w:p w14:paraId="4392FC4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697" w:type="dxa"/>
            <w:tcBorders>
              <w:top w:val="nil"/>
              <w:left w:val="nil"/>
              <w:bottom w:val="single" w:color="auto" w:sz="4" w:space="0"/>
              <w:right w:val="single" w:color="auto" w:sz="4" w:space="0"/>
            </w:tcBorders>
            <w:shd w:val="clear" w:color="auto" w:fill="auto"/>
            <w:noWrap/>
            <w:vAlign w:val="center"/>
          </w:tcPr>
          <w:p w14:paraId="322CB34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355B7D9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807" w:type="dxa"/>
            <w:tcBorders>
              <w:top w:val="nil"/>
              <w:left w:val="nil"/>
              <w:bottom w:val="single" w:color="auto" w:sz="4" w:space="0"/>
              <w:right w:val="single" w:color="auto" w:sz="4" w:space="0"/>
            </w:tcBorders>
            <w:shd w:val="clear" w:color="auto" w:fill="auto"/>
            <w:noWrap/>
            <w:vAlign w:val="center"/>
          </w:tcPr>
          <w:p w14:paraId="523A7CA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093CEAC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73D347AC">
        <w:tblPrEx>
          <w:tblCellMar>
            <w:top w:w="0" w:type="dxa"/>
            <w:left w:w="108" w:type="dxa"/>
            <w:bottom w:w="0" w:type="dxa"/>
            <w:right w:w="108" w:type="dxa"/>
          </w:tblCellMar>
        </w:tblPrEx>
        <w:trPr>
          <w:trHeight w:val="312"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359FAD3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三、国有资本经营预算财政拨款</w:t>
            </w:r>
          </w:p>
        </w:tc>
        <w:tc>
          <w:tcPr>
            <w:tcW w:w="721" w:type="dxa"/>
            <w:tcBorders>
              <w:top w:val="nil"/>
              <w:left w:val="nil"/>
              <w:bottom w:val="single" w:color="auto" w:sz="4" w:space="0"/>
              <w:right w:val="single" w:color="auto" w:sz="4" w:space="0"/>
            </w:tcBorders>
            <w:shd w:val="clear" w:color="auto" w:fill="auto"/>
            <w:noWrap/>
            <w:vAlign w:val="center"/>
          </w:tcPr>
          <w:p w14:paraId="5C5101D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015" w:type="dxa"/>
            <w:tcBorders>
              <w:top w:val="nil"/>
              <w:left w:val="nil"/>
              <w:bottom w:val="single" w:color="auto" w:sz="4" w:space="0"/>
              <w:right w:val="single" w:color="auto" w:sz="4" w:space="0"/>
            </w:tcBorders>
            <w:shd w:val="clear" w:color="auto" w:fill="auto"/>
            <w:noWrap/>
            <w:vAlign w:val="center"/>
          </w:tcPr>
          <w:p w14:paraId="092EA64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4334E70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三、国防支出</w:t>
            </w:r>
          </w:p>
        </w:tc>
        <w:tc>
          <w:tcPr>
            <w:tcW w:w="617" w:type="dxa"/>
            <w:tcBorders>
              <w:top w:val="nil"/>
              <w:left w:val="nil"/>
              <w:bottom w:val="single" w:color="auto" w:sz="4" w:space="0"/>
              <w:right w:val="single" w:color="auto" w:sz="4" w:space="0"/>
            </w:tcBorders>
            <w:shd w:val="clear" w:color="auto" w:fill="auto"/>
            <w:noWrap/>
            <w:vAlign w:val="center"/>
          </w:tcPr>
          <w:p w14:paraId="637B5B6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697" w:type="dxa"/>
            <w:tcBorders>
              <w:top w:val="nil"/>
              <w:left w:val="nil"/>
              <w:bottom w:val="single" w:color="auto" w:sz="4" w:space="0"/>
              <w:right w:val="single" w:color="auto" w:sz="4" w:space="0"/>
            </w:tcBorders>
            <w:shd w:val="clear" w:color="auto" w:fill="auto"/>
            <w:noWrap/>
            <w:vAlign w:val="center"/>
          </w:tcPr>
          <w:p w14:paraId="1086A49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7F78221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807" w:type="dxa"/>
            <w:tcBorders>
              <w:top w:val="nil"/>
              <w:left w:val="nil"/>
              <w:bottom w:val="single" w:color="auto" w:sz="4" w:space="0"/>
              <w:right w:val="single" w:color="auto" w:sz="4" w:space="0"/>
            </w:tcBorders>
            <w:shd w:val="clear" w:color="auto" w:fill="auto"/>
            <w:noWrap/>
            <w:vAlign w:val="center"/>
          </w:tcPr>
          <w:p w14:paraId="6CB15E5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5057B60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4C68E444">
        <w:tblPrEx>
          <w:tblCellMar>
            <w:top w:w="0" w:type="dxa"/>
            <w:left w:w="108" w:type="dxa"/>
            <w:bottom w:w="0" w:type="dxa"/>
            <w:right w:w="108" w:type="dxa"/>
          </w:tblCellMar>
        </w:tblPrEx>
        <w:trPr>
          <w:trHeight w:val="28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31D4F98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721" w:type="dxa"/>
            <w:tcBorders>
              <w:top w:val="nil"/>
              <w:left w:val="nil"/>
              <w:bottom w:val="single" w:color="auto" w:sz="4" w:space="0"/>
              <w:right w:val="single" w:color="auto" w:sz="4" w:space="0"/>
            </w:tcBorders>
            <w:shd w:val="clear" w:color="auto" w:fill="auto"/>
            <w:noWrap/>
            <w:vAlign w:val="center"/>
          </w:tcPr>
          <w:p w14:paraId="545D96A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015" w:type="dxa"/>
            <w:tcBorders>
              <w:top w:val="nil"/>
              <w:left w:val="nil"/>
              <w:bottom w:val="single" w:color="auto" w:sz="4" w:space="0"/>
              <w:right w:val="single" w:color="auto" w:sz="4" w:space="0"/>
            </w:tcBorders>
            <w:shd w:val="clear" w:color="auto" w:fill="auto"/>
            <w:noWrap/>
            <w:vAlign w:val="center"/>
          </w:tcPr>
          <w:p w14:paraId="6FB58FC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59E1224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四、公共安全支出</w:t>
            </w:r>
          </w:p>
        </w:tc>
        <w:tc>
          <w:tcPr>
            <w:tcW w:w="617" w:type="dxa"/>
            <w:tcBorders>
              <w:top w:val="nil"/>
              <w:left w:val="nil"/>
              <w:bottom w:val="single" w:color="auto" w:sz="4" w:space="0"/>
              <w:right w:val="single" w:color="auto" w:sz="4" w:space="0"/>
            </w:tcBorders>
            <w:shd w:val="clear" w:color="auto" w:fill="auto"/>
            <w:noWrap/>
            <w:vAlign w:val="center"/>
          </w:tcPr>
          <w:p w14:paraId="39D4E09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697" w:type="dxa"/>
            <w:tcBorders>
              <w:top w:val="nil"/>
              <w:left w:val="nil"/>
              <w:bottom w:val="single" w:color="auto" w:sz="4" w:space="0"/>
              <w:right w:val="single" w:color="auto" w:sz="4" w:space="0"/>
            </w:tcBorders>
            <w:shd w:val="clear" w:color="auto" w:fill="auto"/>
            <w:noWrap/>
            <w:vAlign w:val="center"/>
          </w:tcPr>
          <w:p w14:paraId="1ECFA1B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1853F06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807" w:type="dxa"/>
            <w:tcBorders>
              <w:top w:val="nil"/>
              <w:left w:val="nil"/>
              <w:bottom w:val="single" w:color="auto" w:sz="4" w:space="0"/>
              <w:right w:val="single" w:color="auto" w:sz="4" w:space="0"/>
            </w:tcBorders>
            <w:shd w:val="clear" w:color="auto" w:fill="auto"/>
            <w:noWrap/>
            <w:vAlign w:val="center"/>
          </w:tcPr>
          <w:p w14:paraId="6CDFACC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69C1796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79EE9D1F">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78D1E23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721" w:type="dxa"/>
            <w:tcBorders>
              <w:top w:val="nil"/>
              <w:left w:val="nil"/>
              <w:bottom w:val="single" w:color="auto" w:sz="4" w:space="0"/>
              <w:right w:val="single" w:color="auto" w:sz="4" w:space="0"/>
            </w:tcBorders>
            <w:shd w:val="clear" w:color="auto" w:fill="auto"/>
            <w:noWrap/>
            <w:vAlign w:val="center"/>
          </w:tcPr>
          <w:p w14:paraId="5C7DA70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1015" w:type="dxa"/>
            <w:tcBorders>
              <w:top w:val="nil"/>
              <w:left w:val="nil"/>
              <w:bottom w:val="single" w:color="auto" w:sz="4" w:space="0"/>
              <w:right w:val="single" w:color="auto" w:sz="4" w:space="0"/>
            </w:tcBorders>
            <w:shd w:val="clear" w:color="auto" w:fill="auto"/>
            <w:noWrap/>
            <w:vAlign w:val="center"/>
          </w:tcPr>
          <w:p w14:paraId="0AA625B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6C71299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五、社会保障和就业支出</w:t>
            </w:r>
          </w:p>
        </w:tc>
        <w:tc>
          <w:tcPr>
            <w:tcW w:w="617" w:type="dxa"/>
            <w:tcBorders>
              <w:top w:val="nil"/>
              <w:left w:val="nil"/>
              <w:bottom w:val="single" w:color="auto" w:sz="4" w:space="0"/>
              <w:right w:val="single" w:color="auto" w:sz="4" w:space="0"/>
            </w:tcBorders>
            <w:shd w:val="clear" w:color="auto" w:fill="auto"/>
            <w:noWrap/>
            <w:vAlign w:val="center"/>
          </w:tcPr>
          <w:p w14:paraId="3A3A1A8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697" w:type="dxa"/>
            <w:tcBorders>
              <w:top w:val="nil"/>
              <w:left w:val="nil"/>
              <w:bottom w:val="single" w:color="auto" w:sz="4" w:space="0"/>
              <w:right w:val="single" w:color="auto" w:sz="4" w:space="0"/>
            </w:tcBorders>
            <w:shd w:val="clear" w:color="auto" w:fill="auto"/>
            <w:noWrap/>
            <w:vAlign w:val="center"/>
          </w:tcPr>
          <w:p w14:paraId="2877A88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3F17F36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43.48</w:t>
            </w:r>
          </w:p>
        </w:tc>
        <w:tc>
          <w:tcPr>
            <w:tcW w:w="1807" w:type="dxa"/>
            <w:tcBorders>
              <w:top w:val="nil"/>
              <w:left w:val="nil"/>
              <w:bottom w:val="single" w:color="auto" w:sz="4" w:space="0"/>
              <w:right w:val="single" w:color="auto" w:sz="4" w:space="0"/>
            </w:tcBorders>
            <w:shd w:val="clear" w:color="auto" w:fill="auto"/>
            <w:noWrap/>
            <w:vAlign w:val="center"/>
          </w:tcPr>
          <w:p w14:paraId="24E62B7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46663C5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6324C920">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60DC92A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721" w:type="dxa"/>
            <w:tcBorders>
              <w:top w:val="nil"/>
              <w:left w:val="nil"/>
              <w:bottom w:val="single" w:color="auto" w:sz="4" w:space="0"/>
              <w:right w:val="single" w:color="auto" w:sz="4" w:space="0"/>
            </w:tcBorders>
            <w:shd w:val="clear" w:color="auto" w:fill="auto"/>
            <w:noWrap/>
            <w:vAlign w:val="center"/>
          </w:tcPr>
          <w:p w14:paraId="574AEC2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1015" w:type="dxa"/>
            <w:tcBorders>
              <w:top w:val="nil"/>
              <w:left w:val="nil"/>
              <w:bottom w:val="single" w:color="auto" w:sz="4" w:space="0"/>
              <w:right w:val="single" w:color="auto" w:sz="4" w:space="0"/>
            </w:tcBorders>
            <w:shd w:val="clear" w:color="auto" w:fill="auto"/>
            <w:noWrap/>
            <w:vAlign w:val="center"/>
          </w:tcPr>
          <w:p w14:paraId="48067A0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1D29611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六、卫生健康支出</w:t>
            </w:r>
          </w:p>
        </w:tc>
        <w:tc>
          <w:tcPr>
            <w:tcW w:w="617" w:type="dxa"/>
            <w:tcBorders>
              <w:top w:val="nil"/>
              <w:left w:val="nil"/>
              <w:bottom w:val="single" w:color="auto" w:sz="4" w:space="0"/>
              <w:right w:val="single" w:color="auto" w:sz="4" w:space="0"/>
            </w:tcBorders>
            <w:shd w:val="clear" w:color="auto" w:fill="auto"/>
            <w:noWrap/>
            <w:vAlign w:val="center"/>
          </w:tcPr>
          <w:p w14:paraId="79428F4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697" w:type="dxa"/>
            <w:tcBorders>
              <w:top w:val="nil"/>
              <w:left w:val="nil"/>
              <w:bottom w:val="single" w:color="auto" w:sz="4" w:space="0"/>
              <w:right w:val="single" w:color="auto" w:sz="4" w:space="0"/>
            </w:tcBorders>
            <w:shd w:val="clear" w:color="auto" w:fill="auto"/>
            <w:noWrap/>
            <w:vAlign w:val="center"/>
          </w:tcPr>
          <w:p w14:paraId="3E86F03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2023B4D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19.03 </w:t>
            </w:r>
          </w:p>
        </w:tc>
        <w:tc>
          <w:tcPr>
            <w:tcW w:w="1807" w:type="dxa"/>
            <w:tcBorders>
              <w:top w:val="nil"/>
              <w:left w:val="nil"/>
              <w:bottom w:val="single" w:color="auto" w:sz="4" w:space="0"/>
              <w:right w:val="single" w:color="auto" w:sz="4" w:space="0"/>
            </w:tcBorders>
            <w:shd w:val="clear" w:color="auto" w:fill="auto"/>
            <w:noWrap/>
            <w:vAlign w:val="center"/>
          </w:tcPr>
          <w:p w14:paraId="37A00D6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769EA29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3A6BB6CE">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328FA00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721" w:type="dxa"/>
            <w:tcBorders>
              <w:top w:val="nil"/>
              <w:left w:val="nil"/>
              <w:bottom w:val="single" w:color="auto" w:sz="4" w:space="0"/>
              <w:right w:val="single" w:color="auto" w:sz="4" w:space="0"/>
            </w:tcBorders>
            <w:shd w:val="clear" w:color="auto" w:fill="auto"/>
            <w:noWrap/>
            <w:vAlign w:val="center"/>
          </w:tcPr>
          <w:p w14:paraId="21F4614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1015" w:type="dxa"/>
            <w:tcBorders>
              <w:top w:val="nil"/>
              <w:left w:val="nil"/>
              <w:bottom w:val="single" w:color="auto" w:sz="4" w:space="0"/>
              <w:right w:val="single" w:color="auto" w:sz="4" w:space="0"/>
            </w:tcBorders>
            <w:shd w:val="clear" w:color="auto" w:fill="auto"/>
            <w:noWrap/>
            <w:vAlign w:val="center"/>
          </w:tcPr>
          <w:p w14:paraId="1358B7C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41F0E22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七、住房保障支出</w:t>
            </w:r>
          </w:p>
        </w:tc>
        <w:tc>
          <w:tcPr>
            <w:tcW w:w="617" w:type="dxa"/>
            <w:tcBorders>
              <w:top w:val="nil"/>
              <w:left w:val="nil"/>
              <w:bottom w:val="single" w:color="auto" w:sz="4" w:space="0"/>
              <w:right w:val="single" w:color="auto" w:sz="4" w:space="0"/>
            </w:tcBorders>
            <w:shd w:val="clear" w:color="auto" w:fill="auto"/>
            <w:noWrap/>
            <w:vAlign w:val="center"/>
          </w:tcPr>
          <w:p w14:paraId="0AC369F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697" w:type="dxa"/>
            <w:tcBorders>
              <w:top w:val="nil"/>
              <w:left w:val="nil"/>
              <w:bottom w:val="single" w:color="auto" w:sz="4" w:space="0"/>
              <w:right w:val="single" w:color="auto" w:sz="4" w:space="0"/>
            </w:tcBorders>
            <w:shd w:val="clear" w:color="auto" w:fill="auto"/>
            <w:noWrap/>
            <w:vAlign w:val="center"/>
          </w:tcPr>
          <w:p w14:paraId="7E4F86C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26C60CC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30.88 </w:t>
            </w:r>
          </w:p>
        </w:tc>
        <w:tc>
          <w:tcPr>
            <w:tcW w:w="1807" w:type="dxa"/>
            <w:tcBorders>
              <w:top w:val="nil"/>
              <w:left w:val="nil"/>
              <w:bottom w:val="single" w:color="auto" w:sz="4" w:space="0"/>
              <w:right w:val="single" w:color="auto" w:sz="4" w:space="0"/>
            </w:tcBorders>
            <w:shd w:val="clear" w:color="auto" w:fill="auto"/>
            <w:noWrap/>
            <w:vAlign w:val="center"/>
          </w:tcPr>
          <w:p w14:paraId="040B251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19A2BFD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102260AC">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677A7D3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本年收入合计</w:t>
            </w:r>
          </w:p>
        </w:tc>
        <w:tc>
          <w:tcPr>
            <w:tcW w:w="721" w:type="dxa"/>
            <w:tcBorders>
              <w:top w:val="nil"/>
              <w:left w:val="nil"/>
              <w:bottom w:val="single" w:color="auto" w:sz="4" w:space="0"/>
              <w:right w:val="single" w:color="auto" w:sz="4" w:space="0"/>
            </w:tcBorders>
            <w:shd w:val="clear" w:color="auto" w:fill="auto"/>
            <w:noWrap/>
            <w:vAlign w:val="center"/>
          </w:tcPr>
          <w:p w14:paraId="07FF542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1015" w:type="dxa"/>
            <w:tcBorders>
              <w:top w:val="nil"/>
              <w:left w:val="nil"/>
              <w:bottom w:val="single" w:color="auto" w:sz="4" w:space="0"/>
              <w:right w:val="single" w:color="auto" w:sz="4" w:space="0"/>
            </w:tcBorders>
            <w:shd w:val="clear" w:color="auto" w:fill="auto"/>
            <w:noWrap/>
            <w:vAlign w:val="center"/>
          </w:tcPr>
          <w:p w14:paraId="38463C0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693.30</w:t>
            </w:r>
          </w:p>
        </w:tc>
        <w:tc>
          <w:tcPr>
            <w:tcW w:w="2861" w:type="dxa"/>
            <w:tcBorders>
              <w:top w:val="nil"/>
              <w:left w:val="nil"/>
              <w:bottom w:val="single" w:color="auto" w:sz="4" w:space="0"/>
              <w:right w:val="single" w:color="auto" w:sz="4" w:space="0"/>
            </w:tcBorders>
            <w:shd w:val="clear" w:color="auto" w:fill="auto"/>
            <w:noWrap/>
            <w:vAlign w:val="center"/>
          </w:tcPr>
          <w:p w14:paraId="357EC01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本年支出合计</w:t>
            </w:r>
          </w:p>
        </w:tc>
        <w:tc>
          <w:tcPr>
            <w:tcW w:w="617" w:type="dxa"/>
            <w:tcBorders>
              <w:top w:val="nil"/>
              <w:left w:val="nil"/>
              <w:bottom w:val="single" w:color="auto" w:sz="4" w:space="0"/>
              <w:right w:val="single" w:color="auto" w:sz="4" w:space="0"/>
            </w:tcBorders>
            <w:shd w:val="clear" w:color="auto" w:fill="auto"/>
            <w:noWrap/>
            <w:vAlign w:val="center"/>
          </w:tcPr>
          <w:p w14:paraId="5013690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697" w:type="dxa"/>
            <w:tcBorders>
              <w:top w:val="nil"/>
              <w:left w:val="nil"/>
              <w:bottom w:val="single" w:color="auto" w:sz="4" w:space="0"/>
              <w:right w:val="single" w:color="auto" w:sz="4" w:space="0"/>
            </w:tcBorders>
            <w:shd w:val="clear" w:color="auto" w:fill="auto"/>
            <w:noWrap/>
            <w:vAlign w:val="center"/>
          </w:tcPr>
          <w:p w14:paraId="3F6F144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5D01F63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693.30　</w:t>
            </w:r>
          </w:p>
        </w:tc>
        <w:tc>
          <w:tcPr>
            <w:tcW w:w="1807" w:type="dxa"/>
            <w:tcBorders>
              <w:top w:val="nil"/>
              <w:left w:val="nil"/>
              <w:bottom w:val="single" w:color="auto" w:sz="4" w:space="0"/>
              <w:right w:val="single" w:color="auto" w:sz="4" w:space="0"/>
            </w:tcBorders>
            <w:shd w:val="clear" w:color="auto" w:fill="auto"/>
            <w:noWrap/>
            <w:vAlign w:val="center"/>
          </w:tcPr>
          <w:p w14:paraId="529C098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3CC618F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7B8FF4E1">
        <w:tblPrEx>
          <w:tblCellMar>
            <w:top w:w="0" w:type="dxa"/>
            <w:left w:w="108" w:type="dxa"/>
            <w:bottom w:w="0" w:type="dxa"/>
            <w:right w:w="108" w:type="dxa"/>
          </w:tblCellMar>
        </w:tblPrEx>
        <w:trPr>
          <w:trHeight w:val="561"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66A499D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年初财政拨款结转和结余</w:t>
            </w:r>
          </w:p>
        </w:tc>
        <w:tc>
          <w:tcPr>
            <w:tcW w:w="721" w:type="dxa"/>
            <w:tcBorders>
              <w:top w:val="nil"/>
              <w:left w:val="nil"/>
              <w:bottom w:val="single" w:color="auto" w:sz="4" w:space="0"/>
              <w:right w:val="single" w:color="auto" w:sz="4" w:space="0"/>
            </w:tcBorders>
            <w:shd w:val="clear" w:color="auto" w:fill="auto"/>
            <w:noWrap/>
            <w:vAlign w:val="center"/>
          </w:tcPr>
          <w:p w14:paraId="477E51B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1015" w:type="dxa"/>
            <w:tcBorders>
              <w:top w:val="nil"/>
              <w:left w:val="nil"/>
              <w:bottom w:val="single" w:color="auto" w:sz="4" w:space="0"/>
              <w:right w:val="single" w:color="auto" w:sz="4" w:space="0"/>
            </w:tcBorders>
            <w:shd w:val="clear" w:color="auto" w:fill="auto"/>
            <w:noWrap/>
            <w:vAlign w:val="center"/>
          </w:tcPr>
          <w:p w14:paraId="0E73CB6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34A9D36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年末财政拨款结转和结余</w:t>
            </w:r>
          </w:p>
        </w:tc>
        <w:tc>
          <w:tcPr>
            <w:tcW w:w="617" w:type="dxa"/>
            <w:tcBorders>
              <w:top w:val="nil"/>
              <w:left w:val="nil"/>
              <w:bottom w:val="single" w:color="auto" w:sz="4" w:space="0"/>
              <w:right w:val="single" w:color="auto" w:sz="4" w:space="0"/>
            </w:tcBorders>
            <w:shd w:val="clear" w:color="auto" w:fill="auto"/>
            <w:noWrap/>
            <w:vAlign w:val="center"/>
          </w:tcPr>
          <w:p w14:paraId="5344735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697" w:type="dxa"/>
            <w:tcBorders>
              <w:top w:val="nil"/>
              <w:left w:val="nil"/>
              <w:bottom w:val="single" w:color="auto" w:sz="4" w:space="0"/>
              <w:right w:val="single" w:color="auto" w:sz="4" w:space="0"/>
            </w:tcBorders>
            <w:shd w:val="clear" w:color="auto" w:fill="auto"/>
            <w:noWrap/>
            <w:vAlign w:val="center"/>
          </w:tcPr>
          <w:p w14:paraId="5A7E900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3A8913F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807" w:type="dxa"/>
            <w:tcBorders>
              <w:top w:val="nil"/>
              <w:left w:val="nil"/>
              <w:bottom w:val="single" w:color="auto" w:sz="4" w:space="0"/>
              <w:right w:val="single" w:color="auto" w:sz="4" w:space="0"/>
            </w:tcBorders>
            <w:shd w:val="clear" w:color="auto" w:fill="auto"/>
            <w:noWrap/>
            <w:vAlign w:val="center"/>
          </w:tcPr>
          <w:p w14:paraId="556675E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1EEA97E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76D5E64D">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0932F26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一般公共预算财政拨款</w:t>
            </w:r>
          </w:p>
        </w:tc>
        <w:tc>
          <w:tcPr>
            <w:tcW w:w="721" w:type="dxa"/>
            <w:tcBorders>
              <w:top w:val="nil"/>
              <w:left w:val="nil"/>
              <w:bottom w:val="single" w:color="auto" w:sz="4" w:space="0"/>
              <w:right w:val="single" w:color="auto" w:sz="4" w:space="0"/>
            </w:tcBorders>
            <w:shd w:val="clear" w:color="auto" w:fill="auto"/>
            <w:noWrap/>
            <w:vAlign w:val="center"/>
          </w:tcPr>
          <w:p w14:paraId="4AA5D80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015" w:type="dxa"/>
            <w:tcBorders>
              <w:top w:val="nil"/>
              <w:left w:val="nil"/>
              <w:bottom w:val="single" w:color="auto" w:sz="4" w:space="0"/>
              <w:right w:val="single" w:color="auto" w:sz="4" w:space="0"/>
            </w:tcBorders>
            <w:shd w:val="clear" w:color="auto" w:fill="auto"/>
            <w:noWrap/>
            <w:vAlign w:val="center"/>
          </w:tcPr>
          <w:p w14:paraId="47D8641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4482595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617" w:type="dxa"/>
            <w:tcBorders>
              <w:top w:val="nil"/>
              <w:left w:val="nil"/>
              <w:bottom w:val="single" w:color="auto" w:sz="4" w:space="0"/>
              <w:right w:val="single" w:color="auto" w:sz="4" w:space="0"/>
            </w:tcBorders>
            <w:shd w:val="clear" w:color="auto" w:fill="auto"/>
            <w:noWrap/>
            <w:vAlign w:val="center"/>
          </w:tcPr>
          <w:p w14:paraId="7D58B7A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697" w:type="dxa"/>
            <w:tcBorders>
              <w:top w:val="nil"/>
              <w:left w:val="nil"/>
              <w:bottom w:val="single" w:color="auto" w:sz="4" w:space="0"/>
              <w:right w:val="single" w:color="auto" w:sz="4" w:space="0"/>
            </w:tcBorders>
            <w:shd w:val="clear" w:color="auto" w:fill="auto"/>
            <w:noWrap/>
            <w:vAlign w:val="center"/>
          </w:tcPr>
          <w:p w14:paraId="59AFDDE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529FB81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807" w:type="dxa"/>
            <w:tcBorders>
              <w:top w:val="nil"/>
              <w:left w:val="nil"/>
              <w:bottom w:val="single" w:color="auto" w:sz="4" w:space="0"/>
              <w:right w:val="single" w:color="auto" w:sz="4" w:space="0"/>
            </w:tcBorders>
            <w:shd w:val="clear" w:color="auto" w:fill="auto"/>
            <w:noWrap/>
            <w:vAlign w:val="center"/>
          </w:tcPr>
          <w:p w14:paraId="1EB4A2B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02B3DA0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2CB1DCA1">
        <w:tblPrEx>
          <w:tblCellMar>
            <w:top w:w="0" w:type="dxa"/>
            <w:left w:w="108" w:type="dxa"/>
            <w:bottom w:w="0" w:type="dxa"/>
            <w:right w:w="108" w:type="dxa"/>
          </w:tblCellMar>
        </w:tblPrEx>
        <w:trPr>
          <w:trHeight w:val="365"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2CB643D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政府性基金预算财政拨款</w:t>
            </w:r>
          </w:p>
        </w:tc>
        <w:tc>
          <w:tcPr>
            <w:tcW w:w="721" w:type="dxa"/>
            <w:tcBorders>
              <w:top w:val="nil"/>
              <w:left w:val="nil"/>
              <w:bottom w:val="single" w:color="auto" w:sz="4" w:space="0"/>
              <w:right w:val="single" w:color="auto" w:sz="4" w:space="0"/>
            </w:tcBorders>
            <w:shd w:val="clear" w:color="auto" w:fill="auto"/>
            <w:noWrap/>
            <w:vAlign w:val="center"/>
          </w:tcPr>
          <w:p w14:paraId="3434F37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1015" w:type="dxa"/>
            <w:tcBorders>
              <w:top w:val="nil"/>
              <w:left w:val="nil"/>
              <w:bottom w:val="single" w:color="auto" w:sz="4" w:space="0"/>
              <w:right w:val="single" w:color="auto" w:sz="4" w:space="0"/>
            </w:tcBorders>
            <w:shd w:val="clear" w:color="auto" w:fill="auto"/>
            <w:noWrap/>
            <w:vAlign w:val="center"/>
          </w:tcPr>
          <w:p w14:paraId="5CBBEA1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6AB67A3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617" w:type="dxa"/>
            <w:tcBorders>
              <w:top w:val="nil"/>
              <w:left w:val="nil"/>
              <w:bottom w:val="single" w:color="auto" w:sz="4" w:space="0"/>
              <w:right w:val="single" w:color="auto" w:sz="4" w:space="0"/>
            </w:tcBorders>
            <w:shd w:val="clear" w:color="auto" w:fill="auto"/>
            <w:noWrap/>
            <w:vAlign w:val="center"/>
          </w:tcPr>
          <w:p w14:paraId="10DB88B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697" w:type="dxa"/>
            <w:tcBorders>
              <w:top w:val="nil"/>
              <w:left w:val="nil"/>
              <w:bottom w:val="single" w:color="auto" w:sz="4" w:space="0"/>
              <w:right w:val="single" w:color="auto" w:sz="4" w:space="0"/>
            </w:tcBorders>
            <w:shd w:val="clear" w:color="auto" w:fill="auto"/>
            <w:noWrap/>
            <w:vAlign w:val="center"/>
          </w:tcPr>
          <w:p w14:paraId="1698C72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57DEE48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807" w:type="dxa"/>
            <w:tcBorders>
              <w:top w:val="nil"/>
              <w:left w:val="nil"/>
              <w:bottom w:val="single" w:color="auto" w:sz="4" w:space="0"/>
              <w:right w:val="single" w:color="auto" w:sz="4" w:space="0"/>
            </w:tcBorders>
            <w:shd w:val="clear" w:color="auto" w:fill="auto"/>
            <w:noWrap/>
            <w:vAlign w:val="center"/>
          </w:tcPr>
          <w:p w14:paraId="156FE1D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53B2674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7A622ACD">
        <w:tblPrEx>
          <w:tblCellMar>
            <w:top w:w="0" w:type="dxa"/>
            <w:left w:w="108" w:type="dxa"/>
            <w:bottom w:w="0" w:type="dxa"/>
            <w:right w:w="108" w:type="dxa"/>
          </w:tblCellMar>
        </w:tblPrEx>
        <w:trPr>
          <w:trHeight w:val="441" w:hRule="atLeast"/>
          <w:jc w:val="center"/>
        </w:trPr>
        <w:tc>
          <w:tcPr>
            <w:tcW w:w="3560" w:type="dxa"/>
            <w:tcBorders>
              <w:top w:val="nil"/>
              <w:left w:val="single" w:color="auto" w:sz="4" w:space="0"/>
              <w:bottom w:val="single" w:color="auto" w:sz="4" w:space="0"/>
              <w:right w:val="single" w:color="auto" w:sz="4" w:space="0"/>
            </w:tcBorders>
            <w:shd w:val="clear" w:color="auto" w:fill="auto"/>
            <w:noWrap/>
            <w:vAlign w:val="center"/>
          </w:tcPr>
          <w:p w14:paraId="316DE1B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国有资本经营预算财政拨款</w:t>
            </w:r>
          </w:p>
        </w:tc>
        <w:tc>
          <w:tcPr>
            <w:tcW w:w="721" w:type="dxa"/>
            <w:tcBorders>
              <w:top w:val="nil"/>
              <w:left w:val="nil"/>
              <w:bottom w:val="single" w:color="auto" w:sz="4" w:space="0"/>
              <w:right w:val="single" w:color="auto" w:sz="4" w:space="0"/>
            </w:tcBorders>
            <w:shd w:val="clear" w:color="auto" w:fill="auto"/>
            <w:noWrap/>
            <w:vAlign w:val="center"/>
          </w:tcPr>
          <w:p w14:paraId="007C143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1015" w:type="dxa"/>
            <w:tcBorders>
              <w:top w:val="nil"/>
              <w:left w:val="nil"/>
              <w:bottom w:val="single" w:color="auto" w:sz="4" w:space="0"/>
              <w:right w:val="single" w:color="auto" w:sz="4" w:space="0"/>
            </w:tcBorders>
            <w:shd w:val="clear" w:color="auto" w:fill="auto"/>
            <w:noWrap/>
            <w:vAlign w:val="center"/>
          </w:tcPr>
          <w:p w14:paraId="573642D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861" w:type="dxa"/>
            <w:tcBorders>
              <w:top w:val="nil"/>
              <w:left w:val="nil"/>
              <w:bottom w:val="single" w:color="auto" w:sz="4" w:space="0"/>
              <w:right w:val="single" w:color="auto" w:sz="4" w:space="0"/>
            </w:tcBorders>
            <w:shd w:val="clear" w:color="auto" w:fill="auto"/>
            <w:noWrap/>
            <w:vAlign w:val="center"/>
          </w:tcPr>
          <w:p w14:paraId="3A754C0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617" w:type="dxa"/>
            <w:tcBorders>
              <w:top w:val="nil"/>
              <w:left w:val="nil"/>
              <w:bottom w:val="single" w:color="auto" w:sz="4" w:space="0"/>
              <w:right w:val="single" w:color="auto" w:sz="4" w:space="0"/>
            </w:tcBorders>
            <w:shd w:val="clear" w:color="auto" w:fill="auto"/>
            <w:noWrap/>
            <w:vAlign w:val="center"/>
          </w:tcPr>
          <w:p w14:paraId="49F0734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697" w:type="dxa"/>
            <w:tcBorders>
              <w:top w:val="nil"/>
              <w:left w:val="nil"/>
              <w:bottom w:val="single" w:color="auto" w:sz="4" w:space="0"/>
              <w:right w:val="single" w:color="auto" w:sz="4" w:space="0"/>
            </w:tcBorders>
            <w:shd w:val="clear" w:color="auto" w:fill="auto"/>
            <w:noWrap/>
            <w:vAlign w:val="center"/>
          </w:tcPr>
          <w:p w14:paraId="785A062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auto" w:fill="auto"/>
            <w:noWrap/>
            <w:vAlign w:val="center"/>
          </w:tcPr>
          <w:p w14:paraId="1A64287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807" w:type="dxa"/>
            <w:tcBorders>
              <w:top w:val="nil"/>
              <w:left w:val="nil"/>
              <w:bottom w:val="single" w:color="auto" w:sz="4" w:space="0"/>
              <w:right w:val="single" w:color="auto" w:sz="4" w:space="0"/>
            </w:tcBorders>
            <w:shd w:val="clear" w:color="auto" w:fill="auto"/>
            <w:noWrap/>
            <w:vAlign w:val="center"/>
          </w:tcPr>
          <w:p w14:paraId="56DEE22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50B4E80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r w14:paraId="45A02B6C">
        <w:tblPrEx>
          <w:tblCellMar>
            <w:top w:w="0" w:type="dxa"/>
            <w:left w:w="108" w:type="dxa"/>
            <w:bottom w:w="0" w:type="dxa"/>
            <w:right w:w="108" w:type="dxa"/>
          </w:tblCellMar>
        </w:tblPrEx>
        <w:trPr>
          <w:trHeight w:val="374" w:hRule="atLeast"/>
          <w:jc w:val="center"/>
        </w:trPr>
        <w:tc>
          <w:tcPr>
            <w:tcW w:w="3560" w:type="dxa"/>
            <w:tcBorders>
              <w:top w:val="nil"/>
              <w:left w:val="single" w:color="auto" w:sz="4" w:space="0"/>
              <w:bottom w:val="single" w:color="auto" w:sz="4" w:space="0"/>
              <w:right w:val="single" w:color="auto" w:sz="4" w:space="0"/>
            </w:tcBorders>
            <w:shd w:val="clear" w:color="000000" w:fill="FFFFFF"/>
            <w:noWrap/>
            <w:vAlign w:val="center"/>
          </w:tcPr>
          <w:p w14:paraId="54DF245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总计</w:t>
            </w:r>
          </w:p>
        </w:tc>
        <w:tc>
          <w:tcPr>
            <w:tcW w:w="721" w:type="dxa"/>
            <w:tcBorders>
              <w:top w:val="nil"/>
              <w:left w:val="nil"/>
              <w:bottom w:val="single" w:color="auto" w:sz="4" w:space="0"/>
              <w:right w:val="single" w:color="auto" w:sz="4" w:space="0"/>
            </w:tcBorders>
            <w:shd w:val="clear" w:color="000000" w:fill="FFFFFF"/>
            <w:noWrap/>
            <w:vAlign w:val="center"/>
          </w:tcPr>
          <w:p w14:paraId="2C185C8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1015" w:type="dxa"/>
            <w:tcBorders>
              <w:top w:val="nil"/>
              <w:left w:val="nil"/>
              <w:bottom w:val="single" w:color="auto" w:sz="4" w:space="0"/>
              <w:right w:val="single" w:color="auto" w:sz="4" w:space="0"/>
            </w:tcBorders>
            <w:shd w:val="clear" w:color="auto" w:fill="auto"/>
            <w:noWrap/>
            <w:vAlign w:val="center"/>
          </w:tcPr>
          <w:p w14:paraId="2F1C168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693.30　</w:t>
            </w:r>
          </w:p>
        </w:tc>
        <w:tc>
          <w:tcPr>
            <w:tcW w:w="2861" w:type="dxa"/>
            <w:tcBorders>
              <w:top w:val="nil"/>
              <w:left w:val="nil"/>
              <w:bottom w:val="single" w:color="auto" w:sz="4" w:space="0"/>
              <w:right w:val="single" w:color="auto" w:sz="4" w:space="0"/>
            </w:tcBorders>
            <w:shd w:val="clear" w:color="000000" w:fill="FFFFFF"/>
            <w:noWrap/>
            <w:vAlign w:val="center"/>
          </w:tcPr>
          <w:p w14:paraId="6A0DC6F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总计</w:t>
            </w:r>
          </w:p>
        </w:tc>
        <w:tc>
          <w:tcPr>
            <w:tcW w:w="617" w:type="dxa"/>
            <w:tcBorders>
              <w:top w:val="nil"/>
              <w:left w:val="nil"/>
              <w:bottom w:val="single" w:color="auto" w:sz="4" w:space="0"/>
              <w:right w:val="single" w:color="auto" w:sz="4" w:space="0"/>
            </w:tcBorders>
            <w:shd w:val="clear" w:color="000000" w:fill="FFFFFF"/>
            <w:noWrap/>
            <w:vAlign w:val="center"/>
          </w:tcPr>
          <w:p w14:paraId="430470D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w:t>
            </w:r>
          </w:p>
        </w:tc>
        <w:tc>
          <w:tcPr>
            <w:tcW w:w="697" w:type="dxa"/>
            <w:tcBorders>
              <w:top w:val="nil"/>
              <w:left w:val="nil"/>
              <w:bottom w:val="single" w:color="auto" w:sz="4" w:space="0"/>
              <w:right w:val="single" w:color="auto" w:sz="4" w:space="0"/>
            </w:tcBorders>
            <w:shd w:val="clear" w:color="000000" w:fill="FFFFFF"/>
            <w:noWrap/>
            <w:vAlign w:val="center"/>
          </w:tcPr>
          <w:p w14:paraId="2F2BB31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708" w:type="dxa"/>
            <w:tcBorders>
              <w:top w:val="nil"/>
              <w:left w:val="nil"/>
              <w:bottom w:val="single" w:color="auto" w:sz="4" w:space="0"/>
              <w:right w:val="single" w:color="auto" w:sz="4" w:space="0"/>
            </w:tcBorders>
            <w:shd w:val="clear" w:color="000000" w:fill="FFFFFF"/>
            <w:noWrap/>
            <w:vAlign w:val="center"/>
          </w:tcPr>
          <w:p w14:paraId="1064537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693.30　</w:t>
            </w:r>
          </w:p>
        </w:tc>
        <w:tc>
          <w:tcPr>
            <w:tcW w:w="1807" w:type="dxa"/>
            <w:tcBorders>
              <w:top w:val="nil"/>
              <w:left w:val="nil"/>
              <w:bottom w:val="single" w:color="auto" w:sz="4" w:space="0"/>
              <w:right w:val="single" w:color="auto" w:sz="4" w:space="0"/>
            </w:tcBorders>
            <w:shd w:val="clear" w:color="auto" w:fill="auto"/>
            <w:noWrap/>
            <w:vAlign w:val="center"/>
          </w:tcPr>
          <w:p w14:paraId="4D9A46F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113" w:type="dxa"/>
            <w:tcBorders>
              <w:top w:val="nil"/>
              <w:left w:val="nil"/>
              <w:bottom w:val="single" w:color="auto" w:sz="4" w:space="0"/>
              <w:right w:val="single" w:color="auto" w:sz="4" w:space="0"/>
            </w:tcBorders>
            <w:shd w:val="clear" w:color="auto" w:fill="auto"/>
            <w:noWrap/>
            <w:vAlign w:val="center"/>
          </w:tcPr>
          <w:p w14:paraId="4B46B27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r>
    </w:tbl>
    <w:p w14:paraId="4A9C6FA8">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注：本表反映部门本年度一般公共预算财政拨款、政府性基金预算财政拨款和国有资本经营预算财政拨款的总收支和年末结转结余情况。</w:t>
      </w:r>
    </w:p>
    <w:p w14:paraId="31174804">
      <w:pPr>
        <w:keepNext w:val="0"/>
        <w:keepLines w:val="0"/>
        <w:pageBreakBefore w:val="0"/>
        <w:widowControl/>
        <w:shd w:val="clear"/>
        <w:kinsoku/>
        <w:topLinePunct w:val="0"/>
        <w:bidi w:val="0"/>
        <w:spacing w:line="560" w:lineRule="exact"/>
        <w:ind w:left="0" w:leftChars="0" w:firstLine="720" w:firstLineChars="200"/>
        <w:jc w:val="center"/>
        <w:rPr>
          <w:rFonts w:hint="eastAsia" w:ascii="仿宋" w:hAnsi="仿宋" w:eastAsia="仿宋" w:cs="仿宋"/>
          <w:color w:val="auto"/>
          <w:kern w:val="0"/>
          <w:sz w:val="36"/>
          <w:szCs w:val="36"/>
          <w:highlight w:val="none"/>
        </w:rPr>
      </w:pPr>
    </w:p>
    <w:p w14:paraId="0BE9AB89">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一般公共预算财政拨款支出决算表</w:t>
      </w:r>
      <w:bookmarkEnd w:id="1"/>
    </w:p>
    <w:p w14:paraId="0AD9CD60">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240" w:lineRule="exact"/>
        <w:ind w:left="0" w:leftChars="0" w:firstLine="560" w:firstLineChars="200"/>
        <w:jc w:val="center"/>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 xml:space="preserve">                                               </w:t>
      </w:r>
    </w:p>
    <w:p w14:paraId="3CD61736">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center"/>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 xml:space="preserve">                                            公开05表</w:t>
      </w:r>
    </w:p>
    <w:p w14:paraId="757FB047">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 xml:space="preserve"> 部门：中国人民政治协商会议湖南省祁阳市委员会                      单位：万元                               </w:t>
      </w:r>
    </w:p>
    <w:tbl>
      <w:tblPr>
        <w:tblStyle w:val="12"/>
        <w:tblW w:w="13858" w:type="dxa"/>
        <w:jc w:val="center"/>
        <w:tblLayout w:type="autofit"/>
        <w:tblCellMar>
          <w:top w:w="0" w:type="dxa"/>
          <w:left w:w="108" w:type="dxa"/>
          <w:bottom w:w="0" w:type="dxa"/>
          <w:right w:w="108" w:type="dxa"/>
        </w:tblCellMar>
      </w:tblPr>
      <w:tblGrid>
        <w:gridCol w:w="1919"/>
        <w:gridCol w:w="4933"/>
        <w:gridCol w:w="1869"/>
        <w:gridCol w:w="2175"/>
        <w:gridCol w:w="1870"/>
        <w:gridCol w:w="1092"/>
      </w:tblGrid>
      <w:tr w14:paraId="3DE3B3F7">
        <w:tblPrEx>
          <w:tblCellMar>
            <w:top w:w="0" w:type="dxa"/>
            <w:left w:w="108" w:type="dxa"/>
            <w:bottom w:w="0" w:type="dxa"/>
            <w:right w:w="108" w:type="dxa"/>
          </w:tblCellMar>
        </w:tblPrEx>
        <w:trPr>
          <w:trHeight w:val="644" w:hRule="atLeast"/>
          <w:jc w:val="center"/>
        </w:trPr>
        <w:tc>
          <w:tcPr>
            <w:tcW w:w="6852"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A318F4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    目</w:t>
            </w:r>
          </w:p>
        </w:tc>
        <w:tc>
          <w:tcPr>
            <w:tcW w:w="5914" w:type="dxa"/>
            <w:gridSpan w:val="3"/>
            <w:tcBorders>
              <w:top w:val="single" w:color="auto" w:sz="8" w:space="0"/>
              <w:left w:val="nil"/>
              <w:bottom w:val="single" w:color="auto" w:sz="4" w:space="0"/>
              <w:right w:val="single" w:color="auto" w:sz="8" w:space="0"/>
            </w:tcBorders>
            <w:shd w:val="clear" w:color="auto" w:fill="auto"/>
            <w:vAlign w:val="center"/>
          </w:tcPr>
          <w:p w14:paraId="09BEFEF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本年支出</w:t>
            </w:r>
          </w:p>
        </w:tc>
        <w:tc>
          <w:tcPr>
            <w:tcW w:w="1092" w:type="dxa"/>
            <w:tcBorders>
              <w:top w:val="single" w:color="auto" w:sz="8" w:space="0"/>
              <w:left w:val="nil"/>
              <w:bottom w:val="single" w:color="auto" w:sz="4" w:space="0"/>
              <w:right w:val="single" w:color="auto" w:sz="8" w:space="0"/>
            </w:tcBorders>
            <w:shd w:val="clear" w:color="auto" w:fill="auto"/>
            <w:vAlign w:val="center"/>
          </w:tcPr>
          <w:p w14:paraId="0384C57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r>
      <w:tr w14:paraId="7E0D3534">
        <w:tblPrEx>
          <w:tblCellMar>
            <w:top w:w="0" w:type="dxa"/>
            <w:left w:w="108" w:type="dxa"/>
            <w:bottom w:w="0" w:type="dxa"/>
            <w:right w:w="108" w:type="dxa"/>
          </w:tblCellMar>
        </w:tblPrEx>
        <w:trPr>
          <w:trHeight w:val="864" w:hRule="exact"/>
          <w:jc w:val="center"/>
        </w:trPr>
        <w:tc>
          <w:tcPr>
            <w:tcW w:w="1919" w:type="dxa"/>
            <w:tcBorders>
              <w:top w:val="single" w:color="auto" w:sz="4" w:space="0"/>
              <w:left w:val="single" w:color="auto" w:sz="8" w:space="0"/>
              <w:bottom w:val="single" w:color="auto" w:sz="4" w:space="0"/>
              <w:right w:val="single" w:color="auto" w:sz="4" w:space="0"/>
            </w:tcBorders>
            <w:shd w:val="clear" w:color="auto" w:fill="auto"/>
            <w:vAlign w:val="center"/>
          </w:tcPr>
          <w:p w14:paraId="57C1E11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功能分类科目编码</w:t>
            </w:r>
          </w:p>
        </w:tc>
        <w:tc>
          <w:tcPr>
            <w:tcW w:w="4933" w:type="dxa"/>
            <w:tcBorders>
              <w:top w:val="nil"/>
              <w:left w:val="single" w:color="auto" w:sz="4" w:space="0"/>
              <w:bottom w:val="single" w:color="auto" w:sz="4" w:space="0"/>
              <w:right w:val="single" w:color="auto" w:sz="4" w:space="0"/>
            </w:tcBorders>
            <w:shd w:val="clear" w:color="auto" w:fill="auto"/>
            <w:vAlign w:val="center"/>
          </w:tcPr>
          <w:p w14:paraId="7D8D483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科目名称</w:t>
            </w:r>
          </w:p>
        </w:tc>
        <w:tc>
          <w:tcPr>
            <w:tcW w:w="1869" w:type="dxa"/>
            <w:tcBorders>
              <w:top w:val="nil"/>
              <w:left w:val="single" w:color="auto" w:sz="4" w:space="0"/>
              <w:bottom w:val="single" w:color="auto" w:sz="4" w:space="0"/>
              <w:right w:val="single" w:color="auto" w:sz="4" w:space="0"/>
            </w:tcBorders>
            <w:shd w:val="clear" w:color="auto" w:fill="auto"/>
            <w:vAlign w:val="center"/>
          </w:tcPr>
          <w:p w14:paraId="22171AF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小计</w:t>
            </w:r>
          </w:p>
        </w:tc>
        <w:tc>
          <w:tcPr>
            <w:tcW w:w="2175" w:type="dxa"/>
            <w:tcBorders>
              <w:top w:val="nil"/>
              <w:left w:val="single" w:color="auto" w:sz="4" w:space="0"/>
              <w:bottom w:val="single" w:color="auto" w:sz="4" w:space="0"/>
              <w:right w:val="single" w:color="auto" w:sz="4" w:space="0"/>
            </w:tcBorders>
            <w:shd w:val="clear" w:color="auto" w:fill="auto"/>
            <w:vAlign w:val="center"/>
          </w:tcPr>
          <w:p w14:paraId="1CD76A0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基本支出</w:t>
            </w:r>
          </w:p>
        </w:tc>
        <w:tc>
          <w:tcPr>
            <w:tcW w:w="1870" w:type="dxa"/>
            <w:tcBorders>
              <w:top w:val="nil"/>
              <w:left w:val="single" w:color="auto" w:sz="4" w:space="0"/>
              <w:bottom w:val="single" w:color="auto" w:sz="4" w:space="0"/>
              <w:right w:val="single" w:color="auto" w:sz="8" w:space="0"/>
            </w:tcBorders>
            <w:shd w:val="clear" w:color="auto" w:fill="auto"/>
            <w:vAlign w:val="center"/>
          </w:tcPr>
          <w:p w14:paraId="7967A78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项目支出</w:t>
            </w:r>
          </w:p>
        </w:tc>
        <w:tc>
          <w:tcPr>
            <w:tcW w:w="1092" w:type="dxa"/>
            <w:tcBorders>
              <w:top w:val="nil"/>
              <w:left w:val="single" w:color="auto" w:sz="4" w:space="0"/>
              <w:bottom w:val="single" w:color="auto" w:sz="4" w:space="0"/>
              <w:right w:val="single" w:color="auto" w:sz="8" w:space="0"/>
            </w:tcBorders>
            <w:shd w:val="clear" w:color="auto" w:fill="auto"/>
            <w:vAlign w:val="center"/>
          </w:tcPr>
          <w:p w14:paraId="58F9556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p>
        </w:tc>
      </w:tr>
      <w:tr w14:paraId="58BF862A">
        <w:tblPrEx>
          <w:tblCellMar>
            <w:top w:w="0" w:type="dxa"/>
            <w:left w:w="108" w:type="dxa"/>
            <w:bottom w:w="0" w:type="dxa"/>
            <w:right w:w="108" w:type="dxa"/>
          </w:tblCellMar>
        </w:tblPrEx>
        <w:trPr>
          <w:trHeight w:val="525" w:hRule="atLeast"/>
          <w:jc w:val="center"/>
        </w:trPr>
        <w:tc>
          <w:tcPr>
            <w:tcW w:w="685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6E3993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栏次</w:t>
            </w:r>
          </w:p>
        </w:tc>
        <w:tc>
          <w:tcPr>
            <w:tcW w:w="1869" w:type="dxa"/>
            <w:tcBorders>
              <w:top w:val="nil"/>
              <w:left w:val="nil"/>
              <w:bottom w:val="single" w:color="auto" w:sz="4" w:space="0"/>
              <w:right w:val="single" w:color="auto" w:sz="4" w:space="0"/>
            </w:tcBorders>
            <w:shd w:val="clear" w:color="auto" w:fill="auto"/>
            <w:vAlign w:val="center"/>
          </w:tcPr>
          <w:p w14:paraId="6C5B131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p>
        </w:tc>
        <w:tc>
          <w:tcPr>
            <w:tcW w:w="2175" w:type="dxa"/>
            <w:tcBorders>
              <w:top w:val="nil"/>
              <w:left w:val="nil"/>
              <w:bottom w:val="single" w:color="auto" w:sz="4" w:space="0"/>
              <w:right w:val="single" w:color="auto" w:sz="4" w:space="0"/>
            </w:tcBorders>
            <w:shd w:val="clear" w:color="auto" w:fill="auto"/>
            <w:vAlign w:val="center"/>
          </w:tcPr>
          <w:p w14:paraId="5498CB7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p>
        </w:tc>
        <w:tc>
          <w:tcPr>
            <w:tcW w:w="1870" w:type="dxa"/>
            <w:tcBorders>
              <w:top w:val="nil"/>
              <w:left w:val="nil"/>
              <w:bottom w:val="single" w:color="auto" w:sz="4" w:space="0"/>
              <w:right w:val="single" w:color="auto" w:sz="8" w:space="0"/>
            </w:tcBorders>
            <w:shd w:val="clear" w:color="auto" w:fill="auto"/>
            <w:vAlign w:val="center"/>
          </w:tcPr>
          <w:p w14:paraId="5DB802A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p>
        </w:tc>
        <w:tc>
          <w:tcPr>
            <w:tcW w:w="1092" w:type="dxa"/>
            <w:tcBorders>
              <w:top w:val="nil"/>
              <w:left w:val="nil"/>
              <w:bottom w:val="single" w:color="auto" w:sz="4" w:space="0"/>
              <w:right w:val="single" w:color="auto" w:sz="8" w:space="0"/>
            </w:tcBorders>
            <w:shd w:val="clear" w:color="auto" w:fill="auto"/>
            <w:vAlign w:val="center"/>
          </w:tcPr>
          <w:p w14:paraId="7E489FA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73C09C15">
        <w:tblPrEx>
          <w:tblCellMar>
            <w:top w:w="0" w:type="dxa"/>
            <w:left w:w="108" w:type="dxa"/>
            <w:bottom w:w="0" w:type="dxa"/>
            <w:right w:w="108" w:type="dxa"/>
          </w:tblCellMar>
        </w:tblPrEx>
        <w:trPr>
          <w:trHeight w:val="525" w:hRule="atLeast"/>
          <w:jc w:val="center"/>
        </w:trPr>
        <w:tc>
          <w:tcPr>
            <w:tcW w:w="685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DC9AC2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合计</w:t>
            </w:r>
          </w:p>
        </w:tc>
        <w:tc>
          <w:tcPr>
            <w:tcW w:w="1869" w:type="dxa"/>
            <w:tcBorders>
              <w:top w:val="nil"/>
              <w:left w:val="nil"/>
              <w:bottom w:val="single" w:color="auto" w:sz="4" w:space="0"/>
              <w:right w:val="single" w:color="auto" w:sz="4" w:space="0"/>
            </w:tcBorders>
            <w:shd w:val="clear" w:color="auto" w:fill="auto"/>
            <w:vAlign w:val="center"/>
          </w:tcPr>
          <w:p w14:paraId="05B3AEF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693.30　</w:t>
            </w:r>
          </w:p>
        </w:tc>
        <w:tc>
          <w:tcPr>
            <w:tcW w:w="2175" w:type="dxa"/>
            <w:tcBorders>
              <w:top w:val="nil"/>
              <w:left w:val="nil"/>
              <w:bottom w:val="single" w:color="auto" w:sz="4" w:space="0"/>
              <w:right w:val="single" w:color="auto" w:sz="4" w:space="0"/>
            </w:tcBorders>
            <w:shd w:val="clear" w:color="auto" w:fill="auto"/>
            <w:vAlign w:val="center"/>
          </w:tcPr>
          <w:p w14:paraId="76E6494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526.77</w:t>
            </w:r>
          </w:p>
        </w:tc>
        <w:tc>
          <w:tcPr>
            <w:tcW w:w="1870" w:type="dxa"/>
            <w:tcBorders>
              <w:top w:val="nil"/>
              <w:left w:val="nil"/>
              <w:bottom w:val="single" w:color="auto" w:sz="4" w:space="0"/>
              <w:right w:val="single" w:color="auto" w:sz="8" w:space="0"/>
            </w:tcBorders>
            <w:shd w:val="clear" w:color="auto" w:fill="auto"/>
            <w:vAlign w:val="center"/>
          </w:tcPr>
          <w:p w14:paraId="150892A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166.53</w:t>
            </w:r>
          </w:p>
        </w:tc>
        <w:tc>
          <w:tcPr>
            <w:tcW w:w="1092" w:type="dxa"/>
            <w:tcBorders>
              <w:top w:val="nil"/>
              <w:left w:val="nil"/>
              <w:bottom w:val="single" w:color="auto" w:sz="4" w:space="0"/>
              <w:right w:val="single" w:color="auto" w:sz="8" w:space="0"/>
            </w:tcBorders>
            <w:shd w:val="clear" w:color="auto" w:fill="auto"/>
            <w:vAlign w:val="center"/>
          </w:tcPr>
          <w:p w14:paraId="3768590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6EA80219">
        <w:tblPrEx>
          <w:tblCellMar>
            <w:top w:w="0" w:type="dxa"/>
            <w:left w:w="108" w:type="dxa"/>
            <w:bottom w:w="0" w:type="dxa"/>
            <w:right w:w="108" w:type="dxa"/>
          </w:tblCellMar>
        </w:tblPrEx>
        <w:trPr>
          <w:trHeight w:val="525" w:hRule="atLeast"/>
          <w:jc w:val="center"/>
        </w:trPr>
        <w:tc>
          <w:tcPr>
            <w:tcW w:w="1919" w:type="dxa"/>
            <w:tcBorders>
              <w:top w:val="single" w:color="auto" w:sz="4" w:space="0"/>
              <w:left w:val="single" w:color="auto" w:sz="8" w:space="0"/>
              <w:bottom w:val="single" w:color="auto" w:sz="4" w:space="0"/>
              <w:right w:val="single" w:color="auto" w:sz="4" w:space="0"/>
            </w:tcBorders>
            <w:shd w:val="clear" w:color="auto" w:fill="auto"/>
            <w:vAlign w:val="center"/>
          </w:tcPr>
          <w:p w14:paraId="351DD47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2010201　</w:t>
            </w:r>
          </w:p>
        </w:tc>
        <w:tc>
          <w:tcPr>
            <w:tcW w:w="4933" w:type="dxa"/>
            <w:tcBorders>
              <w:top w:val="nil"/>
              <w:left w:val="nil"/>
              <w:bottom w:val="single" w:color="auto" w:sz="4" w:space="0"/>
              <w:right w:val="single" w:color="auto" w:sz="4" w:space="0"/>
            </w:tcBorders>
            <w:shd w:val="clear" w:color="auto" w:fill="auto"/>
            <w:vAlign w:val="center"/>
          </w:tcPr>
          <w:p w14:paraId="05C4B20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行政运行</w:t>
            </w:r>
          </w:p>
        </w:tc>
        <w:tc>
          <w:tcPr>
            <w:tcW w:w="1869" w:type="dxa"/>
            <w:tcBorders>
              <w:top w:val="nil"/>
              <w:left w:val="nil"/>
              <w:bottom w:val="single" w:color="auto" w:sz="4" w:space="0"/>
              <w:right w:val="single" w:color="auto" w:sz="4" w:space="0"/>
            </w:tcBorders>
            <w:shd w:val="clear" w:color="auto" w:fill="auto"/>
            <w:vAlign w:val="center"/>
          </w:tcPr>
          <w:p w14:paraId="42DE9AE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433.38　</w:t>
            </w:r>
          </w:p>
        </w:tc>
        <w:tc>
          <w:tcPr>
            <w:tcW w:w="2175" w:type="dxa"/>
            <w:tcBorders>
              <w:top w:val="nil"/>
              <w:left w:val="nil"/>
              <w:bottom w:val="single" w:color="auto" w:sz="4" w:space="0"/>
              <w:right w:val="single" w:color="auto" w:sz="4" w:space="0"/>
            </w:tcBorders>
            <w:shd w:val="clear" w:color="auto" w:fill="auto"/>
            <w:vAlign w:val="center"/>
          </w:tcPr>
          <w:p w14:paraId="76F2B1F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433.38　</w:t>
            </w:r>
          </w:p>
        </w:tc>
        <w:tc>
          <w:tcPr>
            <w:tcW w:w="1870" w:type="dxa"/>
            <w:tcBorders>
              <w:top w:val="nil"/>
              <w:left w:val="nil"/>
              <w:bottom w:val="single" w:color="auto" w:sz="4" w:space="0"/>
              <w:right w:val="single" w:color="auto" w:sz="8" w:space="0"/>
            </w:tcBorders>
            <w:shd w:val="clear" w:color="auto" w:fill="auto"/>
            <w:vAlign w:val="center"/>
          </w:tcPr>
          <w:p w14:paraId="49CE10E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092" w:type="dxa"/>
            <w:tcBorders>
              <w:top w:val="nil"/>
              <w:left w:val="nil"/>
              <w:bottom w:val="single" w:color="auto" w:sz="4" w:space="0"/>
              <w:right w:val="single" w:color="auto" w:sz="8" w:space="0"/>
            </w:tcBorders>
            <w:shd w:val="clear" w:color="auto" w:fill="auto"/>
            <w:vAlign w:val="center"/>
          </w:tcPr>
          <w:p w14:paraId="4D4C074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7C38BDB1">
        <w:tblPrEx>
          <w:tblCellMar>
            <w:top w:w="0" w:type="dxa"/>
            <w:left w:w="108" w:type="dxa"/>
            <w:bottom w:w="0" w:type="dxa"/>
            <w:right w:w="108" w:type="dxa"/>
          </w:tblCellMar>
        </w:tblPrEx>
        <w:trPr>
          <w:trHeight w:val="525" w:hRule="atLeast"/>
          <w:jc w:val="center"/>
        </w:trPr>
        <w:tc>
          <w:tcPr>
            <w:tcW w:w="1919" w:type="dxa"/>
            <w:tcBorders>
              <w:top w:val="single" w:color="auto" w:sz="4" w:space="0"/>
              <w:left w:val="single" w:color="auto" w:sz="8" w:space="0"/>
              <w:bottom w:val="single" w:color="auto" w:sz="4" w:space="0"/>
              <w:right w:val="single" w:color="auto" w:sz="4" w:space="0"/>
            </w:tcBorders>
            <w:shd w:val="clear" w:color="auto" w:fill="auto"/>
            <w:vAlign w:val="center"/>
          </w:tcPr>
          <w:p w14:paraId="443EBA5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2010202　</w:t>
            </w:r>
          </w:p>
        </w:tc>
        <w:tc>
          <w:tcPr>
            <w:tcW w:w="4933" w:type="dxa"/>
            <w:tcBorders>
              <w:top w:val="nil"/>
              <w:left w:val="nil"/>
              <w:bottom w:val="single" w:color="auto" w:sz="4" w:space="0"/>
              <w:right w:val="single" w:color="auto" w:sz="4" w:space="0"/>
            </w:tcBorders>
            <w:shd w:val="clear" w:color="auto" w:fill="auto"/>
            <w:vAlign w:val="center"/>
          </w:tcPr>
          <w:p w14:paraId="705DCC1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一般行政管理事务</w:t>
            </w:r>
          </w:p>
        </w:tc>
        <w:tc>
          <w:tcPr>
            <w:tcW w:w="1869" w:type="dxa"/>
            <w:tcBorders>
              <w:top w:val="nil"/>
              <w:left w:val="nil"/>
              <w:bottom w:val="single" w:color="auto" w:sz="4" w:space="0"/>
              <w:right w:val="single" w:color="auto" w:sz="4" w:space="0"/>
            </w:tcBorders>
            <w:shd w:val="clear" w:color="auto" w:fill="auto"/>
            <w:vAlign w:val="center"/>
          </w:tcPr>
          <w:p w14:paraId="4ED84BA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164.22　</w:t>
            </w:r>
          </w:p>
        </w:tc>
        <w:tc>
          <w:tcPr>
            <w:tcW w:w="2175" w:type="dxa"/>
            <w:tcBorders>
              <w:top w:val="nil"/>
              <w:left w:val="nil"/>
              <w:bottom w:val="single" w:color="auto" w:sz="4" w:space="0"/>
              <w:right w:val="single" w:color="auto" w:sz="4" w:space="0"/>
            </w:tcBorders>
            <w:shd w:val="clear" w:color="auto" w:fill="auto"/>
            <w:vAlign w:val="center"/>
          </w:tcPr>
          <w:p w14:paraId="46F899E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870" w:type="dxa"/>
            <w:tcBorders>
              <w:top w:val="nil"/>
              <w:left w:val="nil"/>
              <w:bottom w:val="single" w:color="auto" w:sz="4" w:space="0"/>
              <w:right w:val="single" w:color="auto" w:sz="8" w:space="0"/>
            </w:tcBorders>
            <w:shd w:val="clear" w:color="auto" w:fill="auto"/>
            <w:vAlign w:val="center"/>
          </w:tcPr>
          <w:p w14:paraId="0834FF8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164.22　</w:t>
            </w:r>
          </w:p>
        </w:tc>
        <w:tc>
          <w:tcPr>
            <w:tcW w:w="1092" w:type="dxa"/>
            <w:tcBorders>
              <w:top w:val="nil"/>
              <w:left w:val="nil"/>
              <w:bottom w:val="single" w:color="auto" w:sz="4" w:space="0"/>
              <w:right w:val="single" w:color="auto" w:sz="8" w:space="0"/>
            </w:tcBorders>
            <w:shd w:val="clear" w:color="auto" w:fill="auto"/>
            <w:vAlign w:val="center"/>
          </w:tcPr>
          <w:p w14:paraId="676B0C6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6A0004F8">
        <w:tblPrEx>
          <w:tblCellMar>
            <w:top w:w="0" w:type="dxa"/>
            <w:left w:w="108" w:type="dxa"/>
            <w:bottom w:w="0" w:type="dxa"/>
            <w:right w:w="108" w:type="dxa"/>
          </w:tblCellMar>
        </w:tblPrEx>
        <w:trPr>
          <w:trHeight w:val="525" w:hRule="atLeast"/>
          <w:jc w:val="center"/>
        </w:trPr>
        <w:tc>
          <w:tcPr>
            <w:tcW w:w="1919" w:type="dxa"/>
            <w:tcBorders>
              <w:top w:val="single" w:color="auto" w:sz="4" w:space="0"/>
              <w:left w:val="single" w:color="auto" w:sz="8" w:space="0"/>
              <w:bottom w:val="single" w:color="auto" w:sz="4" w:space="0"/>
              <w:right w:val="single" w:color="auto" w:sz="4" w:space="0"/>
            </w:tcBorders>
            <w:shd w:val="clear" w:color="auto" w:fill="auto"/>
            <w:vAlign w:val="center"/>
          </w:tcPr>
          <w:p w14:paraId="5C816FF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2010299　</w:t>
            </w:r>
          </w:p>
        </w:tc>
        <w:tc>
          <w:tcPr>
            <w:tcW w:w="4933" w:type="dxa"/>
            <w:tcBorders>
              <w:top w:val="nil"/>
              <w:left w:val="nil"/>
              <w:bottom w:val="single" w:color="auto" w:sz="4" w:space="0"/>
              <w:right w:val="single" w:color="auto" w:sz="4" w:space="0"/>
            </w:tcBorders>
            <w:shd w:val="clear" w:color="auto" w:fill="auto"/>
            <w:vAlign w:val="center"/>
          </w:tcPr>
          <w:p w14:paraId="17C3F16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其他政协事务支出</w:t>
            </w:r>
          </w:p>
        </w:tc>
        <w:tc>
          <w:tcPr>
            <w:tcW w:w="1869" w:type="dxa"/>
            <w:tcBorders>
              <w:top w:val="nil"/>
              <w:left w:val="nil"/>
              <w:bottom w:val="single" w:color="auto" w:sz="4" w:space="0"/>
              <w:right w:val="single" w:color="auto" w:sz="4" w:space="0"/>
            </w:tcBorders>
            <w:shd w:val="clear" w:color="auto" w:fill="auto"/>
            <w:vAlign w:val="center"/>
          </w:tcPr>
          <w:p w14:paraId="52427D9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2.31　</w:t>
            </w:r>
          </w:p>
        </w:tc>
        <w:tc>
          <w:tcPr>
            <w:tcW w:w="2175" w:type="dxa"/>
            <w:tcBorders>
              <w:top w:val="nil"/>
              <w:left w:val="nil"/>
              <w:bottom w:val="single" w:color="auto" w:sz="4" w:space="0"/>
              <w:right w:val="single" w:color="auto" w:sz="4" w:space="0"/>
            </w:tcBorders>
            <w:shd w:val="clear" w:color="auto" w:fill="auto"/>
            <w:vAlign w:val="center"/>
          </w:tcPr>
          <w:p w14:paraId="1D504B7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870" w:type="dxa"/>
            <w:tcBorders>
              <w:top w:val="nil"/>
              <w:left w:val="nil"/>
              <w:bottom w:val="single" w:color="auto" w:sz="4" w:space="0"/>
              <w:right w:val="single" w:color="auto" w:sz="8" w:space="0"/>
            </w:tcBorders>
            <w:shd w:val="clear" w:color="auto" w:fill="auto"/>
            <w:vAlign w:val="center"/>
          </w:tcPr>
          <w:p w14:paraId="200598C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2.31　</w:t>
            </w:r>
          </w:p>
        </w:tc>
        <w:tc>
          <w:tcPr>
            <w:tcW w:w="1092" w:type="dxa"/>
            <w:tcBorders>
              <w:top w:val="nil"/>
              <w:left w:val="nil"/>
              <w:bottom w:val="single" w:color="auto" w:sz="4" w:space="0"/>
              <w:right w:val="single" w:color="auto" w:sz="8" w:space="0"/>
            </w:tcBorders>
            <w:shd w:val="clear" w:color="auto" w:fill="auto"/>
            <w:vAlign w:val="center"/>
          </w:tcPr>
          <w:p w14:paraId="4B15251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3E5F4E97">
        <w:tblPrEx>
          <w:tblCellMar>
            <w:top w:w="0" w:type="dxa"/>
            <w:left w:w="108" w:type="dxa"/>
            <w:bottom w:w="0" w:type="dxa"/>
            <w:right w:w="108" w:type="dxa"/>
          </w:tblCellMar>
        </w:tblPrEx>
        <w:trPr>
          <w:trHeight w:val="525" w:hRule="atLeast"/>
          <w:jc w:val="center"/>
        </w:trPr>
        <w:tc>
          <w:tcPr>
            <w:tcW w:w="1919" w:type="dxa"/>
            <w:tcBorders>
              <w:top w:val="single" w:color="auto" w:sz="4" w:space="0"/>
              <w:left w:val="single" w:color="auto" w:sz="8" w:space="0"/>
              <w:bottom w:val="single" w:color="auto" w:sz="4" w:space="0"/>
              <w:right w:val="single" w:color="auto" w:sz="4" w:space="0"/>
            </w:tcBorders>
            <w:shd w:val="clear" w:color="auto" w:fill="auto"/>
            <w:vAlign w:val="center"/>
          </w:tcPr>
          <w:p w14:paraId="7B13B5D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2080505　</w:t>
            </w:r>
          </w:p>
        </w:tc>
        <w:tc>
          <w:tcPr>
            <w:tcW w:w="4933" w:type="dxa"/>
            <w:tcBorders>
              <w:top w:val="nil"/>
              <w:left w:val="nil"/>
              <w:bottom w:val="single" w:color="auto" w:sz="4" w:space="0"/>
              <w:right w:val="single" w:color="auto" w:sz="4" w:space="0"/>
            </w:tcBorders>
            <w:shd w:val="clear" w:color="auto" w:fill="auto"/>
            <w:vAlign w:val="center"/>
          </w:tcPr>
          <w:p w14:paraId="19A361B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机关事业单位基本养老保险缴费支出</w:t>
            </w:r>
          </w:p>
        </w:tc>
        <w:tc>
          <w:tcPr>
            <w:tcW w:w="1869" w:type="dxa"/>
            <w:tcBorders>
              <w:top w:val="nil"/>
              <w:left w:val="nil"/>
              <w:bottom w:val="single" w:color="auto" w:sz="4" w:space="0"/>
              <w:right w:val="single" w:color="auto" w:sz="4" w:space="0"/>
            </w:tcBorders>
            <w:shd w:val="clear" w:color="auto" w:fill="auto"/>
            <w:vAlign w:val="center"/>
          </w:tcPr>
          <w:p w14:paraId="4DD5C0E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42.98 </w:t>
            </w:r>
          </w:p>
        </w:tc>
        <w:tc>
          <w:tcPr>
            <w:tcW w:w="2175" w:type="dxa"/>
            <w:tcBorders>
              <w:top w:val="nil"/>
              <w:left w:val="nil"/>
              <w:bottom w:val="single" w:color="auto" w:sz="4" w:space="0"/>
              <w:right w:val="single" w:color="auto" w:sz="4" w:space="0"/>
            </w:tcBorders>
            <w:shd w:val="clear" w:color="auto" w:fill="auto"/>
            <w:vAlign w:val="center"/>
          </w:tcPr>
          <w:p w14:paraId="363BAB3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42.98 </w:t>
            </w:r>
          </w:p>
        </w:tc>
        <w:tc>
          <w:tcPr>
            <w:tcW w:w="1870" w:type="dxa"/>
            <w:tcBorders>
              <w:top w:val="nil"/>
              <w:left w:val="nil"/>
              <w:bottom w:val="single" w:color="auto" w:sz="4" w:space="0"/>
              <w:right w:val="single" w:color="auto" w:sz="8" w:space="0"/>
            </w:tcBorders>
            <w:shd w:val="clear" w:color="auto" w:fill="auto"/>
            <w:vAlign w:val="center"/>
          </w:tcPr>
          <w:p w14:paraId="5AACF6D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092" w:type="dxa"/>
            <w:tcBorders>
              <w:top w:val="nil"/>
              <w:left w:val="nil"/>
              <w:bottom w:val="single" w:color="auto" w:sz="4" w:space="0"/>
              <w:right w:val="single" w:color="auto" w:sz="8" w:space="0"/>
            </w:tcBorders>
            <w:shd w:val="clear" w:color="auto" w:fill="auto"/>
            <w:vAlign w:val="center"/>
          </w:tcPr>
          <w:p w14:paraId="35FBA25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067BA065">
        <w:tblPrEx>
          <w:tblCellMar>
            <w:top w:w="0" w:type="dxa"/>
            <w:left w:w="108" w:type="dxa"/>
            <w:bottom w:w="0" w:type="dxa"/>
            <w:right w:w="108" w:type="dxa"/>
          </w:tblCellMar>
        </w:tblPrEx>
        <w:trPr>
          <w:trHeight w:val="398" w:hRule="atLeast"/>
          <w:jc w:val="center"/>
        </w:trPr>
        <w:tc>
          <w:tcPr>
            <w:tcW w:w="1919" w:type="dxa"/>
            <w:tcBorders>
              <w:top w:val="single" w:color="auto" w:sz="4" w:space="0"/>
              <w:left w:val="single" w:color="auto" w:sz="8" w:space="0"/>
              <w:bottom w:val="single" w:color="auto" w:sz="4" w:space="0"/>
              <w:right w:val="single" w:color="auto" w:sz="4" w:space="0"/>
            </w:tcBorders>
            <w:shd w:val="clear" w:color="auto" w:fill="auto"/>
            <w:vAlign w:val="center"/>
          </w:tcPr>
          <w:p w14:paraId="21DAF37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2089999</w:t>
            </w:r>
          </w:p>
        </w:tc>
        <w:tc>
          <w:tcPr>
            <w:tcW w:w="4933" w:type="dxa"/>
            <w:tcBorders>
              <w:top w:val="nil"/>
              <w:left w:val="nil"/>
              <w:bottom w:val="single" w:color="auto" w:sz="4" w:space="0"/>
              <w:right w:val="single" w:color="auto" w:sz="4" w:space="0"/>
            </w:tcBorders>
            <w:shd w:val="clear" w:color="auto" w:fill="auto"/>
            <w:vAlign w:val="center"/>
          </w:tcPr>
          <w:p w14:paraId="2DB6966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其他社会保障和就业支出　</w:t>
            </w:r>
          </w:p>
        </w:tc>
        <w:tc>
          <w:tcPr>
            <w:tcW w:w="1869" w:type="dxa"/>
            <w:tcBorders>
              <w:top w:val="nil"/>
              <w:left w:val="nil"/>
              <w:bottom w:val="single" w:color="auto" w:sz="4" w:space="0"/>
              <w:right w:val="single" w:color="auto" w:sz="4" w:space="0"/>
            </w:tcBorders>
            <w:shd w:val="clear" w:color="auto" w:fill="auto"/>
            <w:vAlign w:val="center"/>
          </w:tcPr>
          <w:p w14:paraId="70BE988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　</w:t>
            </w:r>
          </w:p>
        </w:tc>
        <w:tc>
          <w:tcPr>
            <w:tcW w:w="2175" w:type="dxa"/>
            <w:tcBorders>
              <w:top w:val="nil"/>
              <w:left w:val="nil"/>
              <w:bottom w:val="single" w:color="auto" w:sz="4" w:space="0"/>
              <w:right w:val="single" w:color="auto" w:sz="4" w:space="0"/>
            </w:tcBorders>
            <w:shd w:val="clear" w:color="auto" w:fill="auto"/>
            <w:vAlign w:val="center"/>
          </w:tcPr>
          <w:p w14:paraId="7675FA3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　</w:t>
            </w:r>
          </w:p>
        </w:tc>
        <w:tc>
          <w:tcPr>
            <w:tcW w:w="1870" w:type="dxa"/>
            <w:tcBorders>
              <w:top w:val="nil"/>
              <w:left w:val="nil"/>
              <w:bottom w:val="single" w:color="auto" w:sz="4" w:space="0"/>
              <w:right w:val="single" w:color="auto" w:sz="8" w:space="0"/>
            </w:tcBorders>
            <w:shd w:val="clear" w:color="auto" w:fill="auto"/>
            <w:vAlign w:val="center"/>
          </w:tcPr>
          <w:p w14:paraId="1CFC378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092" w:type="dxa"/>
            <w:tcBorders>
              <w:top w:val="nil"/>
              <w:left w:val="nil"/>
              <w:bottom w:val="single" w:color="auto" w:sz="4" w:space="0"/>
              <w:right w:val="single" w:color="auto" w:sz="8" w:space="0"/>
            </w:tcBorders>
            <w:shd w:val="clear" w:color="auto" w:fill="auto"/>
            <w:vAlign w:val="center"/>
          </w:tcPr>
          <w:p w14:paraId="70110E5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794976D4">
        <w:tblPrEx>
          <w:tblCellMar>
            <w:top w:w="0" w:type="dxa"/>
            <w:left w:w="108" w:type="dxa"/>
            <w:bottom w:w="0" w:type="dxa"/>
            <w:right w:w="108" w:type="dxa"/>
          </w:tblCellMar>
        </w:tblPrEx>
        <w:trPr>
          <w:trHeight w:val="565" w:hRule="atLeast"/>
          <w:jc w:val="center"/>
        </w:trPr>
        <w:tc>
          <w:tcPr>
            <w:tcW w:w="1919" w:type="dxa"/>
            <w:tcBorders>
              <w:top w:val="single" w:color="auto" w:sz="4" w:space="0"/>
              <w:left w:val="single" w:color="auto" w:sz="8" w:space="0"/>
              <w:bottom w:val="single" w:color="auto" w:sz="8" w:space="0"/>
              <w:right w:val="single" w:color="auto" w:sz="4" w:space="0"/>
            </w:tcBorders>
            <w:shd w:val="clear" w:color="auto" w:fill="auto"/>
            <w:vAlign w:val="center"/>
          </w:tcPr>
          <w:p w14:paraId="4AB350E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2101101</w:t>
            </w:r>
          </w:p>
        </w:tc>
        <w:tc>
          <w:tcPr>
            <w:tcW w:w="4933" w:type="dxa"/>
            <w:tcBorders>
              <w:top w:val="nil"/>
              <w:left w:val="nil"/>
              <w:bottom w:val="single" w:color="auto" w:sz="8" w:space="0"/>
              <w:right w:val="single" w:color="auto" w:sz="4" w:space="0"/>
            </w:tcBorders>
            <w:shd w:val="clear" w:color="auto" w:fill="auto"/>
            <w:vAlign w:val="center"/>
          </w:tcPr>
          <w:p w14:paraId="6A197BA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行政单位医疗</w:t>
            </w:r>
          </w:p>
        </w:tc>
        <w:tc>
          <w:tcPr>
            <w:tcW w:w="1869" w:type="dxa"/>
            <w:tcBorders>
              <w:top w:val="nil"/>
              <w:left w:val="nil"/>
              <w:bottom w:val="single" w:color="auto" w:sz="8" w:space="0"/>
              <w:right w:val="single" w:color="auto" w:sz="4" w:space="0"/>
            </w:tcBorders>
            <w:shd w:val="clear" w:color="auto" w:fill="auto"/>
            <w:vAlign w:val="center"/>
          </w:tcPr>
          <w:p w14:paraId="3210B98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19.03　</w:t>
            </w:r>
          </w:p>
        </w:tc>
        <w:tc>
          <w:tcPr>
            <w:tcW w:w="2175" w:type="dxa"/>
            <w:tcBorders>
              <w:top w:val="nil"/>
              <w:left w:val="nil"/>
              <w:bottom w:val="single" w:color="auto" w:sz="8" w:space="0"/>
              <w:right w:val="single" w:color="auto" w:sz="4" w:space="0"/>
            </w:tcBorders>
            <w:shd w:val="clear" w:color="auto" w:fill="auto"/>
            <w:vAlign w:val="center"/>
          </w:tcPr>
          <w:p w14:paraId="1EE013B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19.03　</w:t>
            </w:r>
          </w:p>
        </w:tc>
        <w:tc>
          <w:tcPr>
            <w:tcW w:w="1870" w:type="dxa"/>
            <w:tcBorders>
              <w:top w:val="nil"/>
              <w:left w:val="nil"/>
              <w:bottom w:val="single" w:color="auto" w:sz="8" w:space="0"/>
              <w:right w:val="single" w:color="auto" w:sz="8" w:space="0"/>
            </w:tcBorders>
            <w:shd w:val="clear" w:color="auto" w:fill="auto"/>
            <w:vAlign w:val="center"/>
          </w:tcPr>
          <w:p w14:paraId="4A0DE49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c>
          <w:tcPr>
            <w:tcW w:w="1092" w:type="dxa"/>
            <w:tcBorders>
              <w:top w:val="nil"/>
              <w:left w:val="nil"/>
              <w:bottom w:val="single" w:color="auto" w:sz="8" w:space="0"/>
              <w:right w:val="single" w:color="auto" w:sz="8" w:space="0"/>
            </w:tcBorders>
            <w:shd w:val="clear" w:color="auto" w:fill="auto"/>
            <w:vAlign w:val="center"/>
          </w:tcPr>
          <w:p w14:paraId="27F34E3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r w14:paraId="502FD19D">
        <w:tblPrEx>
          <w:tblCellMar>
            <w:top w:w="0" w:type="dxa"/>
            <w:left w:w="108" w:type="dxa"/>
            <w:bottom w:w="0" w:type="dxa"/>
            <w:right w:w="108" w:type="dxa"/>
          </w:tblCellMar>
        </w:tblPrEx>
        <w:trPr>
          <w:trHeight w:val="667" w:hRule="atLeast"/>
          <w:jc w:val="center"/>
        </w:trPr>
        <w:tc>
          <w:tcPr>
            <w:tcW w:w="1919" w:type="dxa"/>
            <w:tcBorders>
              <w:top w:val="single" w:color="auto" w:sz="4" w:space="0"/>
              <w:left w:val="single" w:color="auto" w:sz="8" w:space="0"/>
              <w:bottom w:val="single" w:color="auto" w:sz="8" w:space="0"/>
              <w:right w:val="single" w:color="auto" w:sz="4" w:space="0"/>
            </w:tcBorders>
            <w:shd w:val="clear" w:color="auto" w:fill="auto"/>
            <w:vAlign w:val="center"/>
          </w:tcPr>
          <w:p w14:paraId="3DA67E6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2210201　</w:t>
            </w:r>
          </w:p>
        </w:tc>
        <w:tc>
          <w:tcPr>
            <w:tcW w:w="4933" w:type="dxa"/>
            <w:tcBorders>
              <w:top w:val="nil"/>
              <w:left w:val="nil"/>
              <w:bottom w:val="single" w:color="auto" w:sz="8" w:space="0"/>
              <w:right w:val="single" w:color="auto" w:sz="4" w:space="0"/>
            </w:tcBorders>
            <w:shd w:val="clear" w:color="auto" w:fill="auto"/>
            <w:vAlign w:val="center"/>
          </w:tcPr>
          <w:p w14:paraId="631A8F4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住房公积金</w:t>
            </w:r>
          </w:p>
        </w:tc>
        <w:tc>
          <w:tcPr>
            <w:tcW w:w="1869" w:type="dxa"/>
            <w:tcBorders>
              <w:top w:val="nil"/>
              <w:left w:val="nil"/>
              <w:bottom w:val="single" w:color="auto" w:sz="8" w:space="0"/>
              <w:right w:val="single" w:color="auto" w:sz="4" w:space="0"/>
            </w:tcBorders>
            <w:shd w:val="clear" w:color="auto" w:fill="auto"/>
            <w:vAlign w:val="center"/>
          </w:tcPr>
          <w:p w14:paraId="04B8085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30.88</w:t>
            </w:r>
          </w:p>
        </w:tc>
        <w:tc>
          <w:tcPr>
            <w:tcW w:w="2175" w:type="dxa"/>
            <w:tcBorders>
              <w:top w:val="nil"/>
              <w:left w:val="nil"/>
              <w:bottom w:val="single" w:color="auto" w:sz="8" w:space="0"/>
              <w:right w:val="single" w:color="auto" w:sz="4" w:space="0"/>
            </w:tcBorders>
            <w:shd w:val="clear" w:color="auto" w:fill="auto"/>
            <w:vAlign w:val="center"/>
          </w:tcPr>
          <w:p w14:paraId="328299B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30.88</w:t>
            </w:r>
          </w:p>
        </w:tc>
        <w:tc>
          <w:tcPr>
            <w:tcW w:w="1870" w:type="dxa"/>
            <w:tcBorders>
              <w:top w:val="nil"/>
              <w:left w:val="nil"/>
              <w:bottom w:val="single" w:color="auto" w:sz="8" w:space="0"/>
              <w:right w:val="single" w:color="auto" w:sz="8" w:space="0"/>
            </w:tcBorders>
            <w:shd w:val="clear" w:color="auto" w:fill="auto"/>
            <w:vAlign w:val="center"/>
          </w:tcPr>
          <w:p w14:paraId="63AF6F9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092" w:type="dxa"/>
            <w:tcBorders>
              <w:top w:val="nil"/>
              <w:left w:val="nil"/>
              <w:bottom w:val="single" w:color="auto" w:sz="8" w:space="0"/>
              <w:right w:val="single" w:color="auto" w:sz="8" w:space="0"/>
            </w:tcBorders>
            <w:shd w:val="clear" w:color="auto" w:fill="auto"/>
            <w:vAlign w:val="center"/>
          </w:tcPr>
          <w:p w14:paraId="3A6DC38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rPr>
                <w:rFonts w:hint="eastAsia" w:ascii="宋体" w:hAnsi="宋体" w:eastAsia="宋体" w:cs="宋体"/>
                <w:color w:val="auto"/>
                <w:sz w:val="24"/>
                <w:szCs w:val="24"/>
                <w:highlight w:val="none"/>
                <w:lang w:val="en-US" w:eastAsia="zh-CN"/>
              </w:rPr>
            </w:pPr>
          </w:p>
        </w:tc>
      </w:tr>
    </w:tbl>
    <w:p w14:paraId="75286538">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both"/>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注：本表反映部门本年度一般公共预算财政拨款支出情况。</w:t>
      </w:r>
    </w:p>
    <w:p w14:paraId="15726E41">
      <w:pPr>
        <w:keepNext w:val="0"/>
        <w:keepLines w:val="0"/>
        <w:pageBreakBefore w:val="0"/>
        <w:widowControl/>
        <w:shd w:val="clear"/>
        <w:kinsoku/>
        <w:topLinePunct w:val="0"/>
        <w:bidi w:val="0"/>
        <w:spacing w:line="560" w:lineRule="exact"/>
        <w:ind w:left="0" w:leftChars="0" w:firstLine="420" w:firstLineChars="200"/>
        <w:jc w:val="left"/>
        <w:rPr>
          <w:rFonts w:hint="eastAsia" w:ascii="仿宋" w:hAnsi="仿宋" w:eastAsia="仿宋" w:cs="仿宋"/>
          <w:bCs/>
          <w:color w:val="auto"/>
          <w:kern w:val="0"/>
          <w:szCs w:val="21"/>
          <w:highlight w:val="none"/>
        </w:rPr>
      </w:pPr>
    </w:p>
    <w:p w14:paraId="33FAC1FA">
      <w:pPr>
        <w:keepNext w:val="0"/>
        <w:keepLines w:val="0"/>
        <w:pageBreakBefore w:val="0"/>
        <w:widowControl/>
        <w:shd w:val="clear"/>
        <w:kinsoku/>
        <w:wordWrap/>
        <w:overflowPunct/>
        <w:topLinePunct w:val="0"/>
        <w:autoSpaceDE/>
        <w:autoSpaceDN/>
        <w:bidi w:val="0"/>
        <w:adjustRightInd/>
        <w:snapToGrid/>
        <w:spacing w:line="40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bookmarkStart w:id="2" w:name="RANGE!A1:I34"/>
    </w:p>
    <w:p w14:paraId="5921E93E">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一般公共预算财政拨款基本支出决算明细表</w:t>
      </w:r>
      <w:bookmarkEnd w:id="2"/>
    </w:p>
    <w:p w14:paraId="7520BD44">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 xml:space="preserve">                                                                           公开06表</w:t>
      </w:r>
    </w:p>
    <w:p w14:paraId="4DE1065B">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 xml:space="preserve">部门：中国人民政治协商会议湖南省祁阳市委员会                                单位：万元                                                                                                              </w:t>
      </w:r>
    </w:p>
    <w:tbl>
      <w:tblPr>
        <w:tblStyle w:val="12"/>
        <w:tblW w:w="14564" w:type="dxa"/>
        <w:jc w:val="center"/>
        <w:tblLayout w:type="fixed"/>
        <w:tblCellMar>
          <w:top w:w="0" w:type="dxa"/>
          <w:left w:w="0" w:type="dxa"/>
          <w:bottom w:w="0" w:type="dxa"/>
          <w:right w:w="0" w:type="dxa"/>
        </w:tblCellMar>
      </w:tblPr>
      <w:tblGrid>
        <w:gridCol w:w="915"/>
        <w:gridCol w:w="2940"/>
        <w:gridCol w:w="1050"/>
        <w:gridCol w:w="1080"/>
        <w:gridCol w:w="2214"/>
        <w:gridCol w:w="921"/>
        <w:gridCol w:w="1095"/>
        <w:gridCol w:w="3675"/>
        <w:gridCol w:w="674"/>
      </w:tblGrid>
      <w:tr w14:paraId="1BDE1E4A">
        <w:tblPrEx>
          <w:tblCellMar>
            <w:top w:w="0" w:type="dxa"/>
            <w:left w:w="0" w:type="dxa"/>
            <w:bottom w:w="0" w:type="dxa"/>
            <w:right w:w="0" w:type="dxa"/>
          </w:tblCellMar>
        </w:tblPrEx>
        <w:trPr>
          <w:trHeight w:val="1113" w:hRule="atLeast"/>
          <w:tblHeader/>
          <w:jc w:val="center"/>
        </w:trPr>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0F4A65F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1"/>
                <w:w w:val="90"/>
                <w:sz w:val="24"/>
                <w:szCs w:val="24"/>
                <w:highlight w:val="none"/>
                <w:lang w:val="en-US" w:eastAsia="zh-CN"/>
              </w:rPr>
              <w:t>经济分类科目编码</w:t>
            </w:r>
          </w:p>
        </w:tc>
        <w:tc>
          <w:tcPr>
            <w:tcW w:w="2940" w:type="dxa"/>
            <w:tcBorders>
              <w:top w:val="single" w:color="auto" w:sz="4" w:space="0"/>
              <w:left w:val="nil"/>
              <w:bottom w:val="single" w:color="auto" w:sz="4" w:space="0"/>
              <w:right w:val="single" w:color="auto" w:sz="4" w:space="0"/>
            </w:tcBorders>
            <w:shd w:val="clear" w:color="auto" w:fill="auto"/>
            <w:vAlign w:val="center"/>
          </w:tcPr>
          <w:p w14:paraId="264DE76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科目名称</w:t>
            </w:r>
          </w:p>
        </w:tc>
        <w:tc>
          <w:tcPr>
            <w:tcW w:w="1050" w:type="dxa"/>
            <w:tcBorders>
              <w:top w:val="single" w:color="auto" w:sz="4" w:space="0"/>
              <w:left w:val="nil"/>
              <w:bottom w:val="single" w:color="auto" w:sz="4" w:space="0"/>
              <w:right w:val="single" w:color="auto" w:sz="4" w:space="0"/>
            </w:tcBorders>
            <w:shd w:val="clear" w:color="auto" w:fill="auto"/>
            <w:vAlign w:val="center"/>
          </w:tcPr>
          <w:p w14:paraId="172E679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决算数</w:t>
            </w:r>
          </w:p>
        </w:tc>
        <w:tc>
          <w:tcPr>
            <w:tcW w:w="1080" w:type="dxa"/>
            <w:tcBorders>
              <w:top w:val="single" w:color="auto" w:sz="4" w:space="0"/>
              <w:left w:val="nil"/>
              <w:bottom w:val="single" w:color="auto" w:sz="4" w:space="0"/>
              <w:right w:val="single" w:color="auto" w:sz="4" w:space="0"/>
            </w:tcBorders>
            <w:shd w:val="clear" w:color="auto" w:fill="auto"/>
            <w:vAlign w:val="center"/>
          </w:tcPr>
          <w:p w14:paraId="03CAB3D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1"/>
                <w:w w:val="90"/>
                <w:sz w:val="24"/>
                <w:szCs w:val="24"/>
                <w:highlight w:val="none"/>
                <w:lang w:val="en-US" w:eastAsia="zh-CN"/>
              </w:rPr>
              <w:t>经济分类科目编码</w:t>
            </w:r>
          </w:p>
        </w:tc>
        <w:tc>
          <w:tcPr>
            <w:tcW w:w="2214" w:type="dxa"/>
            <w:tcBorders>
              <w:top w:val="single" w:color="auto" w:sz="4" w:space="0"/>
              <w:left w:val="nil"/>
              <w:bottom w:val="single" w:color="auto" w:sz="4" w:space="0"/>
              <w:right w:val="single" w:color="auto" w:sz="4" w:space="0"/>
            </w:tcBorders>
            <w:shd w:val="clear" w:color="auto" w:fill="auto"/>
            <w:vAlign w:val="center"/>
          </w:tcPr>
          <w:p w14:paraId="7CC05FA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科目名称</w:t>
            </w:r>
          </w:p>
        </w:tc>
        <w:tc>
          <w:tcPr>
            <w:tcW w:w="921" w:type="dxa"/>
            <w:tcBorders>
              <w:top w:val="single" w:color="auto" w:sz="4" w:space="0"/>
              <w:left w:val="nil"/>
              <w:bottom w:val="single" w:color="auto" w:sz="4" w:space="0"/>
              <w:right w:val="single" w:color="auto" w:sz="4" w:space="0"/>
            </w:tcBorders>
            <w:shd w:val="clear" w:color="auto" w:fill="auto"/>
            <w:vAlign w:val="center"/>
          </w:tcPr>
          <w:p w14:paraId="76C50EE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决算数</w:t>
            </w:r>
          </w:p>
        </w:tc>
        <w:tc>
          <w:tcPr>
            <w:tcW w:w="1095" w:type="dxa"/>
            <w:tcBorders>
              <w:top w:val="single" w:color="auto" w:sz="4" w:space="0"/>
              <w:left w:val="nil"/>
              <w:bottom w:val="single" w:color="auto" w:sz="4" w:space="0"/>
              <w:right w:val="single" w:color="auto" w:sz="4" w:space="0"/>
            </w:tcBorders>
            <w:shd w:val="clear" w:color="auto" w:fill="auto"/>
            <w:vAlign w:val="center"/>
          </w:tcPr>
          <w:p w14:paraId="18CA93E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经济分类科目编码</w:t>
            </w:r>
          </w:p>
        </w:tc>
        <w:tc>
          <w:tcPr>
            <w:tcW w:w="3675" w:type="dxa"/>
            <w:tcBorders>
              <w:top w:val="single" w:color="auto" w:sz="4" w:space="0"/>
              <w:left w:val="nil"/>
              <w:bottom w:val="single" w:color="auto" w:sz="4" w:space="0"/>
              <w:right w:val="single" w:color="auto" w:sz="4" w:space="0"/>
            </w:tcBorders>
            <w:shd w:val="clear" w:color="auto" w:fill="auto"/>
            <w:vAlign w:val="center"/>
          </w:tcPr>
          <w:p w14:paraId="44CDA04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科目名称</w:t>
            </w:r>
          </w:p>
        </w:tc>
        <w:tc>
          <w:tcPr>
            <w:tcW w:w="674" w:type="dxa"/>
            <w:tcBorders>
              <w:top w:val="single" w:color="auto" w:sz="4" w:space="0"/>
              <w:left w:val="nil"/>
              <w:bottom w:val="single" w:color="auto" w:sz="4" w:space="0"/>
              <w:right w:val="single" w:color="auto" w:sz="4" w:space="0"/>
            </w:tcBorders>
            <w:shd w:val="clear" w:color="auto" w:fill="auto"/>
            <w:vAlign w:val="center"/>
          </w:tcPr>
          <w:p w14:paraId="2C4CE32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1"/>
                <w:w w:val="90"/>
                <w:sz w:val="24"/>
                <w:szCs w:val="24"/>
                <w:highlight w:val="none"/>
                <w:lang w:val="en-US" w:eastAsia="zh-CN"/>
              </w:rPr>
              <w:t>决算数</w:t>
            </w:r>
          </w:p>
        </w:tc>
      </w:tr>
      <w:tr w14:paraId="7BC6FEB1">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2EB7BD6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w:t>
            </w:r>
          </w:p>
        </w:tc>
        <w:tc>
          <w:tcPr>
            <w:tcW w:w="2940" w:type="dxa"/>
            <w:tcBorders>
              <w:top w:val="nil"/>
              <w:left w:val="nil"/>
              <w:bottom w:val="single" w:color="auto" w:sz="4" w:space="0"/>
              <w:right w:val="single" w:color="auto" w:sz="4" w:space="0"/>
            </w:tcBorders>
            <w:shd w:val="clear" w:color="auto" w:fill="auto"/>
            <w:noWrap/>
            <w:vAlign w:val="center"/>
          </w:tcPr>
          <w:p w14:paraId="4DB68E7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工资福利支出</w:t>
            </w:r>
          </w:p>
        </w:tc>
        <w:tc>
          <w:tcPr>
            <w:tcW w:w="1050" w:type="dxa"/>
            <w:tcBorders>
              <w:top w:val="nil"/>
              <w:left w:val="nil"/>
              <w:bottom w:val="single" w:color="auto" w:sz="4" w:space="0"/>
              <w:right w:val="single" w:color="auto" w:sz="4" w:space="0"/>
            </w:tcBorders>
            <w:shd w:val="clear" w:color="auto" w:fill="auto"/>
            <w:noWrap/>
            <w:vAlign w:val="center"/>
          </w:tcPr>
          <w:p w14:paraId="6C26952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434.25</w:t>
            </w:r>
          </w:p>
        </w:tc>
        <w:tc>
          <w:tcPr>
            <w:tcW w:w="1080" w:type="dxa"/>
            <w:tcBorders>
              <w:top w:val="nil"/>
              <w:left w:val="nil"/>
              <w:bottom w:val="single" w:color="auto" w:sz="4" w:space="0"/>
              <w:right w:val="single" w:color="auto" w:sz="4" w:space="0"/>
            </w:tcBorders>
            <w:shd w:val="clear" w:color="auto" w:fill="auto"/>
            <w:noWrap/>
            <w:vAlign w:val="center"/>
          </w:tcPr>
          <w:p w14:paraId="65C9003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w:t>
            </w:r>
          </w:p>
        </w:tc>
        <w:tc>
          <w:tcPr>
            <w:tcW w:w="2214" w:type="dxa"/>
            <w:tcBorders>
              <w:top w:val="nil"/>
              <w:left w:val="nil"/>
              <w:bottom w:val="single" w:color="auto" w:sz="4" w:space="0"/>
              <w:right w:val="single" w:color="auto" w:sz="4" w:space="0"/>
            </w:tcBorders>
            <w:shd w:val="clear" w:color="auto" w:fill="auto"/>
            <w:noWrap/>
            <w:vAlign w:val="center"/>
          </w:tcPr>
          <w:p w14:paraId="41D9F07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商品和服务支出</w:t>
            </w:r>
          </w:p>
        </w:tc>
        <w:tc>
          <w:tcPr>
            <w:tcW w:w="921" w:type="dxa"/>
            <w:tcBorders>
              <w:top w:val="nil"/>
              <w:left w:val="nil"/>
              <w:bottom w:val="single" w:color="auto" w:sz="4" w:space="0"/>
              <w:right w:val="single" w:color="auto" w:sz="4" w:space="0"/>
            </w:tcBorders>
            <w:shd w:val="clear" w:color="auto" w:fill="auto"/>
            <w:noWrap/>
            <w:vAlign w:val="center"/>
          </w:tcPr>
          <w:p w14:paraId="25FA84A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76.21</w:t>
            </w:r>
          </w:p>
        </w:tc>
        <w:tc>
          <w:tcPr>
            <w:tcW w:w="1095" w:type="dxa"/>
            <w:tcBorders>
              <w:top w:val="nil"/>
              <w:left w:val="nil"/>
              <w:bottom w:val="single" w:color="auto" w:sz="4" w:space="0"/>
              <w:right w:val="single" w:color="auto" w:sz="4" w:space="0"/>
            </w:tcBorders>
            <w:shd w:val="clear" w:color="auto" w:fill="auto"/>
            <w:noWrap/>
            <w:vAlign w:val="center"/>
          </w:tcPr>
          <w:p w14:paraId="41EF712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307</w:t>
            </w:r>
          </w:p>
        </w:tc>
        <w:tc>
          <w:tcPr>
            <w:tcW w:w="3675" w:type="dxa"/>
            <w:tcBorders>
              <w:top w:val="nil"/>
              <w:left w:val="nil"/>
              <w:bottom w:val="single" w:color="auto" w:sz="4" w:space="0"/>
              <w:right w:val="single" w:color="auto" w:sz="4" w:space="0"/>
            </w:tcBorders>
            <w:shd w:val="clear" w:color="auto" w:fill="auto"/>
            <w:noWrap/>
            <w:vAlign w:val="center"/>
          </w:tcPr>
          <w:p w14:paraId="46FEF6A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债务利息及费用支出</w:t>
            </w:r>
          </w:p>
        </w:tc>
        <w:tc>
          <w:tcPr>
            <w:tcW w:w="674" w:type="dxa"/>
            <w:tcBorders>
              <w:top w:val="nil"/>
              <w:left w:val="nil"/>
              <w:bottom w:val="single" w:color="auto" w:sz="4" w:space="0"/>
              <w:right w:val="single" w:color="auto" w:sz="4" w:space="0"/>
            </w:tcBorders>
            <w:shd w:val="clear" w:color="auto" w:fill="auto"/>
            <w:noWrap/>
            <w:vAlign w:val="center"/>
          </w:tcPr>
          <w:p w14:paraId="14F5CD7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39777A36">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2642DBA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30101</w:t>
            </w:r>
          </w:p>
        </w:tc>
        <w:tc>
          <w:tcPr>
            <w:tcW w:w="2940" w:type="dxa"/>
            <w:tcBorders>
              <w:top w:val="nil"/>
              <w:left w:val="nil"/>
              <w:bottom w:val="single" w:color="auto" w:sz="4" w:space="0"/>
              <w:right w:val="single" w:color="auto" w:sz="4" w:space="0"/>
            </w:tcBorders>
            <w:shd w:val="clear" w:color="auto" w:fill="auto"/>
            <w:noWrap/>
            <w:vAlign w:val="center"/>
          </w:tcPr>
          <w:p w14:paraId="2FAFC42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基本工资</w:t>
            </w:r>
          </w:p>
        </w:tc>
        <w:tc>
          <w:tcPr>
            <w:tcW w:w="1050" w:type="dxa"/>
            <w:tcBorders>
              <w:top w:val="nil"/>
              <w:left w:val="nil"/>
              <w:bottom w:val="single" w:color="auto" w:sz="4" w:space="0"/>
              <w:right w:val="single" w:color="auto" w:sz="4" w:space="0"/>
            </w:tcBorders>
            <w:shd w:val="clear" w:color="auto" w:fill="auto"/>
            <w:noWrap/>
            <w:vAlign w:val="center"/>
          </w:tcPr>
          <w:p w14:paraId="293F35C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174.89</w:t>
            </w:r>
          </w:p>
        </w:tc>
        <w:tc>
          <w:tcPr>
            <w:tcW w:w="1080" w:type="dxa"/>
            <w:tcBorders>
              <w:top w:val="nil"/>
              <w:left w:val="nil"/>
              <w:bottom w:val="single" w:color="auto" w:sz="4" w:space="0"/>
              <w:right w:val="single" w:color="auto" w:sz="4" w:space="0"/>
            </w:tcBorders>
            <w:shd w:val="clear" w:color="auto" w:fill="auto"/>
            <w:noWrap/>
            <w:vAlign w:val="center"/>
          </w:tcPr>
          <w:p w14:paraId="239FAA5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30201</w:t>
            </w:r>
          </w:p>
        </w:tc>
        <w:tc>
          <w:tcPr>
            <w:tcW w:w="2214" w:type="dxa"/>
            <w:tcBorders>
              <w:top w:val="nil"/>
              <w:left w:val="nil"/>
              <w:bottom w:val="single" w:color="auto" w:sz="4" w:space="0"/>
              <w:right w:val="single" w:color="auto" w:sz="4" w:space="0"/>
            </w:tcBorders>
            <w:shd w:val="clear" w:color="auto" w:fill="auto"/>
            <w:noWrap/>
            <w:vAlign w:val="center"/>
          </w:tcPr>
          <w:p w14:paraId="5B7E8CD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办公费</w:t>
            </w:r>
          </w:p>
        </w:tc>
        <w:tc>
          <w:tcPr>
            <w:tcW w:w="921" w:type="dxa"/>
            <w:tcBorders>
              <w:top w:val="nil"/>
              <w:left w:val="nil"/>
              <w:bottom w:val="single" w:color="auto" w:sz="4" w:space="0"/>
              <w:right w:val="single" w:color="auto" w:sz="4" w:space="0"/>
            </w:tcBorders>
            <w:shd w:val="clear" w:color="auto" w:fill="auto"/>
            <w:noWrap/>
            <w:vAlign w:val="center"/>
          </w:tcPr>
          <w:p w14:paraId="39A25CB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10.76</w:t>
            </w:r>
          </w:p>
        </w:tc>
        <w:tc>
          <w:tcPr>
            <w:tcW w:w="1095" w:type="dxa"/>
            <w:tcBorders>
              <w:top w:val="nil"/>
              <w:left w:val="nil"/>
              <w:bottom w:val="single" w:color="auto" w:sz="4" w:space="0"/>
              <w:right w:val="single" w:color="auto" w:sz="4" w:space="0"/>
            </w:tcBorders>
            <w:shd w:val="clear" w:color="auto" w:fill="auto"/>
            <w:noWrap/>
            <w:vAlign w:val="center"/>
          </w:tcPr>
          <w:p w14:paraId="3A45577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30701</w:t>
            </w:r>
          </w:p>
        </w:tc>
        <w:tc>
          <w:tcPr>
            <w:tcW w:w="3675" w:type="dxa"/>
            <w:tcBorders>
              <w:top w:val="nil"/>
              <w:left w:val="nil"/>
              <w:bottom w:val="single" w:color="auto" w:sz="4" w:space="0"/>
              <w:right w:val="single" w:color="auto" w:sz="4" w:space="0"/>
            </w:tcBorders>
            <w:shd w:val="clear" w:color="auto" w:fill="auto"/>
            <w:noWrap/>
            <w:vAlign w:val="center"/>
          </w:tcPr>
          <w:p w14:paraId="594534A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国内债务付息</w:t>
            </w:r>
          </w:p>
        </w:tc>
        <w:tc>
          <w:tcPr>
            <w:tcW w:w="674" w:type="dxa"/>
            <w:tcBorders>
              <w:top w:val="nil"/>
              <w:left w:val="nil"/>
              <w:bottom w:val="single" w:color="auto" w:sz="4" w:space="0"/>
              <w:right w:val="single" w:color="auto" w:sz="4" w:space="0"/>
            </w:tcBorders>
            <w:shd w:val="clear" w:color="auto" w:fill="auto"/>
            <w:noWrap/>
            <w:vAlign w:val="center"/>
          </w:tcPr>
          <w:p w14:paraId="3989BB6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5B5363C5">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36AC277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30102</w:t>
            </w:r>
          </w:p>
        </w:tc>
        <w:tc>
          <w:tcPr>
            <w:tcW w:w="2940" w:type="dxa"/>
            <w:tcBorders>
              <w:top w:val="nil"/>
              <w:left w:val="nil"/>
              <w:bottom w:val="single" w:color="auto" w:sz="4" w:space="0"/>
              <w:right w:val="single" w:color="auto" w:sz="4" w:space="0"/>
            </w:tcBorders>
            <w:shd w:val="clear" w:color="auto" w:fill="auto"/>
            <w:noWrap/>
            <w:vAlign w:val="center"/>
          </w:tcPr>
          <w:p w14:paraId="3B92431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津贴补贴</w:t>
            </w:r>
          </w:p>
        </w:tc>
        <w:tc>
          <w:tcPr>
            <w:tcW w:w="1050" w:type="dxa"/>
            <w:tcBorders>
              <w:top w:val="nil"/>
              <w:left w:val="nil"/>
              <w:bottom w:val="single" w:color="auto" w:sz="4" w:space="0"/>
              <w:right w:val="single" w:color="auto" w:sz="4" w:space="0"/>
            </w:tcBorders>
            <w:shd w:val="clear" w:color="auto" w:fill="auto"/>
            <w:noWrap/>
            <w:vAlign w:val="center"/>
          </w:tcPr>
          <w:p w14:paraId="07B1D27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91.18</w:t>
            </w:r>
          </w:p>
        </w:tc>
        <w:tc>
          <w:tcPr>
            <w:tcW w:w="1080" w:type="dxa"/>
            <w:tcBorders>
              <w:top w:val="nil"/>
              <w:left w:val="nil"/>
              <w:bottom w:val="single" w:color="auto" w:sz="4" w:space="0"/>
              <w:right w:val="single" w:color="auto" w:sz="4" w:space="0"/>
            </w:tcBorders>
            <w:shd w:val="clear" w:color="auto" w:fill="auto"/>
            <w:noWrap/>
            <w:vAlign w:val="center"/>
          </w:tcPr>
          <w:p w14:paraId="7DEA76C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30202</w:t>
            </w:r>
          </w:p>
        </w:tc>
        <w:tc>
          <w:tcPr>
            <w:tcW w:w="2214" w:type="dxa"/>
            <w:tcBorders>
              <w:top w:val="nil"/>
              <w:left w:val="nil"/>
              <w:bottom w:val="single" w:color="auto" w:sz="4" w:space="0"/>
              <w:right w:val="single" w:color="auto" w:sz="4" w:space="0"/>
            </w:tcBorders>
            <w:shd w:val="clear" w:color="auto" w:fill="auto"/>
            <w:noWrap/>
            <w:vAlign w:val="center"/>
          </w:tcPr>
          <w:p w14:paraId="3568FC1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印刷费</w:t>
            </w:r>
          </w:p>
        </w:tc>
        <w:tc>
          <w:tcPr>
            <w:tcW w:w="921" w:type="dxa"/>
            <w:tcBorders>
              <w:top w:val="nil"/>
              <w:left w:val="nil"/>
              <w:bottom w:val="single" w:color="auto" w:sz="4" w:space="0"/>
              <w:right w:val="single" w:color="auto" w:sz="4" w:space="0"/>
            </w:tcBorders>
            <w:shd w:val="clear" w:color="auto" w:fill="auto"/>
            <w:noWrap/>
            <w:vAlign w:val="center"/>
          </w:tcPr>
          <w:p w14:paraId="60DE33B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0.43</w:t>
            </w:r>
          </w:p>
        </w:tc>
        <w:tc>
          <w:tcPr>
            <w:tcW w:w="1095" w:type="dxa"/>
            <w:tcBorders>
              <w:top w:val="nil"/>
              <w:left w:val="nil"/>
              <w:bottom w:val="single" w:color="auto" w:sz="4" w:space="0"/>
              <w:right w:val="single" w:color="auto" w:sz="4" w:space="0"/>
            </w:tcBorders>
            <w:shd w:val="clear" w:color="auto" w:fill="auto"/>
            <w:noWrap/>
            <w:vAlign w:val="center"/>
          </w:tcPr>
          <w:p w14:paraId="495B1F9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30702</w:t>
            </w:r>
          </w:p>
        </w:tc>
        <w:tc>
          <w:tcPr>
            <w:tcW w:w="3675" w:type="dxa"/>
            <w:tcBorders>
              <w:top w:val="nil"/>
              <w:left w:val="nil"/>
              <w:bottom w:val="single" w:color="auto" w:sz="4" w:space="0"/>
              <w:right w:val="single" w:color="auto" w:sz="4" w:space="0"/>
            </w:tcBorders>
            <w:shd w:val="clear" w:color="auto" w:fill="auto"/>
            <w:noWrap/>
            <w:vAlign w:val="center"/>
          </w:tcPr>
          <w:p w14:paraId="40D27E2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国外债务付息</w:t>
            </w:r>
          </w:p>
        </w:tc>
        <w:tc>
          <w:tcPr>
            <w:tcW w:w="674" w:type="dxa"/>
            <w:tcBorders>
              <w:top w:val="nil"/>
              <w:left w:val="nil"/>
              <w:bottom w:val="single" w:color="auto" w:sz="4" w:space="0"/>
              <w:right w:val="single" w:color="auto" w:sz="4" w:space="0"/>
            </w:tcBorders>
            <w:shd w:val="clear" w:color="auto" w:fill="auto"/>
            <w:noWrap/>
            <w:vAlign w:val="center"/>
          </w:tcPr>
          <w:p w14:paraId="088E408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8990A25">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4546374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30103</w:t>
            </w:r>
          </w:p>
        </w:tc>
        <w:tc>
          <w:tcPr>
            <w:tcW w:w="2940" w:type="dxa"/>
            <w:tcBorders>
              <w:top w:val="nil"/>
              <w:left w:val="nil"/>
              <w:bottom w:val="single" w:color="auto" w:sz="4" w:space="0"/>
              <w:right w:val="single" w:color="auto" w:sz="4" w:space="0"/>
            </w:tcBorders>
            <w:shd w:val="clear" w:color="auto" w:fill="auto"/>
            <w:noWrap/>
            <w:vAlign w:val="center"/>
          </w:tcPr>
          <w:p w14:paraId="00DCA89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奖金</w:t>
            </w:r>
          </w:p>
        </w:tc>
        <w:tc>
          <w:tcPr>
            <w:tcW w:w="1050" w:type="dxa"/>
            <w:tcBorders>
              <w:top w:val="nil"/>
              <w:left w:val="nil"/>
              <w:bottom w:val="single" w:color="auto" w:sz="4" w:space="0"/>
              <w:right w:val="single" w:color="auto" w:sz="4" w:space="0"/>
            </w:tcBorders>
            <w:shd w:val="clear" w:color="auto" w:fill="auto"/>
            <w:noWrap/>
            <w:vAlign w:val="center"/>
          </w:tcPr>
          <w:p w14:paraId="7BD4B0F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68.81</w:t>
            </w:r>
          </w:p>
        </w:tc>
        <w:tc>
          <w:tcPr>
            <w:tcW w:w="1080" w:type="dxa"/>
            <w:tcBorders>
              <w:top w:val="nil"/>
              <w:left w:val="nil"/>
              <w:bottom w:val="single" w:color="auto" w:sz="4" w:space="0"/>
              <w:right w:val="single" w:color="auto" w:sz="4" w:space="0"/>
            </w:tcBorders>
            <w:shd w:val="clear" w:color="auto" w:fill="auto"/>
            <w:noWrap/>
            <w:vAlign w:val="center"/>
          </w:tcPr>
          <w:p w14:paraId="2B720CF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30204</w:t>
            </w:r>
          </w:p>
        </w:tc>
        <w:tc>
          <w:tcPr>
            <w:tcW w:w="2214" w:type="dxa"/>
            <w:tcBorders>
              <w:top w:val="nil"/>
              <w:left w:val="nil"/>
              <w:bottom w:val="single" w:color="auto" w:sz="4" w:space="0"/>
              <w:right w:val="single" w:color="auto" w:sz="4" w:space="0"/>
            </w:tcBorders>
            <w:shd w:val="clear" w:color="auto" w:fill="auto"/>
            <w:noWrap/>
            <w:vAlign w:val="center"/>
          </w:tcPr>
          <w:p w14:paraId="203AD71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手续费</w:t>
            </w:r>
          </w:p>
        </w:tc>
        <w:tc>
          <w:tcPr>
            <w:tcW w:w="921" w:type="dxa"/>
            <w:tcBorders>
              <w:top w:val="nil"/>
              <w:left w:val="nil"/>
              <w:bottom w:val="single" w:color="auto" w:sz="4" w:space="0"/>
              <w:right w:val="single" w:color="auto" w:sz="4" w:space="0"/>
            </w:tcBorders>
            <w:shd w:val="clear" w:color="auto" w:fill="auto"/>
            <w:noWrap/>
            <w:vAlign w:val="center"/>
          </w:tcPr>
          <w:p w14:paraId="04D9928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581D8E4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w:t>
            </w:r>
          </w:p>
        </w:tc>
        <w:tc>
          <w:tcPr>
            <w:tcW w:w="3675" w:type="dxa"/>
            <w:tcBorders>
              <w:top w:val="nil"/>
              <w:left w:val="nil"/>
              <w:bottom w:val="single" w:color="auto" w:sz="4" w:space="0"/>
              <w:right w:val="single" w:color="auto" w:sz="4" w:space="0"/>
            </w:tcBorders>
            <w:shd w:val="clear" w:color="auto" w:fill="auto"/>
            <w:noWrap/>
            <w:vAlign w:val="center"/>
          </w:tcPr>
          <w:p w14:paraId="4B7B94C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资本性支出</w:t>
            </w:r>
          </w:p>
        </w:tc>
        <w:tc>
          <w:tcPr>
            <w:tcW w:w="674" w:type="dxa"/>
            <w:tcBorders>
              <w:top w:val="nil"/>
              <w:left w:val="nil"/>
              <w:bottom w:val="single" w:color="auto" w:sz="4" w:space="0"/>
              <w:right w:val="single" w:color="auto" w:sz="4" w:space="0"/>
            </w:tcBorders>
            <w:shd w:val="clear" w:color="auto" w:fill="auto"/>
            <w:noWrap/>
            <w:vAlign w:val="center"/>
          </w:tcPr>
          <w:p w14:paraId="03B404B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49E2F2C1">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190A932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30106</w:t>
            </w:r>
          </w:p>
        </w:tc>
        <w:tc>
          <w:tcPr>
            <w:tcW w:w="2940" w:type="dxa"/>
            <w:tcBorders>
              <w:top w:val="nil"/>
              <w:left w:val="nil"/>
              <w:bottom w:val="single" w:color="auto" w:sz="4" w:space="0"/>
              <w:right w:val="single" w:color="auto" w:sz="4" w:space="0"/>
            </w:tcBorders>
            <w:shd w:val="clear" w:color="auto" w:fill="auto"/>
            <w:noWrap/>
            <w:vAlign w:val="center"/>
          </w:tcPr>
          <w:p w14:paraId="312D137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伙食补助费</w:t>
            </w:r>
          </w:p>
        </w:tc>
        <w:tc>
          <w:tcPr>
            <w:tcW w:w="1050" w:type="dxa"/>
            <w:tcBorders>
              <w:top w:val="nil"/>
              <w:left w:val="nil"/>
              <w:bottom w:val="single" w:color="auto" w:sz="4" w:space="0"/>
              <w:right w:val="single" w:color="auto" w:sz="4" w:space="0"/>
            </w:tcBorders>
            <w:shd w:val="clear" w:color="auto" w:fill="auto"/>
            <w:noWrap/>
            <w:vAlign w:val="center"/>
          </w:tcPr>
          <w:p w14:paraId="33BD21C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2E9F1E2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30205</w:t>
            </w:r>
          </w:p>
        </w:tc>
        <w:tc>
          <w:tcPr>
            <w:tcW w:w="2214" w:type="dxa"/>
            <w:tcBorders>
              <w:top w:val="nil"/>
              <w:left w:val="nil"/>
              <w:bottom w:val="single" w:color="auto" w:sz="4" w:space="0"/>
              <w:right w:val="single" w:color="auto" w:sz="4" w:space="0"/>
            </w:tcBorders>
            <w:shd w:val="clear" w:color="auto" w:fill="auto"/>
            <w:noWrap/>
            <w:vAlign w:val="center"/>
          </w:tcPr>
          <w:p w14:paraId="0D1BC68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水费</w:t>
            </w:r>
          </w:p>
        </w:tc>
        <w:tc>
          <w:tcPr>
            <w:tcW w:w="921" w:type="dxa"/>
            <w:tcBorders>
              <w:top w:val="nil"/>
              <w:left w:val="nil"/>
              <w:bottom w:val="single" w:color="auto" w:sz="4" w:space="0"/>
              <w:right w:val="single" w:color="auto" w:sz="4" w:space="0"/>
            </w:tcBorders>
            <w:shd w:val="clear" w:color="auto" w:fill="auto"/>
            <w:noWrap/>
            <w:vAlign w:val="center"/>
          </w:tcPr>
          <w:p w14:paraId="799F2F3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1643507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31001</w:t>
            </w:r>
          </w:p>
        </w:tc>
        <w:tc>
          <w:tcPr>
            <w:tcW w:w="3675" w:type="dxa"/>
            <w:tcBorders>
              <w:top w:val="nil"/>
              <w:left w:val="nil"/>
              <w:bottom w:val="single" w:color="auto" w:sz="4" w:space="0"/>
              <w:right w:val="single" w:color="auto" w:sz="4" w:space="0"/>
            </w:tcBorders>
            <w:shd w:val="clear" w:color="auto" w:fill="auto"/>
            <w:noWrap/>
            <w:vAlign w:val="center"/>
          </w:tcPr>
          <w:p w14:paraId="22A30F1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房屋建筑物购建</w:t>
            </w:r>
          </w:p>
        </w:tc>
        <w:tc>
          <w:tcPr>
            <w:tcW w:w="674" w:type="dxa"/>
            <w:tcBorders>
              <w:top w:val="nil"/>
              <w:left w:val="nil"/>
              <w:bottom w:val="single" w:color="auto" w:sz="4" w:space="0"/>
              <w:right w:val="single" w:color="auto" w:sz="4" w:space="0"/>
            </w:tcBorders>
            <w:shd w:val="clear" w:color="auto" w:fill="auto"/>
            <w:noWrap/>
            <w:vAlign w:val="center"/>
          </w:tcPr>
          <w:p w14:paraId="66FD164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4958B762">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1508583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30107</w:t>
            </w:r>
          </w:p>
        </w:tc>
        <w:tc>
          <w:tcPr>
            <w:tcW w:w="2940" w:type="dxa"/>
            <w:tcBorders>
              <w:top w:val="nil"/>
              <w:left w:val="nil"/>
              <w:bottom w:val="single" w:color="auto" w:sz="4" w:space="0"/>
              <w:right w:val="single" w:color="auto" w:sz="4" w:space="0"/>
            </w:tcBorders>
            <w:shd w:val="clear" w:color="auto" w:fill="auto"/>
            <w:noWrap/>
            <w:vAlign w:val="center"/>
          </w:tcPr>
          <w:p w14:paraId="653ADBE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绩效工资</w:t>
            </w:r>
          </w:p>
        </w:tc>
        <w:tc>
          <w:tcPr>
            <w:tcW w:w="1050" w:type="dxa"/>
            <w:tcBorders>
              <w:top w:val="nil"/>
              <w:left w:val="nil"/>
              <w:bottom w:val="single" w:color="auto" w:sz="4" w:space="0"/>
              <w:right w:val="single" w:color="auto" w:sz="4" w:space="0"/>
            </w:tcBorders>
            <w:shd w:val="clear" w:color="auto" w:fill="auto"/>
            <w:noWrap/>
            <w:vAlign w:val="center"/>
          </w:tcPr>
          <w:p w14:paraId="0C77C28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626F0B7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30206</w:t>
            </w:r>
          </w:p>
        </w:tc>
        <w:tc>
          <w:tcPr>
            <w:tcW w:w="2214" w:type="dxa"/>
            <w:tcBorders>
              <w:top w:val="nil"/>
              <w:left w:val="nil"/>
              <w:bottom w:val="single" w:color="auto" w:sz="4" w:space="0"/>
              <w:right w:val="single" w:color="auto" w:sz="4" w:space="0"/>
            </w:tcBorders>
            <w:shd w:val="clear" w:color="auto" w:fill="auto"/>
            <w:noWrap/>
            <w:vAlign w:val="center"/>
          </w:tcPr>
          <w:p w14:paraId="28CFB45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电费</w:t>
            </w:r>
          </w:p>
        </w:tc>
        <w:tc>
          <w:tcPr>
            <w:tcW w:w="921" w:type="dxa"/>
            <w:tcBorders>
              <w:top w:val="nil"/>
              <w:left w:val="nil"/>
              <w:bottom w:val="single" w:color="auto" w:sz="4" w:space="0"/>
              <w:right w:val="single" w:color="auto" w:sz="4" w:space="0"/>
            </w:tcBorders>
            <w:shd w:val="clear" w:color="auto" w:fill="auto"/>
            <w:noWrap/>
            <w:vAlign w:val="center"/>
          </w:tcPr>
          <w:p w14:paraId="1662CE1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562D94B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31002</w:t>
            </w:r>
          </w:p>
        </w:tc>
        <w:tc>
          <w:tcPr>
            <w:tcW w:w="3675" w:type="dxa"/>
            <w:tcBorders>
              <w:top w:val="nil"/>
              <w:left w:val="nil"/>
              <w:bottom w:val="single" w:color="auto" w:sz="4" w:space="0"/>
              <w:right w:val="single" w:color="auto" w:sz="4" w:space="0"/>
            </w:tcBorders>
            <w:shd w:val="clear" w:color="auto" w:fill="auto"/>
            <w:noWrap/>
            <w:vAlign w:val="center"/>
          </w:tcPr>
          <w:p w14:paraId="3718AEE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办公设备购置</w:t>
            </w:r>
          </w:p>
        </w:tc>
        <w:tc>
          <w:tcPr>
            <w:tcW w:w="674" w:type="dxa"/>
            <w:tcBorders>
              <w:top w:val="nil"/>
              <w:left w:val="nil"/>
              <w:bottom w:val="single" w:color="auto" w:sz="4" w:space="0"/>
              <w:right w:val="single" w:color="auto" w:sz="4" w:space="0"/>
            </w:tcBorders>
            <w:shd w:val="clear" w:color="auto" w:fill="auto"/>
            <w:noWrap/>
            <w:vAlign w:val="center"/>
          </w:tcPr>
          <w:p w14:paraId="6C47810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4CE67A9D">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76BDF34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30108</w:t>
            </w:r>
          </w:p>
        </w:tc>
        <w:tc>
          <w:tcPr>
            <w:tcW w:w="2940" w:type="dxa"/>
            <w:tcBorders>
              <w:top w:val="nil"/>
              <w:left w:val="nil"/>
              <w:bottom w:val="single" w:color="auto" w:sz="4" w:space="0"/>
              <w:right w:val="single" w:color="auto" w:sz="4" w:space="0"/>
            </w:tcBorders>
            <w:shd w:val="clear" w:color="auto" w:fill="auto"/>
            <w:noWrap/>
            <w:vAlign w:val="center"/>
          </w:tcPr>
          <w:p w14:paraId="244B5AB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1"/>
                <w:w w:val="90"/>
                <w:sz w:val="24"/>
                <w:szCs w:val="24"/>
                <w:highlight w:val="none"/>
                <w:lang w:val="en-US" w:eastAsia="zh-CN"/>
              </w:rPr>
              <w:t>机关事业单位基本养老保险缴费</w:t>
            </w:r>
          </w:p>
        </w:tc>
        <w:tc>
          <w:tcPr>
            <w:tcW w:w="1050" w:type="dxa"/>
            <w:tcBorders>
              <w:top w:val="nil"/>
              <w:left w:val="nil"/>
              <w:bottom w:val="single" w:color="auto" w:sz="4" w:space="0"/>
              <w:right w:val="single" w:color="auto" w:sz="4" w:space="0"/>
            </w:tcBorders>
            <w:shd w:val="clear" w:color="auto" w:fill="auto"/>
            <w:noWrap/>
            <w:vAlign w:val="center"/>
          </w:tcPr>
          <w:p w14:paraId="63EE11E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42.98</w:t>
            </w:r>
          </w:p>
        </w:tc>
        <w:tc>
          <w:tcPr>
            <w:tcW w:w="1080" w:type="dxa"/>
            <w:tcBorders>
              <w:top w:val="nil"/>
              <w:left w:val="nil"/>
              <w:bottom w:val="single" w:color="auto" w:sz="4" w:space="0"/>
              <w:right w:val="single" w:color="auto" w:sz="4" w:space="0"/>
            </w:tcBorders>
            <w:shd w:val="clear" w:color="auto" w:fill="auto"/>
            <w:noWrap/>
            <w:vAlign w:val="center"/>
          </w:tcPr>
          <w:p w14:paraId="4AED613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30207</w:t>
            </w:r>
          </w:p>
        </w:tc>
        <w:tc>
          <w:tcPr>
            <w:tcW w:w="2214" w:type="dxa"/>
            <w:tcBorders>
              <w:top w:val="nil"/>
              <w:left w:val="nil"/>
              <w:bottom w:val="single" w:color="auto" w:sz="4" w:space="0"/>
              <w:right w:val="single" w:color="auto" w:sz="4" w:space="0"/>
            </w:tcBorders>
            <w:shd w:val="clear" w:color="auto" w:fill="auto"/>
            <w:noWrap/>
            <w:vAlign w:val="center"/>
          </w:tcPr>
          <w:p w14:paraId="35A0983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邮电费</w:t>
            </w:r>
          </w:p>
        </w:tc>
        <w:tc>
          <w:tcPr>
            <w:tcW w:w="921" w:type="dxa"/>
            <w:tcBorders>
              <w:top w:val="nil"/>
              <w:left w:val="nil"/>
              <w:bottom w:val="single" w:color="auto" w:sz="4" w:space="0"/>
              <w:right w:val="single" w:color="auto" w:sz="4" w:space="0"/>
            </w:tcBorders>
            <w:shd w:val="clear" w:color="auto" w:fill="auto"/>
            <w:noWrap/>
            <w:vAlign w:val="center"/>
          </w:tcPr>
          <w:p w14:paraId="3745261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4.34</w:t>
            </w:r>
          </w:p>
        </w:tc>
        <w:tc>
          <w:tcPr>
            <w:tcW w:w="1095" w:type="dxa"/>
            <w:tcBorders>
              <w:top w:val="nil"/>
              <w:left w:val="nil"/>
              <w:bottom w:val="single" w:color="auto" w:sz="4" w:space="0"/>
              <w:right w:val="single" w:color="auto" w:sz="4" w:space="0"/>
            </w:tcBorders>
            <w:shd w:val="clear" w:color="auto" w:fill="auto"/>
            <w:noWrap/>
            <w:vAlign w:val="center"/>
          </w:tcPr>
          <w:p w14:paraId="3473FF5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31003</w:t>
            </w:r>
          </w:p>
        </w:tc>
        <w:tc>
          <w:tcPr>
            <w:tcW w:w="3675" w:type="dxa"/>
            <w:tcBorders>
              <w:top w:val="nil"/>
              <w:left w:val="nil"/>
              <w:bottom w:val="single" w:color="auto" w:sz="4" w:space="0"/>
              <w:right w:val="single" w:color="auto" w:sz="4" w:space="0"/>
            </w:tcBorders>
            <w:shd w:val="clear" w:color="auto" w:fill="auto"/>
            <w:noWrap/>
            <w:vAlign w:val="center"/>
          </w:tcPr>
          <w:p w14:paraId="27A8D36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专用设备购置</w:t>
            </w:r>
          </w:p>
        </w:tc>
        <w:tc>
          <w:tcPr>
            <w:tcW w:w="674" w:type="dxa"/>
            <w:tcBorders>
              <w:top w:val="nil"/>
              <w:left w:val="nil"/>
              <w:bottom w:val="single" w:color="auto" w:sz="4" w:space="0"/>
              <w:right w:val="single" w:color="auto" w:sz="4" w:space="0"/>
            </w:tcBorders>
            <w:shd w:val="clear" w:color="auto" w:fill="auto"/>
            <w:noWrap/>
            <w:vAlign w:val="center"/>
          </w:tcPr>
          <w:p w14:paraId="7BB52DC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7479CED">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4129901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30109</w:t>
            </w:r>
          </w:p>
        </w:tc>
        <w:tc>
          <w:tcPr>
            <w:tcW w:w="2940" w:type="dxa"/>
            <w:tcBorders>
              <w:top w:val="nil"/>
              <w:left w:val="nil"/>
              <w:bottom w:val="single" w:color="auto" w:sz="4" w:space="0"/>
              <w:right w:val="single" w:color="auto" w:sz="4" w:space="0"/>
            </w:tcBorders>
            <w:shd w:val="clear" w:color="auto" w:fill="auto"/>
            <w:noWrap/>
            <w:vAlign w:val="center"/>
          </w:tcPr>
          <w:p w14:paraId="47E5775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职业年金缴费</w:t>
            </w:r>
          </w:p>
        </w:tc>
        <w:tc>
          <w:tcPr>
            <w:tcW w:w="1050" w:type="dxa"/>
            <w:tcBorders>
              <w:top w:val="nil"/>
              <w:left w:val="nil"/>
              <w:bottom w:val="single" w:color="auto" w:sz="4" w:space="0"/>
              <w:right w:val="single" w:color="auto" w:sz="4" w:space="0"/>
            </w:tcBorders>
            <w:shd w:val="clear" w:color="auto" w:fill="auto"/>
            <w:noWrap/>
            <w:vAlign w:val="center"/>
          </w:tcPr>
          <w:p w14:paraId="35151CC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037CEEE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30208</w:t>
            </w:r>
          </w:p>
        </w:tc>
        <w:tc>
          <w:tcPr>
            <w:tcW w:w="2214" w:type="dxa"/>
            <w:tcBorders>
              <w:top w:val="nil"/>
              <w:left w:val="nil"/>
              <w:bottom w:val="single" w:color="auto" w:sz="4" w:space="0"/>
              <w:right w:val="single" w:color="auto" w:sz="4" w:space="0"/>
            </w:tcBorders>
            <w:shd w:val="clear" w:color="auto" w:fill="auto"/>
            <w:noWrap/>
            <w:vAlign w:val="center"/>
          </w:tcPr>
          <w:p w14:paraId="13F43DC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取暖费</w:t>
            </w:r>
          </w:p>
        </w:tc>
        <w:tc>
          <w:tcPr>
            <w:tcW w:w="921" w:type="dxa"/>
            <w:tcBorders>
              <w:top w:val="nil"/>
              <w:left w:val="nil"/>
              <w:bottom w:val="single" w:color="auto" w:sz="4" w:space="0"/>
              <w:right w:val="single" w:color="auto" w:sz="4" w:space="0"/>
            </w:tcBorders>
            <w:shd w:val="clear" w:color="auto" w:fill="auto"/>
            <w:noWrap/>
            <w:vAlign w:val="center"/>
          </w:tcPr>
          <w:p w14:paraId="6B0E19F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34B0E30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31005</w:t>
            </w:r>
          </w:p>
        </w:tc>
        <w:tc>
          <w:tcPr>
            <w:tcW w:w="3675" w:type="dxa"/>
            <w:tcBorders>
              <w:top w:val="nil"/>
              <w:left w:val="nil"/>
              <w:bottom w:val="single" w:color="auto" w:sz="4" w:space="0"/>
              <w:right w:val="single" w:color="auto" w:sz="4" w:space="0"/>
            </w:tcBorders>
            <w:shd w:val="clear" w:color="auto" w:fill="auto"/>
            <w:noWrap/>
            <w:vAlign w:val="center"/>
          </w:tcPr>
          <w:p w14:paraId="7A0F5D0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基础设施建设</w:t>
            </w:r>
          </w:p>
        </w:tc>
        <w:tc>
          <w:tcPr>
            <w:tcW w:w="674" w:type="dxa"/>
            <w:tcBorders>
              <w:top w:val="nil"/>
              <w:left w:val="nil"/>
              <w:bottom w:val="single" w:color="auto" w:sz="4" w:space="0"/>
              <w:right w:val="single" w:color="auto" w:sz="4" w:space="0"/>
            </w:tcBorders>
            <w:shd w:val="clear" w:color="auto" w:fill="auto"/>
            <w:noWrap/>
            <w:vAlign w:val="center"/>
          </w:tcPr>
          <w:p w14:paraId="7E6F451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46414B2A">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007D383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30110</w:t>
            </w:r>
          </w:p>
        </w:tc>
        <w:tc>
          <w:tcPr>
            <w:tcW w:w="2940" w:type="dxa"/>
            <w:tcBorders>
              <w:top w:val="nil"/>
              <w:left w:val="nil"/>
              <w:bottom w:val="single" w:color="auto" w:sz="4" w:space="0"/>
              <w:right w:val="single" w:color="auto" w:sz="4" w:space="0"/>
            </w:tcBorders>
            <w:shd w:val="clear" w:color="auto" w:fill="auto"/>
            <w:noWrap/>
            <w:vAlign w:val="center"/>
          </w:tcPr>
          <w:p w14:paraId="4DE29F4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职工基本医疗保险缴费</w:t>
            </w:r>
          </w:p>
        </w:tc>
        <w:tc>
          <w:tcPr>
            <w:tcW w:w="1050" w:type="dxa"/>
            <w:tcBorders>
              <w:top w:val="nil"/>
              <w:left w:val="nil"/>
              <w:bottom w:val="single" w:color="auto" w:sz="4" w:space="0"/>
              <w:right w:val="single" w:color="auto" w:sz="4" w:space="0"/>
            </w:tcBorders>
            <w:shd w:val="clear" w:color="auto" w:fill="auto"/>
            <w:noWrap/>
            <w:vAlign w:val="center"/>
          </w:tcPr>
          <w:p w14:paraId="76B5A53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19.03</w:t>
            </w:r>
          </w:p>
        </w:tc>
        <w:tc>
          <w:tcPr>
            <w:tcW w:w="1080" w:type="dxa"/>
            <w:tcBorders>
              <w:top w:val="nil"/>
              <w:left w:val="nil"/>
              <w:bottom w:val="single" w:color="auto" w:sz="4" w:space="0"/>
              <w:right w:val="single" w:color="auto" w:sz="4" w:space="0"/>
            </w:tcBorders>
            <w:shd w:val="clear" w:color="auto" w:fill="auto"/>
            <w:noWrap/>
            <w:vAlign w:val="center"/>
          </w:tcPr>
          <w:p w14:paraId="26B5FCF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30209</w:t>
            </w:r>
          </w:p>
        </w:tc>
        <w:tc>
          <w:tcPr>
            <w:tcW w:w="2214" w:type="dxa"/>
            <w:tcBorders>
              <w:top w:val="nil"/>
              <w:left w:val="nil"/>
              <w:bottom w:val="single" w:color="auto" w:sz="4" w:space="0"/>
              <w:right w:val="single" w:color="auto" w:sz="4" w:space="0"/>
            </w:tcBorders>
            <w:shd w:val="clear" w:color="auto" w:fill="auto"/>
            <w:noWrap/>
            <w:vAlign w:val="center"/>
          </w:tcPr>
          <w:p w14:paraId="76D2FE7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物业管理费</w:t>
            </w:r>
          </w:p>
        </w:tc>
        <w:tc>
          <w:tcPr>
            <w:tcW w:w="921" w:type="dxa"/>
            <w:tcBorders>
              <w:top w:val="nil"/>
              <w:left w:val="nil"/>
              <w:bottom w:val="single" w:color="auto" w:sz="4" w:space="0"/>
              <w:right w:val="single" w:color="auto" w:sz="4" w:space="0"/>
            </w:tcBorders>
            <w:shd w:val="clear" w:color="auto" w:fill="auto"/>
            <w:noWrap/>
            <w:vAlign w:val="center"/>
          </w:tcPr>
          <w:p w14:paraId="0F160FC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0C6744E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31006</w:t>
            </w:r>
          </w:p>
        </w:tc>
        <w:tc>
          <w:tcPr>
            <w:tcW w:w="3675" w:type="dxa"/>
            <w:tcBorders>
              <w:top w:val="nil"/>
              <w:left w:val="nil"/>
              <w:bottom w:val="single" w:color="auto" w:sz="4" w:space="0"/>
              <w:right w:val="single" w:color="auto" w:sz="4" w:space="0"/>
            </w:tcBorders>
            <w:shd w:val="clear" w:color="auto" w:fill="auto"/>
            <w:noWrap/>
            <w:vAlign w:val="center"/>
          </w:tcPr>
          <w:p w14:paraId="1C32E5E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大型修缮</w:t>
            </w:r>
          </w:p>
        </w:tc>
        <w:tc>
          <w:tcPr>
            <w:tcW w:w="674" w:type="dxa"/>
            <w:tcBorders>
              <w:top w:val="nil"/>
              <w:left w:val="nil"/>
              <w:bottom w:val="single" w:color="auto" w:sz="4" w:space="0"/>
              <w:right w:val="single" w:color="auto" w:sz="4" w:space="0"/>
            </w:tcBorders>
            <w:shd w:val="clear" w:color="auto" w:fill="auto"/>
            <w:noWrap/>
            <w:vAlign w:val="center"/>
          </w:tcPr>
          <w:p w14:paraId="479051E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1AA9D3A4">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18BB4E6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30111</w:t>
            </w:r>
          </w:p>
        </w:tc>
        <w:tc>
          <w:tcPr>
            <w:tcW w:w="2940" w:type="dxa"/>
            <w:tcBorders>
              <w:top w:val="nil"/>
              <w:left w:val="nil"/>
              <w:bottom w:val="single" w:color="auto" w:sz="4" w:space="0"/>
              <w:right w:val="single" w:color="auto" w:sz="4" w:space="0"/>
            </w:tcBorders>
            <w:shd w:val="clear" w:color="auto" w:fill="auto"/>
            <w:noWrap/>
            <w:vAlign w:val="center"/>
          </w:tcPr>
          <w:p w14:paraId="4431291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公务员医疗补助缴费</w:t>
            </w:r>
          </w:p>
        </w:tc>
        <w:tc>
          <w:tcPr>
            <w:tcW w:w="1050" w:type="dxa"/>
            <w:tcBorders>
              <w:top w:val="nil"/>
              <w:left w:val="nil"/>
              <w:bottom w:val="single" w:color="auto" w:sz="4" w:space="0"/>
              <w:right w:val="single" w:color="auto" w:sz="4" w:space="0"/>
            </w:tcBorders>
            <w:shd w:val="clear" w:color="auto" w:fill="auto"/>
            <w:noWrap/>
            <w:vAlign w:val="center"/>
          </w:tcPr>
          <w:p w14:paraId="240AFBE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5B53DEA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30211</w:t>
            </w:r>
          </w:p>
        </w:tc>
        <w:tc>
          <w:tcPr>
            <w:tcW w:w="2214" w:type="dxa"/>
            <w:tcBorders>
              <w:top w:val="nil"/>
              <w:left w:val="nil"/>
              <w:bottom w:val="single" w:color="auto" w:sz="4" w:space="0"/>
              <w:right w:val="single" w:color="auto" w:sz="4" w:space="0"/>
            </w:tcBorders>
            <w:shd w:val="clear" w:color="auto" w:fill="auto"/>
            <w:noWrap/>
            <w:vAlign w:val="center"/>
          </w:tcPr>
          <w:p w14:paraId="4D8CA11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差旅费</w:t>
            </w:r>
          </w:p>
        </w:tc>
        <w:tc>
          <w:tcPr>
            <w:tcW w:w="921" w:type="dxa"/>
            <w:tcBorders>
              <w:top w:val="nil"/>
              <w:left w:val="nil"/>
              <w:bottom w:val="single" w:color="auto" w:sz="4" w:space="0"/>
              <w:right w:val="single" w:color="auto" w:sz="4" w:space="0"/>
            </w:tcBorders>
            <w:shd w:val="clear" w:color="auto" w:fill="auto"/>
            <w:noWrap/>
            <w:vAlign w:val="center"/>
          </w:tcPr>
          <w:p w14:paraId="05497A0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13.98</w:t>
            </w:r>
          </w:p>
        </w:tc>
        <w:tc>
          <w:tcPr>
            <w:tcW w:w="1095" w:type="dxa"/>
            <w:tcBorders>
              <w:top w:val="nil"/>
              <w:left w:val="nil"/>
              <w:bottom w:val="single" w:color="auto" w:sz="4" w:space="0"/>
              <w:right w:val="single" w:color="auto" w:sz="4" w:space="0"/>
            </w:tcBorders>
            <w:shd w:val="clear" w:color="auto" w:fill="auto"/>
            <w:noWrap/>
            <w:vAlign w:val="center"/>
          </w:tcPr>
          <w:p w14:paraId="6C9D57C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31007</w:t>
            </w:r>
          </w:p>
        </w:tc>
        <w:tc>
          <w:tcPr>
            <w:tcW w:w="3675" w:type="dxa"/>
            <w:tcBorders>
              <w:top w:val="nil"/>
              <w:left w:val="nil"/>
              <w:bottom w:val="single" w:color="auto" w:sz="4" w:space="0"/>
              <w:right w:val="single" w:color="auto" w:sz="4" w:space="0"/>
            </w:tcBorders>
            <w:shd w:val="clear" w:color="auto" w:fill="auto"/>
            <w:noWrap/>
            <w:vAlign w:val="center"/>
          </w:tcPr>
          <w:p w14:paraId="62768ED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信息网络及软件购置更新</w:t>
            </w:r>
          </w:p>
        </w:tc>
        <w:tc>
          <w:tcPr>
            <w:tcW w:w="674" w:type="dxa"/>
            <w:tcBorders>
              <w:top w:val="nil"/>
              <w:left w:val="nil"/>
              <w:bottom w:val="single" w:color="auto" w:sz="4" w:space="0"/>
              <w:right w:val="single" w:color="auto" w:sz="4" w:space="0"/>
            </w:tcBorders>
            <w:shd w:val="clear" w:color="auto" w:fill="auto"/>
            <w:noWrap/>
            <w:vAlign w:val="center"/>
          </w:tcPr>
          <w:p w14:paraId="353AFCE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7CB77DC4">
        <w:tblPrEx>
          <w:tblCellMar>
            <w:top w:w="0" w:type="dxa"/>
            <w:left w:w="0" w:type="dxa"/>
            <w:bottom w:w="0" w:type="dxa"/>
            <w:right w:w="0" w:type="dxa"/>
          </w:tblCellMar>
        </w:tblPrEx>
        <w:trPr>
          <w:trHeight w:val="67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7739875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30112</w:t>
            </w:r>
          </w:p>
        </w:tc>
        <w:tc>
          <w:tcPr>
            <w:tcW w:w="2940" w:type="dxa"/>
            <w:tcBorders>
              <w:top w:val="nil"/>
              <w:left w:val="nil"/>
              <w:bottom w:val="single" w:color="auto" w:sz="4" w:space="0"/>
              <w:right w:val="single" w:color="auto" w:sz="4" w:space="0"/>
            </w:tcBorders>
            <w:shd w:val="clear" w:color="auto" w:fill="auto"/>
            <w:noWrap/>
            <w:vAlign w:val="center"/>
          </w:tcPr>
          <w:p w14:paraId="6009C66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其他社会保障缴费</w:t>
            </w:r>
          </w:p>
        </w:tc>
        <w:tc>
          <w:tcPr>
            <w:tcW w:w="1050" w:type="dxa"/>
            <w:tcBorders>
              <w:top w:val="nil"/>
              <w:left w:val="nil"/>
              <w:bottom w:val="single" w:color="auto" w:sz="4" w:space="0"/>
              <w:right w:val="single" w:color="auto" w:sz="4" w:space="0"/>
            </w:tcBorders>
            <w:shd w:val="clear" w:color="auto" w:fill="auto"/>
            <w:noWrap/>
            <w:vAlign w:val="center"/>
          </w:tcPr>
          <w:p w14:paraId="3D2553E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w:t>
            </w:r>
          </w:p>
        </w:tc>
        <w:tc>
          <w:tcPr>
            <w:tcW w:w="1080" w:type="dxa"/>
            <w:tcBorders>
              <w:top w:val="nil"/>
              <w:left w:val="nil"/>
              <w:bottom w:val="single" w:color="auto" w:sz="4" w:space="0"/>
              <w:right w:val="single" w:color="auto" w:sz="4" w:space="0"/>
            </w:tcBorders>
            <w:shd w:val="clear" w:color="auto" w:fill="auto"/>
            <w:noWrap/>
            <w:vAlign w:val="center"/>
          </w:tcPr>
          <w:p w14:paraId="2CF13F3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30212</w:t>
            </w:r>
          </w:p>
        </w:tc>
        <w:tc>
          <w:tcPr>
            <w:tcW w:w="2214" w:type="dxa"/>
            <w:tcBorders>
              <w:top w:val="nil"/>
              <w:left w:val="nil"/>
              <w:bottom w:val="single" w:color="auto" w:sz="4" w:space="0"/>
              <w:right w:val="single" w:color="auto" w:sz="4" w:space="0"/>
            </w:tcBorders>
            <w:shd w:val="clear" w:color="auto" w:fill="auto"/>
            <w:noWrap/>
            <w:vAlign w:val="center"/>
          </w:tcPr>
          <w:p w14:paraId="1386ECA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pacing w:val="-11"/>
                <w:w w:val="90"/>
                <w:sz w:val="24"/>
                <w:szCs w:val="24"/>
                <w:highlight w:val="none"/>
                <w:lang w:val="en-US" w:eastAsia="zh-CN"/>
              </w:rPr>
              <w:t>因公出国（境）费用</w:t>
            </w:r>
          </w:p>
        </w:tc>
        <w:tc>
          <w:tcPr>
            <w:tcW w:w="921" w:type="dxa"/>
            <w:tcBorders>
              <w:top w:val="nil"/>
              <w:left w:val="nil"/>
              <w:bottom w:val="single" w:color="auto" w:sz="4" w:space="0"/>
              <w:right w:val="single" w:color="auto" w:sz="4" w:space="0"/>
            </w:tcBorders>
            <w:shd w:val="clear" w:color="auto" w:fill="auto"/>
            <w:noWrap/>
            <w:vAlign w:val="center"/>
          </w:tcPr>
          <w:p w14:paraId="6DC0E68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03CFE7F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31008</w:t>
            </w:r>
          </w:p>
        </w:tc>
        <w:tc>
          <w:tcPr>
            <w:tcW w:w="3675" w:type="dxa"/>
            <w:tcBorders>
              <w:top w:val="nil"/>
              <w:left w:val="nil"/>
              <w:bottom w:val="single" w:color="auto" w:sz="4" w:space="0"/>
              <w:right w:val="single" w:color="auto" w:sz="4" w:space="0"/>
            </w:tcBorders>
            <w:shd w:val="clear" w:color="auto" w:fill="auto"/>
            <w:noWrap/>
            <w:vAlign w:val="center"/>
          </w:tcPr>
          <w:p w14:paraId="03C6157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物资储备</w:t>
            </w:r>
          </w:p>
        </w:tc>
        <w:tc>
          <w:tcPr>
            <w:tcW w:w="674" w:type="dxa"/>
            <w:tcBorders>
              <w:top w:val="nil"/>
              <w:left w:val="nil"/>
              <w:bottom w:val="single" w:color="auto" w:sz="4" w:space="0"/>
              <w:right w:val="single" w:color="auto" w:sz="4" w:space="0"/>
            </w:tcBorders>
            <w:shd w:val="clear" w:color="auto" w:fill="auto"/>
            <w:noWrap/>
            <w:vAlign w:val="center"/>
          </w:tcPr>
          <w:p w14:paraId="6791AAF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7CE370A5">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5DF0FE6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30113</w:t>
            </w:r>
          </w:p>
        </w:tc>
        <w:tc>
          <w:tcPr>
            <w:tcW w:w="2940" w:type="dxa"/>
            <w:tcBorders>
              <w:top w:val="nil"/>
              <w:left w:val="nil"/>
              <w:bottom w:val="single" w:color="auto" w:sz="4" w:space="0"/>
              <w:right w:val="single" w:color="auto" w:sz="4" w:space="0"/>
            </w:tcBorders>
            <w:shd w:val="clear" w:color="auto" w:fill="auto"/>
            <w:noWrap/>
            <w:vAlign w:val="center"/>
          </w:tcPr>
          <w:p w14:paraId="31C735C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住房公积金</w:t>
            </w:r>
          </w:p>
        </w:tc>
        <w:tc>
          <w:tcPr>
            <w:tcW w:w="1050" w:type="dxa"/>
            <w:tcBorders>
              <w:top w:val="nil"/>
              <w:left w:val="nil"/>
              <w:bottom w:val="single" w:color="auto" w:sz="4" w:space="0"/>
              <w:right w:val="single" w:color="auto" w:sz="4" w:space="0"/>
            </w:tcBorders>
            <w:shd w:val="clear" w:color="auto" w:fill="auto"/>
            <w:noWrap/>
            <w:vAlign w:val="center"/>
          </w:tcPr>
          <w:p w14:paraId="48B70A6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30.88</w:t>
            </w:r>
          </w:p>
        </w:tc>
        <w:tc>
          <w:tcPr>
            <w:tcW w:w="1080" w:type="dxa"/>
            <w:tcBorders>
              <w:top w:val="nil"/>
              <w:left w:val="nil"/>
              <w:bottom w:val="single" w:color="auto" w:sz="4" w:space="0"/>
              <w:right w:val="single" w:color="auto" w:sz="4" w:space="0"/>
            </w:tcBorders>
            <w:shd w:val="clear" w:color="auto" w:fill="auto"/>
            <w:noWrap/>
            <w:vAlign w:val="center"/>
          </w:tcPr>
          <w:p w14:paraId="1A26187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30213</w:t>
            </w:r>
          </w:p>
        </w:tc>
        <w:tc>
          <w:tcPr>
            <w:tcW w:w="2214" w:type="dxa"/>
            <w:tcBorders>
              <w:top w:val="nil"/>
              <w:left w:val="nil"/>
              <w:bottom w:val="single" w:color="auto" w:sz="4" w:space="0"/>
              <w:right w:val="single" w:color="auto" w:sz="4" w:space="0"/>
            </w:tcBorders>
            <w:shd w:val="clear" w:color="auto" w:fill="auto"/>
            <w:noWrap/>
            <w:vAlign w:val="center"/>
          </w:tcPr>
          <w:p w14:paraId="4B4A91C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维修（护）费</w:t>
            </w:r>
          </w:p>
        </w:tc>
        <w:tc>
          <w:tcPr>
            <w:tcW w:w="921" w:type="dxa"/>
            <w:tcBorders>
              <w:top w:val="nil"/>
              <w:left w:val="nil"/>
              <w:bottom w:val="single" w:color="auto" w:sz="4" w:space="0"/>
              <w:right w:val="single" w:color="auto" w:sz="4" w:space="0"/>
            </w:tcBorders>
            <w:shd w:val="clear" w:color="auto" w:fill="auto"/>
            <w:noWrap/>
            <w:vAlign w:val="center"/>
          </w:tcPr>
          <w:p w14:paraId="2924DD2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5A4035F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31009</w:t>
            </w:r>
          </w:p>
        </w:tc>
        <w:tc>
          <w:tcPr>
            <w:tcW w:w="3675" w:type="dxa"/>
            <w:tcBorders>
              <w:top w:val="nil"/>
              <w:left w:val="nil"/>
              <w:bottom w:val="single" w:color="auto" w:sz="4" w:space="0"/>
              <w:right w:val="single" w:color="auto" w:sz="4" w:space="0"/>
            </w:tcBorders>
            <w:shd w:val="clear" w:color="auto" w:fill="auto"/>
            <w:noWrap/>
            <w:vAlign w:val="center"/>
          </w:tcPr>
          <w:p w14:paraId="557C316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土地补偿</w:t>
            </w:r>
          </w:p>
        </w:tc>
        <w:tc>
          <w:tcPr>
            <w:tcW w:w="674" w:type="dxa"/>
            <w:tcBorders>
              <w:top w:val="nil"/>
              <w:left w:val="nil"/>
              <w:bottom w:val="single" w:color="auto" w:sz="4" w:space="0"/>
              <w:right w:val="single" w:color="auto" w:sz="4" w:space="0"/>
            </w:tcBorders>
            <w:shd w:val="clear" w:color="auto" w:fill="auto"/>
            <w:noWrap/>
            <w:vAlign w:val="center"/>
          </w:tcPr>
          <w:p w14:paraId="7419111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2DAA683A">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74FC09E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30114</w:t>
            </w:r>
          </w:p>
        </w:tc>
        <w:tc>
          <w:tcPr>
            <w:tcW w:w="2940" w:type="dxa"/>
            <w:tcBorders>
              <w:top w:val="nil"/>
              <w:left w:val="nil"/>
              <w:bottom w:val="single" w:color="auto" w:sz="4" w:space="0"/>
              <w:right w:val="single" w:color="auto" w:sz="4" w:space="0"/>
            </w:tcBorders>
            <w:shd w:val="clear" w:color="auto" w:fill="auto"/>
            <w:noWrap/>
            <w:vAlign w:val="center"/>
          </w:tcPr>
          <w:p w14:paraId="2753DD7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医疗费</w:t>
            </w:r>
          </w:p>
        </w:tc>
        <w:tc>
          <w:tcPr>
            <w:tcW w:w="1050" w:type="dxa"/>
            <w:tcBorders>
              <w:top w:val="nil"/>
              <w:left w:val="nil"/>
              <w:bottom w:val="single" w:color="auto" w:sz="4" w:space="0"/>
              <w:right w:val="single" w:color="auto" w:sz="4" w:space="0"/>
            </w:tcBorders>
            <w:shd w:val="clear" w:color="auto" w:fill="auto"/>
            <w:noWrap/>
            <w:vAlign w:val="center"/>
          </w:tcPr>
          <w:p w14:paraId="5E80E11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1161CDC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30214</w:t>
            </w:r>
          </w:p>
        </w:tc>
        <w:tc>
          <w:tcPr>
            <w:tcW w:w="2214" w:type="dxa"/>
            <w:tcBorders>
              <w:top w:val="nil"/>
              <w:left w:val="nil"/>
              <w:bottom w:val="single" w:color="auto" w:sz="4" w:space="0"/>
              <w:right w:val="single" w:color="auto" w:sz="4" w:space="0"/>
            </w:tcBorders>
            <w:shd w:val="clear" w:color="auto" w:fill="auto"/>
            <w:noWrap/>
            <w:vAlign w:val="center"/>
          </w:tcPr>
          <w:p w14:paraId="5DBE35E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租赁费</w:t>
            </w:r>
          </w:p>
        </w:tc>
        <w:tc>
          <w:tcPr>
            <w:tcW w:w="921" w:type="dxa"/>
            <w:tcBorders>
              <w:top w:val="nil"/>
              <w:left w:val="nil"/>
              <w:bottom w:val="single" w:color="auto" w:sz="4" w:space="0"/>
              <w:right w:val="single" w:color="auto" w:sz="4" w:space="0"/>
            </w:tcBorders>
            <w:shd w:val="clear" w:color="auto" w:fill="auto"/>
            <w:noWrap/>
            <w:vAlign w:val="center"/>
          </w:tcPr>
          <w:p w14:paraId="01339B2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6942DA0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31010</w:t>
            </w:r>
          </w:p>
        </w:tc>
        <w:tc>
          <w:tcPr>
            <w:tcW w:w="3675" w:type="dxa"/>
            <w:tcBorders>
              <w:top w:val="nil"/>
              <w:left w:val="nil"/>
              <w:bottom w:val="single" w:color="auto" w:sz="4" w:space="0"/>
              <w:right w:val="single" w:color="auto" w:sz="4" w:space="0"/>
            </w:tcBorders>
            <w:shd w:val="clear" w:color="auto" w:fill="auto"/>
            <w:noWrap/>
            <w:vAlign w:val="center"/>
          </w:tcPr>
          <w:p w14:paraId="2099395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安置补助</w:t>
            </w:r>
          </w:p>
        </w:tc>
        <w:tc>
          <w:tcPr>
            <w:tcW w:w="674" w:type="dxa"/>
            <w:tcBorders>
              <w:top w:val="nil"/>
              <w:left w:val="nil"/>
              <w:bottom w:val="single" w:color="auto" w:sz="4" w:space="0"/>
              <w:right w:val="single" w:color="auto" w:sz="4" w:space="0"/>
            </w:tcBorders>
            <w:shd w:val="clear" w:color="auto" w:fill="auto"/>
            <w:noWrap/>
            <w:vAlign w:val="center"/>
          </w:tcPr>
          <w:p w14:paraId="59BCC86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5DB25052">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579F86E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30199</w:t>
            </w:r>
          </w:p>
        </w:tc>
        <w:tc>
          <w:tcPr>
            <w:tcW w:w="2940" w:type="dxa"/>
            <w:tcBorders>
              <w:top w:val="nil"/>
              <w:left w:val="nil"/>
              <w:bottom w:val="single" w:color="auto" w:sz="4" w:space="0"/>
              <w:right w:val="single" w:color="auto" w:sz="4" w:space="0"/>
            </w:tcBorders>
            <w:shd w:val="clear" w:color="auto" w:fill="auto"/>
            <w:noWrap/>
            <w:vAlign w:val="center"/>
          </w:tcPr>
          <w:p w14:paraId="78DA7D6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其他工资福利支出</w:t>
            </w:r>
          </w:p>
        </w:tc>
        <w:tc>
          <w:tcPr>
            <w:tcW w:w="1050" w:type="dxa"/>
            <w:tcBorders>
              <w:top w:val="nil"/>
              <w:left w:val="nil"/>
              <w:bottom w:val="single" w:color="auto" w:sz="4" w:space="0"/>
              <w:right w:val="single" w:color="auto" w:sz="4" w:space="0"/>
            </w:tcBorders>
            <w:shd w:val="clear" w:color="auto" w:fill="auto"/>
            <w:noWrap/>
            <w:vAlign w:val="center"/>
          </w:tcPr>
          <w:p w14:paraId="3685997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5.98</w:t>
            </w:r>
          </w:p>
        </w:tc>
        <w:tc>
          <w:tcPr>
            <w:tcW w:w="1080" w:type="dxa"/>
            <w:tcBorders>
              <w:top w:val="nil"/>
              <w:left w:val="nil"/>
              <w:bottom w:val="single" w:color="auto" w:sz="4" w:space="0"/>
              <w:right w:val="single" w:color="auto" w:sz="4" w:space="0"/>
            </w:tcBorders>
            <w:shd w:val="clear" w:color="auto" w:fill="auto"/>
            <w:noWrap/>
            <w:vAlign w:val="center"/>
          </w:tcPr>
          <w:p w14:paraId="34AFE32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30215</w:t>
            </w:r>
          </w:p>
        </w:tc>
        <w:tc>
          <w:tcPr>
            <w:tcW w:w="2214" w:type="dxa"/>
            <w:tcBorders>
              <w:top w:val="nil"/>
              <w:left w:val="nil"/>
              <w:bottom w:val="single" w:color="auto" w:sz="4" w:space="0"/>
              <w:right w:val="single" w:color="auto" w:sz="4" w:space="0"/>
            </w:tcBorders>
            <w:shd w:val="clear" w:color="auto" w:fill="auto"/>
            <w:noWrap/>
            <w:vAlign w:val="center"/>
          </w:tcPr>
          <w:p w14:paraId="46E922D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会议费</w:t>
            </w:r>
          </w:p>
        </w:tc>
        <w:tc>
          <w:tcPr>
            <w:tcW w:w="921" w:type="dxa"/>
            <w:tcBorders>
              <w:top w:val="nil"/>
              <w:left w:val="nil"/>
              <w:bottom w:val="single" w:color="auto" w:sz="4" w:space="0"/>
              <w:right w:val="single" w:color="auto" w:sz="4" w:space="0"/>
            </w:tcBorders>
            <w:shd w:val="clear" w:color="auto" w:fill="auto"/>
            <w:noWrap/>
            <w:vAlign w:val="center"/>
          </w:tcPr>
          <w:p w14:paraId="6D4E4B7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0D358BF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31011</w:t>
            </w:r>
          </w:p>
        </w:tc>
        <w:tc>
          <w:tcPr>
            <w:tcW w:w="3675" w:type="dxa"/>
            <w:tcBorders>
              <w:top w:val="nil"/>
              <w:left w:val="nil"/>
              <w:bottom w:val="single" w:color="auto" w:sz="4" w:space="0"/>
              <w:right w:val="single" w:color="auto" w:sz="4" w:space="0"/>
            </w:tcBorders>
            <w:shd w:val="clear" w:color="auto" w:fill="auto"/>
            <w:noWrap/>
            <w:vAlign w:val="center"/>
          </w:tcPr>
          <w:p w14:paraId="3CBC3B8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地上附着物和青苗补偿</w:t>
            </w:r>
          </w:p>
        </w:tc>
        <w:tc>
          <w:tcPr>
            <w:tcW w:w="674" w:type="dxa"/>
            <w:tcBorders>
              <w:top w:val="nil"/>
              <w:left w:val="nil"/>
              <w:bottom w:val="single" w:color="auto" w:sz="4" w:space="0"/>
              <w:right w:val="single" w:color="auto" w:sz="4" w:space="0"/>
            </w:tcBorders>
            <w:shd w:val="clear" w:color="auto" w:fill="auto"/>
            <w:noWrap/>
            <w:vAlign w:val="center"/>
          </w:tcPr>
          <w:p w14:paraId="0074D92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6C2772B8">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6B4E956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w:t>
            </w:r>
          </w:p>
        </w:tc>
        <w:tc>
          <w:tcPr>
            <w:tcW w:w="2940" w:type="dxa"/>
            <w:tcBorders>
              <w:top w:val="nil"/>
              <w:left w:val="nil"/>
              <w:bottom w:val="single" w:color="auto" w:sz="4" w:space="0"/>
              <w:right w:val="single" w:color="auto" w:sz="4" w:space="0"/>
            </w:tcBorders>
            <w:shd w:val="clear" w:color="auto" w:fill="auto"/>
            <w:noWrap/>
            <w:vAlign w:val="center"/>
          </w:tcPr>
          <w:p w14:paraId="2032CF1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对个人和家庭的补助</w:t>
            </w:r>
          </w:p>
        </w:tc>
        <w:tc>
          <w:tcPr>
            <w:tcW w:w="1050" w:type="dxa"/>
            <w:tcBorders>
              <w:top w:val="nil"/>
              <w:left w:val="nil"/>
              <w:bottom w:val="single" w:color="auto" w:sz="4" w:space="0"/>
              <w:right w:val="single" w:color="auto" w:sz="4" w:space="0"/>
            </w:tcBorders>
            <w:shd w:val="clear" w:color="auto" w:fill="auto"/>
            <w:noWrap/>
            <w:vAlign w:val="center"/>
          </w:tcPr>
          <w:p w14:paraId="10D837C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16.32</w:t>
            </w:r>
          </w:p>
        </w:tc>
        <w:tc>
          <w:tcPr>
            <w:tcW w:w="1080" w:type="dxa"/>
            <w:tcBorders>
              <w:top w:val="nil"/>
              <w:left w:val="nil"/>
              <w:bottom w:val="single" w:color="auto" w:sz="4" w:space="0"/>
              <w:right w:val="single" w:color="auto" w:sz="4" w:space="0"/>
            </w:tcBorders>
            <w:shd w:val="clear" w:color="auto" w:fill="auto"/>
            <w:noWrap/>
            <w:vAlign w:val="center"/>
          </w:tcPr>
          <w:p w14:paraId="664F41C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30216</w:t>
            </w:r>
          </w:p>
        </w:tc>
        <w:tc>
          <w:tcPr>
            <w:tcW w:w="2214" w:type="dxa"/>
            <w:tcBorders>
              <w:top w:val="nil"/>
              <w:left w:val="nil"/>
              <w:bottom w:val="single" w:color="auto" w:sz="4" w:space="0"/>
              <w:right w:val="single" w:color="auto" w:sz="4" w:space="0"/>
            </w:tcBorders>
            <w:shd w:val="clear" w:color="auto" w:fill="auto"/>
            <w:noWrap/>
            <w:vAlign w:val="center"/>
          </w:tcPr>
          <w:p w14:paraId="3A52D90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培训费</w:t>
            </w:r>
          </w:p>
        </w:tc>
        <w:tc>
          <w:tcPr>
            <w:tcW w:w="921" w:type="dxa"/>
            <w:tcBorders>
              <w:top w:val="nil"/>
              <w:left w:val="nil"/>
              <w:bottom w:val="single" w:color="auto" w:sz="4" w:space="0"/>
              <w:right w:val="single" w:color="auto" w:sz="4" w:space="0"/>
            </w:tcBorders>
            <w:shd w:val="clear" w:color="auto" w:fill="auto"/>
            <w:noWrap/>
            <w:vAlign w:val="center"/>
          </w:tcPr>
          <w:p w14:paraId="2D3F821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220BF57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31012</w:t>
            </w:r>
          </w:p>
        </w:tc>
        <w:tc>
          <w:tcPr>
            <w:tcW w:w="3675" w:type="dxa"/>
            <w:tcBorders>
              <w:top w:val="nil"/>
              <w:left w:val="nil"/>
              <w:bottom w:val="single" w:color="auto" w:sz="4" w:space="0"/>
              <w:right w:val="single" w:color="auto" w:sz="4" w:space="0"/>
            </w:tcBorders>
            <w:shd w:val="clear" w:color="auto" w:fill="auto"/>
            <w:noWrap/>
            <w:vAlign w:val="center"/>
          </w:tcPr>
          <w:p w14:paraId="5D1130D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拆迁补偿</w:t>
            </w:r>
          </w:p>
        </w:tc>
        <w:tc>
          <w:tcPr>
            <w:tcW w:w="674" w:type="dxa"/>
            <w:tcBorders>
              <w:top w:val="nil"/>
              <w:left w:val="nil"/>
              <w:bottom w:val="single" w:color="auto" w:sz="4" w:space="0"/>
              <w:right w:val="single" w:color="auto" w:sz="4" w:space="0"/>
            </w:tcBorders>
            <w:shd w:val="clear" w:color="auto" w:fill="auto"/>
            <w:noWrap/>
            <w:vAlign w:val="center"/>
          </w:tcPr>
          <w:p w14:paraId="59DAF99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1AD3733A">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33AA39F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30301</w:t>
            </w:r>
          </w:p>
        </w:tc>
        <w:tc>
          <w:tcPr>
            <w:tcW w:w="2940" w:type="dxa"/>
            <w:tcBorders>
              <w:top w:val="nil"/>
              <w:left w:val="nil"/>
              <w:bottom w:val="single" w:color="auto" w:sz="4" w:space="0"/>
              <w:right w:val="single" w:color="auto" w:sz="4" w:space="0"/>
            </w:tcBorders>
            <w:shd w:val="clear" w:color="auto" w:fill="auto"/>
            <w:noWrap/>
            <w:vAlign w:val="center"/>
          </w:tcPr>
          <w:p w14:paraId="3CF58BD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离休费</w:t>
            </w:r>
          </w:p>
        </w:tc>
        <w:tc>
          <w:tcPr>
            <w:tcW w:w="1050" w:type="dxa"/>
            <w:tcBorders>
              <w:top w:val="nil"/>
              <w:left w:val="nil"/>
              <w:bottom w:val="single" w:color="auto" w:sz="4" w:space="0"/>
              <w:right w:val="single" w:color="auto" w:sz="4" w:space="0"/>
            </w:tcBorders>
            <w:shd w:val="clear" w:color="auto" w:fill="auto"/>
            <w:noWrap/>
            <w:vAlign w:val="center"/>
          </w:tcPr>
          <w:p w14:paraId="32A5C18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153CFCF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30217</w:t>
            </w:r>
          </w:p>
        </w:tc>
        <w:tc>
          <w:tcPr>
            <w:tcW w:w="2214" w:type="dxa"/>
            <w:tcBorders>
              <w:top w:val="nil"/>
              <w:left w:val="nil"/>
              <w:bottom w:val="single" w:color="auto" w:sz="4" w:space="0"/>
              <w:right w:val="single" w:color="auto" w:sz="4" w:space="0"/>
            </w:tcBorders>
            <w:shd w:val="clear" w:color="auto" w:fill="auto"/>
            <w:noWrap/>
            <w:vAlign w:val="center"/>
          </w:tcPr>
          <w:p w14:paraId="31024E2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公务接待费</w:t>
            </w:r>
          </w:p>
        </w:tc>
        <w:tc>
          <w:tcPr>
            <w:tcW w:w="921" w:type="dxa"/>
            <w:tcBorders>
              <w:top w:val="nil"/>
              <w:left w:val="nil"/>
              <w:bottom w:val="single" w:color="auto" w:sz="4" w:space="0"/>
              <w:right w:val="single" w:color="auto" w:sz="4" w:space="0"/>
            </w:tcBorders>
            <w:shd w:val="clear" w:color="auto" w:fill="auto"/>
            <w:noWrap/>
            <w:vAlign w:val="center"/>
          </w:tcPr>
          <w:p w14:paraId="1DC97BF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0.12</w:t>
            </w:r>
          </w:p>
        </w:tc>
        <w:tc>
          <w:tcPr>
            <w:tcW w:w="1095" w:type="dxa"/>
            <w:tcBorders>
              <w:top w:val="nil"/>
              <w:left w:val="nil"/>
              <w:bottom w:val="single" w:color="auto" w:sz="4" w:space="0"/>
              <w:right w:val="single" w:color="auto" w:sz="4" w:space="0"/>
            </w:tcBorders>
            <w:shd w:val="clear" w:color="auto" w:fill="auto"/>
            <w:noWrap/>
            <w:vAlign w:val="center"/>
          </w:tcPr>
          <w:p w14:paraId="1983879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31013</w:t>
            </w:r>
          </w:p>
        </w:tc>
        <w:tc>
          <w:tcPr>
            <w:tcW w:w="3675" w:type="dxa"/>
            <w:tcBorders>
              <w:top w:val="nil"/>
              <w:left w:val="nil"/>
              <w:bottom w:val="single" w:color="auto" w:sz="4" w:space="0"/>
              <w:right w:val="single" w:color="auto" w:sz="4" w:space="0"/>
            </w:tcBorders>
            <w:shd w:val="clear" w:color="auto" w:fill="auto"/>
            <w:noWrap/>
            <w:vAlign w:val="center"/>
          </w:tcPr>
          <w:p w14:paraId="6DB58DA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公务用车购置</w:t>
            </w:r>
          </w:p>
        </w:tc>
        <w:tc>
          <w:tcPr>
            <w:tcW w:w="674" w:type="dxa"/>
            <w:tcBorders>
              <w:top w:val="nil"/>
              <w:left w:val="nil"/>
              <w:bottom w:val="single" w:color="auto" w:sz="4" w:space="0"/>
              <w:right w:val="single" w:color="auto" w:sz="4" w:space="0"/>
            </w:tcBorders>
            <w:shd w:val="clear" w:color="auto" w:fill="auto"/>
            <w:noWrap/>
            <w:vAlign w:val="center"/>
          </w:tcPr>
          <w:p w14:paraId="44BD2D0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1806A89">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1AB32BE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30302</w:t>
            </w:r>
          </w:p>
        </w:tc>
        <w:tc>
          <w:tcPr>
            <w:tcW w:w="2940" w:type="dxa"/>
            <w:tcBorders>
              <w:top w:val="nil"/>
              <w:left w:val="nil"/>
              <w:bottom w:val="single" w:color="auto" w:sz="4" w:space="0"/>
              <w:right w:val="single" w:color="auto" w:sz="4" w:space="0"/>
            </w:tcBorders>
            <w:shd w:val="clear" w:color="auto" w:fill="auto"/>
            <w:noWrap/>
            <w:vAlign w:val="center"/>
          </w:tcPr>
          <w:p w14:paraId="030B30A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退休费</w:t>
            </w:r>
          </w:p>
        </w:tc>
        <w:tc>
          <w:tcPr>
            <w:tcW w:w="1050" w:type="dxa"/>
            <w:tcBorders>
              <w:top w:val="nil"/>
              <w:left w:val="nil"/>
              <w:bottom w:val="single" w:color="auto" w:sz="4" w:space="0"/>
              <w:right w:val="single" w:color="auto" w:sz="4" w:space="0"/>
            </w:tcBorders>
            <w:shd w:val="clear" w:color="auto" w:fill="auto"/>
            <w:noWrap/>
            <w:vAlign w:val="center"/>
          </w:tcPr>
          <w:p w14:paraId="0A59744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0AADF59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30218</w:t>
            </w:r>
          </w:p>
        </w:tc>
        <w:tc>
          <w:tcPr>
            <w:tcW w:w="2214" w:type="dxa"/>
            <w:tcBorders>
              <w:top w:val="nil"/>
              <w:left w:val="nil"/>
              <w:bottom w:val="single" w:color="auto" w:sz="4" w:space="0"/>
              <w:right w:val="single" w:color="auto" w:sz="4" w:space="0"/>
            </w:tcBorders>
            <w:shd w:val="clear" w:color="auto" w:fill="auto"/>
            <w:noWrap/>
            <w:vAlign w:val="center"/>
          </w:tcPr>
          <w:p w14:paraId="78E0BD5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专用材料费</w:t>
            </w:r>
          </w:p>
        </w:tc>
        <w:tc>
          <w:tcPr>
            <w:tcW w:w="921" w:type="dxa"/>
            <w:tcBorders>
              <w:top w:val="nil"/>
              <w:left w:val="nil"/>
              <w:bottom w:val="single" w:color="auto" w:sz="4" w:space="0"/>
              <w:right w:val="single" w:color="auto" w:sz="4" w:space="0"/>
            </w:tcBorders>
            <w:shd w:val="clear" w:color="auto" w:fill="auto"/>
            <w:noWrap/>
            <w:vAlign w:val="center"/>
          </w:tcPr>
          <w:p w14:paraId="69F9B49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5465184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31019</w:t>
            </w:r>
          </w:p>
        </w:tc>
        <w:tc>
          <w:tcPr>
            <w:tcW w:w="3675" w:type="dxa"/>
            <w:tcBorders>
              <w:top w:val="nil"/>
              <w:left w:val="nil"/>
              <w:bottom w:val="single" w:color="auto" w:sz="4" w:space="0"/>
              <w:right w:val="single" w:color="auto" w:sz="4" w:space="0"/>
            </w:tcBorders>
            <w:shd w:val="clear" w:color="auto" w:fill="auto"/>
            <w:noWrap/>
            <w:vAlign w:val="center"/>
          </w:tcPr>
          <w:p w14:paraId="3EB8F42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其他交通工具购置</w:t>
            </w:r>
          </w:p>
        </w:tc>
        <w:tc>
          <w:tcPr>
            <w:tcW w:w="674" w:type="dxa"/>
            <w:tcBorders>
              <w:top w:val="nil"/>
              <w:left w:val="nil"/>
              <w:bottom w:val="single" w:color="auto" w:sz="4" w:space="0"/>
              <w:right w:val="single" w:color="auto" w:sz="4" w:space="0"/>
            </w:tcBorders>
            <w:shd w:val="clear" w:color="auto" w:fill="auto"/>
            <w:noWrap/>
            <w:vAlign w:val="center"/>
          </w:tcPr>
          <w:p w14:paraId="7D821D1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5C1931DF">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54A17B0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30303</w:t>
            </w:r>
          </w:p>
        </w:tc>
        <w:tc>
          <w:tcPr>
            <w:tcW w:w="2940" w:type="dxa"/>
            <w:tcBorders>
              <w:top w:val="nil"/>
              <w:left w:val="nil"/>
              <w:bottom w:val="single" w:color="auto" w:sz="4" w:space="0"/>
              <w:right w:val="single" w:color="auto" w:sz="4" w:space="0"/>
            </w:tcBorders>
            <w:shd w:val="clear" w:color="auto" w:fill="auto"/>
            <w:noWrap/>
            <w:vAlign w:val="center"/>
          </w:tcPr>
          <w:p w14:paraId="210A581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退职（役）费</w:t>
            </w:r>
          </w:p>
        </w:tc>
        <w:tc>
          <w:tcPr>
            <w:tcW w:w="1050" w:type="dxa"/>
            <w:tcBorders>
              <w:top w:val="nil"/>
              <w:left w:val="nil"/>
              <w:bottom w:val="single" w:color="auto" w:sz="4" w:space="0"/>
              <w:right w:val="single" w:color="auto" w:sz="4" w:space="0"/>
            </w:tcBorders>
            <w:shd w:val="clear" w:color="auto" w:fill="auto"/>
            <w:noWrap/>
            <w:vAlign w:val="center"/>
          </w:tcPr>
          <w:p w14:paraId="2E23A65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7E30074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30224</w:t>
            </w:r>
          </w:p>
        </w:tc>
        <w:tc>
          <w:tcPr>
            <w:tcW w:w="2214" w:type="dxa"/>
            <w:tcBorders>
              <w:top w:val="nil"/>
              <w:left w:val="nil"/>
              <w:bottom w:val="single" w:color="auto" w:sz="4" w:space="0"/>
              <w:right w:val="single" w:color="auto" w:sz="4" w:space="0"/>
            </w:tcBorders>
            <w:shd w:val="clear" w:color="auto" w:fill="auto"/>
            <w:noWrap/>
            <w:vAlign w:val="center"/>
          </w:tcPr>
          <w:p w14:paraId="1371E74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被装购置费</w:t>
            </w:r>
          </w:p>
        </w:tc>
        <w:tc>
          <w:tcPr>
            <w:tcW w:w="921" w:type="dxa"/>
            <w:tcBorders>
              <w:top w:val="nil"/>
              <w:left w:val="nil"/>
              <w:bottom w:val="single" w:color="auto" w:sz="4" w:space="0"/>
              <w:right w:val="single" w:color="auto" w:sz="4" w:space="0"/>
            </w:tcBorders>
            <w:shd w:val="clear" w:color="auto" w:fill="auto"/>
            <w:noWrap/>
            <w:vAlign w:val="center"/>
          </w:tcPr>
          <w:p w14:paraId="6127AB0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76FDA3B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31021</w:t>
            </w:r>
          </w:p>
        </w:tc>
        <w:tc>
          <w:tcPr>
            <w:tcW w:w="3675" w:type="dxa"/>
            <w:tcBorders>
              <w:top w:val="nil"/>
              <w:left w:val="nil"/>
              <w:bottom w:val="single" w:color="auto" w:sz="4" w:space="0"/>
              <w:right w:val="single" w:color="auto" w:sz="4" w:space="0"/>
            </w:tcBorders>
            <w:shd w:val="clear" w:color="auto" w:fill="auto"/>
            <w:noWrap/>
            <w:vAlign w:val="center"/>
          </w:tcPr>
          <w:p w14:paraId="25CE810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文物和陈列品购置</w:t>
            </w:r>
          </w:p>
        </w:tc>
        <w:tc>
          <w:tcPr>
            <w:tcW w:w="674" w:type="dxa"/>
            <w:tcBorders>
              <w:top w:val="nil"/>
              <w:left w:val="nil"/>
              <w:bottom w:val="single" w:color="auto" w:sz="4" w:space="0"/>
              <w:right w:val="single" w:color="auto" w:sz="4" w:space="0"/>
            </w:tcBorders>
            <w:shd w:val="clear" w:color="auto" w:fill="auto"/>
            <w:noWrap/>
            <w:vAlign w:val="center"/>
          </w:tcPr>
          <w:p w14:paraId="3DC6F93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7DE1FE00">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7CCFB3A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30304</w:t>
            </w:r>
          </w:p>
        </w:tc>
        <w:tc>
          <w:tcPr>
            <w:tcW w:w="2940" w:type="dxa"/>
            <w:tcBorders>
              <w:top w:val="nil"/>
              <w:left w:val="nil"/>
              <w:bottom w:val="single" w:color="auto" w:sz="4" w:space="0"/>
              <w:right w:val="single" w:color="auto" w:sz="4" w:space="0"/>
            </w:tcBorders>
            <w:shd w:val="clear" w:color="auto" w:fill="auto"/>
            <w:noWrap/>
            <w:vAlign w:val="center"/>
          </w:tcPr>
          <w:p w14:paraId="7653E3F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抚恤金</w:t>
            </w:r>
          </w:p>
        </w:tc>
        <w:tc>
          <w:tcPr>
            <w:tcW w:w="1050" w:type="dxa"/>
            <w:tcBorders>
              <w:top w:val="nil"/>
              <w:left w:val="nil"/>
              <w:bottom w:val="single" w:color="auto" w:sz="4" w:space="0"/>
              <w:right w:val="single" w:color="auto" w:sz="4" w:space="0"/>
            </w:tcBorders>
            <w:shd w:val="clear" w:color="auto" w:fill="auto"/>
            <w:noWrap/>
            <w:vAlign w:val="center"/>
          </w:tcPr>
          <w:p w14:paraId="118B56B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1.66</w:t>
            </w:r>
          </w:p>
        </w:tc>
        <w:tc>
          <w:tcPr>
            <w:tcW w:w="1080" w:type="dxa"/>
            <w:tcBorders>
              <w:top w:val="nil"/>
              <w:left w:val="nil"/>
              <w:bottom w:val="single" w:color="auto" w:sz="4" w:space="0"/>
              <w:right w:val="single" w:color="auto" w:sz="4" w:space="0"/>
            </w:tcBorders>
            <w:shd w:val="clear" w:color="auto" w:fill="auto"/>
            <w:noWrap/>
            <w:vAlign w:val="center"/>
          </w:tcPr>
          <w:p w14:paraId="0990DF9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30225</w:t>
            </w:r>
          </w:p>
        </w:tc>
        <w:tc>
          <w:tcPr>
            <w:tcW w:w="2214" w:type="dxa"/>
            <w:tcBorders>
              <w:top w:val="nil"/>
              <w:left w:val="nil"/>
              <w:bottom w:val="single" w:color="auto" w:sz="4" w:space="0"/>
              <w:right w:val="single" w:color="auto" w:sz="4" w:space="0"/>
            </w:tcBorders>
            <w:shd w:val="clear" w:color="auto" w:fill="auto"/>
            <w:noWrap/>
            <w:vAlign w:val="center"/>
          </w:tcPr>
          <w:p w14:paraId="0F217C3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专用燃料费</w:t>
            </w:r>
          </w:p>
        </w:tc>
        <w:tc>
          <w:tcPr>
            <w:tcW w:w="921" w:type="dxa"/>
            <w:tcBorders>
              <w:top w:val="nil"/>
              <w:left w:val="nil"/>
              <w:bottom w:val="single" w:color="auto" w:sz="4" w:space="0"/>
              <w:right w:val="single" w:color="auto" w:sz="4" w:space="0"/>
            </w:tcBorders>
            <w:shd w:val="clear" w:color="auto" w:fill="auto"/>
            <w:noWrap/>
            <w:vAlign w:val="center"/>
          </w:tcPr>
          <w:p w14:paraId="1EE8B77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6E64400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31022</w:t>
            </w:r>
          </w:p>
        </w:tc>
        <w:tc>
          <w:tcPr>
            <w:tcW w:w="3675" w:type="dxa"/>
            <w:tcBorders>
              <w:top w:val="nil"/>
              <w:left w:val="nil"/>
              <w:bottom w:val="single" w:color="auto" w:sz="4" w:space="0"/>
              <w:right w:val="single" w:color="auto" w:sz="4" w:space="0"/>
            </w:tcBorders>
            <w:shd w:val="clear" w:color="auto" w:fill="auto"/>
            <w:noWrap/>
            <w:vAlign w:val="center"/>
          </w:tcPr>
          <w:p w14:paraId="6E28534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无形资产购置</w:t>
            </w:r>
          </w:p>
        </w:tc>
        <w:tc>
          <w:tcPr>
            <w:tcW w:w="674" w:type="dxa"/>
            <w:tcBorders>
              <w:top w:val="nil"/>
              <w:left w:val="nil"/>
              <w:bottom w:val="single" w:color="auto" w:sz="4" w:space="0"/>
              <w:right w:val="single" w:color="auto" w:sz="4" w:space="0"/>
            </w:tcBorders>
            <w:shd w:val="clear" w:color="auto" w:fill="auto"/>
            <w:noWrap/>
            <w:vAlign w:val="center"/>
          </w:tcPr>
          <w:p w14:paraId="5245126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1B21B89">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21B676B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30305</w:t>
            </w:r>
          </w:p>
        </w:tc>
        <w:tc>
          <w:tcPr>
            <w:tcW w:w="2940" w:type="dxa"/>
            <w:tcBorders>
              <w:top w:val="nil"/>
              <w:left w:val="nil"/>
              <w:bottom w:val="single" w:color="auto" w:sz="4" w:space="0"/>
              <w:right w:val="single" w:color="auto" w:sz="4" w:space="0"/>
            </w:tcBorders>
            <w:shd w:val="clear" w:color="auto" w:fill="auto"/>
            <w:noWrap/>
            <w:vAlign w:val="center"/>
          </w:tcPr>
          <w:p w14:paraId="1E4BB9E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生活补助</w:t>
            </w:r>
          </w:p>
        </w:tc>
        <w:tc>
          <w:tcPr>
            <w:tcW w:w="1050" w:type="dxa"/>
            <w:tcBorders>
              <w:top w:val="nil"/>
              <w:left w:val="nil"/>
              <w:bottom w:val="single" w:color="auto" w:sz="4" w:space="0"/>
              <w:right w:val="single" w:color="auto" w:sz="4" w:space="0"/>
            </w:tcBorders>
            <w:shd w:val="clear" w:color="auto" w:fill="auto"/>
            <w:noWrap/>
            <w:vAlign w:val="center"/>
          </w:tcPr>
          <w:p w14:paraId="085D4EA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14.66</w:t>
            </w:r>
          </w:p>
        </w:tc>
        <w:tc>
          <w:tcPr>
            <w:tcW w:w="1080" w:type="dxa"/>
            <w:tcBorders>
              <w:top w:val="nil"/>
              <w:left w:val="nil"/>
              <w:bottom w:val="single" w:color="auto" w:sz="4" w:space="0"/>
              <w:right w:val="single" w:color="auto" w:sz="4" w:space="0"/>
            </w:tcBorders>
            <w:shd w:val="clear" w:color="auto" w:fill="auto"/>
            <w:noWrap/>
            <w:vAlign w:val="center"/>
          </w:tcPr>
          <w:p w14:paraId="34B6CDD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30226</w:t>
            </w:r>
          </w:p>
        </w:tc>
        <w:tc>
          <w:tcPr>
            <w:tcW w:w="2214" w:type="dxa"/>
            <w:tcBorders>
              <w:top w:val="nil"/>
              <w:left w:val="nil"/>
              <w:bottom w:val="single" w:color="auto" w:sz="4" w:space="0"/>
              <w:right w:val="single" w:color="auto" w:sz="4" w:space="0"/>
            </w:tcBorders>
            <w:shd w:val="clear" w:color="auto" w:fill="auto"/>
            <w:noWrap/>
            <w:vAlign w:val="center"/>
          </w:tcPr>
          <w:p w14:paraId="56AB23D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劳务费</w:t>
            </w:r>
          </w:p>
        </w:tc>
        <w:tc>
          <w:tcPr>
            <w:tcW w:w="921" w:type="dxa"/>
            <w:tcBorders>
              <w:top w:val="nil"/>
              <w:left w:val="nil"/>
              <w:bottom w:val="single" w:color="auto" w:sz="4" w:space="0"/>
              <w:right w:val="single" w:color="auto" w:sz="4" w:space="0"/>
            </w:tcBorders>
            <w:shd w:val="clear" w:color="auto" w:fill="auto"/>
            <w:noWrap/>
            <w:vAlign w:val="center"/>
          </w:tcPr>
          <w:p w14:paraId="5FCD637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1095" w:type="dxa"/>
            <w:tcBorders>
              <w:top w:val="nil"/>
              <w:left w:val="nil"/>
              <w:bottom w:val="single" w:color="auto" w:sz="4" w:space="0"/>
              <w:right w:val="single" w:color="auto" w:sz="4" w:space="0"/>
            </w:tcBorders>
            <w:shd w:val="clear" w:color="auto" w:fill="auto"/>
            <w:noWrap/>
            <w:vAlign w:val="center"/>
          </w:tcPr>
          <w:p w14:paraId="5DFFB83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31099</w:t>
            </w:r>
          </w:p>
        </w:tc>
        <w:tc>
          <w:tcPr>
            <w:tcW w:w="3675" w:type="dxa"/>
            <w:tcBorders>
              <w:top w:val="nil"/>
              <w:left w:val="nil"/>
              <w:bottom w:val="single" w:color="auto" w:sz="4" w:space="0"/>
              <w:right w:val="single" w:color="auto" w:sz="4" w:space="0"/>
            </w:tcBorders>
            <w:shd w:val="clear" w:color="auto" w:fill="auto"/>
            <w:noWrap/>
            <w:vAlign w:val="center"/>
          </w:tcPr>
          <w:p w14:paraId="60E5FE7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其他资本性支出</w:t>
            </w:r>
          </w:p>
        </w:tc>
        <w:tc>
          <w:tcPr>
            <w:tcW w:w="674" w:type="dxa"/>
            <w:tcBorders>
              <w:top w:val="nil"/>
              <w:left w:val="nil"/>
              <w:bottom w:val="single" w:color="auto" w:sz="4" w:space="0"/>
              <w:right w:val="single" w:color="auto" w:sz="4" w:space="0"/>
            </w:tcBorders>
            <w:shd w:val="clear" w:color="auto" w:fill="auto"/>
            <w:noWrap/>
            <w:vAlign w:val="center"/>
          </w:tcPr>
          <w:p w14:paraId="54B369C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16FA0254">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5989D66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30306</w:t>
            </w:r>
          </w:p>
        </w:tc>
        <w:tc>
          <w:tcPr>
            <w:tcW w:w="2940" w:type="dxa"/>
            <w:tcBorders>
              <w:top w:val="nil"/>
              <w:left w:val="nil"/>
              <w:bottom w:val="single" w:color="auto" w:sz="4" w:space="0"/>
              <w:right w:val="single" w:color="auto" w:sz="4" w:space="0"/>
            </w:tcBorders>
            <w:shd w:val="clear" w:color="auto" w:fill="auto"/>
            <w:noWrap/>
            <w:vAlign w:val="center"/>
          </w:tcPr>
          <w:p w14:paraId="1B45686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救济费</w:t>
            </w:r>
          </w:p>
        </w:tc>
        <w:tc>
          <w:tcPr>
            <w:tcW w:w="1050" w:type="dxa"/>
            <w:tcBorders>
              <w:top w:val="nil"/>
              <w:left w:val="nil"/>
              <w:bottom w:val="single" w:color="auto" w:sz="4" w:space="0"/>
              <w:right w:val="single" w:color="auto" w:sz="4" w:space="0"/>
            </w:tcBorders>
            <w:shd w:val="clear" w:color="auto" w:fill="auto"/>
            <w:noWrap/>
            <w:vAlign w:val="center"/>
          </w:tcPr>
          <w:p w14:paraId="52E2D23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2D354DB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30227</w:t>
            </w:r>
          </w:p>
        </w:tc>
        <w:tc>
          <w:tcPr>
            <w:tcW w:w="2214" w:type="dxa"/>
            <w:tcBorders>
              <w:top w:val="nil"/>
              <w:left w:val="nil"/>
              <w:bottom w:val="single" w:color="auto" w:sz="4" w:space="0"/>
              <w:right w:val="single" w:color="auto" w:sz="4" w:space="0"/>
            </w:tcBorders>
            <w:shd w:val="clear" w:color="auto" w:fill="auto"/>
            <w:noWrap/>
            <w:vAlign w:val="center"/>
          </w:tcPr>
          <w:p w14:paraId="2AEF287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委托业务费</w:t>
            </w:r>
          </w:p>
        </w:tc>
        <w:tc>
          <w:tcPr>
            <w:tcW w:w="921" w:type="dxa"/>
            <w:tcBorders>
              <w:top w:val="nil"/>
              <w:left w:val="nil"/>
              <w:bottom w:val="single" w:color="auto" w:sz="4" w:space="0"/>
              <w:right w:val="single" w:color="auto" w:sz="4" w:space="0"/>
            </w:tcBorders>
            <w:shd w:val="clear" w:color="auto" w:fill="auto"/>
            <w:noWrap/>
            <w:vAlign w:val="center"/>
          </w:tcPr>
          <w:p w14:paraId="1E3D863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595EEB1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399</w:t>
            </w:r>
          </w:p>
        </w:tc>
        <w:tc>
          <w:tcPr>
            <w:tcW w:w="3675" w:type="dxa"/>
            <w:tcBorders>
              <w:top w:val="nil"/>
              <w:left w:val="nil"/>
              <w:bottom w:val="single" w:color="auto" w:sz="4" w:space="0"/>
              <w:right w:val="single" w:color="auto" w:sz="4" w:space="0"/>
            </w:tcBorders>
            <w:shd w:val="clear" w:color="auto" w:fill="auto"/>
            <w:noWrap/>
            <w:vAlign w:val="center"/>
          </w:tcPr>
          <w:p w14:paraId="6AC2112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其他支出</w:t>
            </w:r>
          </w:p>
        </w:tc>
        <w:tc>
          <w:tcPr>
            <w:tcW w:w="674" w:type="dxa"/>
            <w:tcBorders>
              <w:top w:val="nil"/>
              <w:left w:val="nil"/>
              <w:bottom w:val="single" w:color="auto" w:sz="4" w:space="0"/>
              <w:right w:val="single" w:color="auto" w:sz="4" w:space="0"/>
            </w:tcBorders>
            <w:shd w:val="clear" w:color="auto" w:fill="auto"/>
            <w:noWrap/>
            <w:vAlign w:val="center"/>
          </w:tcPr>
          <w:p w14:paraId="7C64463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58B4ABF3">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514FA62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30307</w:t>
            </w:r>
          </w:p>
        </w:tc>
        <w:tc>
          <w:tcPr>
            <w:tcW w:w="2940" w:type="dxa"/>
            <w:tcBorders>
              <w:top w:val="nil"/>
              <w:left w:val="nil"/>
              <w:bottom w:val="single" w:color="auto" w:sz="4" w:space="0"/>
              <w:right w:val="single" w:color="auto" w:sz="4" w:space="0"/>
            </w:tcBorders>
            <w:shd w:val="clear" w:color="auto" w:fill="auto"/>
            <w:noWrap/>
            <w:vAlign w:val="center"/>
          </w:tcPr>
          <w:p w14:paraId="5CFBBB9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医疗费补助</w:t>
            </w:r>
          </w:p>
        </w:tc>
        <w:tc>
          <w:tcPr>
            <w:tcW w:w="1050" w:type="dxa"/>
            <w:tcBorders>
              <w:top w:val="nil"/>
              <w:left w:val="nil"/>
              <w:bottom w:val="single" w:color="auto" w:sz="4" w:space="0"/>
              <w:right w:val="single" w:color="auto" w:sz="4" w:space="0"/>
            </w:tcBorders>
            <w:shd w:val="clear" w:color="auto" w:fill="auto"/>
            <w:noWrap/>
            <w:vAlign w:val="center"/>
          </w:tcPr>
          <w:p w14:paraId="74CB96E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167C4E5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30228</w:t>
            </w:r>
          </w:p>
        </w:tc>
        <w:tc>
          <w:tcPr>
            <w:tcW w:w="2214" w:type="dxa"/>
            <w:tcBorders>
              <w:top w:val="nil"/>
              <w:left w:val="nil"/>
              <w:bottom w:val="single" w:color="auto" w:sz="4" w:space="0"/>
              <w:right w:val="single" w:color="auto" w:sz="4" w:space="0"/>
            </w:tcBorders>
            <w:shd w:val="clear" w:color="auto" w:fill="auto"/>
            <w:noWrap/>
            <w:vAlign w:val="center"/>
          </w:tcPr>
          <w:p w14:paraId="15B4EF6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工会经费</w:t>
            </w:r>
          </w:p>
        </w:tc>
        <w:tc>
          <w:tcPr>
            <w:tcW w:w="921" w:type="dxa"/>
            <w:tcBorders>
              <w:top w:val="nil"/>
              <w:left w:val="nil"/>
              <w:bottom w:val="single" w:color="auto" w:sz="4" w:space="0"/>
              <w:right w:val="single" w:color="auto" w:sz="4" w:space="0"/>
            </w:tcBorders>
            <w:shd w:val="clear" w:color="auto" w:fill="auto"/>
            <w:noWrap/>
            <w:vAlign w:val="center"/>
          </w:tcPr>
          <w:p w14:paraId="7ABFBD7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7.38</w:t>
            </w:r>
          </w:p>
        </w:tc>
        <w:tc>
          <w:tcPr>
            <w:tcW w:w="1095" w:type="dxa"/>
            <w:tcBorders>
              <w:top w:val="nil"/>
              <w:left w:val="nil"/>
              <w:bottom w:val="single" w:color="auto" w:sz="4" w:space="0"/>
              <w:right w:val="single" w:color="auto" w:sz="4" w:space="0"/>
            </w:tcBorders>
            <w:shd w:val="clear" w:color="auto" w:fill="auto"/>
            <w:noWrap/>
            <w:vAlign w:val="center"/>
          </w:tcPr>
          <w:p w14:paraId="4702E1D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39907</w:t>
            </w:r>
          </w:p>
        </w:tc>
        <w:tc>
          <w:tcPr>
            <w:tcW w:w="3675" w:type="dxa"/>
            <w:tcBorders>
              <w:top w:val="nil"/>
              <w:left w:val="nil"/>
              <w:bottom w:val="single" w:color="auto" w:sz="4" w:space="0"/>
              <w:right w:val="single" w:color="auto" w:sz="4" w:space="0"/>
            </w:tcBorders>
            <w:shd w:val="clear" w:color="auto" w:fill="auto"/>
            <w:noWrap/>
            <w:vAlign w:val="center"/>
          </w:tcPr>
          <w:p w14:paraId="361B68D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国家赔偿费用支出</w:t>
            </w:r>
          </w:p>
        </w:tc>
        <w:tc>
          <w:tcPr>
            <w:tcW w:w="674" w:type="dxa"/>
            <w:tcBorders>
              <w:top w:val="nil"/>
              <w:left w:val="nil"/>
              <w:bottom w:val="single" w:color="auto" w:sz="4" w:space="0"/>
              <w:right w:val="single" w:color="auto" w:sz="4" w:space="0"/>
            </w:tcBorders>
            <w:shd w:val="clear" w:color="auto" w:fill="auto"/>
            <w:noWrap/>
            <w:vAlign w:val="center"/>
          </w:tcPr>
          <w:p w14:paraId="3AC0DC2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4EAC36A8">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136A6EF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30308</w:t>
            </w:r>
          </w:p>
        </w:tc>
        <w:tc>
          <w:tcPr>
            <w:tcW w:w="2940" w:type="dxa"/>
            <w:tcBorders>
              <w:top w:val="nil"/>
              <w:left w:val="nil"/>
              <w:bottom w:val="single" w:color="auto" w:sz="4" w:space="0"/>
              <w:right w:val="single" w:color="auto" w:sz="4" w:space="0"/>
            </w:tcBorders>
            <w:shd w:val="clear" w:color="auto" w:fill="auto"/>
            <w:noWrap/>
            <w:vAlign w:val="center"/>
          </w:tcPr>
          <w:p w14:paraId="643CC4B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助学金</w:t>
            </w:r>
          </w:p>
        </w:tc>
        <w:tc>
          <w:tcPr>
            <w:tcW w:w="1050" w:type="dxa"/>
            <w:tcBorders>
              <w:top w:val="nil"/>
              <w:left w:val="nil"/>
              <w:bottom w:val="single" w:color="auto" w:sz="4" w:space="0"/>
              <w:right w:val="single" w:color="auto" w:sz="4" w:space="0"/>
            </w:tcBorders>
            <w:shd w:val="clear" w:color="auto" w:fill="auto"/>
            <w:noWrap/>
            <w:vAlign w:val="center"/>
          </w:tcPr>
          <w:p w14:paraId="5A39723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7D86002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30229</w:t>
            </w:r>
          </w:p>
        </w:tc>
        <w:tc>
          <w:tcPr>
            <w:tcW w:w="2214" w:type="dxa"/>
            <w:tcBorders>
              <w:top w:val="nil"/>
              <w:left w:val="nil"/>
              <w:bottom w:val="single" w:color="auto" w:sz="4" w:space="0"/>
              <w:right w:val="single" w:color="auto" w:sz="4" w:space="0"/>
            </w:tcBorders>
            <w:shd w:val="clear" w:color="auto" w:fill="auto"/>
            <w:noWrap/>
            <w:vAlign w:val="center"/>
          </w:tcPr>
          <w:p w14:paraId="0AE3818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福利费</w:t>
            </w:r>
          </w:p>
        </w:tc>
        <w:tc>
          <w:tcPr>
            <w:tcW w:w="921" w:type="dxa"/>
            <w:tcBorders>
              <w:top w:val="nil"/>
              <w:left w:val="nil"/>
              <w:bottom w:val="single" w:color="auto" w:sz="4" w:space="0"/>
              <w:right w:val="single" w:color="auto" w:sz="4" w:space="0"/>
            </w:tcBorders>
            <w:shd w:val="clear" w:color="auto" w:fill="auto"/>
            <w:noWrap/>
            <w:vAlign w:val="center"/>
          </w:tcPr>
          <w:p w14:paraId="6683EDA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11.17</w:t>
            </w:r>
          </w:p>
        </w:tc>
        <w:tc>
          <w:tcPr>
            <w:tcW w:w="1095" w:type="dxa"/>
            <w:tcBorders>
              <w:top w:val="nil"/>
              <w:left w:val="nil"/>
              <w:bottom w:val="single" w:color="auto" w:sz="4" w:space="0"/>
              <w:right w:val="single" w:color="auto" w:sz="4" w:space="0"/>
            </w:tcBorders>
            <w:shd w:val="clear" w:color="auto" w:fill="auto"/>
            <w:noWrap/>
            <w:vAlign w:val="center"/>
          </w:tcPr>
          <w:p w14:paraId="44FD747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39908</w:t>
            </w:r>
          </w:p>
        </w:tc>
        <w:tc>
          <w:tcPr>
            <w:tcW w:w="3675" w:type="dxa"/>
            <w:tcBorders>
              <w:top w:val="nil"/>
              <w:left w:val="nil"/>
              <w:bottom w:val="single" w:color="auto" w:sz="4" w:space="0"/>
              <w:right w:val="single" w:color="auto" w:sz="4" w:space="0"/>
            </w:tcBorders>
            <w:shd w:val="clear" w:color="auto" w:fill="auto"/>
            <w:noWrap/>
            <w:vAlign w:val="center"/>
          </w:tcPr>
          <w:p w14:paraId="1BB5711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1"/>
                <w:w w:val="90"/>
                <w:sz w:val="24"/>
                <w:szCs w:val="24"/>
                <w:highlight w:val="none"/>
                <w:lang w:val="en-US" w:eastAsia="zh-CN"/>
              </w:rPr>
              <w:t>对民间非营利组织和群众性自治组织补贴</w:t>
            </w:r>
          </w:p>
        </w:tc>
        <w:tc>
          <w:tcPr>
            <w:tcW w:w="674" w:type="dxa"/>
            <w:tcBorders>
              <w:top w:val="nil"/>
              <w:left w:val="nil"/>
              <w:bottom w:val="single" w:color="auto" w:sz="4" w:space="0"/>
              <w:right w:val="single" w:color="auto" w:sz="4" w:space="0"/>
            </w:tcBorders>
            <w:shd w:val="clear" w:color="auto" w:fill="auto"/>
            <w:noWrap/>
            <w:vAlign w:val="center"/>
          </w:tcPr>
          <w:p w14:paraId="36FB1BF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413B777C">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6766FCC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30309</w:t>
            </w:r>
          </w:p>
        </w:tc>
        <w:tc>
          <w:tcPr>
            <w:tcW w:w="2940" w:type="dxa"/>
            <w:tcBorders>
              <w:top w:val="nil"/>
              <w:left w:val="nil"/>
              <w:bottom w:val="single" w:color="auto" w:sz="4" w:space="0"/>
              <w:right w:val="single" w:color="auto" w:sz="4" w:space="0"/>
            </w:tcBorders>
            <w:shd w:val="clear" w:color="auto" w:fill="auto"/>
            <w:noWrap/>
            <w:vAlign w:val="center"/>
          </w:tcPr>
          <w:p w14:paraId="3DFB812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奖励金</w:t>
            </w:r>
          </w:p>
        </w:tc>
        <w:tc>
          <w:tcPr>
            <w:tcW w:w="1050" w:type="dxa"/>
            <w:tcBorders>
              <w:top w:val="nil"/>
              <w:left w:val="nil"/>
              <w:bottom w:val="single" w:color="auto" w:sz="4" w:space="0"/>
              <w:right w:val="single" w:color="auto" w:sz="4" w:space="0"/>
            </w:tcBorders>
            <w:shd w:val="clear" w:color="auto" w:fill="auto"/>
            <w:noWrap/>
            <w:vAlign w:val="center"/>
          </w:tcPr>
          <w:p w14:paraId="3D494A7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6265C8A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30231</w:t>
            </w:r>
          </w:p>
        </w:tc>
        <w:tc>
          <w:tcPr>
            <w:tcW w:w="2214" w:type="dxa"/>
            <w:tcBorders>
              <w:top w:val="nil"/>
              <w:left w:val="nil"/>
              <w:bottom w:val="single" w:color="auto" w:sz="4" w:space="0"/>
              <w:right w:val="single" w:color="auto" w:sz="4" w:space="0"/>
            </w:tcBorders>
            <w:shd w:val="clear" w:color="auto" w:fill="auto"/>
            <w:noWrap/>
            <w:vAlign w:val="center"/>
          </w:tcPr>
          <w:p w14:paraId="6E1717A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1"/>
                <w:w w:val="90"/>
                <w:sz w:val="24"/>
                <w:szCs w:val="24"/>
                <w:highlight w:val="none"/>
                <w:lang w:val="en-US" w:eastAsia="zh-CN"/>
              </w:rPr>
              <w:t>公务用车运行维护费</w:t>
            </w:r>
          </w:p>
        </w:tc>
        <w:tc>
          <w:tcPr>
            <w:tcW w:w="921" w:type="dxa"/>
            <w:tcBorders>
              <w:top w:val="nil"/>
              <w:left w:val="nil"/>
              <w:bottom w:val="single" w:color="auto" w:sz="4" w:space="0"/>
              <w:right w:val="single" w:color="auto" w:sz="4" w:space="0"/>
            </w:tcBorders>
            <w:shd w:val="clear" w:color="auto" w:fill="auto"/>
            <w:noWrap/>
            <w:vAlign w:val="center"/>
          </w:tcPr>
          <w:p w14:paraId="07BAD47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5C25DAC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39909</w:t>
            </w:r>
          </w:p>
        </w:tc>
        <w:tc>
          <w:tcPr>
            <w:tcW w:w="3675" w:type="dxa"/>
            <w:tcBorders>
              <w:top w:val="nil"/>
              <w:left w:val="nil"/>
              <w:bottom w:val="single" w:color="auto" w:sz="4" w:space="0"/>
              <w:right w:val="single" w:color="auto" w:sz="4" w:space="0"/>
            </w:tcBorders>
            <w:shd w:val="clear" w:color="auto" w:fill="auto"/>
            <w:noWrap/>
            <w:vAlign w:val="center"/>
          </w:tcPr>
          <w:p w14:paraId="422C991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经常性赠与  资本性赠与</w:t>
            </w:r>
          </w:p>
        </w:tc>
        <w:tc>
          <w:tcPr>
            <w:tcW w:w="674" w:type="dxa"/>
            <w:tcBorders>
              <w:top w:val="nil"/>
              <w:left w:val="nil"/>
              <w:bottom w:val="single" w:color="auto" w:sz="4" w:space="0"/>
              <w:right w:val="single" w:color="auto" w:sz="4" w:space="0"/>
            </w:tcBorders>
            <w:shd w:val="clear" w:color="auto" w:fill="auto"/>
            <w:noWrap/>
            <w:vAlign w:val="center"/>
          </w:tcPr>
          <w:p w14:paraId="7F1EF76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1D756F33">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3BD8F75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30310</w:t>
            </w:r>
          </w:p>
        </w:tc>
        <w:tc>
          <w:tcPr>
            <w:tcW w:w="2940" w:type="dxa"/>
            <w:tcBorders>
              <w:top w:val="nil"/>
              <w:left w:val="nil"/>
              <w:bottom w:val="single" w:color="auto" w:sz="4" w:space="0"/>
              <w:right w:val="single" w:color="auto" w:sz="4" w:space="0"/>
            </w:tcBorders>
            <w:shd w:val="clear" w:color="auto" w:fill="auto"/>
            <w:noWrap/>
            <w:vAlign w:val="center"/>
          </w:tcPr>
          <w:p w14:paraId="6A0EA41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个人农业生产补贴</w:t>
            </w:r>
          </w:p>
        </w:tc>
        <w:tc>
          <w:tcPr>
            <w:tcW w:w="1050" w:type="dxa"/>
            <w:tcBorders>
              <w:top w:val="nil"/>
              <w:left w:val="nil"/>
              <w:bottom w:val="single" w:color="auto" w:sz="4" w:space="0"/>
              <w:right w:val="single" w:color="auto" w:sz="4" w:space="0"/>
            </w:tcBorders>
            <w:shd w:val="clear" w:color="auto" w:fill="auto"/>
            <w:noWrap/>
            <w:vAlign w:val="center"/>
          </w:tcPr>
          <w:p w14:paraId="1458D9A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3BBB32C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30239</w:t>
            </w:r>
          </w:p>
        </w:tc>
        <w:tc>
          <w:tcPr>
            <w:tcW w:w="2214" w:type="dxa"/>
            <w:tcBorders>
              <w:top w:val="nil"/>
              <w:left w:val="nil"/>
              <w:bottom w:val="single" w:color="auto" w:sz="4" w:space="0"/>
              <w:right w:val="single" w:color="auto" w:sz="4" w:space="0"/>
            </w:tcBorders>
            <w:shd w:val="clear" w:color="auto" w:fill="auto"/>
            <w:noWrap/>
            <w:vAlign w:val="center"/>
          </w:tcPr>
          <w:p w14:paraId="6614148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其他交通费用</w:t>
            </w:r>
          </w:p>
        </w:tc>
        <w:tc>
          <w:tcPr>
            <w:tcW w:w="921" w:type="dxa"/>
            <w:tcBorders>
              <w:top w:val="nil"/>
              <w:left w:val="nil"/>
              <w:bottom w:val="single" w:color="auto" w:sz="4" w:space="0"/>
              <w:right w:val="single" w:color="auto" w:sz="4" w:space="0"/>
            </w:tcBorders>
            <w:shd w:val="clear" w:color="auto" w:fill="auto"/>
            <w:noWrap/>
            <w:vAlign w:val="center"/>
          </w:tcPr>
          <w:p w14:paraId="77B6E5F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0.45</w:t>
            </w:r>
          </w:p>
        </w:tc>
        <w:tc>
          <w:tcPr>
            <w:tcW w:w="1095" w:type="dxa"/>
            <w:tcBorders>
              <w:top w:val="nil"/>
              <w:left w:val="nil"/>
              <w:bottom w:val="single" w:color="auto" w:sz="4" w:space="0"/>
              <w:right w:val="single" w:color="auto" w:sz="4" w:space="0"/>
            </w:tcBorders>
            <w:shd w:val="clear" w:color="auto" w:fill="auto"/>
            <w:noWrap/>
            <w:vAlign w:val="center"/>
          </w:tcPr>
          <w:p w14:paraId="12E1E82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39910</w:t>
            </w:r>
          </w:p>
        </w:tc>
        <w:tc>
          <w:tcPr>
            <w:tcW w:w="3675" w:type="dxa"/>
            <w:tcBorders>
              <w:top w:val="nil"/>
              <w:left w:val="nil"/>
              <w:bottom w:val="single" w:color="auto" w:sz="4" w:space="0"/>
              <w:right w:val="single" w:color="auto" w:sz="4" w:space="0"/>
            </w:tcBorders>
            <w:shd w:val="clear" w:color="auto" w:fill="auto"/>
            <w:noWrap/>
            <w:vAlign w:val="center"/>
          </w:tcPr>
          <w:p w14:paraId="0DF13AE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资本性赠与</w:t>
            </w:r>
          </w:p>
        </w:tc>
        <w:tc>
          <w:tcPr>
            <w:tcW w:w="674" w:type="dxa"/>
            <w:tcBorders>
              <w:top w:val="nil"/>
              <w:left w:val="nil"/>
              <w:bottom w:val="single" w:color="auto" w:sz="4" w:space="0"/>
              <w:right w:val="single" w:color="auto" w:sz="4" w:space="0"/>
            </w:tcBorders>
            <w:shd w:val="clear" w:color="auto" w:fill="auto"/>
            <w:noWrap/>
            <w:vAlign w:val="center"/>
          </w:tcPr>
          <w:p w14:paraId="00DEA28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2BE3D658">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1569DD4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30311</w:t>
            </w:r>
          </w:p>
        </w:tc>
        <w:tc>
          <w:tcPr>
            <w:tcW w:w="2940" w:type="dxa"/>
            <w:tcBorders>
              <w:top w:val="nil"/>
              <w:left w:val="nil"/>
              <w:bottom w:val="single" w:color="auto" w:sz="4" w:space="0"/>
              <w:right w:val="single" w:color="auto" w:sz="4" w:space="0"/>
            </w:tcBorders>
            <w:shd w:val="clear" w:color="auto" w:fill="auto"/>
            <w:noWrap/>
            <w:vAlign w:val="center"/>
          </w:tcPr>
          <w:p w14:paraId="7C9BFCF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代缴社会保险费</w:t>
            </w:r>
          </w:p>
        </w:tc>
        <w:tc>
          <w:tcPr>
            <w:tcW w:w="1050" w:type="dxa"/>
            <w:tcBorders>
              <w:top w:val="nil"/>
              <w:left w:val="nil"/>
              <w:bottom w:val="single" w:color="auto" w:sz="4" w:space="0"/>
              <w:right w:val="single" w:color="auto" w:sz="4" w:space="0"/>
            </w:tcBorders>
            <w:shd w:val="clear" w:color="auto" w:fill="auto"/>
            <w:noWrap/>
            <w:vAlign w:val="center"/>
          </w:tcPr>
          <w:p w14:paraId="47A27E1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2E1A537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30240</w:t>
            </w:r>
          </w:p>
        </w:tc>
        <w:tc>
          <w:tcPr>
            <w:tcW w:w="2214" w:type="dxa"/>
            <w:tcBorders>
              <w:top w:val="nil"/>
              <w:left w:val="nil"/>
              <w:bottom w:val="single" w:color="auto" w:sz="4" w:space="0"/>
              <w:right w:val="single" w:color="auto" w:sz="4" w:space="0"/>
            </w:tcBorders>
            <w:shd w:val="clear" w:color="auto" w:fill="auto"/>
            <w:noWrap/>
            <w:vAlign w:val="center"/>
          </w:tcPr>
          <w:p w14:paraId="0311B00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税金及附加费用</w:t>
            </w:r>
          </w:p>
        </w:tc>
        <w:tc>
          <w:tcPr>
            <w:tcW w:w="921" w:type="dxa"/>
            <w:tcBorders>
              <w:top w:val="nil"/>
              <w:left w:val="nil"/>
              <w:bottom w:val="single" w:color="auto" w:sz="4" w:space="0"/>
              <w:right w:val="single" w:color="auto" w:sz="4" w:space="0"/>
            </w:tcBorders>
            <w:shd w:val="clear" w:color="auto" w:fill="auto"/>
            <w:noWrap/>
            <w:vAlign w:val="center"/>
          </w:tcPr>
          <w:p w14:paraId="1CC565F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95" w:type="dxa"/>
            <w:tcBorders>
              <w:top w:val="nil"/>
              <w:left w:val="nil"/>
              <w:bottom w:val="single" w:color="auto" w:sz="4" w:space="0"/>
              <w:right w:val="single" w:color="auto" w:sz="4" w:space="0"/>
            </w:tcBorders>
            <w:shd w:val="clear" w:color="auto" w:fill="auto"/>
            <w:noWrap/>
            <w:vAlign w:val="center"/>
          </w:tcPr>
          <w:p w14:paraId="7A618AB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39999</w:t>
            </w:r>
          </w:p>
        </w:tc>
        <w:tc>
          <w:tcPr>
            <w:tcW w:w="3675" w:type="dxa"/>
            <w:tcBorders>
              <w:top w:val="nil"/>
              <w:left w:val="nil"/>
              <w:bottom w:val="single" w:color="auto" w:sz="4" w:space="0"/>
              <w:right w:val="single" w:color="auto" w:sz="4" w:space="0"/>
            </w:tcBorders>
            <w:shd w:val="clear" w:color="auto" w:fill="auto"/>
            <w:noWrap/>
            <w:vAlign w:val="center"/>
          </w:tcPr>
          <w:p w14:paraId="0F5C1DC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其他支出</w:t>
            </w:r>
          </w:p>
        </w:tc>
        <w:tc>
          <w:tcPr>
            <w:tcW w:w="674" w:type="dxa"/>
            <w:tcBorders>
              <w:top w:val="nil"/>
              <w:left w:val="nil"/>
              <w:bottom w:val="single" w:color="auto" w:sz="4" w:space="0"/>
              <w:right w:val="single" w:color="auto" w:sz="4" w:space="0"/>
            </w:tcBorders>
            <w:shd w:val="clear" w:color="auto" w:fill="auto"/>
            <w:noWrap/>
            <w:vAlign w:val="center"/>
          </w:tcPr>
          <w:p w14:paraId="070B2A0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5F010CA6">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6CAFAB5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30399</w:t>
            </w:r>
          </w:p>
        </w:tc>
        <w:tc>
          <w:tcPr>
            <w:tcW w:w="2940" w:type="dxa"/>
            <w:tcBorders>
              <w:top w:val="nil"/>
              <w:left w:val="nil"/>
              <w:bottom w:val="single" w:color="auto" w:sz="4" w:space="0"/>
              <w:right w:val="single" w:color="auto" w:sz="4" w:space="0"/>
            </w:tcBorders>
            <w:shd w:val="clear" w:color="auto" w:fill="auto"/>
            <w:noWrap/>
            <w:vAlign w:val="center"/>
          </w:tcPr>
          <w:p w14:paraId="341E790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其他对个人和家庭的补助</w:t>
            </w:r>
          </w:p>
        </w:tc>
        <w:tc>
          <w:tcPr>
            <w:tcW w:w="1050" w:type="dxa"/>
            <w:tcBorders>
              <w:top w:val="nil"/>
              <w:left w:val="nil"/>
              <w:bottom w:val="single" w:color="auto" w:sz="4" w:space="0"/>
              <w:right w:val="single" w:color="auto" w:sz="4" w:space="0"/>
            </w:tcBorders>
            <w:shd w:val="clear" w:color="auto" w:fill="auto"/>
            <w:noWrap/>
            <w:vAlign w:val="center"/>
          </w:tcPr>
          <w:p w14:paraId="3986B6C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626B500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30299</w:t>
            </w:r>
          </w:p>
        </w:tc>
        <w:tc>
          <w:tcPr>
            <w:tcW w:w="2214" w:type="dxa"/>
            <w:tcBorders>
              <w:top w:val="nil"/>
              <w:left w:val="nil"/>
              <w:bottom w:val="single" w:color="auto" w:sz="4" w:space="0"/>
              <w:right w:val="single" w:color="auto" w:sz="4" w:space="0"/>
            </w:tcBorders>
            <w:shd w:val="clear" w:color="auto" w:fill="auto"/>
            <w:noWrap/>
            <w:vAlign w:val="center"/>
          </w:tcPr>
          <w:p w14:paraId="098D083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pacing w:val="-11"/>
                <w:w w:val="90"/>
                <w:sz w:val="24"/>
                <w:szCs w:val="24"/>
                <w:highlight w:val="none"/>
                <w:lang w:val="en-US" w:eastAsia="zh-CN"/>
              </w:rPr>
              <w:t xml:space="preserve"> 其他商品和服务支出</w:t>
            </w:r>
          </w:p>
        </w:tc>
        <w:tc>
          <w:tcPr>
            <w:tcW w:w="921" w:type="dxa"/>
            <w:tcBorders>
              <w:top w:val="nil"/>
              <w:left w:val="nil"/>
              <w:bottom w:val="single" w:color="auto" w:sz="4" w:space="0"/>
              <w:right w:val="single" w:color="auto" w:sz="4" w:space="0"/>
            </w:tcBorders>
            <w:shd w:val="clear" w:color="auto" w:fill="auto"/>
            <w:noWrap/>
            <w:vAlign w:val="center"/>
          </w:tcPr>
          <w:p w14:paraId="7B87CE6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20.58</w:t>
            </w:r>
          </w:p>
        </w:tc>
        <w:tc>
          <w:tcPr>
            <w:tcW w:w="1095" w:type="dxa"/>
            <w:tcBorders>
              <w:top w:val="nil"/>
              <w:left w:val="nil"/>
              <w:bottom w:val="single" w:color="auto" w:sz="4" w:space="0"/>
              <w:right w:val="single" w:color="auto" w:sz="4" w:space="0"/>
            </w:tcBorders>
            <w:shd w:val="clear" w:color="auto" w:fill="auto"/>
            <w:noWrap/>
            <w:vAlign w:val="center"/>
          </w:tcPr>
          <w:p w14:paraId="5274E3E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675" w:type="dxa"/>
            <w:tcBorders>
              <w:top w:val="nil"/>
              <w:left w:val="nil"/>
              <w:bottom w:val="single" w:color="auto" w:sz="4" w:space="0"/>
              <w:right w:val="single" w:color="auto" w:sz="4" w:space="0"/>
            </w:tcBorders>
            <w:shd w:val="clear" w:color="auto" w:fill="auto"/>
            <w:noWrap/>
            <w:vAlign w:val="center"/>
          </w:tcPr>
          <w:p w14:paraId="14232E4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674" w:type="dxa"/>
            <w:tcBorders>
              <w:top w:val="nil"/>
              <w:left w:val="nil"/>
              <w:bottom w:val="single" w:color="auto" w:sz="4" w:space="0"/>
              <w:right w:val="single" w:color="auto" w:sz="4" w:space="0"/>
            </w:tcBorders>
            <w:shd w:val="clear" w:color="auto" w:fill="auto"/>
            <w:noWrap/>
            <w:vAlign w:val="center"/>
          </w:tcPr>
          <w:p w14:paraId="5945860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3A8B8A10">
        <w:tblPrEx>
          <w:tblCellMar>
            <w:top w:w="0" w:type="dxa"/>
            <w:left w:w="0" w:type="dxa"/>
            <w:bottom w:w="0" w:type="dxa"/>
            <w:right w:w="0" w:type="dxa"/>
          </w:tblCellMar>
        </w:tblPrEx>
        <w:trPr>
          <w:trHeight w:val="445" w:hRule="exact"/>
          <w:jc w:val="center"/>
        </w:trPr>
        <w:tc>
          <w:tcPr>
            <w:tcW w:w="915" w:type="dxa"/>
            <w:tcBorders>
              <w:top w:val="nil"/>
              <w:left w:val="single" w:color="auto" w:sz="4" w:space="0"/>
              <w:bottom w:val="single" w:color="auto" w:sz="4" w:space="0"/>
              <w:right w:val="single" w:color="auto" w:sz="4" w:space="0"/>
            </w:tcBorders>
            <w:shd w:val="clear" w:color="auto" w:fill="auto"/>
            <w:noWrap/>
            <w:vAlign w:val="center"/>
          </w:tcPr>
          <w:p w14:paraId="164E45A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940" w:type="dxa"/>
            <w:tcBorders>
              <w:top w:val="nil"/>
              <w:left w:val="nil"/>
              <w:bottom w:val="single" w:color="auto" w:sz="4" w:space="0"/>
              <w:right w:val="single" w:color="auto" w:sz="4" w:space="0"/>
            </w:tcBorders>
            <w:shd w:val="clear" w:color="auto" w:fill="auto"/>
            <w:noWrap/>
            <w:vAlign w:val="center"/>
          </w:tcPr>
          <w:p w14:paraId="4D46259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050" w:type="dxa"/>
            <w:tcBorders>
              <w:top w:val="nil"/>
              <w:left w:val="nil"/>
              <w:bottom w:val="single" w:color="auto" w:sz="4" w:space="0"/>
              <w:right w:val="single" w:color="auto" w:sz="4" w:space="0"/>
            </w:tcBorders>
            <w:shd w:val="clear" w:color="auto" w:fill="auto"/>
            <w:noWrap/>
            <w:vAlign w:val="center"/>
          </w:tcPr>
          <w:p w14:paraId="2BADB1A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0" w:type="dxa"/>
            <w:tcBorders>
              <w:top w:val="nil"/>
              <w:left w:val="nil"/>
              <w:bottom w:val="single" w:color="auto" w:sz="4" w:space="0"/>
              <w:right w:val="single" w:color="auto" w:sz="4" w:space="0"/>
            </w:tcBorders>
            <w:shd w:val="clear" w:color="auto" w:fill="auto"/>
            <w:noWrap/>
            <w:vAlign w:val="center"/>
          </w:tcPr>
          <w:p w14:paraId="0DE5AE6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2214" w:type="dxa"/>
            <w:noWrap/>
          </w:tcPr>
          <w:p w14:paraId="1CC668F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921" w:type="dxa"/>
            <w:tcBorders>
              <w:top w:val="nil"/>
              <w:left w:val="nil"/>
              <w:bottom w:val="single" w:color="auto" w:sz="4" w:space="0"/>
              <w:right w:val="single" w:color="auto" w:sz="4" w:space="0"/>
            </w:tcBorders>
            <w:shd w:val="clear" w:color="auto" w:fill="auto"/>
            <w:noWrap/>
            <w:vAlign w:val="center"/>
          </w:tcPr>
          <w:p w14:paraId="2AF48BA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1095" w:type="dxa"/>
            <w:tcBorders>
              <w:top w:val="nil"/>
              <w:left w:val="nil"/>
              <w:bottom w:val="single" w:color="auto" w:sz="4" w:space="0"/>
              <w:right w:val="single" w:color="auto" w:sz="4" w:space="0"/>
            </w:tcBorders>
            <w:shd w:val="clear" w:color="auto" w:fill="auto"/>
            <w:noWrap/>
            <w:vAlign w:val="center"/>
          </w:tcPr>
          <w:p w14:paraId="5B31621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3675" w:type="dxa"/>
            <w:tcBorders>
              <w:top w:val="nil"/>
              <w:left w:val="nil"/>
              <w:bottom w:val="single" w:color="auto" w:sz="4" w:space="0"/>
              <w:right w:val="single" w:color="auto" w:sz="4" w:space="0"/>
            </w:tcBorders>
            <w:shd w:val="clear" w:color="auto" w:fill="auto"/>
            <w:noWrap/>
            <w:vAlign w:val="center"/>
          </w:tcPr>
          <w:p w14:paraId="3DCCC4D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p>
        </w:tc>
        <w:tc>
          <w:tcPr>
            <w:tcW w:w="674" w:type="dxa"/>
            <w:tcBorders>
              <w:top w:val="nil"/>
              <w:left w:val="nil"/>
              <w:bottom w:val="single" w:color="auto" w:sz="4" w:space="0"/>
              <w:right w:val="single" w:color="auto" w:sz="4" w:space="0"/>
            </w:tcBorders>
            <w:shd w:val="clear" w:color="auto" w:fill="auto"/>
            <w:noWrap/>
            <w:vAlign w:val="center"/>
          </w:tcPr>
          <w:p w14:paraId="7E221DF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637860AE">
        <w:tblPrEx>
          <w:tblCellMar>
            <w:top w:w="0" w:type="dxa"/>
            <w:left w:w="0" w:type="dxa"/>
            <w:bottom w:w="0" w:type="dxa"/>
            <w:right w:w="0" w:type="dxa"/>
          </w:tblCellMar>
        </w:tblPrEx>
        <w:trPr>
          <w:trHeight w:val="470" w:hRule="exact"/>
          <w:jc w:val="center"/>
        </w:trPr>
        <w:tc>
          <w:tcPr>
            <w:tcW w:w="38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417BF3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人员经费合计</w:t>
            </w:r>
          </w:p>
        </w:tc>
        <w:tc>
          <w:tcPr>
            <w:tcW w:w="1050" w:type="dxa"/>
            <w:tcBorders>
              <w:top w:val="nil"/>
              <w:left w:val="nil"/>
              <w:bottom w:val="single" w:color="auto" w:sz="4" w:space="0"/>
              <w:right w:val="single" w:color="auto" w:sz="4" w:space="0"/>
            </w:tcBorders>
            <w:shd w:val="clear" w:color="auto" w:fill="auto"/>
            <w:noWrap/>
            <w:vAlign w:val="center"/>
          </w:tcPr>
          <w:p w14:paraId="620B6AA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450.57</w:t>
            </w:r>
          </w:p>
        </w:tc>
        <w:tc>
          <w:tcPr>
            <w:tcW w:w="8985" w:type="dxa"/>
            <w:gridSpan w:val="5"/>
            <w:tcBorders>
              <w:top w:val="single" w:color="auto" w:sz="4" w:space="0"/>
              <w:left w:val="nil"/>
              <w:bottom w:val="single" w:color="auto" w:sz="4" w:space="0"/>
              <w:right w:val="single" w:color="auto" w:sz="4" w:space="0"/>
            </w:tcBorders>
            <w:shd w:val="clear" w:color="auto" w:fill="auto"/>
            <w:noWrap/>
            <w:vAlign w:val="center"/>
          </w:tcPr>
          <w:p w14:paraId="05BDB58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674" w:type="dxa"/>
            <w:tcBorders>
              <w:top w:val="nil"/>
              <w:left w:val="nil"/>
              <w:bottom w:val="single" w:color="auto" w:sz="4" w:space="0"/>
              <w:right w:val="single" w:color="auto" w:sz="4" w:space="0"/>
            </w:tcBorders>
            <w:shd w:val="clear" w:color="auto" w:fill="auto"/>
            <w:noWrap/>
            <w:vAlign w:val="center"/>
          </w:tcPr>
          <w:p w14:paraId="60301D6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bl>
    <w:p w14:paraId="690D1913">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注：本表反映部门本年度一般公共预算财政拨款基本支出明细情况。</w:t>
      </w:r>
    </w:p>
    <w:p w14:paraId="1074614F">
      <w:pPr>
        <w:keepNext w:val="0"/>
        <w:keepLines w:val="0"/>
        <w:pageBreakBefore w:val="0"/>
        <w:widowControl/>
        <w:shd w:val="clear"/>
        <w:kinsoku/>
        <w:topLinePunct w:val="0"/>
        <w:bidi w:val="0"/>
        <w:spacing w:line="560" w:lineRule="exact"/>
        <w:ind w:left="0" w:leftChars="0" w:firstLine="640" w:firstLineChars="200"/>
        <w:jc w:val="center"/>
        <w:textAlignment w:val="center"/>
        <w:rPr>
          <w:rFonts w:hint="eastAsia" w:ascii="仿宋" w:hAnsi="仿宋" w:eastAsia="仿宋" w:cs="仿宋"/>
          <w:color w:val="auto"/>
          <w:kern w:val="0"/>
          <w:sz w:val="32"/>
          <w:szCs w:val="32"/>
          <w:highlight w:val="none"/>
        </w:rPr>
      </w:pPr>
      <w:bookmarkStart w:id="3" w:name="_GoBack"/>
      <w:bookmarkEnd w:id="3"/>
    </w:p>
    <w:p w14:paraId="17885E68">
      <w:pPr>
        <w:shd w:val="clear"/>
        <w:rPr>
          <w:rFonts w:hint="eastAsia" w:ascii="仿宋" w:hAnsi="仿宋" w:eastAsia="仿宋" w:cs="仿宋"/>
          <w:color w:val="auto"/>
          <w:kern w:val="0"/>
          <w:sz w:val="36"/>
          <w:szCs w:val="36"/>
          <w:highlight w:val="none"/>
        </w:rPr>
      </w:pPr>
      <w:r>
        <w:rPr>
          <w:rFonts w:hint="eastAsia" w:ascii="仿宋" w:hAnsi="仿宋" w:eastAsia="仿宋" w:cs="仿宋"/>
          <w:color w:val="auto"/>
          <w:kern w:val="0"/>
          <w:sz w:val="36"/>
          <w:szCs w:val="36"/>
          <w:highlight w:val="none"/>
        </w:rPr>
        <w:br w:type="page"/>
      </w:r>
    </w:p>
    <w:p w14:paraId="34072D86">
      <w:pPr>
        <w:keepNext w:val="0"/>
        <w:keepLines w:val="0"/>
        <w:pageBreakBefore w:val="0"/>
        <w:widowControl/>
        <w:shd w:val="clear"/>
        <w:kinsoku/>
        <w:wordWrap/>
        <w:overflowPunct/>
        <w:topLinePunct w:val="0"/>
        <w:autoSpaceDE/>
        <w:autoSpaceDN/>
        <w:bidi w:val="0"/>
        <w:adjustRightInd/>
        <w:snapToGrid/>
        <w:spacing w:line="40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p>
    <w:p w14:paraId="0F87F134">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政府性基金预算财政拨款收入支出决算表</w:t>
      </w:r>
    </w:p>
    <w:p w14:paraId="62DFE2C0">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40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lang w:val="en-US" w:eastAsia="zh-CN"/>
        </w:rPr>
        <w:t xml:space="preserve">                                                                    </w:t>
      </w:r>
      <w:r>
        <w:rPr>
          <w:rFonts w:hint="eastAsia" w:ascii="宋体" w:hAnsi="宋体" w:eastAsia="宋体" w:cs="宋体"/>
          <w:color w:val="auto"/>
          <w:kern w:val="0"/>
          <w:sz w:val="28"/>
          <w:szCs w:val="28"/>
          <w:highlight w:val="none"/>
          <w:lang w:val="en-US" w:eastAsia="zh-CN"/>
        </w:rPr>
        <w:t>公开07表</w:t>
      </w:r>
    </w:p>
    <w:p w14:paraId="11F79146">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部门：</w:t>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单位：万元</w:t>
      </w:r>
    </w:p>
    <w:tbl>
      <w:tblPr>
        <w:tblStyle w:val="12"/>
        <w:tblW w:w="14336" w:type="dxa"/>
        <w:jc w:val="center"/>
        <w:tblLayout w:type="fixed"/>
        <w:tblCellMar>
          <w:top w:w="0" w:type="dxa"/>
          <w:left w:w="108" w:type="dxa"/>
          <w:bottom w:w="0" w:type="dxa"/>
          <w:right w:w="108" w:type="dxa"/>
        </w:tblCellMar>
      </w:tblPr>
      <w:tblGrid>
        <w:gridCol w:w="1498"/>
        <w:gridCol w:w="1278"/>
        <w:gridCol w:w="1919"/>
        <w:gridCol w:w="1944"/>
        <w:gridCol w:w="2090"/>
        <w:gridCol w:w="1767"/>
        <w:gridCol w:w="1920"/>
        <w:gridCol w:w="1920"/>
      </w:tblGrid>
      <w:tr w14:paraId="2FE230F3">
        <w:tblPrEx>
          <w:tblCellMar>
            <w:top w:w="0" w:type="dxa"/>
            <w:left w:w="108" w:type="dxa"/>
            <w:bottom w:w="0" w:type="dxa"/>
            <w:right w:w="108" w:type="dxa"/>
          </w:tblCellMar>
        </w:tblPrEx>
        <w:trPr>
          <w:trHeight w:val="453" w:hRule="atLeast"/>
          <w:jc w:val="center"/>
        </w:trPr>
        <w:tc>
          <w:tcPr>
            <w:tcW w:w="27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B170C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    目</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4E2D1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年初结转和结余</w:t>
            </w:r>
          </w:p>
        </w:tc>
        <w:tc>
          <w:tcPr>
            <w:tcW w:w="19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1B155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本年收入</w:t>
            </w:r>
          </w:p>
        </w:tc>
        <w:tc>
          <w:tcPr>
            <w:tcW w:w="577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61549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本年支出</w:t>
            </w:r>
          </w:p>
        </w:tc>
        <w:tc>
          <w:tcPr>
            <w:tcW w:w="19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FCEF0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年末结转和结余</w:t>
            </w:r>
          </w:p>
        </w:tc>
      </w:tr>
      <w:tr w14:paraId="01391CAD">
        <w:tblPrEx>
          <w:tblCellMar>
            <w:top w:w="0" w:type="dxa"/>
            <w:left w:w="108" w:type="dxa"/>
            <w:bottom w:w="0" w:type="dxa"/>
            <w:right w:w="108" w:type="dxa"/>
          </w:tblCellMar>
        </w:tblPrEx>
        <w:trPr>
          <w:trHeight w:val="312" w:hRule="exact"/>
          <w:jc w:val="center"/>
        </w:trPr>
        <w:tc>
          <w:tcPr>
            <w:tcW w:w="14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7B2CA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科目代码</w:t>
            </w:r>
          </w:p>
        </w:tc>
        <w:tc>
          <w:tcPr>
            <w:tcW w:w="12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FEA1D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科目名称</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3CEED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6EC7D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20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8F9A1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小计</w:t>
            </w:r>
          </w:p>
        </w:tc>
        <w:tc>
          <w:tcPr>
            <w:tcW w:w="17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AE7B0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基本支出  </w:t>
            </w:r>
          </w:p>
        </w:tc>
        <w:tc>
          <w:tcPr>
            <w:tcW w:w="19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082D1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项目支出</w:t>
            </w:r>
          </w:p>
        </w:tc>
        <w:tc>
          <w:tcPr>
            <w:tcW w:w="19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BD9FF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r>
      <w:tr w14:paraId="5B31A654">
        <w:tblPrEx>
          <w:tblCellMar>
            <w:top w:w="0" w:type="dxa"/>
            <w:left w:w="108" w:type="dxa"/>
            <w:bottom w:w="0" w:type="dxa"/>
            <w:right w:w="108" w:type="dxa"/>
          </w:tblCellMar>
        </w:tblPrEx>
        <w:trPr>
          <w:trHeight w:val="404" w:hRule="atLeast"/>
          <w:jc w:val="center"/>
        </w:trPr>
        <w:tc>
          <w:tcPr>
            <w:tcW w:w="14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AB037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2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F86B3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1DF30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88D48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20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58DD5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7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6C8BF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73D83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3420F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r>
      <w:tr w14:paraId="13266E2F">
        <w:tblPrEx>
          <w:tblCellMar>
            <w:top w:w="0" w:type="dxa"/>
            <w:left w:w="108" w:type="dxa"/>
            <w:bottom w:w="0" w:type="dxa"/>
            <w:right w:w="108" w:type="dxa"/>
          </w:tblCellMar>
        </w:tblPrEx>
        <w:trPr>
          <w:trHeight w:val="312" w:hRule="atLeast"/>
          <w:jc w:val="center"/>
        </w:trPr>
        <w:tc>
          <w:tcPr>
            <w:tcW w:w="14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A39F3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2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4EC6A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69EE1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989B8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20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7DD3D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7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10FD9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3FA35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9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76235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r>
      <w:tr w14:paraId="55195614">
        <w:tblPrEx>
          <w:tblCellMar>
            <w:top w:w="0" w:type="dxa"/>
            <w:left w:w="108" w:type="dxa"/>
            <w:bottom w:w="0" w:type="dxa"/>
            <w:right w:w="108" w:type="dxa"/>
          </w:tblCellMar>
        </w:tblPrEx>
        <w:trPr>
          <w:trHeight w:val="501" w:hRule="atLeast"/>
          <w:jc w:val="center"/>
        </w:trPr>
        <w:tc>
          <w:tcPr>
            <w:tcW w:w="27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FCEFE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栏次</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9BCED8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14:paraId="344312C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54EE5C2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p>
        </w:tc>
        <w:tc>
          <w:tcPr>
            <w:tcW w:w="1767" w:type="dxa"/>
            <w:tcBorders>
              <w:top w:val="single" w:color="auto" w:sz="4" w:space="0"/>
              <w:left w:val="single" w:color="auto" w:sz="4" w:space="0"/>
              <w:bottom w:val="single" w:color="auto" w:sz="4" w:space="0"/>
              <w:right w:val="single" w:color="auto" w:sz="4" w:space="0"/>
            </w:tcBorders>
            <w:shd w:val="clear" w:color="auto" w:fill="auto"/>
            <w:vAlign w:val="center"/>
          </w:tcPr>
          <w:p w14:paraId="7DB7A5A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AC8E52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0D14E1B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w:t>
            </w:r>
          </w:p>
        </w:tc>
      </w:tr>
      <w:tr w14:paraId="1BBB7BD8">
        <w:tblPrEx>
          <w:tblCellMar>
            <w:top w:w="0" w:type="dxa"/>
            <w:left w:w="108" w:type="dxa"/>
            <w:bottom w:w="0" w:type="dxa"/>
            <w:right w:w="108" w:type="dxa"/>
          </w:tblCellMar>
        </w:tblPrEx>
        <w:trPr>
          <w:trHeight w:val="1514" w:hRule="atLeast"/>
          <w:jc w:val="center"/>
        </w:trPr>
        <w:tc>
          <w:tcPr>
            <w:tcW w:w="27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A0ABA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合计</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D3F6DF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14:paraId="3AA0089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308F4CC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我单位没有政府性基金收入，也没有使用政府性基金安排的支出，故本表无数据</w:t>
            </w:r>
          </w:p>
        </w:tc>
        <w:tc>
          <w:tcPr>
            <w:tcW w:w="1767" w:type="dxa"/>
            <w:tcBorders>
              <w:top w:val="single" w:color="auto" w:sz="4" w:space="0"/>
              <w:left w:val="single" w:color="auto" w:sz="4" w:space="0"/>
              <w:bottom w:val="single" w:color="auto" w:sz="4" w:space="0"/>
              <w:right w:val="single" w:color="auto" w:sz="4" w:space="0"/>
            </w:tcBorders>
            <w:shd w:val="clear" w:color="auto" w:fill="auto"/>
            <w:vAlign w:val="center"/>
          </w:tcPr>
          <w:p w14:paraId="61738C1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25DC0EC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426B95F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25CB6F9A">
        <w:tblPrEx>
          <w:tblCellMar>
            <w:top w:w="0" w:type="dxa"/>
            <w:left w:w="108" w:type="dxa"/>
            <w:bottom w:w="0" w:type="dxa"/>
            <w:right w:w="108" w:type="dxa"/>
          </w:tblCellMar>
        </w:tblPrEx>
        <w:trPr>
          <w:trHeight w:val="501"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79AA358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278" w:type="dxa"/>
            <w:tcBorders>
              <w:top w:val="single" w:color="auto" w:sz="4" w:space="0"/>
              <w:left w:val="single" w:color="auto" w:sz="4" w:space="0"/>
              <w:bottom w:val="single" w:color="auto" w:sz="4" w:space="0"/>
              <w:right w:val="single" w:color="auto" w:sz="4" w:space="0"/>
            </w:tcBorders>
            <w:shd w:val="clear" w:color="auto" w:fill="auto"/>
            <w:vAlign w:val="center"/>
          </w:tcPr>
          <w:p w14:paraId="08D8995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525C02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14:paraId="163E4A4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1A7F821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767" w:type="dxa"/>
            <w:tcBorders>
              <w:top w:val="single" w:color="auto" w:sz="4" w:space="0"/>
              <w:left w:val="single" w:color="auto" w:sz="4" w:space="0"/>
              <w:bottom w:val="single" w:color="auto" w:sz="4" w:space="0"/>
              <w:right w:val="single" w:color="auto" w:sz="4" w:space="0"/>
            </w:tcBorders>
            <w:shd w:val="clear" w:color="auto" w:fill="auto"/>
            <w:vAlign w:val="center"/>
          </w:tcPr>
          <w:p w14:paraId="071D1EC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801700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BE632B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9788495">
        <w:tblPrEx>
          <w:tblCellMar>
            <w:top w:w="0" w:type="dxa"/>
            <w:left w:w="108" w:type="dxa"/>
            <w:bottom w:w="0" w:type="dxa"/>
            <w:right w:w="108" w:type="dxa"/>
          </w:tblCellMar>
        </w:tblPrEx>
        <w:trPr>
          <w:trHeight w:val="501"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4977A10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278" w:type="dxa"/>
            <w:tcBorders>
              <w:top w:val="single" w:color="auto" w:sz="4" w:space="0"/>
              <w:left w:val="single" w:color="auto" w:sz="4" w:space="0"/>
              <w:bottom w:val="single" w:color="auto" w:sz="4" w:space="0"/>
              <w:right w:val="single" w:color="auto" w:sz="4" w:space="0"/>
            </w:tcBorders>
            <w:shd w:val="clear" w:color="auto" w:fill="auto"/>
            <w:vAlign w:val="center"/>
          </w:tcPr>
          <w:p w14:paraId="45054AA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A45EA5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14:paraId="7551D03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2DC0CFE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767" w:type="dxa"/>
            <w:tcBorders>
              <w:top w:val="single" w:color="auto" w:sz="4" w:space="0"/>
              <w:left w:val="single" w:color="auto" w:sz="4" w:space="0"/>
              <w:bottom w:val="single" w:color="auto" w:sz="4" w:space="0"/>
              <w:right w:val="single" w:color="auto" w:sz="4" w:space="0"/>
            </w:tcBorders>
            <w:shd w:val="clear" w:color="auto" w:fill="auto"/>
            <w:vAlign w:val="center"/>
          </w:tcPr>
          <w:p w14:paraId="32F9D5C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27DAAA2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BBB090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FB3C287">
        <w:tblPrEx>
          <w:tblCellMar>
            <w:top w:w="0" w:type="dxa"/>
            <w:left w:w="108" w:type="dxa"/>
            <w:bottom w:w="0" w:type="dxa"/>
            <w:right w:w="108" w:type="dxa"/>
          </w:tblCellMar>
        </w:tblPrEx>
        <w:trPr>
          <w:trHeight w:val="501"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1ACC516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278" w:type="dxa"/>
            <w:tcBorders>
              <w:top w:val="single" w:color="auto" w:sz="4" w:space="0"/>
              <w:left w:val="single" w:color="auto" w:sz="4" w:space="0"/>
              <w:bottom w:val="single" w:color="auto" w:sz="4" w:space="0"/>
              <w:right w:val="single" w:color="auto" w:sz="4" w:space="0"/>
            </w:tcBorders>
            <w:shd w:val="clear" w:color="auto" w:fill="auto"/>
            <w:vAlign w:val="center"/>
          </w:tcPr>
          <w:p w14:paraId="44F9D0A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4456EF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14:paraId="6FA413C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2F4C6F1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767" w:type="dxa"/>
            <w:tcBorders>
              <w:top w:val="single" w:color="auto" w:sz="4" w:space="0"/>
              <w:left w:val="single" w:color="auto" w:sz="4" w:space="0"/>
              <w:bottom w:val="single" w:color="auto" w:sz="4" w:space="0"/>
              <w:right w:val="single" w:color="auto" w:sz="4" w:space="0"/>
            </w:tcBorders>
            <w:shd w:val="clear" w:color="auto" w:fill="auto"/>
            <w:vAlign w:val="center"/>
          </w:tcPr>
          <w:p w14:paraId="793C5F4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754929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09B344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64807BD7">
        <w:tblPrEx>
          <w:tblCellMar>
            <w:top w:w="0" w:type="dxa"/>
            <w:left w:w="108" w:type="dxa"/>
            <w:bottom w:w="0" w:type="dxa"/>
            <w:right w:w="108" w:type="dxa"/>
          </w:tblCellMar>
        </w:tblPrEx>
        <w:trPr>
          <w:trHeight w:val="501"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4A1324C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278" w:type="dxa"/>
            <w:tcBorders>
              <w:top w:val="single" w:color="auto" w:sz="4" w:space="0"/>
              <w:left w:val="single" w:color="auto" w:sz="4" w:space="0"/>
              <w:bottom w:val="single" w:color="auto" w:sz="4" w:space="0"/>
              <w:right w:val="single" w:color="auto" w:sz="4" w:space="0"/>
            </w:tcBorders>
            <w:shd w:val="clear" w:color="auto" w:fill="auto"/>
            <w:vAlign w:val="center"/>
          </w:tcPr>
          <w:p w14:paraId="35A8C3D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CF1DCA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14:paraId="6AE3A74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4C76E5C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767" w:type="dxa"/>
            <w:tcBorders>
              <w:top w:val="single" w:color="auto" w:sz="4" w:space="0"/>
              <w:left w:val="single" w:color="auto" w:sz="4" w:space="0"/>
              <w:bottom w:val="single" w:color="auto" w:sz="4" w:space="0"/>
              <w:right w:val="single" w:color="auto" w:sz="4" w:space="0"/>
            </w:tcBorders>
            <w:shd w:val="clear" w:color="auto" w:fill="auto"/>
            <w:vAlign w:val="center"/>
          </w:tcPr>
          <w:p w14:paraId="5C776DE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C08194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0CD761D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7C48280">
        <w:tblPrEx>
          <w:tblCellMar>
            <w:top w:w="0" w:type="dxa"/>
            <w:left w:w="108" w:type="dxa"/>
            <w:bottom w:w="0" w:type="dxa"/>
            <w:right w:w="108" w:type="dxa"/>
          </w:tblCellMar>
        </w:tblPrEx>
        <w:trPr>
          <w:trHeight w:val="51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10AEF05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278" w:type="dxa"/>
            <w:tcBorders>
              <w:top w:val="single" w:color="auto" w:sz="4" w:space="0"/>
              <w:left w:val="single" w:color="auto" w:sz="4" w:space="0"/>
              <w:bottom w:val="single" w:color="auto" w:sz="4" w:space="0"/>
              <w:right w:val="single" w:color="auto" w:sz="4" w:space="0"/>
            </w:tcBorders>
            <w:shd w:val="clear" w:color="auto" w:fill="auto"/>
            <w:vAlign w:val="center"/>
          </w:tcPr>
          <w:p w14:paraId="6119C89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807AC0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14:paraId="79B8030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3B0EFD5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767" w:type="dxa"/>
            <w:tcBorders>
              <w:top w:val="single" w:color="auto" w:sz="4" w:space="0"/>
              <w:left w:val="single" w:color="auto" w:sz="4" w:space="0"/>
              <w:bottom w:val="single" w:color="auto" w:sz="4" w:space="0"/>
              <w:right w:val="single" w:color="auto" w:sz="4" w:space="0"/>
            </w:tcBorders>
            <w:shd w:val="clear" w:color="auto" w:fill="auto"/>
            <w:vAlign w:val="center"/>
          </w:tcPr>
          <w:p w14:paraId="589E2DE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26E3FC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6E18629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bl>
    <w:p w14:paraId="6F45471D">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仿宋" w:hAnsi="仿宋" w:eastAsia="仿宋" w:cs="仿宋"/>
          <w:color w:val="auto"/>
          <w:kern w:val="0"/>
          <w:sz w:val="24"/>
          <w:szCs w:val="24"/>
          <w:highlight w:val="none"/>
        </w:rPr>
      </w:pPr>
      <w:r>
        <w:rPr>
          <w:rFonts w:hint="eastAsia" w:ascii="宋体" w:hAnsi="宋体" w:eastAsia="宋体" w:cs="宋体"/>
          <w:color w:val="auto"/>
          <w:kern w:val="0"/>
          <w:sz w:val="28"/>
          <w:szCs w:val="28"/>
          <w:highlight w:val="none"/>
          <w:lang w:val="en-US" w:eastAsia="zh-CN"/>
        </w:rPr>
        <w:t>注：本表反映部门本年度政府性基金预算财政拨款收入、支出及结转和结余情况。</w:t>
      </w:r>
    </w:p>
    <w:p w14:paraId="4ECC0A77">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说明：我单位没有政府性基金收入，也没有使用政府性基金安排的支出，故本表无数据。（当表格数据为空时，应有此说明）</w:t>
      </w:r>
    </w:p>
    <w:p w14:paraId="157C30FA">
      <w:pPr>
        <w:keepNext w:val="0"/>
        <w:keepLines w:val="0"/>
        <w:pageBreakBefore w:val="0"/>
        <w:widowControl/>
        <w:shd w:val="clear"/>
        <w:kinsoku/>
        <w:topLinePunct w:val="0"/>
        <w:bidi w:val="0"/>
        <w:spacing w:line="560" w:lineRule="exact"/>
        <w:ind w:left="0" w:leftChars="0" w:firstLine="720" w:firstLineChars="200"/>
        <w:textAlignment w:val="center"/>
        <w:rPr>
          <w:rFonts w:hint="eastAsia" w:ascii="仿宋" w:hAnsi="仿宋" w:eastAsia="仿宋" w:cs="仿宋"/>
          <w:color w:val="auto"/>
          <w:kern w:val="0"/>
          <w:sz w:val="36"/>
          <w:szCs w:val="36"/>
          <w:highlight w:val="none"/>
        </w:rPr>
      </w:pPr>
    </w:p>
    <w:p w14:paraId="0FE44371">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国有资本经营预算财政拨款支出决算表</w:t>
      </w:r>
    </w:p>
    <w:p w14:paraId="52681EB0">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40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仿宋" w:hAnsi="仿宋" w:eastAsia="仿宋" w:cs="仿宋"/>
          <w:color w:val="auto"/>
          <w:kern w:val="0"/>
          <w:sz w:val="20"/>
          <w:szCs w:val="20"/>
          <w:highlight w:val="none"/>
        </w:rPr>
        <w:t xml:space="preserve">                                                                                                            </w:t>
      </w:r>
      <w:r>
        <w:rPr>
          <w:rFonts w:hint="eastAsia" w:ascii="宋体" w:hAnsi="宋体" w:eastAsia="宋体" w:cs="宋体"/>
          <w:color w:val="auto"/>
          <w:kern w:val="0"/>
          <w:sz w:val="28"/>
          <w:szCs w:val="28"/>
          <w:highlight w:val="none"/>
          <w:lang w:val="en-US" w:eastAsia="zh-CN"/>
        </w:rPr>
        <w:t>公开08表</w:t>
      </w:r>
    </w:p>
    <w:p w14:paraId="49ACB959">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部门：</w:t>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 xml:space="preserve">                                               单位：万元</w:t>
      </w:r>
    </w:p>
    <w:tbl>
      <w:tblPr>
        <w:tblStyle w:val="12"/>
        <w:tblW w:w="4996" w:type="pct"/>
        <w:tblInd w:w="0" w:type="dxa"/>
        <w:tblLayout w:type="autofit"/>
        <w:tblCellMar>
          <w:top w:w="0" w:type="dxa"/>
          <w:left w:w="108" w:type="dxa"/>
          <w:bottom w:w="0" w:type="dxa"/>
          <w:right w:w="108" w:type="dxa"/>
        </w:tblCellMar>
      </w:tblPr>
      <w:tblGrid>
        <w:gridCol w:w="1416"/>
        <w:gridCol w:w="4772"/>
        <w:gridCol w:w="1831"/>
        <w:gridCol w:w="3095"/>
        <w:gridCol w:w="3095"/>
      </w:tblGrid>
      <w:tr w14:paraId="2CA61987">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67DC4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    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464D3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本年支出</w:t>
            </w:r>
          </w:p>
        </w:tc>
      </w:tr>
      <w:tr w14:paraId="1CCB3163">
        <w:tblPrEx>
          <w:tblCellMar>
            <w:top w:w="0" w:type="dxa"/>
            <w:left w:w="108" w:type="dxa"/>
            <w:bottom w:w="0" w:type="dxa"/>
            <w:right w:w="108" w:type="dxa"/>
          </w:tblCellMar>
        </w:tblPrEx>
        <w:trPr>
          <w:trHeight w:val="312" w:hRule="exact"/>
        </w:trPr>
        <w:tc>
          <w:tcPr>
            <w:tcW w:w="4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89B67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科目代码</w:t>
            </w:r>
          </w:p>
        </w:tc>
        <w:tc>
          <w:tcPr>
            <w:tcW w:w="167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63C21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75080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9D67A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166AB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项目支出</w:t>
            </w:r>
          </w:p>
        </w:tc>
      </w:tr>
      <w:tr w14:paraId="61C18E5F">
        <w:tblPrEx>
          <w:tblCellMar>
            <w:top w:w="0" w:type="dxa"/>
            <w:left w:w="108" w:type="dxa"/>
            <w:bottom w:w="0" w:type="dxa"/>
            <w:right w:w="108" w:type="dxa"/>
          </w:tblCellMar>
        </w:tblPrEx>
        <w:trPr>
          <w:trHeight w:val="312" w:hRule="exact"/>
        </w:trPr>
        <w:tc>
          <w:tcPr>
            <w:tcW w:w="49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1EA67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159AB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A8557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EF142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9A70C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r>
      <w:tr w14:paraId="1840EC66">
        <w:tblPrEx>
          <w:tblCellMar>
            <w:top w:w="0" w:type="dxa"/>
            <w:left w:w="108" w:type="dxa"/>
            <w:bottom w:w="0" w:type="dxa"/>
            <w:right w:w="108" w:type="dxa"/>
          </w:tblCellMar>
        </w:tblPrEx>
        <w:trPr>
          <w:trHeight w:val="312" w:hRule="atLeast"/>
        </w:trPr>
        <w:tc>
          <w:tcPr>
            <w:tcW w:w="49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A291D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44469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27A2C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A368D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46C3C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r>
      <w:tr w14:paraId="665C9A50">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ED133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68D6C7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8EE7A5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ABD8E4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p>
        </w:tc>
      </w:tr>
      <w:tr w14:paraId="169A6D4B">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71547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DC8B69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518D82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0531BC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r>
      <w:tr w14:paraId="3D4B95D5">
        <w:tblPrEx>
          <w:tblCellMar>
            <w:top w:w="0" w:type="dxa"/>
            <w:left w:w="108" w:type="dxa"/>
            <w:bottom w:w="0" w:type="dxa"/>
            <w:right w:w="108" w:type="dxa"/>
          </w:tblCellMar>
        </w:tblPrEx>
        <w:trPr>
          <w:trHeight w:val="548" w:hRule="atLeast"/>
        </w:trPr>
        <w:tc>
          <w:tcPr>
            <w:tcW w:w="498" w:type="pct"/>
            <w:tcBorders>
              <w:top w:val="single" w:color="auto" w:sz="4" w:space="0"/>
              <w:left w:val="single" w:color="auto" w:sz="4" w:space="0"/>
              <w:bottom w:val="single" w:color="auto" w:sz="4" w:space="0"/>
              <w:right w:val="single" w:color="auto" w:sz="4" w:space="0"/>
            </w:tcBorders>
            <w:shd w:val="clear" w:color="auto" w:fill="auto"/>
            <w:vAlign w:val="center"/>
          </w:tcPr>
          <w:p w14:paraId="34C05AF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678" w:type="pct"/>
            <w:tcBorders>
              <w:top w:val="single" w:color="auto" w:sz="4" w:space="0"/>
              <w:left w:val="single" w:color="auto" w:sz="4" w:space="0"/>
              <w:bottom w:val="single" w:color="auto" w:sz="4" w:space="0"/>
              <w:right w:val="single" w:color="auto" w:sz="4" w:space="0"/>
            </w:tcBorders>
            <w:shd w:val="clear" w:color="auto" w:fill="auto"/>
            <w:vAlign w:val="center"/>
          </w:tcPr>
          <w:p w14:paraId="27634A1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我单位没有使用国有资本经营预算安排的支出，故本表无数据。</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BF8E5F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2021F2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EE5348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167B1F33">
        <w:tblPrEx>
          <w:tblCellMar>
            <w:top w:w="0" w:type="dxa"/>
            <w:left w:w="108" w:type="dxa"/>
            <w:bottom w:w="0" w:type="dxa"/>
            <w:right w:w="108" w:type="dxa"/>
          </w:tblCellMar>
        </w:tblPrEx>
        <w:trPr>
          <w:trHeight w:val="548" w:hRule="atLeast"/>
        </w:trPr>
        <w:tc>
          <w:tcPr>
            <w:tcW w:w="498" w:type="pct"/>
            <w:tcBorders>
              <w:top w:val="single" w:color="auto" w:sz="4" w:space="0"/>
              <w:left w:val="single" w:color="auto" w:sz="4" w:space="0"/>
              <w:bottom w:val="single" w:color="auto" w:sz="4" w:space="0"/>
              <w:right w:val="single" w:color="auto" w:sz="4" w:space="0"/>
            </w:tcBorders>
            <w:shd w:val="clear" w:color="auto" w:fill="auto"/>
            <w:vAlign w:val="center"/>
          </w:tcPr>
          <w:p w14:paraId="4B462EF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678" w:type="pct"/>
            <w:tcBorders>
              <w:top w:val="single" w:color="auto" w:sz="4" w:space="0"/>
              <w:left w:val="single" w:color="auto" w:sz="4" w:space="0"/>
              <w:bottom w:val="single" w:color="auto" w:sz="4" w:space="0"/>
              <w:right w:val="single" w:color="auto" w:sz="4" w:space="0"/>
            </w:tcBorders>
            <w:shd w:val="clear" w:color="auto" w:fill="auto"/>
            <w:vAlign w:val="center"/>
          </w:tcPr>
          <w:p w14:paraId="38B7FFC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A7F0D8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A6ECD6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8EC45D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8DA9E94">
        <w:tblPrEx>
          <w:tblCellMar>
            <w:top w:w="0" w:type="dxa"/>
            <w:left w:w="108" w:type="dxa"/>
            <w:bottom w:w="0" w:type="dxa"/>
            <w:right w:w="108" w:type="dxa"/>
          </w:tblCellMar>
        </w:tblPrEx>
        <w:trPr>
          <w:trHeight w:val="548" w:hRule="atLeast"/>
        </w:trPr>
        <w:tc>
          <w:tcPr>
            <w:tcW w:w="498" w:type="pct"/>
            <w:tcBorders>
              <w:top w:val="single" w:color="auto" w:sz="4" w:space="0"/>
              <w:left w:val="single" w:color="auto" w:sz="4" w:space="0"/>
              <w:bottom w:val="single" w:color="auto" w:sz="4" w:space="0"/>
              <w:right w:val="single" w:color="auto" w:sz="4" w:space="0"/>
            </w:tcBorders>
            <w:shd w:val="clear" w:color="auto" w:fill="auto"/>
            <w:vAlign w:val="center"/>
          </w:tcPr>
          <w:p w14:paraId="27FF696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678" w:type="pct"/>
            <w:tcBorders>
              <w:top w:val="single" w:color="auto" w:sz="4" w:space="0"/>
              <w:left w:val="single" w:color="auto" w:sz="4" w:space="0"/>
              <w:bottom w:val="single" w:color="auto" w:sz="4" w:space="0"/>
              <w:right w:val="single" w:color="auto" w:sz="4" w:space="0"/>
            </w:tcBorders>
            <w:shd w:val="clear" w:color="auto" w:fill="auto"/>
            <w:vAlign w:val="center"/>
          </w:tcPr>
          <w:p w14:paraId="6697E8B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18B530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882D097">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882236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2ED930B1">
        <w:tblPrEx>
          <w:tblCellMar>
            <w:top w:w="0" w:type="dxa"/>
            <w:left w:w="108" w:type="dxa"/>
            <w:bottom w:w="0" w:type="dxa"/>
            <w:right w:w="108" w:type="dxa"/>
          </w:tblCellMar>
        </w:tblPrEx>
        <w:trPr>
          <w:trHeight w:val="548" w:hRule="atLeast"/>
        </w:trPr>
        <w:tc>
          <w:tcPr>
            <w:tcW w:w="498" w:type="pct"/>
            <w:tcBorders>
              <w:top w:val="single" w:color="auto" w:sz="4" w:space="0"/>
              <w:left w:val="single" w:color="auto" w:sz="4" w:space="0"/>
              <w:bottom w:val="single" w:color="auto" w:sz="4" w:space="0"/>
              <w:right w:val="single" w:color="auto" w:sz="4" w:space="0"/>
            </w:tcBorders>
            <w:shd w:val="clear" w:color="auto" w:fill="auto"/>
            <w:vAlign w:val="center"/>
          </w:tcPr>
          <w:p w14:paraId="4D2F484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678" w:type="pct"/>
            <w:tcBorders>
              <w:top w:val="single" w:color="auto" w:sz="4" w:space="0"/>
              <w:left w:val="single" w:color="auto" w:sz="4" w:space="0"/>
              <w:bottom w:val="single" w:color="auto" w:sz="4" w:space="0"/>
              <w:right w:val="single" w:color="auto" w:sz="4" w:space="0"/>
            </w:tcBorders>
            <w:shd w:val="clear" w:color="auto" w:fill="auto"/>
            <w:vAlign w:val="center"/>
          </w:tcPr>
          <w:p w14:paraId="1777238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056ADA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A38158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C374D8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17419B2F">
        <w:tblPrEx>
          <w:tblCellMar>
            <w:top w:w="0" w:type="dxa"/>
            <w:left w:w="108" w:type="dxa"/>
            <w:bottom w:w="0" w:type="dxa"/>
            <w:right w:w="108" w:type="dxa"/>
          </w:tblCellMar>
        </w:tblPrEx>
        <w:trPr>
          <w:trHeight w:val="548" w:hRule="atLeast"/>
        </w:trPr>
        <w:tc>
          <w:tcPr>
            <w:tcW w:w="498" w:type="pct"/>
            <w:tcBorders>
              <w:top w:val="single" w:color="auto" w:sz="4" w:space="0"/>
              <w:left w:val="single" w:color="auto" w:sz="4" w:space="0"/>
              <w:bottom w:val="single" w:color="auto" w:sz="4" w:space="0"/>
              <w:right w:val="single" w:color="auto" w:sz="4" w:space="0"/>
            </w:tcBorders>
            <w:shd w:val="clear" w:color="auto" w:fill="auto"/>
            <w:vAlign w:val="center"/>
          </w:tcPr>
          <w:p w14:paraId="6A5A0AEA">
            <w:pPr>
              <w:keepNext w:val="0"/>
              <w:keepLines w:val="0"/>
              <w:pageBreakBefore w:val="0"/>
              <w:shd w:val="clear"/>
              <w:kinsoku/>
              <w:topLinePunct w:val="0"/>
              <w:bidi w:val="0"/>
              <w:spacing w:line="560" w:lineRule="exact"/>
              <w:ind w:left="0" w:leftChars="0" w:firstLine="480" w:firstLineChars="200"/>
              <w:jc w:val="center"/>
              <w:rPr>
                <w:rFonts w:hint="eastAsia" w:ascii="仿宋" w:hAnsi="仿宋" w:eastAsia="仿宋" w:cs="仿宋"/>
                <w:color w:val="auto"/>
                <w:sz w:val="24"/>
                <w:szCs w:val="24"/>
                <w:highlight w:val="none"/>
              </w:rPr>
            </w:pPr>
          </w:p>
        </w:tc>
        <w:tc>
          <w:tcPr>
            <w:tcW w:w="1678" w:type="pct"/>
            <w:tcBorders>
              <w:top w:val="single" w:color="auto" w:sz="4" w:space="0"/>
              <w:left w:val="single" w:color="auto" w:sz="4" w:space="0"/>
              <w:bottom w:val="single" w:color="auto" w:sz="4" w:space="0"/>
              <w:right w:val="single" w:color="auto" w:sz="4" w:space="0"/>
            </w:tcBorders>
            <w:shd w:val="clear" w:color="auto" w:fill="auto"/>
            <w:vAlign w:val="center"/>
          </w:tcPr>
          <w:p w14:paraId="6558D0D9">
            <w:pPr>
              <w:keepNext w:val="0"/>
              <w:keepLines w:val="0"/>
              <w:pageBreakBefore w:val="0"/>
              <w:shd w:val="clear"/>
              <w:kinsoku/>
              <w:topLinePunct w:val="0"/>
              <w:bidi w:val="0"/>
              <w:spacing w:line="560" w:lineRule="exact"/>
              <w:ind w:left="0" w:leftChars="0" w:firstLine="480" w:firstLineChars="200"/>
              <w:rPr>
                <w:rFonts w:hint="eastAsia" w:ascii="仿宋" w:hAnsi="仿宋" w:eastAsia="仿宋" w:cs="仿宋"/>
                <w:color w:val="auto"/>
                <w:sz w:val="24"/>
                <w:szCs w:val="24"/>
                <w:highlight w:val="none"/>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DCC6D78">
            <w:pPr>
              <w:keepNext w:val="0"/>
              <w:keepLines w:val="0"/>
              <w:pageBreakBefore w:val="0"/>
              <w:shd w:val="clear"/>
              <w:kinsoku/>
              <w:topLinePunct w:val="0"/>
              <w:bidi w:val="0"/>
              <w:spacing w:line="560" w:lineRule="exact"/>
              <w:ind w:left="0" w:leftChars="0" w:firstLine="480" w:firstLineChars="200"/>
              <w:rPr>
                <w:rFonts w:hint="eastAsia" w:ascii="仿宋" w:hAnsi="仿宋" w:eastAsia="仿宋" w:cs="仿宋"/>
                <w:color w:val="auto"/>
                <w:sz w:val="24"/>
                <w:szCs w:val="24"/>
                <w:highlight w:val="none"/>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97B6892">
            <w:pPr>
              <w:keepNext w:val="0"/>
              <w:keepLines w:val="0"/>
              <w:pageBreakBefore w:val="0"/>
              <w:shd w:val="clear"/>
              <w:kinsoku/>
              <w:topLinePunct w:val="0"/>
              <w:bidi w:val="0"/>
              <w:spacing w:line="560" w:lineRule="exact"/>
              <w:ind w:left="0" w:leftChars="0" w:firstLine="480" w:firstLineChars="200"/>
              <w:rPr>
                <w:rFonts w:hint="eastAsia" w:ascii="仿宋" w:hAnsi="仿宋" w:eastAsia="仿宋" w:cs="仿宋"/>
                <w:color w:val="auto"/>
                <w:sz w:val="24"/>
                <w:szCs w:val="24"/>
                <w:highlight w:val="none"/>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11ABAC2">
            <w:pPr>
              <w:keepNext w:val="0"/>
              <w:keepLines w:val="0"/>
              <w:pageBreakBefore w:val="0"/>
              <w:shd w:val="clear"/>
              <w:kinsoku/>
              <w:topLinePunct w:val="0"/>
              <w:bidi w:val="0"/>
              <w:spacing w:line="560" w:lineRule="exact"/>
              <w:ind w:left="0" w:leftChars="0" w:firstLine="480" w:firstLineChars="200"/>
              <w:rPr>
                <w:rFonts w:hint="eastAsia" w:ascii="仿宋" w:hAnsi="仿宋" w:eastAsia="仿宋" w:cs="仿宋"/>
                <w:color w:val="auto"/>
                <w:sz w:val="24"/>
                <w:szCs w:val="24"/>
                <w:highlight w:val="none"/>
              </w:rPr>
            </w:pPr>
          </w:p>
        </w:tc>
      </w:tr>
    </w:tbl>
    <w:p w14:paraId="42213BDF">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注：本表反映部门本年度国有资本经营预算财政拨款支出情况。</w:t>
      </w:r>
    </w:p>
    <w:p w14:paraId="54519C60">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说明：我单位没有使用国有资本经营预算安排的支出，故本表无数据。（当表格数据为空时，应有此说明）</w:t>
      </w:r>
    </w:p>
    <w:p w14:paraId="2191005B">
      <w:pPr>
        <w:keepNext w:val="0"/>
        <w:keepLines w:val="0"/>
        <w:pageBreakBefore w:val="0"/>
        <w:widowControl/>
        <w:shd w:val="clear"/>
        <w:kinsoku/>
        <w:topLinePunct w:val="0"/>
        <w:bidi w:val="0"/>
        <w:spacing w:line="560" w:lineRule="exact"/>
        <w:ind w:left="0" w:leftChars="0" w:firstLine="720" w:firstLineChars="200"/>
        <w:jc w:val="center"/>
        <w:rPr>
          <w:rFonts w:hint="eastAsia" w:ascii="仿宋" w:hAnsi="仿宋" w:eastAsia="仿宋" w:cs="仿宋"/>
          <w:color w:val="auto"/>
          <w:kern w:val="0"/>
          <w:sz w:val="36"/>
          <w:szCs w:val="36"/>
          <w:highlight w:val="none"/>
        </w:rPr>
      </w:pPr>
    </w:p>
    <w:p w14:paraId="36AFB098">
      <w:pPr>
        <w:pStyle w:val="9"/>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kern w:val="0"/>
          <w:sz w:val="32"/>
          <w:szCs w:val="32"/>
          <w:highlight w:val="none"/>
        </w:rPr>
      </w:pPr>
    </w:p>
    <w:p w14:paraId="68B5170E">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p>
    <w:p w14:paraId="72AF55DD">
      <w:pPr>
        <w:keepNext w:val="0"/>
        <w:keepLines w:val="0"/>
        <w:pageBreakBefore w:val="0"/>
        <w:widowControl/>
        <w:shd w:val="clear"/>
        <w:kinsoku/>
        <w:topLinePunct w:val="0"/>
        <w:bidi w:val="0"/>
        <w:spacing w:line="560" w:lineRule="exact"/>
        <w:ind w:left="0" w:leftChars="0" w:firstLine="803" w:firstLineChars="200"/>
        <w:jc w:val="center"/>
        <w:textAlignment w:val="center"/>
        <w:rPr>
          <w:rFonts w:hint="eastAsia" w:ascii="宋体" w:hAnsi="宋体" w:eastAsia="宋体" w:cs="宋体"/>
          <w:b/>
          <w:bCs w:val="0"/>
          <w:color w:val="auto"/>
          <w:kern w:val="0"/>
          <w:sz w:val="40"/>
          <w:szCs w:val="40"/>
          <w:highlight w:val="none"/>
          <w:lang w:val="en-US" w:eastAsia="zh-CN" w:bidi="ar-SA"/>
        </w:rPr>
      </w:pPr>
      <w:r>
        <w:rPr>
          <w:rFonts w:hint="eastAsia" w:ascii="宋体" w:hAnsi="宋体" w:eastAsia="宋体" w:cs="宋体"/>
          <w:b/>
          <w:bCs w:val="0"/>
          <w:color w:val="auto"/>
          <w:kern w:val="0"/>
          <w:sz w:val="40"/>
          <w:szCs w:val="40"/>
          <w:highlight w:val="none"/>
          <w:lang w:val="en-US" w:eastAsia="zh-CN" w:bidi="ar-SA"/>
        </w:rPr>
        <w:t>财政拨款“三公”经费支出决算表</w:t>
      </w:r>
    </w:p>
    <w:p w14:paraId="5A787CFE">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40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lang w:val="en-US" w:eastAsia="zh-CN"/>
        </w:rPr>
        <w:t xml:space="preserve">                                                  </w:t>
      </w:r>
      <w:r>
        <w:rPr>
          <w:rFonts w:hint="eastAsia" w:ascii="宋体" w:hAnsi="宋体" w:eastAsia="宋体" w:cs="宋体"/>
          <w:color w:val="auto"/>
          <w:kern w:val="0"/>
          <w:sz w:val="28"/>
          <w:szCs w:val="28"/>
          <w:highlight w:val="none"/>
          <w:lang w:val="en-US" w:eastAsia="zh-CN"/>
        </w:rPr>
        <w:t>公开09表</w:t>
      </w:r>
    </w:p>
    <w:p w14:paraId="2CB6FA19">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部门：</w:t>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ab/>
      </w:r>
      <w:r>
        <w:rPr>
          <w:rFonts w:hint="eastAsia" w:ascii="宋体" w:hAnsi="宋体" w:eastAsia="宋体" w:cs="宋体"/>
          <w:color w:val="auto"/>
          <w:kern w:val="0"/>
          <w:sz w:val="28"/>
          <w:szCs w:val="28"/>
          <w:highlight w:val="none"/>
          <w:lang w:val="en-US" w:eastAsia="zh-CN"/>
        </w:rPr>
        <w:t>单位：万元</w:t>
      </w:r>
    </w:p>
    <w:tbl>
      <w:tblPr>
        <w:tblStyle w:val="12"/>
        <w:tblW w:w="5112" w:type="pct"/>
        <w:jc w:val="center"/>
        <w:tblLayout w:type="autofit"/>
        <w:tblCellMar>
          <w:top w:w="0" w:type="dxa"/>
          <w:left w:w="108" w:type="dxa"/>
          <w:bottom w:w="0" w:type="dxa"/>
          <w:right w:w="108" w:type="dxa"/>
        </w:tblCellMar>
      </w:tblPr>
      <w:tblGrid>
        <w:gridCol w:w="918"/>
        <w:gridCol w:w="1209"/>
        <w:gridCol w:w="1082"/>
        <w:gridCol w:w="1181"/>
        <w:gridCol w:w="1431"/>
        <w:gridCol w:w="1102"/>
        <w:gridCol w:w="960"/>
        <w:gridCol w:w="1402"/>
        <w:gridCol w:w="968"/>
        <w:gridCol w:w="1317"/>
        <w:gridCol w:w="1538"/>
        <w:gridCol w:w="1431"/>
      </w:tblGrid>
      <w:tr w14:paraId="35446F5B">
        <w:tblPrEx>
          <w:tblCellMar>
            <w:top w:w="0" w:type="dxa"/>
            <w:left w:w="108" w:type="dxa"/>
            <w:bottom w:w="0" w:type="dxa"/>
            <w:right w:w="108" w:type="dxa"/>
          </w:tblCellMar>
        </w:tblPrEx>
        <w:trPr>
          <w:trHeight w:val="684" w:hRule="atLeast"/>
          <w:jc w:val="center"/>
        </w:trPr>
        <w:tc>
          <w:tcPr>
            <w:tcW w:w="2381"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6399E1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预算数</w:t>
            </w:r>
          </w:p>
        </w:tc>
        <w:tc>
          <w:tcPr>
            <w:tcW w:w="2618"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6F8FC4C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决算数</w:t>
            </w:r>
          </w:p>
        </w:tc>
      </w:tr>
      <w:tr w14:paraId="6123D96E">
        <w:tblPrEx>
          <w:tblCellMar>
            <w:top w:w="0" w:type="dxa"/>
            <w:left w:w="108" w:type="dxa"/>
            <w:bottom w:w="0" w:type="dxa"/>
            <w:right w:w="108" w:type="dxa"/>
          </w:tblCellMar>
        </w:tblPrEx>
        <w:trPr>
          <w:trHeight w:val="561" w:hRule="atLeast"/>
          <w:jc w:val="center"/>
        </w:trPr>
        <w:tc>
          <w:tcPr>
            <w:tcW w:w="31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0E64A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合计</w:t>
            </w:r>
          </w:p>
        </w:tc>
        <w:tc>
          <w:tcPr>
            <w:tcW w:w="41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82768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因公出国（境）费</w:t>
            </w:r>
          </w:p>
        </w:tc>
        <w:tc>
          <w:tcPr>
            <w:tcW w:w="127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9EB8F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公务用车购置及运行维护费</w:t>
            </w:r>
          </w:p>
        </w:tc>
        <w:tc>
          <w:tcPr>
            <w:tcW w:w="37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AC388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公务接待费</w:t>
            </w:r>
          </w:p>
        </w:tc>
        <w:tc>
          <w:tcPr>
            <w:tcW w:w="3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CC15D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合计</w:t>
            </w:r>
          </w:p>
        </w:tc>
        <w:tc>
          <w:tcPr>
            <w:tcW w:w="48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6BE24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因公出国（境）费</w:t>
            </w:r>
          </w:p>
        </w:tc>
        <w:tc>
          <w:tcPr>
            <w:tcW w:w="131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A82EDC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公务用车购置及运行维护费</w:t>
            </w:r>
          </w:p>
        </w:tc>
        <w:tc>
          <w:tcPr>
            <w:tcW w:w="4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1868A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公务接待费</w:t>
            </w:r>
          </w:p>
        </w:tc>
      </w:tr>
      <w:tr w14:paraId="031DF6CB">
        <w:tblPrEx>
          <w:tblCellMar>
            <w:top w:w="0" w:type="dxa"/>
            <w:left w:w="108" w:type="dxa"/>
            <w:bottom w:w="0" w:type="dxa"/>
            <w:right w:w="108" w:type="dxa"/>
          </w:tblCellMar>
        </w:tblPrEx>
        <w:trPr>
          <w:trHeight w:val="1051" w:hRule="atLeast"/>
          <w:jc w:val="center"/>
        </w:trPr>
        <w:tc>
          <w:tcPr>
            <w:tcW w:w="31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EE428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41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1189B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372" w:type="pct"/>
            <w:tcBorders>
              <w:top w:val="single" w:color="auto" w:sz="4" w:space="0"/>
              <w:left w:val="single" w:color="auto" w:sz="4" w:space="0"/>
              <w:bottom w:val="single" w:color="auto" w:sz="4" w:space="0"/>
              <w:right w:val="single" w:color="auto" w:sz="4" w:space="0"/>
            </w:tcBorders>
            <w:shd w:val="clear" w:color="auto" w:fill="auto"/>
            <w:vAlign w:val="center"/>
          </w:tcPr>
          <w:p w14:paraId="4931681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小计</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34BE0F0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公务用车</w:t>
            </w:r>
            <w:r>
              <w:rPr>
                <w:rFonts w:hint="eastAsia" w:ascii="宋体" w:hAnsi="宋体" w:eastAsia="宋体" w:cs="宋体"/>
                <w:b/>
                <w:bCs/>
                <w:color w:val="auto"/>
                <w:sz w:val="24"/>
                <w:szCs w:val="24"/>
                <w:highlight w:val="none"/>
                <w:lang w:val="en-US" w:eastAsia="zh-CN"/>
              </w:rPr>
              <w:br w:type="textWrapping"/>
            </w:r>
            <w:r>
              <w:rPr>
                <w:rFonts w:hint="eastAsia" w:ascii="宋体" w:hAnsi="宋体" w:eastAsia="宋体" w:cs="宋体"/>
                <w:b/>
                <w:bCs/>
                <w:color w:val="auto"/>
                <w:sz w:val="24"/>
                <w:szCs w:val="24"/>
                <w:highlight w:val="none"/>
                <w:lang w:val="en-US" w:eastAsia="zh-CN"/>
              </w:rPr>
              <w:t>购置费</w:t>
            </w:r>
          </w:p>
        </w:tc>
        <w:tc>
          <w:tcPr>
            <w:tcW w:w="492" w:type="pct"/>
            <w:tcBorders>
              <w:top w:val="single" w:color="auto" w:sz="4" w:space="0"/>
              <w:left w:val="single" w:color="auto" w:sz="4" w:space="0"/>
              <w:bottom w:val="single" w:color="auto" w:sz="4" w:space="0"/>
              <w:right w:val="single" w:color="auto" w:sz="4" w:space="0"/>
            </w:tcBorders>
            <w:shd w:val="clear" w:color="auto" w:fill="auto"/>
            <w:vAlign w:val="center"/>
          </w:tcPr>
          <w:p w14:paraId="42A298E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公务用车</w:t>
            </w:r>
            <w:r>
              <w:rPr>
                <w:rFonts w:hint="eastAsia" w:ascii="宋体" w:hAnsi="宋体" w:eastAsia="宋体" w:cs="宋体"/>
                <w:b/>
                <w:bCs/>
                <w:color w:val="auto"/>
                <w:sz w:val="24"/>
                <w:szCs w:val="24"/>
                <w:highlight w:val="none"/>
                <w:lang w:val="en-US" w:eastAsia="zh-CN"/>
              </w:rPr>
              <w:br w:type="textWrapping"/>
            </w:r>
            <w:r>
              <w:rPr>
                <w:rFonts w:hint="eastAsia" w:ascii="宋体" w:hAnsi="宋体" w:eastAsia="宋体" w:cs="宋体"/>
                <w:b/>
                <w:bCs/>
                <w:color w:val="auto"/>
                <w:sz w:val="24"/>
                <w:szCs w:val="24"/>
                <w:highlight w:val="none"/>
                <w:lang w:val="en-US" w:eastAsia="zh-CN"/>
              </w:rPr>
              <w:t>运行维护费</w:t>
            </w:r>
          </w:p>
        </w:tc>
        <w:tc>
          <w:tcPr>
            <w:tcW w:w="37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A49F3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BC77B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4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FCA3A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2013053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小计</w:t>
            </w: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6DC51FF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公务用车</w:t>
            </w:r>
            <w:r>
              <w:rPr>
                <w:rFonts w:hint="eastAsia" w:ascii="宋体" w:hAnsi="宋体" w:eastAsia="宋体" w:cs="宋体"/>
                <w:b/>
                <w:bCs/>
                <w:color w:val="auto"/>
                <w:sz w:val="24"/>
                <w:szCs w:val="24"/>
                <w:highlight w:val="none"/>
                <w:lang w:val="en-US" w:eastAsia="zh-CN"/>
              </w:rPr>
              <w:br w:type="textWrapping"/>
            </w:r>
            <w:r>
              <w:rPr>
                <w:rFonts w:hint="eastAsia" w:ascii="宋体" w:hAnsi="宋体" w:eastAsia="宋体" w:cs="宋体"/>
                <w:b/>
                <w:bCs/>
                <w:color w:val="auto"/>
                <w:sz w:val="24"/>
                <w:szCs w:val="24"/>
                <w:highlight w:val="none"/>
                <w:lang w:val="en-US" w:eastAsia="zh-CN"/>
              </w:rPr>
              <w:t>购置费</w:t>
            </w:r>
          </w:p>
        </w:tc>
        <w:tc>
          <w:tcPr>
            <w:tcW w:w="528" w:type="pct"/>
            <w:tcBorders>
              <w:top w:val="single" w:color="auto" w:sz="4" w:space="0"/>
              <w:left w:val="single" w:color="auto" w:sz="4" w:space="0"/>
              <w:bottom w:val="single" w:color="auto" w:sz="4" w:space="0"/>
              <w:right w:val="single" w:color="auto" w:sz="4" w:space="0"/>
            </w:tcBorders>
            <w:shd w:val="clear" w:color="auto" w:fill="auto"/>
            <w:vAlign w:val="center"/>
          </w:tcPr>
          <w:p w14:paraId="1767324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公务用车</w:t>
            </w:r>
            <w:r>
              <w:rPr>
                <w:rFonts w:hint="eastAsia" w:ascii="宋体" w:hAnsi="宋体" w:eastAsia="宋体" w:cs="宋体"/>
                <w:b/>
                <w:bCs/>
                <w:color w:val="auto"/>
                <w:sz w:val="24"/>
                <w:szCs w:val="24"/>
                <w:highlight w:val="none"/>
                <w:lang w:val="en-US" w:eastAsia="zh-CN"/>
              </w:rPr>
              <w:br w:type="textWrapping"/>
            </w:r>
            <w:r>
              <w:rPr>
                <w:rFonts w:hint="eastAsia" w:ascii="宋体" w:hAnsi="宋体" w:eastAsia="宋体" w:cs="宋体"/>
                <w:b/>
                <w:bCs/>
                <w:color w:val="auto"/>
                <w:sz w:val="24"/>
                <w:szCs w:val="24"/>
                <w:highlight w:val="none"/>
                <w:lang w:val="en-US" w:eastAsia="zh-CN"/>
              </w:rPr>
              <w:t>运行维护费</w:t>
            </w:r>
          </w:p>
        </w:tc>
        <w:tc>
          <w:tcPr>
            <w:tcW w:w="49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70E4D3">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r>
      <w:tr w14:paraId="01B9BB57">
        <w:tblPrEx>
          <w:tblCellMar>
            <w:top w:w="0" w:type="dxa"/>
            <w:left w:w="108" w:type="dxa"/>
            <w:bottom w:w="0" w:type="dxa"/>
            <w:right w:w="108" w:type="dxa"/>
          </w:tblCellMar>
        </w:tblPrEx>
        <w:trPr>
          <w:trHeight w:val="693" w:hRule="atLeast"/>
          <w:jc w:val="center"/>
        </w:trPr>
        <w:tc>
          <w:tcPr>
            <w:tcW w:w="316" w:type="pct"/>
            <w:tcBorders>
              <w:top w:val="single" w:color="auto" w:sz="4" w:space="0"/>
              <w:left w:val="single" w:color="auto" w:sz="4" w:space="0"/>
              <w:bottom w:val="single" w:color="auto" w:sz="4" w:space="0"/>
              <w:right w:val="single" w:color="auto" w:sz="4" w:space="0"/>
            </w:tcBorders>
            <w:shd w:val="clear" w:color="auto" w:fill="auto"/>
            <w:vAlign w:val="center"/>
          </w:tcPr>
          <w:p w14:paraId="3AEEBEC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11987A3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72" w:type="pct"/>
            <w:tcBorders>
              <w:top w:val="single" w:color="auto" w:sz="4" w:space="0"/>
              <w:left w:val="single" w:color="auto" w:sz="4" w:space="0"/>
              <w:bottom w:val="single" w:color="auto" w:sz="4" w:space="0"/>
              <w:right w:val="single" w:color="auto" w:sz="4" w:space="0"/>
            </w:tcBorders>
            <w:shd w:val="clear" w:color="auto" w:fill="auto"/>
            <w:vAlign w:val="center"/>
          </w:tcPr>
          <w:p w14:paraId="356AE3F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5BF6A61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492" w:type="pct"/>
            <w:tcBorders>
              <w:top w:val="single" w:color="auto" w:sz="4" w:space="0"/>
              <w:left w:val="single" w:color="auto" w:sz="4" w:space="0"/>
              <w:bottom w:val="single" w:color="auto" w:sz="4" w:space="0"/>
              <w:right w:val="single" w:color="auto" w:sz="4" w:space="0"/>
            </w:tcBorders>
            <w:shd w:val="clear" w:color="auto" w:fill="auto"/>
            <w:vAlign w:val="center"/>
          </w:tcPr>
          <w:p w14:paraId="1FB4AEC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377" w:type="pct"/>
            <w:tcBorders>
              <w:top w:val="single" w:color="auto" w:sz="4" w:space="0"/>
              <w:left w:val="single" w:color="auto" w:sz="4" w:space="0"/>
              <w:bottom w:val="single" w:color="auto" w:sz="4" w:space="0"/>
              <w:right w:val="single" w:color="auto" w:sz="4" w:space="0"/>
            </w:tcBorders>
            <w:shd w:val="clear" w:color="auto" w:fill="auto"/>
            <w:vAlign w:val="center"/>
          </w:tcPr>
          <w:p w14:paraId="3206FFC5">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43033C0E">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482" w:type="pct"/>
            <w:tcBorders>
              <w:top w:val="single" w:color="auto" w:sz="4" w:space="0"/>
              <w:left w:val="single" w:color="auto" w:sz="4" w:space="0"/>
              <w:bottom w:val="single" w:color="auto" w:sz="4" w:space="0"/>
              <w:right w:val="single" w:color="auto" w:sz="4" w:space="0"/>
            </w:tcBorders>
            <w:shd w:val="clear" w:color="auto" w:fill="auto"/>
            <w:vAlign w:val="center"/>
          </w:tcPr>
          <w:p w14:paraId="6B3A7BE0">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0D2B0B5B">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31E9FD1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528" w:type="pct"/>
            <w:tcBorders>
              <w:top w:val="single" w:color="auto" w:sz="4" w:space="0"/>
              <w:left w:val="single" w:color="auto" w:sz="4" w:space="0"/>
              <w:bottom w:val="single" w:color="auto" w:sz="4" w:space="0"/>
              <w:right w:val="single" w:color="auto" w:sz="4" w:space="0"/>
            </w:tcBorders>
            <w:shd w:val="clear" w:color="auto" w:fill="auto"/>
            <w:vAlign w:val="center"/>
          </w:tcPr>
          <w:p w14:paraId="187B99DA">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14C3BBB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r>
      <w:tr w14:paraId="6234613E">
        <w:tblPrEx>
          <w:tblCellMar>
            <w:top w:w="0" w:type="dxa"/>
            <w:left w:w="108" w:type="dxa"/>
            <w:bottom w:w="0" w:type="dxa"/>
            <w:right w:w="108" w:type="dxa"/>
          </w:tblCellMar>
        </w:tblPrEx>
        <w:trPr>
          <w:trHeight w:val="665" w:hRule="atLeast"/>
          <w:jc w:val="center"/>
        </w:trPr>
        <w:tc>
          <w:tcPr>
            <w:tcW w:w="316" w:type="pct"/>
            <w:tcBorders>
              <w:top w:val="single" w:color="auto" w:sz="4" w:space="0"/>
              <w:left w:val="single" w:color="auto" w:sz="4" w:space="0"/>
              <w:bottom w:val="single" w:color="auto" w:sz="4" w:space="0"/>
              <w:right w:val="single" w:color="auto" w:sz="4" w:space="0"/>
            </w:tcBorders>
            <w:shd w:val="clear" w:color="auto" w:fill="auto"/>
            <w:vAlign w:val="center"/>
          </w:tcPr>
          <w:p w14:paraId="70FF564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4E81902F">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372" w:type="pct"/>
            <w:tcBorders>
              <w:top w:val="single" w:color="auto" w:sz="4" w:space="0"/>
              <w:left w:val="single" w:color="auto" w:sz="4" w:space="0"/>
              <w:bottom w:val="single" w:color="auto" w:sz="4" w:space="0"/>
              <w:right w:val="single" w:color="auto" w:sz="4" w:space="0"/>
            </w:tcBorders>
            <w:shd w:val="clear" w:color="auto" w:fill="auto"/>
            <w:vAlign w:val="center"/>
          </w:tcPr>
          <w:p w14:paraId="0BA811EC">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5A0B2A6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492" w:type="pct"/>
            <w:tcBorders>
              <w:top w:val="single" w:color="auto" w:sz="4" w:space="0"/>
              <w:left w:val="single" w:color="auto" w:sz="4" w:space="0"/>
              <w:bottom w:val="single" w:color="auto" w:sz="4" w:space="0"/>
              <w:right w:val="single" w:color="auto" w:sz="4" w:space="0"/>
            </w:tcBorders>
            <w:shd w:val="clear" w:color="auto" w:fill="auto"/>
            <w:vAlign w:val="center"/>
          </w:tcPr>
          <w:p w14:paraId="6150FFE4">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377" w:type="pct"/>
            <w:tcBorders>
              <w:top w:val="single" w:color="auto" w:sz="4" w:space="0"/>
              <w:left w:val="single" w:color="auto" w:sz="4" w:space="0"/>
              <w:bottom w:val="single" w:color="auto" w:sz="4" w:space="0"/>
              <w:right w:val="single" w:color="auto" w:sz="4" w:space="0"/>
            </w:tcBorders>
            <w:shd w:val="clear" w:color="auto" w:fill="auto"/>
            <w:vAlign w:val="center"/>
          </w:tcPr>
          <w:p w14:paraId="2333DE4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w:t>
            </w: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429705E8">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482" w:type="pct"/>
            <w:tcBorders>
              <w:top w:val="single" w:color="auto" w:sz="4" w:space="0"/>
              <w:left w:val="single" w:color="auto" w:sz="4" w:space="0"/>
              <w:bottom w:val="single" w:color="auto" w:sz="4" w:space="0"/>
              <w:right w:val="single" w:color="auto" w:sz="4" w:space="0"/>
            </w:tcBorders>
            <w:shd w:val="clear" w:color="auto" w:fill="auto"/>
            <w:vAlign w:val="center"/>
          </w:tcPr>
          <w:p w14:paraId="19EF7B82">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77E538B1">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293F8EF6">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528" w:type="pct"/>
            <w:tcBorders>
              <w:top w:val="single" w:color="auto" w:sz="4" w:space="0"/>
              <w:left w:val="single" w:color="auto" w:sz="4" w:space="0"/>
              <w:bottom w:val="single" w:color="auto" w:sz="4" w:space="0"/>
              <w:right w:val="single" w:color="auto" w:sz="4" w:space="0"/>
            </w:tcBorders>
            <w:shd w:val="clear" w:color="auto" w:fill="auto"/>
            <w:vAlign w:val="center"/>
          </w:tcPr>
          <w:p w14:paraId="1F201E7D">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58D02A49">
            <w:pPr>
              <w:keepNext w:val="0"/>
              <w:keepLines w:val="0"/>
              <w:pageBreakBefore w:val="0"/>
              <w:widowControl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0.12</w:t>
            </w:r>
          </w:p>
        </w:tc>
      </w:tr>
    </w:tbl>
    <w:p w14:paraId="41691B0A">
      <w:pPr>
        <w:keepNext w:val="0"/>
        <w:keepLines w:val="0"/>
        <w:pageBreakBefore w:val="0"/>
        <w:widowControl/>
        <w:shd w:val="clear"/>
        <w:tabs>
          <w:tab w:val="left" w:pos="4442"/>
          <w:tab w:val="left" w:pos="5045"/>
          <w:tab w:val="left" w:pos="6444"/>
          <w:tab w:val="left" w:pos="11477"/>
          <w:tab w:val="left" w:pos="13102"/>
        </w:tabs>
        <w:kinsoku/>
        <w:wordWrap/>
        <w:overflowPunct/>
        <w:topLinePunct w:val="0"/>
        <w:autoSpaceDE/>
        <w:autoSpaceDN/>
        <w:bidi w:val="0"/>
        <w:adjustRightInd/>
        <w:snapToGrid/>
        <w:spacing w:line="380" w:lineRule="exact"/>
        <w:ind w:left="0" w:leftChars="0" w:firstLine="560" w:firstLineChars="200"/>
        <w:jc w:val="left"/>
        <w:textAlignment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p w14:paraId="666B9877">
      <w:pPr>
        <w:keepNext w:val="0"/>
        <w:keepLines w:val="0"/>
        <w:pageBreakBefore w:val="0"/>
        <w:shd w:val="clear"/>
        <w:kinsoku/>
        <w:topLinePunct w:val="0"/>
        <w:autoSpaceDE w:val="0"/>
        <w:autoSpaceDN w:val="0"/>
        <w:bidi w:val="0"/>
        <w:adjustRightInd w:val="0"/>
        <w:spacing w:line="560" w:lineRule="exact"/>
        <w:ind w:left="0" w:leftChars="0" w:firstLine="480" w:firstLineChars="200"/>
        <w:jc w:val="left"/>
        <w:rPr>
          <w:rFonts w:hint="eastAsia" w:ascii="仿宋" w:hAnsi="仿宋" w:eastAsia="仿宋" w:cs="仿宋"/>
          <w:color w:val="auto"/>
          <w:kern w:val="0"/>
          <w:sz w:val="24"/>
          <w:szCs w:val="24"/>
          <w:highlight w:val="none"/>
        </w:rPr>
      </w:pPr>
    </w:p>
    <w:p w14:paraId="3EAA8460">
      <w:pPr>
        <w:keepNext w:val="0"/>
        <w:keepLines w:val="0"/>
        <w:pageBreakBefore w:val="0"/>
        <w:shd w:val="clear"/>
        <w:kinsoku/>
        <w:topLinePunct w:val="0"/>
        <w:autoSpaceDE w:val="0"/>
        <w:autoSpaceDN w:val="0"/>
        <w:bidi w:val="0"/>
        <w:adjustRightInd w:val="0"/>
        <w:spacing w:line="560" w:lineRule="exact"/>
        <w:ind w:left="0" w:leftChars="0" w:firstLine="480" w:firstLineChars="200"/>
        <w:jc w:val="left"/>
        <w:rPr>
          <w:rFonts w:hint="eastAsia" w:ascii="仿宋" w:hAnsi="仿宋" w:eastAsia="仿宋" w:cs="仿宋"/>
          <w:color w:val="auto"/>
          <w:kern w:val="0"/>
          <w:sz w:val="24"/>
          <w:szCs w:val="24"/>
          <w:highlight w:val="none"/>
        </w:rPr>
      </w:pPr>
    </w:p>
    <w:p w14:paraId="3D9E1EEB">
      <w:pPr>
        <w:keepNext w:val="0"/>
        <w:keepLines w:val="0"/>
        <w:pageBreakBefore w:val="0"/>
        <w:shd w:val="clear"/>
        <w:kinsoku/>
        <w:topLinePunct w:val="0"/>
        <w:autoSpaceDE w:val="0"/>
        <w:autoSpaceDN w:val="0"/>
        <w:bidi w:val="0"/>
        <w:adjustRightInd w:val="0"/>
        <w:spacing w:line="560" w:lineRule="exact"/>
        <w:ind w:left="0" w:leftChars="0" w:firstLine="480" w:firstLineChars="200"/>
        <w:jc w:val="left"/>
        <w:rPr>
          <w:rFonts w:hint="eastAsia" w:ascii="仿宋" w:hAnsi="仿宋" w:eastAsia="仿宋" w:cs="仿宋"/>
          <w:color w:val="auto"/>
          <w:kern w:val="0"/>
          <w:sz w:val="24"/>
          <w:szCs w:val="24"/>
          <w:highlight w:val="none"/>
        </w:rPr>
      </w:pPr>
    </w:p>
    <w:p w14:paraId="00C470B9">
      <w:pPr>
        <w:keepNext w:val="0"/>
        <w:keepLines w:val="0"/>
        <w:pageBreakBefore w:val="0"/>
        <w:shd w:val="clear"/>
        <w:kinsoku/>
        <w:topLinePunct w:val="0"/>
        <w:autoSpaceDE w:val="0"/>
        <w:autoSpaceDN w:val="0"/>
        <w:bidi w:val="0"/>
        <w:adjustRightInd w:val="0"/>
        <w:spacing w:line="560" w:lineRule="exact"/>
        <w:ind w:left="0" w:leftChars="0" w:firstLine="480" w:firstLineChars="200"/>
        <w:jc w:val="left"/>
        <w:rPr>
          <w:rFonts w:hint="eastAsia" w:ascii="仿宋" w:hAnsi="仿宋" w:eastAsia="仿宋" w:cs="仿宋"/>
          <w:color w:val="auto"/>
          <w:kern w:val="0"/>
          <w:sz w:val="24"/>
          <w:szCs w:val="24"/>
          <w:highlight w:val="none"/>
        </w:rPr>
      </w:pPr>
    </w:p>
    <w:p w14:paraId="0164B954">
      <w:pPr>
        <w:keepNext w:val="0"/>
        <w:keepLines w:val="0"/>
        <w:pageBreakBefore w:val="0"/>
        <w:widowControl/>
        <w:shd w:val="clear"/>
        <w:kinsoku/>
        <w:topLinePunct w:val="0"/>
        <w:bidi w:val="0"/>
        <w:spacing w:line="560" w:lineRule="exact"/>
        <w:ind w:left="0" w:leftChars="0" w:firstLine="420" w:firstLineChars="200"/>
        <w:rPr>
          <w:rFonts w:hint="eastAsia" w:ascii="仿宋" w:hAnsi="仿宋" w:eastAsia="仿宋" w:cs="仿宋"/>
          <w:color w:val="auto"/>
          <w:sz w:val="72"/>
          <w:szCs w:val="72"/>
          <w:highlight w:val="none"/>
        </w:rPr>
        <w:sectPr>
          <w:pgSz w:w="16838" w:h="11906" w:orient="landscape"/>
          <w:pgMar w:top="1134" w:right="1417" w:bottom="1134" w:left="1417"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ascii="仿宋" w:hAnsi="仿宋" w:eastAsia="仿宋" w:cs="仿宋"/>
          <w:color w:val="auto"/>
          <w:highlight w:val="none"/>
        </w:rPr>
        <w:br w:type="page"/>
      </w:r>
    </w:p>
    <w:p w14:paraId="591AA589">
      <w:pPr>
        <w:pStyle w:val="17"/>
        <w:keepNext w:val="0"/>
        <w:keepLines w:val="0"/>
        <w:pageBreakBefore w:val="0"/>
        <w:shd w:val="clear"/>
        <w:kinsoku/>
        <w:topLinePunct w:val="0"/>
        <w:bidi w:val="0"/>
        <w:spacing w:line="560" w:lineRule="exact"/>
        <w:ind w:left="0" w:leftChars="0" w:firstLine="1440" w:firstLineChars="200"/>
        <w:rPr>
          <w:rFonts w:hint="eastAsia" w:ascii="仿宋" w:hAnsi="仿宋" w:eastAsia="仿宋" w:cs="仿宋"/>
          <w:color w:val="auto"/>
          <w:sz w:val="72"/>
          <w:szCs w:val="72"/>
          <w:highlight w:val="none"/>
        </w:rPr>
      </w:pPr>
    </w:p>
    <w:p w14:paraId="24D454A6">
      <w:pPr>
        <w:pStyle w:val="17"/>
        <w:keepNext w:val="0"/>
        <w:keepLines w:val="0"/>
        <w:pageBreakBefore w:val="0"/>
        <w:shd w:val="clear"/>
        <w:kinsoku/>
        <w:topLinePunct w:val="0"/>
        <w:bidi w:val="0"/>
        <w:spacing w:line="560" w:lineRule="exact"/>
        <w:ind w:left="0" w:leftChars="0" w:firstLine="1440" w:firstLineChars="200"/>
        <w:rPr>
          <w:rFonts w:hint="eastAsia" w:ascii="仿宋" w:hAnsi="仿宋" w:eastAsia="仿宋" w:cs="仿宋"/>
          <w:color w:val="auto"/>
          <w:sz w:val="72"/>
          <w:szCs w:val="72"/>
          <w:highlight w:val="none"/>
        </w:rPr>
      </w:pPr>
    </w:p>
    <w:p w14:paraId="081B9BB6">
      <w:pPr>
        <w:pStyle w:val="17"/>
        <w:keepNext w:val="0"/>
        <w:keepLines w:val="0"/>
        <w:pageBreakBefore w:val="0"/>
        <w:shd w:val="clear"/>
        <w:kinsoku/>
        <w:topLinePunct w:val="0"/>
        <w:bidi w:val="0"/>
        <w:spacing w:line="560" w:lineRule="exact"/>
        <w:ind w:left="0" w:leftChars="0" w:firstLine="1440" w:firstLineChars="200"/>
        <w:rPr>
          <w:rFonts w:hint="eastAsia" w:ascii="仿宋" w:hAnsi="仿宋" w:eastAsia="仿宋" w:cs="仿宋"/>
          <w:color w:val="auto"/>
          <w:sz w:val="72"/>
          <w:szCs w:val="72"/>
          <w:highlight w:val="none"/>
        </w:rPr>
      </w:pPr>
    </w:p>
    <w:p w14:paraId="647CFF21">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2BC4D8E1">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2C2D6A3B">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09097FE7">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p>
    <w:p w14:paraId="11D7F886">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第三部分</w:t>
      </w:r>
    </w:p>
    <w:p w14:paraId="47A8A915">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2025年度部门决算情况说明</w:t>
      </w:r>
    </w:p>
    <w:p w14:paraId="5B6FB8AC">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br w:type="page"/>
      </w:r>
    </w:p>
    <w:p w14:paraId="1FF4B810">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一、收入支出决算总体情况说明</w:t>
      </w:r>
    </w:p>
    <w:p w14:paraId="555A7AF1">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2025年度收、支总计</w:t>
      </w:r>
      <w:r>
        <w:rPr>
          <w:rFonts w:hint="eastAsia" w:ascii="仿宋" w:hAnsi="仿宋" w:eastAsia="仿宋" w:cs="仿宋"/>
          <w:color w:val="auto"/>
          <w:sz w:val="32"/>
          <w:szCs w:val="32"/>
          <w:highlight w:val="none"/>
          <w:lang w:val="en-US" w:eastAsia="zh-CN"/>
        </w:rPr>
        <w:t>693.3</w:t>
      </w:r>
      <w:r>
        <w:rPr>
          <w:rFonts w:hint="eastAsia" w:ascii="仿宋" w:hAnsi="仿宋" w:eastAsia="仿宋" w:cs="仿宋"/>
          <w:color w:val="auto"/>
          <w:sz w:val="32"/>
          <w:szCs w:val="32"/>
          <w:highlight w:val="none"/>
        </w:rPr>
        <w:t>万元。与</w:t>
      </w:r>
      <w:r>
        <w:rPr>
          <w:rFonts w:hint="eastAsia" w:ascii="仿宋" w:hAnsi="仿宋" w:eastAsia="仿宋" w:cs="仿宋"/>
          <w:color w:val="auto"/>
          <w:sz w:val="32"/>
          <w:szCs w:val="32"/>
          <w:highlight w:val="none"/>
          <w:lang w:eastAsia="zh-CN"/>
        </w:rPr>
        <w:t>上</w:t>
      </w:r>
      <w:r>
        <w:rPr>
          <w:rFonts w:hint="eastAsia" w:ascii="仿宋" w:hAnsi="仿宋" w:eastAsia="仿宋" w:cs="仿宋"/>
          <w:color w:val="auto"/>
          <w:sz w:val="32"/>
          <w:szCs w:val="32"/>
          <w:highlight w:val="none"/>
        </w:rPr>
        <w:t>年相比，</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29.66</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3.79</w:t>
      </w:r>
      <w:r>
        <w:rPr>
          <w:rFonts w:hint="eastAsia" w:ascii="仿宋" w:hAnsi="仿宋" w:eastAsia="仿宋" w:cs="仿宋"/>
          <w:color w:val="auto"/>
          <w:sz w:val="32"/>
          <w:szCs w:val="32"/>
          <w:highlight w:val="none"/>
        </w:rPr>
        <w:t>%，主要原因是</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贯彻落实党政机关习惯过紧日子有关要求，厉行节约办一切事业，严控一般性支出，进一步优化支出结构，持续压降“三公”经费、办公经费、会议培训等行政开支。</w:t>
      </w:r>
    </w:p>
    <w:p w14:paraId="7A924CB2">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二、收入决算情况说明</w:t>
      </w:r>
    </w:p>
    <w:p w14:paraId="400C8999">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2025年度收入合</w:t>
      </w:r>
      <w:r>
        <w:rPr>
          <w:rFonts w:hint="eastAsia" w:ascii="仿宋" w:hAnsi="仿宋" w:eastAsia="仿宋" w:cs="仿宋"/>
          <w:color w:val="auto"/>
          <w:sz w:val="32"/>
          <w:szCs w:val="32"/>
          <w:highlight w:val="none"/>
          <w:lang w:eastAsia="zh-CN"/>
        </w:rPr>
        <w:t>计</w:t>
      </w:r>
      <w:r>
        <w:rPr>
          <w:rFonts w:hint="eastAsia" w:ascii="仿宋" w:hAnsi="仿宋" w:eastAsia="仿宋" w:cs="仿宋"/>
          <w:color w:val="auto"/>
          <w:sz w:val="32"/>
          <w:szCs w:val="32"/>
          <w:highlight w:val="none"/>
          <w:lang w:val="en-US" w:eastAsia="zh-CN"/>
        </w:rPr>
        <w:t>693.30</w:t>
      </w:r>
      <w:r>
        <w:rPr>
          <w:rFonts w:hint="eastAsia" w:ascii="仿宋" w:hAnsi="仿宋" w:eastAsia="仿宋" w:cs="仿宋"/>
          <w:color w:val="auto"/>
          <w:sz w:val="32"/>
          <w:szCs w:val="32"/>
          <w:highlight w:val="none"/>
        </w:rPr>
        <w:t>万元，其中：财政拨款收入</w:t>
      </w:r>
      <w:r>
        <w:rPr>
          <w:rFonts w:hint="eastAsia" w:ascii="仿宋" w:hAnsi="仿宋" w:eastAsia="仿宋" w:cs="仿宋"/>
          <w:color w:val="auto"/>
          <w:sz w:val="32"/>
          <w:szCs w:val="32"/>
          <w:highlight w:val="none"/>
          <w:lang w:val="en-US" w:eastAsia="zh-CN"/>
        </w:rPr>
        <w:t>693.30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100</w:t>
      </w:r>
      <w:r>
        <w:rPr>
          <w:rFonts w:hint="eastAsia" w:ascii="仿宋" w:hAnsi="仿宋" w:eastAsia="仿宋" w:cs="仿宋"/>
          <w:color w:val="auto"/>
          <w:sz w:val="32"/>
          <w:szCs w:val="32"/>
          <w:highlight w:val="none"/>
        </w:rPr>
        <w:t>%；上级补助收入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%；事业收入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%；经营收入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%；附属单位上缴收入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%；其他收入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w:t>
      </w:r>
    </w:p>
    <w:p w14:paraId="7BC284C7">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三、支出决算情况说明</w:t>
      </w:r>
    </w:p>
    <w:p w14:paraId="1D3F8EC0">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2025年度支出合计</w:t>
      </w:r>
      <w:r>
        <w:rPr>
          <w:rFonts w:hint="eastAsia" w:ascii="仿宋" w:hAnsi="仿宋" w:eastAsia="仿宋" w:cs="仿宋"/>
          <w:color w:val="auto"/>
          <w:sz w:val="32"/>
          <w:szCs w:val="32"/>
          <w:highlight w:val="none"/>
          <w:lang w:val="en-US" w:eastAsia="zh-CN"/>
        </w:rPr>
        <w:t>693.30</w:t>
      </w:r>
      <w:r>
        <w:rPr>
          <w:rFonts w:hint="eastAsia" w:ascii="仿宋" w:hAnsi="仿宋" w:eastAsia="仿宋" w:cs="仿宋"/>
          <w:color w:val="auto"/>
          <w:sz w:val="32"/>
          <w:szCs w:val="32"/>
          <w:highlight w:val="none"/>
        </w:rPr>
        <w:t>万元，其中：基本支出</w:t>
      </w:r>
      <w:r>
        <w:rPr>
          <w:rFonts w:hint="eastAsia" w:ascii="仿宋" w:hAnsi="仿宋" w:eastAsia="仿宋" w:cs="仿宋"/>
          <w:color w:val="auto"/>
          <w:sz w:val="32"/>
          <w:szCs w:val="32"/>
          <w:highlight w:val="none"/>
          <w:lang w:val="en-US" w:eastAsia="zh-CN"/>
        </w:rPr>
        <w:t>526.78</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75.98</w:t>
      </w:r>
      <w:r>
        <w:rPr>
          <w:rFonts w:hint="eastAsia" w:ascii="仿宋" w:hAnsi="仿宋" w:eastAsia="仿宋" w:cs="仿宋"/>
          <w:color w:val="auto"/>
          <w:sz w:val="32"/>
          <w:szCs w:val="32"/>
          <w:highlight w:val="none"/>
        </w:rPr>
        <w:t>%；项目支出</w:t>
      </w:r>
      <w:r>
        <w:rPr>
          <w:rFonts w:hint="eastAsia" w:ascii="仿宋" w:hAnsi="仿宋" w:eastAsia="仿宋" w:cs="仿宋"/>
          <w:color w:val="auto"/>
          <w:sz w:val="32"/>
          <w:szCs w:val="32"/>
          <w:highlight w:val="none"/>
          <w:lang w:val="en-US" w:eastAsia="zh-CN"/>
        </w:rPr>
        <w:t>166.53</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24.02</w:t>
      </w:r>
      <w:r>
        <w:rPr>
          <w:rFonts w:hint="eastAsia" w:ascii="仿宋" w:hAnsi="仿宋" w:eastAsia="仿宋" w:cs="仿宋"/>
          <w:color w:val="auto"/>
          <w:sz w:val="32"/>
          <w:szCs w:val="32"/>
          <w:highlight w:val="none"/>
        </w:rPr>
        <w:t>%；上缴上级支出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%；经营支出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%；对附属单位补助支出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w:t>
      </w:r>
    </w:p>
    <w:p w14:paraId="471B9468">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四、财政拨款收入支出决算总体情况说明</w:t>
      </w:r>
    </w:p>
    <w:p w14:paraId="2BE7F5D9">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2025年度财政拨款收、支总计</w:t>
      </w:r>
      <w:r>
        <w:rPr>
          <w:rFonts w:hint="eastAsia" w:ascii="仿宋" w:hAnsi="仿宋" w:eastAsia="仿宋" w:cs="仿宋"/>
          <w:color w:val="auto"/>
          <w:sz w:val="32"/>
          <w:szCs w:val="32"/>
          <w:highlight w:val="none"/>
          <w:lang w:val="en-US" w:eastAsia="zh-CN"/>
        </w:rPr>
        <w:t>693.30</w:t>
      </w:r>
      <w:r>
        <w:rPr>
          <w:rFonts w:hint="eastAsia" w:ascii="仿宋" w:hAnsi="仿宋" w:eastAsia="仿宋" w:cs="仿宋"/>
          <w:color w:val="auto"/>
          <w:sz w:val="32"/>
          <w:szCs w:val="32"/>
          <w:highlight w:val="none"/>
        </w:rPr>
        <w:t>万元，与</w:t>
      </w:r>
      <w:r>
        <w:rPr>
          <w:rFonts w:hint="eastAsia" w:ascii="仿宋" w:hAnsi="仿宋" w:eastAsia="仿宋" w:cs="仿宋"/>
          <w:color w:val="auto"/>
          <w:sz w:val="32"/>
          <w:szCs w:val="32"/>
          <w:highlight w:val="none"/>
          <w:lang w:eastAsia="zh-CN"/>
        </w:rPr>
        <w:t>上</w:t>
      </w:r>
      <w:r>
        <w:rPr>
          <w:rFonts w:hint="eastAsia" w:ascii="仿宋" w:hAnsi="仿宋" w:eastAsia="仿宋" w:cs="仿宋"/>
          <w:color w:val="auto"/>
          <w:sz w:val="32"/>
          <w:szCs w:val="32"/>
          <w:highlight w:val="none"/>
        </w:rPr>
        <w:t>年相比，</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29.66</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3.79</w:t>
      </w:r>
      <w:r>
        <w:rPr>
          <w:rFonts w:hint="eastAsia" w:ascii="仿宋" w:hAnsi="仿宋" w:eastAsia="仿宋" w:cs="仿宋"/>
          <w:color w:val="auto"/>
          <w:sz w:val="32"/>
          <w:szCs w:val="32"/>
          <w:highlight w:val="none"/>
        </w:rPr>
        <w:t>%，主要原因是</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贯彻落实党政机关习惯过紧日子有关要求，厉行节约办一切事业，严控一般性支出，进一步优化支出结构，持续压降“三公”经费、办公经费、会议培训等行政开支。</w:t>
      </w:r>
    </w:p>
    <w:p w14:paraId="29825D0E">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五、一般公共预算财政拨款支出决算情况说明</w:t>
      </w:r>
    </w:p>
    <w:p w14:paraId="01AD0A9D">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楷体" w:hAnsi="楷体" w:eastAsia="楷体" w:cs="楷体"/>
          <w:b/>
          <w:color w:val="auto"/>
          <w:sz w:val="32"/>
          <w:szCs w:val="32"/>
          <w:highlight w:val="none"/>
        </w:rPr>
      </w:pPr>
      <w:r>
        <w:rPr>
          <w:rFonts w:hint="eastAsia" w:ascii="楷体" w:hAnsi="楷体" w:eastAsia="楷体" w:cs="楷体"/>
          <w:b/>
          <w:color w:val="auto"/>
          <w:sz w:val="32"/>
          <w:szCs w:val="32"/>
          <w:highlight w:val="none"/>
        </w:rPr>
        <w:t>（一）一般公共预算财政拨款支出决算总体情况</w:t>
      </w:r>
    </w:p>
    <w:p w14:paraId="7EAAAE45">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2025年度财政拨款支出</w:t>
      </w:r>
      <w:r>
        <w:rPr>
          <w:rFonts w:hint="eastAsia" w:ascii="仿宋" w:hAnsi="仿宋" w:eastAsia="仿宋" w:cs="仿宋"/>
          <w:color w:val="auto"/>
          <w:sz w:val="32"/>
          <w:szCs w:val="32"/>
          <w:highlight w:val="none"/>
          <w:lang w:val="en-US" w:eastAsia="zh-CN"/>
        </w:rPr>
        <w:t>693.30</w:t>
      </w:r>
      <w:r>
        <w:rPr>
          <w:rFonts w:hint="eastAsia" w:ascii="仿宋" w:hAnsi="仿宋" w:eastAsia="仿宋" w:cs="仿宋"/>
          <w:color w:val="auto"/>
          <w:sz w:val="32"/>
          <w:szCs w:val="32"/>
          <w:highlight w:val="none"/>
        </w:rPr>
        <w:t>万元，占本年支出合计的</w:t>
      </w:r>
      <w:r>
        <w:rPr>
          <w:rFonts w:hint="eastAsia" w:ascii="仿宋" w:hAnsi="仿宋" w:eastAsia="仿宋" w:cs="仿宋"/>
          <w:color w:val="auto"/>
          <w:sz w:val="32"/>
          <w:szCs w:val="32"/>
          <w:highlight w:val="none"/>
          <w:lang w:val="en-US" w:eastAsia="zh-CN"/>
        </w:rPr>
        <w:t>100</w:t>
      </w:r>
      <w:r>
        <w:rPr>
          <w:rFonts w:hint="eastAsia" w:ascii="仿宋" w:hAnsi="仿宋" w:eastAsia="仿宋" w:cs="仿宋"/>
          <w:color w:val="auto"/>
          <w:sz w:val="32"/>
          <w:szCs w:val="32"/>
          <w:highlight w:val="none"/>
        </w:rPr>
        <w:t>%，与</w:t>
      </w:r>
      <w:r>
        <w:rPr>
          <w:rFonts w:hint="eastAsia" w:ascii="仿宋" w:hAnsi="仿宋" w:eastAsia="仿宋" w:cs="仿宋"/>
          <w:color w:val="auto"/>
          <w:sz w:val="32"/>
          <w:szCs w:val="32"/>
          <w:highlight w:val="none"/>
          <w:lang w:eastAsia="zh-CN"/>
        </w:rPr>
        <w:t>上</w:t>
      </w:r>
      <w:r>
        <w:rPr>
          <w:rFonts w:hint="eastAsia" w:ascii="仿宋" w:hAnsi="仿宋" w:eastAsia="仿宋" w:cs="仿宋"/>
          <w:color w:val="auto"/>
          <w:sz w:val="32"/>
          <w:szCs w:val="32"/>
          <w:highlight w:val="none"/>
        </w:rPr>
        <w:t>年相比，</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29.66</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3.79</w:t>
      </w:r>
      <w:r>
        <w:rPr>
          <w:rFonts w:hint="eastAsia" w:ascii="仿宋" w:hAnsi="仿宋" w:eastAsia="仿宋" w:cs="仿宋"/>
          <w:color w:val="auto"/>
          <w:sz w:val="32"/>
          <w:szCs w:val="32"/>
          <w:highlight w:val="none"/>
        </w:rPr>
        <w:t>%，主要原因是</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贯彻落实党政机关习惯过紧日子有关要求，厉行节约办一切事业，严控一般性支出，进一步优化支出结构，持续压降“三公”经费、办公经费、会议培训等行政开支。</w:t>
      </w:r>
    </w:p>
    <w:p w14:paraId="2CDD9DE3">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楷体" w:hAnsi="楷体" w:eastAsia="楷体" w:cs="楷体"/>
          <w:b/>
          <w:color w:val="auto"/>
          <w:sz w:val="32"/>
          <w:szCs w:val="32"/>
          <w:highlight w:val="none"/>
        </w:rPr>
      </w:pPr>
      <w:r>
        <w:rPr>
          <w:rFonts w:hint="eastAsia" w:ascii="楷体" w:hAnsi="楷体" w:eastAsia="楷体" w:cs="楷体"/>
          <w:b/>
          <w:color w:val="auto"/>
          <w:sz w:val="32"/>
          <w:szCs w:val="32"/>
          <w:highlight w:val="none"/>
        </w:rPr>
        <w:t>（二）一般公共预算财政拨款支出决算结构情况</w:t>
      </w:r>
    </w:p>
    <w:p w14:paraId="57BDFA58">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2025年度财政拨款支出</w:t>
      </w:r>
      <w:r>
        <w:rPr>
          <w:rFonts w:hint="eastAsia" w:ascii="仿宋" w:hAnsi="仿宋" w:eastAsia="仿宋" w:cs="仿宋"/>
          <w:color w:val="auto"/>
          <w:sz w:val="32"/>
          <w:szCs w:val="32"/>
          <w:highlight w:val="none"/>
          <w:lang w:val="en-US" w:eastAsia="zh-CN"/>
        </w:rPr>
        <w:t>693.30</w:t>
      </w:r>
      <w:r>
        <w:rPr>
          <w:rFonts w:hint="eastAsia" w:ascii="仿宋" w:hAnsi="仿宋" w:eastAsia="仿宋" w:cs="仿宋"/>
          <w:color w:val="auto"/>
          <w:sz w:val="32"/>
          <w:szCs w:val="32"/>
          <w:highlight w:val="none"/>
        </w:rPr>
        <w:t>万元，主要用于以下方面：一般公共服务（类）支出</w:t>
      </w:r>
      <w:r>
        <w:rPr>
          <w:rFonts w:hint="eastAsia" w:ascii="仿宋" w:hAnsi="仿宋" w:eastAsia="仿宋" w:cs="仿宋"/>
          <w:color w:val="auto"/>
          <w:sz w:val="32"/>
          <w:szCs w:val="32"/>
          <w:highlight w:val="none"/>
          <w:lang w:val="en-US" w:eastAsia="zh-CN"/>
        </w:rPr>
        <w:t>599.91</w:t>
      </w:r>
      <w:r>
        <w:rPr>
          <w:rFonts w:hint="eastAsia" w:ascii="仿宋" w:hAnsi="仿宋" w:eastAsia="仿宋" w:cs="仿宋"/>
          <w:color w:val="auto"/>
          <w:sz w:val="32"/>
          <w:szCs w:val="32"/>
          <w:highlight w:val="none"/>
        </w:rPr>
        <w:t>万元，占</w:t>
      </w:r>
      <w:r>
        <w:rPr>
          <w:rFonts w:hint="eastAsia" w:ascii="仿宋" w:hAnsi="仿宋" w:eastAsia="仿宋" w:cs="仿宋"/>
          <w:color w:val="auto"/>
          <w:sz w:val="32"/>
          <w:szCs w:val="32"/>
          <w:highlight w:val="none"/>
          <w:lang w:val="en-US" w:eastAsia="zh-CN"/>
        </w:rPr>
        <w:t>86.53</w:t>
      </w:r>
      <w:r>
        <w:rPr>
          <w:rFonts w:hint="eastAsia" w:ascii="仿宋" w:hAnsi="仿宋" w:eastAsia="仿宋" w:cs="仿宋"/>
          <w:color w:val="auto"/>
          <w:sz w:val="32"/>
          <w:szCs w:val="32"/>
          <w:highlight w:val="none"/>
        </w:rPr>
        <w:t>%；社会保障与就业支出</w:t>
      </w:r>
      <w:r>
        <w:rPr>
          <w:rFonts w:hint="eastAsia" w:ascii="仿宋" w:hAnsi="仿宋" w:eastAsia="仿宋" w:cs="仿宋"/>
          <w:color w:val="auto"/>
          <w:sz w:val="32"/>
          <w:szCs w:val="32"/>
          <w:highlight w:val="none"/>
          <w:lang w:val="en-US" w:eastAsia="zh-CN"/>
        </w:rPr>
        <w:t>43.48</w:t>
      </w:r>
      <w:r>
        <w:rPr>
          <w:rFonts w:hint="eastAsia" w:ascii="仿宋" w:hAnsi="仿宋" w:eastAsia="仿宋" w:cs="仿宋"/>
          <w:color w:val="auto"/>
          <w:sz w:val="32"/>
          <w:szCs w:val="32"/>
          <w:highlight w:val="none"/>
        </w:rPr>
        <w:t>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元</w:t>
      </w:r>
      <w:r>
        <w:rPr>
          <w:rFonts w:hint="eastAsia" w:ascii="仿宋" w:hAnsi="仿宋" w:eastAsia="仿宋" w:cs="仿宋"/>
          <w:color w:val="auto"/>
          <w:sz w:val="32"/>
          <w:szCs w:val="32"/>
          <w:highlight w:val="none"/>
          <w:lang w:eastAsia="zh-CN"/>
        </w:rPr>
        <w:t>占</w:t>
      </w:r>
      <w:r>
        <w:rPr>
          <w:rFonts w:hint="eastAsia" w:ascii="仿宋" w:hAnsi="仿宋" w:eastAsia="仿宋" w:cs="仿宋"/>
          <w:color w:val="auto"/>
          <w:sz w:val="32"/>
          <w:szCs w:val="32"/>
          <w:highlight w:val="none"/>
          <w:lang w:val="en-US" w:eastAsia="zh-CN"/>
        </w:rPr>
        <w:t>6.27%；</w:t>
      </w:r>
      <w:r>
        <w:rPr>
          <w:rFonts w:hint="eastAsia" w:ascii="仿宋" w:hAnsi="仿宋" w:eastAsia="仿宋" w:cs="仿宋"/>
          <w:color w:val="auto"/>
          <w:sz w:val="32"/>
          <w:szCs w:val="32"/>
          <w:highlight w:val="none"/>
        </w:rPr>
        <w:t>卫生健康支出</w:t>
      </w:r>
      <w:r>
        <w:rPr>
          <w:rFonts w:hint="eastAsia" w:ascii="仿宋" w:hAnsi="仿宋" w:eastAsia="仿宋" w:cs="仿宋"/>
          <w:color w:val="auto"/>
          <w:sz w:val="32"/>
          <w:szCs w:val="32"/>
          <w:highlight w:val="none"/>
          <w:lang w:val="en-US" w:eastAsia="zh-CN"/>
        </w:rPr>
        <w:t>19.03</w:t>
      </w:r>
      <w:r>
        <w:rPr>
          <w:rFonts w:hint="eastAsia" w:ascii="仿宋" w:hAnsi="仿宋" w:eastAsia="仿宋" w:cs="仿宋"/>
          <w:color w:val="auto"/>
          <w:sz w:val="32"/>
          <w:szCs w:val="32"/>
          <w:highlight w:val="none"/>
        </w:rPr>
        <w:t>万</w:t>
      </w:r>
      <w:r>
        <w:rPr>
          <w:rFonts w:hint="eastAsia" w:ascii="仿宋" w:hAnsi="仿宋" w:eastAsia="仿宋" w:cs="仿宋"/>
          <w:color w:val="auto"/>
          <w:sz w:val="32"/>
          <w:szCs w:val="32"/>
          <w:highlight w:val="none"/>
          <w:lang w:eastAsia="zh-CN"/>
        </w:rPr>
        <w:t>元，占</w:t>
      </w:r>
      <w:r>
        <w:rPr>
          <w:rFonts w:hint="eastAsia" w:ascii="仿宋" w:hAnsi="仿宋" w:eastAsia="仿宋" w:cs="仿宋"/>
          <w:color w:val="auto"/>
          <w:sz w:val="32"/>
          <w:szCs w:val="32"/>
          <w:highlight w:val="none"/>
          <w:lang w:val="en-US" w:eastAsia="zh-CN"/>
        </w:rPr>
        <w:t>2.75%；</w:t>
      </w:r>
      <w:r>
        <w:rPr>
          <w:rFonts w:hint="eastAsia" w:ascii="仿宋" w:hAnsi="仿宋" w:eastAsia="仿宋" w:cs="仿宋"/>
          <w:color w:val="auto"/>
          <w:sz w:val="32"/>
          <w:szCs w:val="32"/>
          <w:highlight w:val="none"/>
          <w:lang w:eastAsia="zh-CN"/>
        </w:rPr>
        <w:t>住房保障支出</w:t>
      </w:r>
      <w:r>
        <w:rPr>
          <w:rFonts w:hint="eastAsia" w:ascii="仿宋" w:hAnsi="仿宋" w:eastAsia="仿宋" w:cs="仿宋"/>
          <w:color w:val="auto"/>
          <w:sz w:val="32"/>
          <w:szCs w:val="32"/>
          <w:highlight w:val="none"/>
          <w:lang w:val="en-US" w:eastAsia="zh-CN"/>
        </w:rPr>
        <w:t>30.88</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，占</w:t>
      </w:r>
      <w:r>
        <w:rPr>
          <w:rFonts w:hint="eastAsia" w:ascii="仿宋" w:hAnsi="仿宋" w:eastAsia="仿宋" w:cs="仿宋"/>
          <w:color w:val="auto"/>
          <w:sz w:val="32"/>
          <w:szCs w:val="32"/>
          <w:highlight w:val="none"/>
          <w:lang w:val="en-US" w:eastAsia="zh-CN"/>
        </w:rPr>
        <w:t>4.45%。</w:t>
      </w:r>
    </w:p>
    <w:p w14:paraId="07803786">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楷体" w:hAnsi="楷体" w:eastAsia="楷体" w:cs="楷体"/>
          <w:b/>
          <w:color w:val="auto"/>
          <w:sz w:val="32"/>
          <w:szCs w:val="32"/>
          <w:highlight w:val="none"/>
        </w:rPr>
      </w:pPr>
      <w:r>
        <w:rPr>
          <w:rFonts w:hint="eastAsia" w:ascii="楷体" w:hAnsi="楷体" w:eastAsia="楷体" w:cs="楷体"/>
          <w:b/>
          <w:color w:val="auto"/>
          <w:sz w:val="32"/>
          <w:szCs w:val="32"/>
          <w:highlight w:val="none"/>
        </w:rPr>
        <w:t>（三）一般公共预算财政拨款支出决算具体情况</w:t>
      </w:r>
    </w:p>
    <w:p w14:paraId="4F17AE50">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2025</w:t>
      </w:r>
      <w:r>
        <w:rPr>
          <w:rFonts w:hint="eastAsia" w:ascii="仿宋" w:hAnsi="仿宋" w:eastAsia="仿宋" w:cs="仿宋"/>
          <w:color w:val="auto"/>
          <w:sz w:val="32"/>
          <w:szCs w:val="32"/>
          <w:highlight w:val="none"/>
        </w:rPr>
        <w:t>年度财政拨款支出年初预算数为</w:t>
      </w:r>
      <w:r>
        <w:rPr>
          <w:rFonts w:hint="eastAsia" w:ascii="仿宋" w:hAnsi="仿宋" w:eastAsia="仿宋" w:cs="仿宋"/>
          <w:color w:val="auto"/>
          <w:sz w:val="32"/>
          <w:szCs w:val="32"/>
          <w:highlight w:val="none"/>
          <w:lang w:val="en-US" w:eastAsia="zh-CN"/>
        </w:rPr>
        <w:t>751.91</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支出决算数为</w:t>
      </w:r>
      <w:r>
        <w:rPr>
          <w:rFonts w:hint="eastAsia" w:ascii="仿宋" w:hAnsi="仿宋" w:eastAsia="仿宋" w:cs="仿宋"/>
          <w:color w:val="auto"/>
          <w:sz w:val="32"/>
          <w:szCs w:val="32"/>
          <w:highlight w:val="none"/>
          <w:lang w:eastAsia="zh-CN"/>
        </w:rPr>
        <w:t>693.30</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92.21</w:t>
      </w:r>
      <w:r>
        <w:rPr>
          <w:rFonts w:hint="eastAsia" w:ascii="仿宋" w:hAnsi="仿宋" w:eastAsia="仿宋" w:cs="仿宋"/>
          <w:color w:val="auto"/>
          <w:sz w:val="32"/>
          <w:szCs w:val="32"/>
          <w:highlight w:val="none"/>
        </w:rPr>
        <w:t>%，其中：</w:t>
      </w:r>
    </w:p>
    <w:p w14:paraId="566E7F97">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1）一般公共服务支出（201）政协事务（20102）行政运行（2010201）。</w:t>
      </w:r>
    </w:p>
    <w:p w14:paraId="6F332746">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445.16</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433.38</w:t>
      </w:r>
      <w:r>
        <w:rPr>
          <w:rFonts w:hint="eastAsia" w:ascii="仿宋" w:hAnsi="仿宋" w:eastAsia="仿宋" w:cs="仿宋"/>
          <w:b w:val="0"/>
          <w:bCs w:val="0"/>
          <w:color w:val="auto"/>
          <w:sz w:val="32"/>
          <w:szCs w:val="32"/>
          <w:highlight w:val="none"/>
        </w:rPr>
        <w:t>万</w:t>
      </w:r>
      <w:r>
        <w:rPr>
          <w:rFonts w:hint="eastAsia" w:ascii="仿宋" w:hAnsi="仿宋" w:eastAsia="仿宋" w:cs="仿宋"/>
          <w:color w:val="auto"/>
          <w:sz w:val="32"/>
          <w:szCs w:val="32"/>
          <w:highlight w:val="none"/>
        </w:rPr>
        <w:t>元，完成年初预算的</w:t>
      </w:r>
      <w:r>
        <w:rPr>
          <w:rFonts w:hint="eastAsia" w:ascii="仿宋" w:hAnsi="仿宋" w:eastAsia="仿宋" w:cs="仿宋"/>
          <w:color w:val="auto"/>
          <w:sz w:val="32"/>
          <w:szCs w:val="32"/>
          <w:highlight w:val="none"/>
          <w:lang w:val="en-US" w:eastAsia="zh-CN"/>
        </w:rPr>
        <w:t>97.35</w:t>
      </w:r>
      <w:r>
        <w:rPr>
          <w:rFonts w:hint="eastAsia" w:ascii="仿宋" w:hAnsi="仿宋" w:eastAsia="仿宋" w:cs="仿宋"/>
          <w:color w:val="auto"/>
          <w:sz w:val="32"/>
          <w:szCs w:val="32"/>
          <w:highlight w:val="none"/>
        </w:rPr>
        <w:t>%，决算数小于年初预算数的主要原因是：严格执行中央八项规定，</w:t>
      </w:r>
      <w:r>
        <w:rPr>
          <w:rFonts w:hint="eastAsia" w:ascii="仿宋" w:hAnsi="仿宋" w:eastAsia="仿宋" w:cs="仿宋"/>
          <w:color w:val="auto"/>
          <w:sz w:val="32"/>
          <w:szCs w:val="32"/>
          <w:highlight w:val="none"/>
          <w:lang w:eastAsia="zh-CN"/>
        </w:rPr>
        <w:t>厉</w:t>
      </w:r>
      <w:r>
        <w:rPr>
          <w:rFonts w:hint="eastAsia" w:ascii="仿宋" w:hAnsi="仿宋" w:eastAsia="仿宋" w:cs="仿宋"/>
          <w:color w:val="auto"/>
          <w:sz w:val="32"/>
          <w:szCs w:val="32"/>
          <w:highlight w:val="none"/>
        </w:rPr>
        <w:t>行节约，</w:t>
      </w:r>
      <w:r>
        <w:rPr>
          <w:rFonts w:hint="eastAsia" w:ascii="仿宋" w:hAnsi="仿宋" w:eastAsia="仿宋" w:cs="仿宋"/>
          <w:color w:val="auto"/>
          <w:sz w:val="32"/>
          <w:szCs w:val="32"/>
          <w:highlight w:val="none"/>
          <w:lang w:eastAsia="zh-CN"/>
        </w:rPr>
        <w:t>严格</w:t>
      </w:r>
      <w:r>
        <w:rPr>
          <w:rFonts w:hint="eastAsia" w:ascii="仿宋" w:hAnsi="仿宋" w:eastAsia="仿宋" w:cs="仿宋"/>
          <w:color w:val="auto"/>
          <w:sz w:val="32"/>
          <w:szCs w:val="32"/>
          <w:highlight w:val="none"/>
        </w:rPr>
        <w:t>控制各项开支。</w:t>
      </w:r>
    </w:p>
    <w:p w14:paraId="1C1816FE">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2）一般公共服务支出（201）政协事务（20102）一般行政管理事务（2010202）</w:t>
      </w:r>
    </w:p>
    <w:p w14:paraId="7666E6CA">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208.3</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164.22</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78.84</w:t>
      </w:r>
      <w:r>
        <w:rPr>
          <w:rFonts w:hint="eastAsia" w:ascii="仿宋" w:hAnsi="仿宋" w:eastAsia="仿宋" w:cs="仿宋"/>
          <w:color w:val="auto"/>
          <w:sz w:val="32"/>
          <w:szCs w:val="32"/>
          <w:highlight w:val="none"/>
        </w:rPr>
        <w:t>%，决算数</w:t>
      </w:r>
      <w:r>
        <w:rPr>
          <w:rFonts w:hint="eastAsia" w:ascii="仿宋" w:hAnsi="仿宋" w:eastAsia="仿宋" w:cs="仿宋"/>
          <w:color w:val="auto"/>
          <w:sz w:val="32"/>
          <w:szCs w:val="32"/>
          <w:highlight w:val="none"/>
          <w:lang w:eastAsia="zh-CN"/>
        </w:rPr>
        <w:t>小</w:t>
      </w:r>
      <w:r>
        <w:rPr>
          <w:rFonts w:hint="eastAsia" w:ascii="仿宋" w:hAnsi="仿宋" w:eastAsia="仿宋" w:cs="仿宋"/>
          <w:color w:val="auto"/>
          <w:sz w:val="32"/>
          <w:szCs w:val="32"/>
          <w:highlight w:val="none"/>
        </w:rPr>
        <w:t>于年初预算数的主要原因是：严格执行中央八项规定，</w:t>
      </w:r>
      <w:r>
        <w:rPr>
          <w:rFonts w:hint="eastAsia" w:ascii="仿宋" w:hAnsi="仿宋" w:eastAsia="仿宋" w:cs="仿宋"/>
          <w:color w:val="auto"/>
          <w:sz w:val="32"/>
          <w:szCs w:val="32"/>
          <w:highlight w:val="none"/>
          <w:lang w:eastAsia="zh-CN"/>
        </w:rPr>
        <w:t>厉</w:t>
      </w:r>
      <w:r>
        <w:rPr>
          <w:rFonts w:hint="eastAsia" w:ascii="仿宋" w:hAnsi="仿宋" w:eastAsia="仿宋" w:cs="仿宋"/>
          <w:color w:val="auto"/>
          <w:sz w:val="32"/>
          <w:szCs w:val="32"/>
          <w:highlight w:val="none"/>
        </w:rPr>
        <w:t>行节约，</w:t>
      </w:r>
      <w:r>
        <w:rPr>
          <w:rFonts w:hint="eastAsia" w:ascii="仿宋" w:hAnsi="仿宋" w:eastAsia="仿宋" w:cs="仿宋"/>
          <w:color w:val="auto"/>
          <w:sz w:val="32"/>
          <w:szCs w:val="32"/>
          <w:highlight w:val="none"/>
          <w:lang w:eastAsia="zh-CN"/>
        </w:rPr>
        <w:t>严格</w:t>
      </w:r>
      <w:r>
        <w:rPr>
          <w:rFonts w:hint="eastAsia" w:ascii="仿宋" w:hAnsi="仿宋" w:eastAsia="仿宋" w:cs="仿宋"/>
          <w:color w:val="auto"/>
          <w:sz w:val="32"/>
          <w:szCs w:val="32"/>
          <w:highlight w:val="none"/>
        </w:rPr>
        <w:t>控制各项开支。</w:t>
      </w:r>
    </w:p>
    <w:p w14:paraId="1D05FC8A">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3）一般公共服务支出（201）政协事务（20102）其他政协事务（2010299）</w:t>
      </w:r>
    </w:p>
    <w:p w14:paraId="0067A20F">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年初预算为0万元，支出决算为</w:t>
      </w:r>
      <w:r>
        <w:rPr>
          <w:rFonts w:hint="eastAsia" w:ascii="仿宋" w:hAnsi="仿宋" w:eastAsia="仿宋" w:cs="仿宋"/>
          <w:color w:val="auto"/>
          <w:sz w:val="32"/>
          <w:szCs w:val="32"/>
          <w:highlight w:val="none"/>
          <w:lang w:val="en-US" w:eastAsia="zh-CN"/>
        </w:rPr>
        <w:t>2.31</w:t>
      </w:r>
      <w:r>
        <w:rPr>
          <w:rFonts w:hint="eastAsia" w:ascii="仿宋" w:hAnsi="仿宋" w:eastAsia="仿宋" w:cs="仿宋"/>
          <w:color w:val="auto"/>
          <w:sz w:val="32"/>
          <w:szCs w:val="32"/>
          <w:highlight w:val="none"/>
        </w:rPr>
        <w:t>万元，决算数大于年初预算数的主要原因是：工作需要，追加预算。</w:t>
      </w:r>
    </w:p>
    <w:p w14:paraId="5B89D0C4">
      <w:pPr>
        <w:pStyle w:val="17"/>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）社会保障与就业支出（208）行政事业单位养老支出（20805）机关事业单位养老保险支出（2080505）</w:t>
      </w:r>
    </w:p>
    <w:p w14:paraId="1CFC5F94">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46.35</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42.98</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92.73</w:t>
      </w:r>
      <w:r>
        <w:rPr>
          <w:rFonts w:hint="eastAsia" w:ascii="仿宋" w:hAnsi="仿宋" w:eastAsia="仿宋" w:cs="仿宋"/>
          <w:color w:val="auto"/>
          <w:sz w:val="32"/>
          <w:szCs w:val="32"/>
          <w:highlight w:val="none"/>
        </w:rPr>
        <w:t>%。</w:t>
      </w:r>
    </w:p>
    <w:p w14:paraId="0666A5A0">
      <w:pPr>
        <w:pStyle w:val="17"/>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社会保障与就业支出（208）</w:t>
      </w:r>
      <w:r>
        <w:rPr>
          <w:rFonts w:hint="eastAsia" w:ascii="仿宋" w:hAnsi="仿宋" w:eastAsia="仿宋" w:cs="仿宋"/>
          <w:color w:val="auto"/>
          <w:sz w:val="32"/>
          <w:szCs w:val="32"/>
          <w:highlight w:val="none"/>
          <w:lang w:eastAsia="zh-CN"/>
        </w:rPr>
        <w:t>其他</w:t>
      </w:r>
      <w:r>
        <w:rPr>
          <w:rFonts w:hint="eastAsia" w:ascii="仿宋" w:hAnsi="仿宋" w:eastAsia="仿宋" w:cs="仿宋"/>
          <w:color w:val="auto"/>
          <w:sz w:val="32"/>
          <w:szCs w:val="32"/>
          <w:highlight w:val="none"/>
        </w:rPr>
        <w:t>社会保障与就业支出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20899</w:t>
      </w:r>
      <w:r>
        <w:rPr>
          <w:rFonts w:hint="eastAsia" w:ascii="仿宋" w:hAnsi="仿宋" w:eastAsia="仿宋" w:cs="仿宋"/>
          <w:color w:val="auto"/>
          <w:sz w:val="32"/>
          <w:szCs w:val="32"/>
          <w:highlight w:val="none"/>
          <w:lang w:eastAsia="zh-CN"/>
        </w:rPr>
        <w:t>）其他</w:t>
      </w:r>
      <w:r>
        <w:rPr>
          <w:rFonts w:hint="eastAsia" w:ascii="仿宋" w:hAnsi="仿宋" w:eastAsia="仿宋" w:cs="仿宋"/>
          <w:color w:val="auto"/>
          <w:sz w:val="32"/>
          <w:szCs w:val="32"/>
          <w:highlight w:val="none"/>
        </w:rPr>
        <w:t>社会保障与就业支出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2089999</w:t>
      </w:r>
      <w:r>
        <w:rPr>
          <w:rFonts w:hint="eastAsia" w:ascii="仿宋" w:hAnsi="仿宋" w:eastAsia="仿宋" w:cs="仿宋"/>
          <w:color w:val="auto"/>
          <w:sz w:val="32"/>
          <w:szCs w:val="32"/>
          <w:highlight w:val="none"/>
          <w:lang w:eastAsia="zh-CN"/>
        </w:rPr>
        <w:t>）</w:t>
      </w:r>
    </w:p>
    <w:p w14:paraId="098115ED">
      <w:pPr>
        <w:pStyle w:val="17"/>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4.23</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0.5</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11.82</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决算数</w:t>
      </w:r>
      <w:r>
        <w:rPr>
          <w:rFonts w:hint="eastAsia" w:ascii="仿宋" w:hAnsi="仿宋" w:eastAsia="仿宋" w:cs="仿宋"/>
          <w:color w:val="auto"/>
          <w:sz w:val="32"/>
          <w:szCs w:val="32"/>
          <w:highlight w:val="none"/>
          <w:lang w:eastAsia="zh-CN"/>
        </w:rPr>
        <w:t>少</w:t>
      </w:r>
      <w:r>
        <w:rPr>
          <w:rFonts w:hint="eastAsia" w:ascii="仿宋" w:hAnsi="仿宋" w:eastAsia="仿宋" w:cs="仿宋"/>
          <w:color w:val="auto"/>
          <w:sz w:val="32"/>
          <w:szCs w:val="32"/>
          <w:highlight w:val="none"/>
        </w:rPr>
        <w:t>于年初预算数的主要原因是：工作需要，</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rPr>
        <w:t>预算。</w:t>
      </w:r>
    </w:p>
    <w:p w14:paraId="04F75A9D">
      <w:pPr>
        <w:pStyle w:val="17"/>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卫生健康支出（210）行政事业单位医疗（21011）行政单位医疗（2101101）。</w:t>
      </w:r>
    </w:p>
    <w:p w14:paraId="006027DF">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18.87</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19.03</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100.85</w:t>
      </w:r>
      <w:r>
        <w:rPr>
          <w:rFonts w:hint="eastAsia" w:ascii="仿宋" w:hAnsi="仿宋" w:eastAsia="仿宋" w:cs="仿宋"/>
          <w:color w:val="auto"/>
          <w:sz w:val="32"/>
          <w:szCs w:val="32"/>
          <w:highlight w:val="none"/>
        </w:rPr>
        <w:t>%。</w:t>
      </w:r>
    </w:p>
    <w:p w14:paraId="021FCFDF">
      <w:pPr>
        <w:pStyle w:val="17"/>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lang w:eastAsia="zh-CN"/>
        </w:rPr>
        <w:t>）住房保障支出（</w:t>
      </w:r>
      <w:r>
        <w:rPr>
          <w:rFonts w:hint="eastAsia" w:ascii="仿宋" w:hAnsi="仿宋" w:eastAsia="仿宋" w:cs="仿宋"/>
          <w:color w:val="auto"/>
          <w:sz w:val="32"/>
          <w:szCs w:val="32"/>
          <w:highlight w:val="none"/>
          <w:lang w:val="en-US" w:eastAsia="zh-CN"/>
        </w:rPr>
        <w:t>221</w:t>
      </w:r>
      <w:r>
        <w:rPr>
          <w:rFonts w:hint="eastAsia" w:ascii="仿宋" w:hAnsi="仿宋" w:eastAsia="仿宋" w:cs="仿宋"/>
          <w:color w:val="auto"/>
          <w:sz w:val="32"/>
          <w:szCs w:val="32"/>
          <w:highlight w:val="none"/>
          <w:lang w:eastAsia="zh-CN"/>
        </w:rPr>
        <w:t>）住房改革支出（</w:t>
      </w:r>
      <w:r>
        <w:rPr>
          <w:rFonts w:hint="eastAsia" w:ascii="仿宋" w:hAnsi="仿宋" w:eastAsia="仿宋" w:cs="仿宋"/>
          <w:color w:val="auto"/>
          <w:sz w:val="32"/>
          <w:szCs w:val="32"/>
          <w:highlight w:val="none"/>
          <w:lang w:val="en-US" w:eastAsia="zh-CN"/>
        </w:rPr>
        <w:t>22102</w:t>
      </w:r>
      <w:r>
        <w:rPr>
          <w:rFonts w:hint="eastAsia" w:ascii="仿宋" w:hAnsi="仿宋" w:eastAsia="仿宋" w:cs="仿宋"/>
          <w:color w:val="auto"/>
          <w:sz w:val="32"/>
          <w:szCs w:val="32"/>
          <w:highlight w:val="none"/>
          <w:lang w:eastAsia="zh-CN"/>
        </w:rPr>
        <w:t>）住房公积金（</w:t>
      </w:r>
      <w:r>
        <w:rPr>
          <w:rFonts w:hint="eastAsia" w:ascii="仿宋" w:hAnsi="仿宋" w:eastAsia="仿宋" w:cs="仿宋"/>
          <w:color w:val="auto"/>
          <w:sz w:val="32"/>
          <w:szCs w:val="32"/>
          <w:highlight w:val="none"/>
          <w:lang w:val="en-US" w:eastAsia="zh-CN"/>
        </w:rPr>
        <w:t>2210201</w:t>
      </w:r>
      <w:r>
        <w:rPr>
          <w:rFonts w:hint="eastAsia" w:ascii="仿宋" w:hAnsi="仿宋" w:eastAsia="仿宋" w:cs="仿宋"/>
          <w:color w:val="auto"/>
          <w:sz w:val="32"/>
          <w:szCs w:val="32"/>
          <w:highlight w:val="none"/>
          <w:lang w:eastAsia="zh-CN"/>
        </w:rPr>
        <w:t>）</w:t>
      </w:r>
    </w:p>
    <w:p w14:paraId="0713BE88">
      <w:pPr>
        <w:pStyle w:val="17"/>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33.23</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30.88</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92.93</w:t>
      </w:r>
      <w:r>
        <w:rPr>
          <w:rFonts w:hint="eastAsia" w:ascii="仿宋" w:hAnsi="仿宋" w:eastAsia="仿宋" w:cs="仿宋"/>
          <w:color w:val="auto"/>
          <w:sz w:val="32"/>
          <w:szCs w:val="32"/>
          <w:highlight w:val="none"/>
        </w:rPr>
        <w:t>%。</w:t>
      </w:r>
    </w:p>
    <w:p w14:paraId="291C1E0C">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rPr>
        <w:t xml:space="preserve"> </w:t>
      </w:r>
      <w:r>
        <w:rPr>
          <w:rFonts w:hint="eastAsia" w:ascii="仿宋" w:hAnsi="仿宋" w:eastAsia="仿宋" w:cs="仿宋"/>
          <w:b/>
          <w:bCs/>
          <w:color w:val="auto"/>
          <w:sz w:val="32"/>
          <w:szCs w:val="32"/>
          <w:highlight w:val="none"/>
          <w:lang w:val="en-US" w:eastAsia="zh-CN"/>
        </w:rPr>
        <w:t>2025</w:t>
      </w:r>
      <w:r>
        <w:rPr>
          <w:rFonts w:hint="eastAsia" w:ascii="仿宋" w:hAnsi="仿宋" w:eastAsia="仿宋" w:cs="仿宋"/>
          <w:b/>
          <w:bCs/>
          <w:color w:val="auto"/>
          <w:sz w:val="32"/>
          <w:szCs w:val="32"/>
          <w:highlight w:val="none"/>
        </w:rPr>
        <w:t>年度财政拨款基本支出</w:t>
      </w:r>
    </w:p>
    <w:p w14:paraId="07B85FDE">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543.61</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526.78</w:t>
      </w:r>
      <w:r>
        <w:rPr>
          <w:rFonts w:hint="eastAsia" w:ascii="仿宋" w:hAnsi="仿宋" w:eastAsia="仿宋" w:cs="仿宋"/>
          <w:b w:val="0"/>
          <w:bCs w:val="0"/>
          <w:color w:val="auto"/>
          <w:sz w:val="32"/>
          <w:szCs w:val="32"/>
          <w:highlight w:val="none"/>
        </w:rPr>
        <w:t>万</w:t>
      </w:r>
      <w:r>
        <w:rPr>
          <w:rFonts w:hint="eastAsia" w:ascii="仿宋" w:hAnsi="仿宋" w:eastAsia="仿宋" w:cs="仿宋"/>
          <w:color w:val="auto"/>
          <w:sz w:val="32"/>
          <w:szCs w:val="32"/>
          <w:highlight w:val="none"/>
        </w:rPr>
        <w:t>元，完成年初预算的</w:t>
      </w:r>
      <w:r>
        <w:rPr>
          <w:rFonts w:hint="eastAsia" w:ascii="仿宋" w:hAnsi="仿宋" w:eastAsia="仿宋" w:cs="仿宋"/>
          <w:color w:val="auto"/>
          <w:sz w:val="32"/>
          <w:szCs w:val="32"/>
          <w:highlight w:val="none"/>
          <w:lang w:val="en-US" w:eastAsia="zh-CN"/>
        </w:rPr>
        <w:t>96.90</w:t>
      </w:r>
      <w:r>
        <w:rPr>
          <w:rFonts w:hint="eastAsia" w:ascii="仿宋" w:hAnsi="仿宋" w:eastAsia="仿宋" w:cs="仿宋"/>
          <w:color w:val="auto"/>
          <w:sz w:val="32"/>
          <w:szCs w:val="32"/>
          <w:highlight w:val="none"/>
        </w:rPr>
        <w:t>%，决算数小于年初预算数的主要原因是：严格执行中央八项规定，</w:t>
      </w:r>
      <w:r>
        <w:rPr>
          <w:rFonts w:hint="eastAsia" w:ascii="仿宋" w:hAnsi="仿宋" w:eastAsia="仿宋" w:cs="仿宋"/>
          <w:color w:val="auto"/>
          <w:sz w:val="32"/>
          <w:szCs w:val="32"/>
          <w:highlight w:val="none"/>
          <w:lang w:eastAsia="zh-CN"/>
        </w:rPr>
        <w:t>厉</w:t>
      </w:r>
      <w:r>
        <w:rPr>
          <w:rFonts w:hint="eastAsia" w:ascii="仿宋" w:hAnsi="仿宋" w:eastAsia="仿宋" w:cs="仿宋"/>
          <w:color w:val="auto"/>
          <w:sz w:val="32"/>
          <w:szCs w:val="32"/>
          <w:highlight w:val="none"/>
        </w:rPr>
        <w:t>行节约，控制各项开支。其中：人员经费</w:t>
      </w:r>
      <w:r>
        <w:rPr>
          <w:rFonts w:hint="eastAsia" w:ascii="仿宋" w:hAnsi="仿宋" w:eastAsia="仿宋" w:cs="仿宋"/>
          <w:color w:val="auto"/>
          <w:sz w:val="32"/>
          <w:szCs w:val="32"/>
          <w:highlight w:val="none"/>
          <w:lang w:val="en-US" w:eastAsia="zh-CN"/>
        </w:rPr>
        <w:t>450.57</w:t>
      </w:r>
      <w:r>
        <w:rPr>
          <w:rFonts w:hint="eastAsia" w:ascii="仿宋" w:hAnsi="仿宋" w:eastAsia="仿宋" w:cs="仿宋"/>
          <w:color w:val="auto"/>
          <w:sz w:val="32"/>
          <w:szCs w:val="32"/>
          <w:highlight w:val="none"/>
        </w:rPr>
        <w:t>万元，占基本支出的</w:t>
      </w:r>
      <w:r>
        <w:rPr>
          <w:rFonts w:hint="eastAsia" w:ascii="仿宋" w:hAnsi="仿宋" w:eastAsia="仿宋" w:cs="仿宋"/>
          <w:color w:val="auto"/>
          <w:sz w:val="32"/>
          <w:szCs w:val="32"/>
          <w:highlight w:val="none"/>
          <w:lang w:val="en-US" w:eastAsia="zh-CN"/>
        </w:rPr>
        <w:t>85.53</w:t>
      </w:r>
      <w:r>
        <w:rPr>
          <w:rFonts w:hint="eastAsia" w:ascii="仿宋" w:hAnsi="仿宋" w:eastAsia="仿宋" w:cs="仿宋"/>
          <w:color w:val="auto"/>
          <w:sz w:val="32"/>
          <w:szCs w:val="32"/>
          <w:highlight w:val="none"/>
        </w:rPr>
        <w:t>%，主要包括基本工资、津贴补贴、奖金、机关事业单位基本养老保险缴费、职工基本医疗保险缴费、住房公积金、其它工资福利支出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抚恤金等</w:t>
      </w:r>
      <w:r>
        <w:rPr>
          <w:rFonts w:hint="eastAsia" w:ascii="仿宋" w:hAnsi="仿宋" w:eastAsia="仿宋" w:cs="仿宋"/>
          <w:color w:val="auto"/>
          <w:sz w:val="32"/>
          <w:szCs w:val="32"/>
          <w:highlight w:val="none"/>
          <w:shd w:val="clear" w:color="auto" w:fill="FFFFFF"/>
        </w:rPr>
        <w:t>对个人和家庭补助支出</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rPr>
        <w:t>公用经费</w:t>
      </w:r>
      <w:r>
        <w:rPr>
          <w:rFonts w:hint="eastAsia" w:ascii="仿宋" w:hAnsi="仿宋" w:eastAsia="仿宋" w:cs="仿宋"/>
          <w:color w:val="auto"/>
          <w:sz w:val="32"/>
          <w:szCs w:val="32"/>
          <w:highlight w:val="none"/>
          <w:lang w:val="en-US" w:eastAsia="zh-CN"/>
        </w:rPr>
        <w:t>76.21</w:t>
      </w:r>
      <w:r>
        <w:rPr>
          <w:rFonts w:hint="eastAsia" w:ascii="仿宋" w:hAnsi="仿宋" w:eastAsia="仿宋" w:cs="仿宋"/>
          <w:color w:val="auto"/>
          <w:sz w:val="32"/>
          <w:szCs w:val="32"/>
          <w:highlight w:val="none"/>
        </w:rPr>
        <w:t>万元，占基本支出的</w:t>
      </w:r>
      <w:r>
        <w:rPr>
          <w:rFonts w:hint="eastAsia" w:ascii="仿宋" w:hAnsi="仿宋" w:eastAsia="仿宋" w:cs="仿宋"/>
          <w:color w:val="auto"/>
          <w:sz w:val="32"/>
          <w:szCs w:val="32"/>
          <w:highlight w:val="none"/>
          <w:lang w:val="en-US" w:eastAsia="zh-CN"/>
        </w:rPr>
        <w:t>14.47</w:t>
      </w:r>
      <w:r>
        <w:rPr>
          <w:rFonts w:hint="eastAsia" w:ascii="仿宋" w:hAnsi="仿宋" w:eastAsia="仿宋" w:cs="仿宋"/>
          <w:color w:val="auto"/>
          <w:sz w:val="32"/>
          <w:szCs w:val="32"/>
          <w:highlight w:val="none"/>
        </w:rPr>
        <w:t>%，主要包括办公费、印刷费、差旅费、</w:t>
      </w:r>
      <w:r>
        <w:rPr>
          <w:rFonts w:hint="eastAsia" w:ascii="仿宋" w:hAnsi="仿宋" w:eastAsia="仿宋" w:cs="仿宋"/>
          <w:color w:val="auto"/>
          <w:sz w:val="32"/>
          <w:szCs w:val="32"/>
          <w:highlight w:val="none"/>
          <w:lang w:eastAsia="zh-CN"/>
        </w:rPr>
        <w:t>邮电</w:t>
      </w:r>
      <w:r>
        <w:rPr>
          <w:rFonts w:hint="eastAsia" w:ascii="仿宋" w:hAnsi="仿宋" w:eastAsia="仿宋" w:cs="仿宋"/>
          <w:color w:val="auto"/>
          <w:sz w:val="32"/>
          <w:szCs w:val="32"/>
          <w:highlight w:val="none"/>
        </w:rPr>
        <w:t>费、</w:t>
      </w:r>
      <w:r>
        <w:rPr>
          <w:rFonts w:hint="eastAsia" w:ascii="仿宋" w:hAnsi="仿宋" w:eastAsia="仿宋" w:cs="仿宋"/>
          <w:color w:val="auto"/>
          <w:sz w:val="32"/>
          <w:szCs w:val="32"/>
          <w:highlight w:val="none"/>
          <w:lang w:eastAsia="zh-CN"/>
        </w:rPr>
        <w:t>会议费、</w:t>
      </w:r>
      <w:r>
        <w:rPr>
          <w:rFonts w:hint="eastAsia" w:ascii="仿宋" w:hAnsi="仿宋" w:eastAsia="仿宋" w:cs="仿宋"/>
          <w:color w:val="auto"/>
          <w:kern w:val="0"/>
          <w:sz w:val="32"/>
          <w:szCs w:val="32"/>
          <w:highlight w:val="none"/>
        </w:rPr>
        <w:t>、公务接待费</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sz w:val="32"/>
          <w:szCs w:val="32"/>
          <w:highlight w:val="none"/>
          <w:lang w:eastAsia="zh-CN"/>
        </w:rPr>
        <w:t>其他交通</w:t>
      </w:r>
      <w:r>
        <w:rPr>
          <w:rFonts w:hint="eastAsia" w:ascii="仿宋" w:hAnsi="仿宋" w:eastAsia="仿宋" w:cs="仿宋"/>
          <w:color w:val="auto"/>
          <w:sz w:val="32"/>
          <w:szCs w:val="32"/>
          <w:highlight w:val="none"/>
        </w:rPr>
        <w:t>费、劳务费、工会经费、其他商品和服务支出等</w:t>
      </w:r>
      <w:r>
        <w:rPr>
          <w:rFonts w:hint="eastAsia" w:ascii="仿宋" w:hAnsi="仿宋" w:eastAsia="仿宋" w:cs="仿宋"/>
          <w:color w:val="auto"/>
          <w:sz w:val="32"/>
          <w:szCs w:val="32"/>
          <w:highlight w:val="none"/>
          <w:lang w:val="en-US" w:eastAsia="zh-CN"/>
        </w:rPr>
        <w:t>.</w:t>
      </w:r>
    </w:p>
    <w:p w14:paraId="6D1BD7C5">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六、一般公共预算财政拨款基本支出决算情况说明</w:t>
      </w:r>
    </w:p>
    <w:p w14:paraId="40AB86E6">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2025年度一般公共预算财政拨款基本支出</w:t>
      </w:r>
      <w:r>
        <w:rPr>
          <w:rFonts w:hint="eastAsia" w:ascii="仿宋" w:hAnsi="仿宋" w:eastAsia="仿宋" w:cs="仿宋"/>
          <w:color w:val="auto"/>
          <w:sz w:val="32"/>
          <w:szCs w:val="32"/>
          <w:highlight w:val="none"/>
          <w:lang w:val="en-US" w:eastAsia="zh-CN"/>
        </w:rPr>
        <w:t>526.78</w:t>
      </w:r>
      <w:r>
        <w:rPr>
          <w:rFonts w:hint="eastAsia" w:ascii="仿宋" w:hAnsi="仿宋" w:eastAsia="仿宋" w:cs="仿宋"/>
          <w:color w:val="auto"/>
          <w:sz w:val="32"/>
          <w:szCs w:val="32"/>
          <w:highlight w:val="none"/>
        </w:rPr>
        <w:t>万元，其中：</w:t>
      </w:r>
    </w:p>
    <w:p w14:paraId="4FF71BB9">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人员经费</w:t>
      </w:r>
      <w:r>
        <w:rPr>
          <w:rFonts w:hint="eastAsia" w:ascii="仿宋" w:hAnsi="仿宋" w:eastAsia="仿宋" w:cs="仿宋"/>
          <w:color w:val="auto"/>
          <w:sz w:val="32"/>
          <w:szCs w:val="32"/>
          <w:highlight w:val="none"/>
          <w:lang w:val="en-US" w:eastAsia="zh-CN"/>
        </w:rPr>
        <w:t>450.57</w:t>
      </w:r>
      <w:r>
        <w:rPr>
          <w:rFonts w:hint="eastAsia" w:ascii="仿宋" w:hAnsi="仿宋" w:eastAsia="仿宋" w:cs="仿宋"/>
          <w:color w:val="auto"/>
          <w:sz w:val="32"/>
          <w:szCs w:val="32"/>
          <w:highlight w:val="none"/>
        </w:rPr>
        <w:t>万元，占基本支出的</w:t>
      </w:r>
      <w:r>
        <w:rPr>
          <w:rFonts w:hint="eastAsia" w:ascii="仿宋" w:hAnsi="仿宋" w:eastAsia="仿宋" w:cs="仿宋"/>
          <w:color w:val="auto"/>
          <w:sz w:val="32"/>
          <w:szCs w:val="32"/>
          <w:highlight w:val="none"/>
          <w:lang w:val="en-US" w:eastAsia="zh-CN"/>
        </w:rPr>
        <w:t>85.53</w:t>
      </w:r>
      <w:r>
        <w:rPr>
          <w:rFonts w:hint="eastAsia" w:ascii="仿宋" w:hAnsi="仿宋" w:eastAsia="仿宋" w:cs="仿宋"/>
          <w:color w:val="auto"/>
          <w:sz w:val="32"/>
          <w:szCs w:val="32"/>
          <w:highlight w:val="none"/>
        </w:rPr>
        <w:t>%，主要包括基本工资、津贴补贴、奖金、机关事业单位基本养老保险缴费、职工基本医疗保险缴费、住房公积金、其它工资福利支出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抚恤金等</w:t>
      </w:r>
      <w:r>
        <w:rPr>
          <w:rFonts w:hint="eastAsia" w:ascii="仿宋" w:hAnsi="仿宋" w:eastAsia="仿宋" w:cs="仿宋"/>
          <w:color w:val="auto"/>
          <w:sz w:val="32"/>
          <w:szCs w:val="32"/>
          <w:highlight w:val="none"/>
          <w:shd w:val="clear" w:color="auto" w:fill="FFFFFF"/>
        </w:rPr>
        <w:t>对个人和家庭补助支出</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rPr>
        <w:t>公用经费</w:t>
      </w:r>
      <w:r>
        <w:rPr>
          <w:rFonts w:hint="eastAsia" w:ascii="仿宋" w:hAnsi="仿宋" w:eastAsia="仿宋" w:cs="仿宋"/>
          <w:color w:val="auto"/>
          <w:sz w:val="32"/>
          <w:szCs w:val="32"/>
          <w:highlight w:val="none"/>
          <w:lang w:val="en-US" w:eastAsia="zh-CN"/>
        </w:rPr>
        <w:t>76.21</w:t>
      </w:r>
      <w:r>
        <w:rPr>
          <w:rFonts w:hint="eastAsia" w:ascii="仿宋" w:hAnsi="仿宋" w:eastAsia="仿宋" w:cs="仿宋"/>
          <w:color w:val="auto"/>
          <w:sz w:val="32"/>
          <w:szCs w:val="32"/>
          <w:highlight w:val="none"/>
        </w:rPr>
        <w:t>万元，占基本支出的</w:t>
      </w:r>
      <w:r>
        <w:rPr>
          <w:rFonts w:hint="eastAsia" w:ascii="仿宋" w:hAnsi="仿宋" w:eastAsia="仿宋" w:cs="仿宋"/>
          <w:color w:val="auto"/>
          <w:sz w:val="32"/>
          <w:szCs w:val="32"/>
          <w:highlight w:val="none"/>
          <w:lang w:val="en-US" w:eastAsia="zh-CN"/>
        </w:rPr>
        <w:t>14.47</w:t>
      </w:r>
      <w:r>
        <w:rPr>
          <w:rFonts w:hint="eastAsia" w:ascii="仿宋" w:hAnsi="仿宋" w:eastAsia="仿宋" w:cs="仿宋"/>
          <w:color w:val="auto"/>
          <w:sz w:val="32"/>
          <w:szCs w:val="32"/>
          <w:highlight w:val="none"/>
        </w:rPr>
        <w:t>%，主要包括办公费、印刷费、差旅费、</w:t>
      </w:r>
      <w:r>
        <w:rPr>
          <w:rFonts w:hint="eastAsia" w:ascii="仿宋" w:hAnsi="仿宋" w:eastAsia="仿宋" w:cs="仿宋"/>
          <w:color w:val="auto"/>
          <w:sz w:val="32"/>
          <w:szCs w:val="32"/>
          <w:highlight w:val="none"/>
          <w:lang w:eastAsia="zh-CN"/>
        </w:rPr>
        <w:t>邮电</w:t>
      </w:r>
      <w:r>
        <w:rPr>
          <w:rFonts w:hint="eastAsia" w:ascii="仿宋" w:hAnsi="仿宋" w:eastAsia="仿宋" w:cs="仿宋"/>
          <w:color w:val="auto"/>
          <w:sz w:val="32"/>
          <w:szCs w:val="32"/>
          <w:highlight w:val="none"/>
        </w:rPr>
        <w:t>费、</w:t>
      </w:r>
      <w:r>
        <w:rPr>
          <w:rFonts w:hint="eastAsia" w:ascii="仿宋" w:hAnsi="仿宋" w:eastAsia="仿宋" w:cs="仿宋"/>
          <w:color w:val="auto"/>
          <w:sz w:val="32"/>
          <w:szCs w:val="32"/>
          <w:highlight w:val="none"/>
          <w:lang w:eastAsia="zh-CN"/>
        </w:rPr>
        <w:t>会议费、</w:t>
      </w:r>
      <w:r>
        <w:rPr>
          <w:rFonts w:hint="eastAsia" w:ascii="仿宋" w:hAnsi="仿宋" w:eastAsia="仿宋" w:cs="仿宋"/>
          <w:color w:val="auto"/>
          <w:kern w:val="0"/>
          <w:sz w:val="32"/>
          <w:szCs w:val="32"/>
          <w:highlight w:val="none"/>
        </w:rPr>
        <w:t>、公务接待费</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sz w:val="32"/>
          <w:szCs w:val="32"/>
          <w:highlight w:val="none"/>
          <w:lang w:eastAsia="zh-CN"/>
        </w:rPr>
        <w:t>其他交通</w:t>
      </w:r>
      <w:r>
        <w:rPr>
          <w:rFonts w:hint="eastAsia" w:ascii="仿宋" w:hAnsi="仿宋" w:eastAsia="仿宋" w:cs="仿宋"/>
          <w:color w:val="auto"/>
          <w:sz w:val="32"/>
          <w:szCs w:val="32"/>
          <w:highlight w:val="none"/>
        </w:rPr>
        <w:t>费、劳务费、工会经费、其他商品和服务支出等</w:t>
      </w:r>
      <w:r>
        <w:rPr>
          <w:rFonts w:hint="eastAsia" w:ascii="仿宋" w:hAnsi="仿宋" w:eastAsia="仿宋" w:cs="仿宋"/>
          <w:color w:val="auto"/>
          <w:sz w:val="32"/>
          <w:szCs w:val="32"/>
          <w:highlight w:val="none"/>
          <w:lang w:val="en-US" w:eastAsia="zh-CN"/>
        </w:rPr>
        <w:t>。</w:t>
      </w:r>
    </w:p>
    <w:p w14:paraId="088B2DA2">
      <w:pPr>
        <w:pStyle w:val="17"/>
        <w:keepNext w:val="0"/>
        <w:keepLines w:val="0"/>
        <w:pageBreakBefore w:val="0"/>
        <w:numPr>
          <w:ilvl w:val="0"/>
          <w:numId w:val="0"/>
        </w:numPr>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lang w:val="en-US" w:eastAsia="zh-CN" w:bidi="ar-SA"/>
        </w:rPr>
        <w:t>七、</w:t>
      </w:r>
      <w:r>
        <w:rPr>
          <w:rFonts w:hint="eastAsia" w:ascii="黑体" w:hAnsi="黑体" w:eastAsia="黑体" w:cs="黑体"/>
          <w:bCs/>
          <w:color w:val="auto"/>
          <w:sz w:val="32"/>
          <w:szCs w:val="32"/>
          <w:highlight w:val="none"/>
        </w:rPr>
        <w:t>财政拨款“三公”经费支出决算情况说明</w:t>
      </w:r>
    </w:p>
    <w:p w14:paraId="4362DBFD">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楷体" w:hAnsi="楷体" w:eastAsia="楷体" w:cs="楷体"/>
          <w:b/>
          <w:color w:val="auto"/>
          <w:sz w:val="32"/>
          <w:szCs w:val="32"/>
          <w:highlight w:val="none"/>
        </w:rPr>
      </w:pPr>
      <w:r>
        <w:rPr>
          <w:rFonts w:hint="eastAsia" w:ascii="楷体" w:hAnsi="楷体" w:eastAsia="楷体" w:cs="楷体"/>
          <w:b/>
          <w:color w:val="auto"/>
          <w:sz w:val="32"/>
          <w:szCs w:val="32"/>
          <w:highlight w:val="none"/>
        </w:rPr>
        <w:t>（一）“三公”经费财政拨款支出决算总体情况说明</w:t>
      </w:r>
    </w:p>
    <w:p w14:paraId="2589FCB5">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w:t>
      </w:r>
      <w:r>
        <w:rPr>
          <w:rFonts w:hint="eastAsia" w:ascii="仿宋" w:hAnsi="仿宋" w:eastAsia="仿宋" w:cs="仿宋"/>
          <w:color w:val="auto"/>
          <w:sz w:val="32"/>
          <w:szCs w:val="32"/>
          <w:highlight w:val="none"/>
        </w:rPr>
        <w:t>年度“三公”经费支出预算为</w:t>
      </w:r>
      <w:r>
        <w:rPr>
          <w:rFonts w:hint="eastAsia" w:ascii="仿宋" w:hAnsi="仿宋" w:eastAsia="仿宋" w:cs="仿宋"/>
          <w:color w:val="auto"/>
          <w:sz w:val="32"/>
          <w:szCs w:val="32"/>
          <w:highlight w:val="none"/>
          <w:lang w:val="en-US" w:eastAsia="zh-CN"/>
        </w:rPr>
        <w:t>0.5</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0.12</w:t>
      </w:r>
      <w:r>
        <w:rPr>
          <w:rFonts w:hint="eastAsia" w:ascii="仿宋" w:hAnsi="仿宋" w:eastAsia="仿宋" w:cs="仿宋"/>
          <w:color w:val="auto"/>
          <w:sz w:val="32"/>
          <w:szCs w:val="32"/>
          <w:highlight w:val="none"/>
        </w:rPr>
        <w:t>万元，完成预算的</w:t>
      </w:r>
      <w:r>
        <w:rPr>
          <w:rFonts w:hint="eastAsia" w:ascii="仿宋" w:hAnsi="仿宋" w:eastAsia="仿宋" w:cs="仿宋"/>
          <w:color w:val="auto"/>
          <w:sz w:val="32"/>
          <w:szCs w:val="32"/>
          <w:highlight w:val="none"/>
          <w:lang w:val="en-US" w:eastAsia="zh-CN"/>
        </w:rPr>
        <w:t>24</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与上年相比，减少</w:t>
      </w:r>
      <w:r>
        <w:rPr>
          <w:rFonts w:hint="eastAsia" w:ascii="仿宋" w:hAnsi="仿宋" w:eastAsia="仿宋" w:cs="仿宋"/>
          <w:color w:val="auto"/>
          <w:sz w:val="32"/>
          <w:szCs w:val="32"/>
          <w:highlight w:val="none"/>
          <w:lang w:val="en-US" w:eastAsia="zh-CN"/>
        </w:rPr>
        <w:t>2.44</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95.31%。减少</w:t>
      </w:r>
      <w:r>
        <w:rPr>
          <w:rFonts w:hint="eastAsia" w:ascii="仿宋" w:hAnsi="仿宋" w:eastAsia="仿宋" w:cs="仿宋"/>
          <w:color w:val="auto"/>
          <w:sz w:val="32"/>
          <w:szCs w:val="32"/>
          <w:highlight w:val="none"/>
        </w:rPr>
        <w:t>的主要原因是严格执行中央八项规定，</w:t>
      </w:r>
      <w:r>
        <w:rPr>
          <w:rFonts w:hint="eastAsia" w:ascii="仿宋" w:hAnsi="仿宋" w:eastAsia="仿宋" w:cs="仿宋"/>
          <w:color w:val="auto"/>
          <w:sz w:val="32"/>
          <w:szCs w:val="32"/>
          <w:highlight w:val="none"/>
          <w:lang w:eastAsia="zh-CN"/>
        </w:rPr>
        <w:t>厉</w:t>
      </w:r>
      <w:r>
        <w:rPr>
          <w:rFonts w:hint="eastAsia" w:ascii="仿宋" w:hAnsi="仿宋" w:eastAsia="仿宋" w:cs="仿宋"/>
          <w:color w:val="auto"/>
          <w:sz w:val="32"/>
          <w:szCs w:val="32"/>
          <w:highlight w:val="none"/>
        </w:rPr>
        <w:t>行节约，控制各项开支</w:t>
      </w:r>
      <w:r>
        <w:rPr>
          <w:rFonts w:hint="eastAsia" w:ascii="仿宋" w:hAnsi="仿宋" w:eastAsia="仿宋" w:cs="仿宋"/>
          <w:color w:val="auto"/>
          <w:sz w:val="32"/>
          <w:szCs w:val="32"/>
          <w:highlight w:val="none"/>
          <w:lang w:val="en-US" w:eastAsia="zh-CN"/>
        </w:rPr>
        <w:t>。</w:t>
      </w:r>
    </w:p>
    <w:p w14:paraId="57F50224">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楷体" w:hAnsi="楷体" w:eastAsia="楷体" w:cs="楷体"/>
          <w:b/>
          <w:color w:val="auto"/>
          <w:sz w:val="32"/>
          <w:szCs w:val="32"/>
          <w:highlight w:val="none"/>
        </w:rPr>
      </w:pPr>
      <w:r>
        <w:rPr>
          <w:rFonts w:hint="eastAsia" w:ascii="楷体" w:hAnsi="楷体" w:eastAsia="楷体" w:cs="楷体"/>
          <w:b/>
          <w:color w:val="auto"/>
          <w:sz w:val="32"/>
          <w:szCs w:val="32"/>
          <w:highlight w:val="none"/>
        </w:rPr>
        <w:t>（二）“三公”经费财政拨款支出决算具体情况说明</w:t>
      </w:r>
    </w:p>
    <w:p w14:paraId="7D076B36">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因公出国（境）费支出预算为0万元，支出决算为0万元，完成预算的0%，与上年相比持平，无增减变化的原因是</w:t>
      </w:r>
      <w:r>
        <w:rPr>
          <w:rFonts w:hint="eastAsia" w:ascii="仿宋" w:hAnsi="仿宋" w:eastAsia="仿宋" w:cs="仿宋"/>
          <w:color w:val="auto"/>
          <w:sz w:val="32"/>
          <w:szCs w:val="32"/>
          <w:highlight w:val="none"/>
          <w:lang w:val="en-US" w:eastAsia="zh-CN"/>
        </w:rPr>
        <w:t>2024</w:t>
      </w:r>
      <w:r>
        <w:rPr>
          <w:rFonts w:hint="eastAsia" w:ascii="仿宋" w:hAnsi="仿宋" w:eastAsia="仿宋" w:cs="仿宋"/>
          <w:color w:val="auto"/>
          <w:sz w:val="32"/>
          <w:szCs w:val="32"/>
          <w:highlight w:val="none"/>
        </w:rPr>
        <w:t>年没有出国（境），</w:t>
      </w:r>
      <w:r>
        <w:rPr>
          <w:rFonts w:hint="eastAsia" w:ascii="仿宋" w:hAnsi="仿宋" w:eastAsia="仿宋" w:cs="仿宋"/>
          <w:color w:val="auto"/>
          <w:sz w:val="32"/>
          <w:szCs w:val="32"/>
          <w:highlight w:val="none"/>
          <w:lang w:val="en-US" w:eastAsia="zh-CN"/>
        </w:rPr>
        <w:t>2025</w:t>
      </w:r>
      <w:r>
        <w:rPr>
          <w:rFonts w:hint="eastAsia" w:ascii="仿宋" w:hAnsi="仿宋" w:eastAsia="仿宋" w:cs="仿宋"/>
          <w:color w:val="auto"/>
          <w:sz w:val="32"/>
          <w:szCs w:val="32"/>
          <w:highlight w:val="none"/>
        </w:rPr>
        <w:t>年没有出国（境）。</w:t>
      </w:r>
    </w:p>
    <w:p w14:paraId="783904D4">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公务用车购置费支出预算为0万元，支出决算为0万元，完成预算的0%，无增减变化的原因是</w:t>
      </w:r>
      <w:r>
        <w:rPr>
          <w:rFonts w:hint="eastAsia" w:ascii="仿宋" w:hAnsi="仿宋" w:eastAsia="仿宋" w:cs="仿宋"/>
          <w:color w:val="auto"/>
          <w:sz w:val="32"/>
          <w:szCs w:val="32"/>
          <w:highlight w:val="none"/>
          <w:lang w:eastAsia="zh-CN"/>
        </w:rPr>
        <w:t>上</w:t>
      </w:r>
      <w:r>
        <w:rPr>
          <w:rFonts w:hint="eastAsia" w:ascii="仿宋" w:hAnsi="仿宋" w:eastAsia="仿宋" w:cs="仿宋"/>
          <w:color w:val="auto"/>
          <w:sz w:val="32"/>
          <w:szCs w:val="32"/>
          <w:highlight w:val="none"/>
        </w:rPr>
        <w:t>年没有购置新车，</w:t>
      </w:r>
      <w:r>
        <w:rPr>
          <w:rFonts w:hint="eastAsia" w:ascii="仿宋" w:hAnsi="仿宋" w:eastAsia="仿宋" w:cs="仿宋"/>
          <w:color w:val="auto"/>
          <w:sz w:val="32"/>
          <w:szCs w:val="32"/>
          <w:highlight w:val="none"/>
          <w:lang w:eastAsia="zh-CN"/>
        </w:rPr>
        <w:t>本</w:t>
      </w:r>
      <w:r>
        <w:rPr>
          <w:rFonts w:hint="eastAsia" w:ascii="仿宋" w:hAnsi="仿宋" w:eastAsia="仿宋" w:cs="仿宋"/>
          <w:color w:val="auto"/>
          <w:sz w:val="32"/>
          <w:szCs w:val="32"/>
          <w:highlight w:val="none"/>
        </w:rPr>
        <w:t>年没有购置新车。</w:t>
      </w:r>
    </w:p>
    <w:p w14:paraId="3E372637">
      <w:pPr>
        <w:pStyle w:val="17"/>
        <w:keepNext w:val="0"/>
        <w:keepLines w:val="0"/>
        <w:pageBreakBefore w:val="0"/>
        <w:shd w:val="clear"/>
        <w:tabs>
          <w:tab w:val="left" w:pos="330"/>
        </w:tabs>
        <w:kinsoku/>
        <w:topLinePunct w:val="0"/>
        <w:bidi w:val="0"/>
        <w:spacing w:line="56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公务用车运行维护费支出预算为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万元，支出决算为0万元，完成预算的0%，无增减变化的原因是本单位无公务车。</w:t>
      </w:r>
    </w:p>
    <w:p w14:paraId="3EB3EC50">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3.公务接待费支出预</w:t>
      </w:r>
      <w:r>
        <w:rPr>
          <w:rFonts w:hint="eastAsia" w:ascii="仿宋" w:hAnsi="仿宋" w:eastAsia="仿宋" w:cs="仿宋"/>
          <w:color w:val="auto"/>
          <w:sz w:val="32"/>
          <w:szCs w:val="32"/>
          <w:highlight w:val="none"/>
          <w:lang w:eastAsia="zh-CN"/>
        </w:rPr>
        <w:t>算为</w:t>
      </w:r>
      <w:r>
        <w:rPr>
          <w:rFonts w:hint="eastAsia" w:ascii="仿宋" w:hAnsi="仿宋" w:eastAsia="仿宋" w:cs="仿宋"/>
          <w:color w:val="auto"/>
          <w:sz w:val="32"/>
          <w:szCs w:val="32"/>
          <w:highlight w:val="none"/>
          <w:lang w:val="en-US" w:eastAsia="zh-CN"/>
        </w:rPr>
        <w:t>0.5</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0.12</w:t>
      </w:r>
      <w:r>
        <w:rPr>
          <w:rFonts w:hint="eastAsia" w:ascii="仿宋" w:hAnsi="仿宋" w:eastAsia="仿宋" w:cs="仿宋"/>
          <w:color w:val="auto"/>
          <w:sz w:val="32"/>
          <w:szCs w:val="32"/>
          <w:highlight w:val="none"/>
        </w:rPr>
        <w:t>万元，完成预算的</w:t>
      </w:r>
      <w:r>
        <w:rPr>
          <w:rFonts w:hint="eastAsia" w:ascii="仿宋" w:hAnsi="仿宋" w:eastAsia="仿宋" w:cs="仿宋"/>
          <w:color w:val="auto"/>
          <w:sz w:val="32"/>
          <w:szCs w:val="32"/>
          <w:highlight w:val="none"/>
          <w:lang w:val="en-US" w:eastAsia="zh-CN"/>
        </w:rPr>
        <w:t>24</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与上年相比，减少</w:t>
      </w:r>
      <w:r>
        <w:rPr>
          <w:rFonts w:hint="eastAsia" w:ascii="仿宋" w:hAnsi="仿宋" w:eastAsia="仿宋" w:cs="仿宋"/>
          <w:color w:val="auto"/>
          <w:sz w:val="32"/>
          <w:szCs w:val="32"/>
          <w:highlight w:val="none"/>
          <w:lang w:val="en-US" w:eastAsia="zh-CN"/>
        </w:rPr>
        <w:t>2.44</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95.31%。减少</w:t>
      </w:r>
      <w:r>
        <w:rPr>
          <w:rFonts w:hint="eastAsia" w:ascii="仿宋" w:hAnsi="仿宋" w:eastAsia="仿宋" w:cs="仿宋"/>
          <w:color w:val="auto"/>
          <w:sz w:val="32"/>
          <w:szCs w:val="32"/>
          <w:highlight w:val="none"/>
        </w:rPr>
        <w:t>的主要原因是严格执行中央八项规定，规范公务接待</w:t>
      </w:r>
      <w:r>
        <w:rPr>
          <w:rFonts w:hint="eastAsia" w:ascii="仿宋" w:hAnsi="仿宋" w:eastAsia="仿宋" w:cs="仿宋"/>
          <w:color w:val="auto"/>
          <w:sz w:val="32"/>
          <w:szCs w:val="32"/>
          <w:highlight w:val="none"/>
          <w:lang w:val="en-US" w:eastAsia="zh-CN"/>
        </w:rPr>
        <w:t>。</w:t>
      </w:r>
    </w:p>
    <w:p w14:paraId="356358DF">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2025年度共接待来访团组</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个、来宾</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人次，主要是</w:t>
      </w:r>
      <w:r>
        <w:rPr>
          <w:rFonts w:hint="eastAsia" w:ascii="仿宋" w:hAnsi="仿宋" w:eastAsia="仿宋" w:cs="仿宋"/>
          <w:color w:val="auto"/>
          <w:sz w:val="32"/>
          <w:szCs w:val="32"/>
          <w:highlight w:val="none"/>
          <w:lang w:eastAsia="zh-CN"/>
        </w:rPr>
        <w:t>兄弟县政协来祁阳调研</w:t>
      </w:r>
      <w:r>
        <w:rPr>
          <w:rFonts w:hint="eastAsia" w:ascii="仿宋" w:hAnsi="仿宋" w:eastAsia="仿宋" w:cs="仿宋"/>
          <w:color w:val="auto"/>
          <w:sz w:val="32"/>
          <w:szCs w:val="32"/>
          <w:highlight w:val="none"/>
        </w:rPr>
        <w:t>的接待支出。</w:t>
      </w:r>
    </w:p>
    <w:p w14:paraId="324712AE">
      <w:pPr>
        <w:pStyle w:val="17"/>
        <w:keepNext w:val="0"/>
        <w:keepLines w:val="0"/>
        <w:pageBreakBefore w:val="0"/>
        <w:numPr>
          <w:ilvl w:val="0"/>
          <w:numId w:val="0"/>
        </w:numPr>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lang w:val="en-US" w:eastAsia="zh-CN" w:bidi="ar-SA"/>
        </w:rPr>
      </w:pPr>
      <w:r>
        <w:rPr>
          <w:rFonts w:hint="eastAsia" w:ascii="黑体" w:hAnsi="黑体" w:eastAsia="黑体" w:cs="黑体"/>
          <w:bCs/>
          <w:color w:val="auto"/>
          <w:sz w:val="32"/>
          <w:szCs w:val="32"/>
          <w:highlight w:val="none"/>
          <w:lang w:val="en-US" w:eastAsia="zh-CN" w:bidi="ar-SA"/>
        </w:rPr>
        <w:t>八、政府性基金预算收入支出决算情况</w:t>
      </w:r>
    </w:p>
    <w:p w14:paraId="30C50DCA">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2025年度政府性基金预算财政拨款收入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万元；年初结转和结余</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万元，其中基本支出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万元，项目支出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万元；年末结转和结余</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w:t>
      </w:r>
    </w:p>
    <w:p w14:paraId="20C00DE7">
      <w:pPr>
        <w:pStyle w:val="17"/>
        <w:keepNext w:val="0"/>
        <w:keepLines w:val="0"/>
        <w:pageBreakBefore w:val="0"/>
        <w:numPr>
          <w:ilvl w:val="0"/>
          <w:numId w:val="0"/>
        </w:numPr>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lang w:val="en-US" w:eastAsia="zh-CN" w:bidi="ar-SA"/>
        </w:rPr>
      </w:pPr>
      <w:r>
        <w:rPr>
          <w:rFonts w:hint="eastAsia" w:ascii="黑体" w:hAnsi="黑体" w:eastAsia="黑体" w:cs="黑体"/>
          <w:bCs/>
          <w:color w:val="auto"/>
          <w:sz w:val="32"/>
          <w:szCs w:val="32"/>
          <w:highlight w:val="none"/>
          <w:lang w:val="en-US" w:eastAsia="zh-CN" w:bidi="ar-SA"/>
        </w:rPr>
        <w:t>九、关于机关运行经费支出说明</w:t>
      </w:r>
    </w:p>
    <w:p w14:paraId="393865EF">
      <w:pPr>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kern w:val="0"/>
          <w:sz w:val="32"/>
          <w:szCs w:val="32"/>
          <w:highlight w:val="none"/>
        </w:rPr>
      </w:pPr>
      <w:r>
        <w:rPr>
          <w:rFonts w:hint="eastAsia" w:ascii="仿宋" w:hAnsi="仿宋" w:eastAsia="仿宋" w:cs="仿宋"/>
          <w:color w:val="auto"/>
          <w:sz w:val="32"/>
          <w:szCs w:val="32"/>
          <w:highlight w:val="none"/>
        </w:rPr>
        <w:t>本单位</w:t>
      </w:r>
      <w:r>
        <w:rPr>
          <w:rFonts w:hint="eastAsia" w:ascii="仿宋" w:hAnsi="仿宋" w:eastAsia="仿宋" w:cs="仿宋"/>
          <w:color w:val="auto"/>
          <w:kern w:val="0"/>
          <w:sz w:val="32"/>
          <w:szCs w:val="32"/>
          <w:highlight w:val="none"/>
          <w:lang w:val="en-US" w:eastAsia="zh-CN"/>
        </w:rPr>
        <w:t>2025</w:t>
      </w:r>
      <w:r>
        <w:rPr>
          <w:rFonts w:hint="eastAsia" w:ascii="仿宋" w:hAnsi="仿宋" w:eastAsia="仿宋" w:cs="仿宋"/>
          <w:color w:val="auto"/>
          <w:kern w:val="0"/>
          <w:sz w:val="32"/>
          <w:szCs w:val="32"/>
          <w:highlight w:val="none"/>
        </w:rPr>
        <w:t>年度机关运行经费</w:t>
      </w:r>
      <w:r>
        <w:rPr>
          <w:rFonts w:hint="eastAsia" w:ascii="仿宋" w:hAnsi="仿宋" w:eastAsia="仿宋" w:cs="仿宋"/>
          <w:color w:val="auto"/>
          <w:kern w:val="0"/>
          <w:sz w:val="32"/>
          <w:szCs w:val="32"/>
          <w:highlight w:val="none"/>
          <w:lang w:eastAsia="zh-CN"/>
        </w:rPr>
        <w:t>决算</w:t>
      </w:r>
      <w:r>
        <w:rPr>
          <w:rFonts w:hint="eastAsia" w:ascii="仿宋" w:hAnsi="仿宋" w:eastAsia="仿宋" w:cs="仿宋"/>
          <w:color w:val="auto"/>
          <w:kern w:val="0"/>
          <w:sz w:val="32"/>
          <w:szCs w:val="32"/>
          <w:highlight w:val="none"/>
        </w:rPr>
        <w:t>支出</w:t>
      </w:r>
      <w:r>
        <w:rPr>
          <w:rFonts w:hint="eastAsia" w:ascii="仿宋" w:hAnsi="仿宋" w:eastAsia="仿宋" w:cs="仿宋"/>
          <w:color w:val="auto"/>
          <w:kern w:val="0"/>
          <w:sz w:val="32"/>
          <w:szCs w:val="32"/>
          <w:highlight w:val="none"/>
          <w:lang w:val="en-US" w:eastAsia="zh-CN"/>
        </w:rPr>
        <w:t>76.21</w:t>
      </w:r>
      <w:r>
        <w:rPr>
          <w:rFonts w:hint="eastAsia" w:ascii="仿宋" w:hAnsi="仿宋" w:eastAsia="仿宋" w:cs="仿宋"/>
          <w:color w:val="auto"/>
          <w:kern w:val="0"/>
          <w:sz w:val="32"/>
          <w:szCs w:val="32"/>
          <w:highlight w:val="none"/>
        </w:rPr>
        <w:t>万元，</w:t>
      </w:r>
      <w:r>
        <w:rPr>
          <w:rFonts w:hint="eastAsia" w:ascii="仿宋" w:hAnsi="仿宋" w:eastAsia="仿宋" w:cs="仿宋"/>
          <w:color w:val="auto"/>
          <w:kern w:val="0"/>
          <w:sz w:val="32"/>
          <w:szCs w:val="32"/>
          <w:highlight w:val="none"/>
          <w:lang w:eastAsia="zh-CN"/>
        </w:rPr>
        <w:t>年</w:t>
      </w:r>
      <w:r>
        <w:rPr>
          <w:rFonts w:hint="eastAsia" w:ascii="仿宋" w:hAnsi="仿宋" w:eastAsia="仿宋" w:cs="仿宋"/>
          <w:color w:val="auto"/>
          <w:kern w:val="0"/>
          <w:sz w:val="32"/>
          <w:szCs w:val="32"/>
          <w:highlight w:val="none"/>
        </w:rPr>
        <w:t>初预算数</w:t>
      </w:r>
      <w:r>
        <w:rPr>
          <w:rFonts w:hint="eastAsia" w:ascii="仿宋" w:hAnsi="仿宋" w:eastAsia="仿宋" w:cs="仿宋"/>
          <w:color w:val="auto"/>
          <w:kern w:val="0"/>
          <w:sz w:val="32"/>
          <w:szCs w:val="32"/>
          <w:highlight w:val="none"/>
          <w:lang w:val="en-US" w:eastAsia="zh-CN"/>
        </w:rPr>
        <w:t>95</w:t>
      </w:r>
      <w:r>
        <w:rPr>
          <w:rFonts w:hint="eastAsia" w:ascii="仿宋" w:hAnsi="仿宋" w:eastAsia="仿宋" w:cs="仿宋"/>
          <w:color w:val="auto"/>
          <w:kern w:val="0"/>
          <w:sz w:val="32"/>
          <w:szCs w:val="32"/>
          <w:highlight w:val="none"/>
        </w:rPr>
        <w:t>万</w:t>
      </w:r>
      <w:r>
        <w:rPr>
          <w:rFonts w:hint="eastAsia" w:ascii="仿宋" w:hAnsi="仿宋" w:eastAsia="仿宋" w:cs="仿宋"/>
          <w:color w:val="auto"/>
          <w:kern w:val="0"/>
          <w:sz w:val="32"/>
          <w:szCs w:val="32"/>
          <w:highlight w:val="none"/>
          <w:lang w:eastAsia="zh-CN"/>
        </w:rPr>
        <w:t>元</w:t>
      </w:r>
      <w:r>
        <w:rPr>
          <w:rFonts w:hint="eastAsia" w:ascii="仿宋" w:hAnsi="仿宋" w:eastAsia="仿宋" w:cs="仿宋"/>
          <w:color w:val="auto"/>
          <w:kern w:val="0"/>
          <w:sz w:val="32"/>
          <w:szCs w:val="32"/>
          <w:highlight w:val="none"/>
        </w:rPr>
        <w:t>，</w:t>
      </w:r>
      <w:r>
        <w:rPr>
          <w:rFonts w:hint="eastAsia" w:ascii="仿宋" w:hAnsi="仿宋" w:eastAsia="仿宋" w:cs="仿宋"/>
          <w:color w:val="auto"/>
          <w:kern w:val="0"/>
          <w:sz w:val="32"/>
          <w:szCs w:val="32"/>
          <w:highlight w:val="none"/>
          <w:lang w:eastAsia="zh-CN"/>
        </w:rPr>
        <w:t>完成年初预算的</w:t>
      </w:r>
      <w:r>
        <w:rPr>
          <w:rFonts w:hint="eastAsia" w:ascii="仿宋" w:hAnsi="仿宋" w:eastAsia="仿宋" w:cs="仿宋"/>
          <w:color w:val="auto"/>
          <w:kern w:val="0"/>
          <w:sz w:val="32"/>
          <w:szCs w:val="32"/>
          <w:highlight w:val="none"/>
          <w:lang w:val="en-US" w:eastAsia="zh-CN"/>
        </w:rPr>
        <w:t>80.22</w:t>
      </w:r>
      <w:r>
        <w:rPr>
          <w:rFonts w:hint="eastAsia" w:ascii="仿宋" w:hAnsi="仿宋" w:eastAsia="仿宋" w:cs="仿宋"/>
          <w:color w:val="auto"/>
          <w:kern w:val="0"/>
          <w:sz w:val="32"/>
          <w:szCs w:val="32"/>
          <w:highlight w:val="none"/>
        </w:rPr>
        <w:t>%。</w:t>
      </w:r>
      <w:r>
        <w:rPr>
          <w:rFonts w:hint="eastAsia" w:ascii="仿宋" w:hAnsi="仿宋" w:eastAsia="仿宋" w:cs="仿宋"/>
          <w:color w:val="auto"/>
          <w:sz w:val="32"/>
          <w:szCs w:val="32"/>
          <w:highlight w:val="none"/>
        </w:rPr>
        <w:t>比上年</w:t>
      </w:r>
      <w:r>
        <w:rPr>
          <w:rFonts w:hint="eastAsia" w:ascii="仿宋" w:hAnsi="仿宋" w:eastAsia="仿宋" w:cs="仿宋"/>
          <w:color w:val="auto"/>
          <w:kern w:val="0"/>
          <w:sz w:val="32"/>
          <w:szCs w:val="32"/>
          <w:highlight w:val="none"/>
        </w:rPr>
        <w:t>机关运行经费</w:t>
      </w:r>
      <w:r>
        <w:rPr>
          <w:rFonts w:hint="eastAsia" w:ascii="仿宋" w:hAnsi="仿宋" w:eastAsia="仿宋" w:cs="仿宋"/>
          <w:color w:val="auto"/>
          <w:sz w:val="32"/>
          <w:szCs w:val="32"/>
          <w:highlight w:val="none"/>
          <w:lang w:eastAsia="zh-CN"/>
        </w:rPr>
        <w:t>决算支出相比</w:t>
      </w:r>
      <w:r>
        <w:rPr>
          <w:rFonts w:hint="eastAsia" w:ascii="仿宋" w:hAnsi="仿宋" w:eastAsia="仿宋" w:cs="仿宋"/>
          <w:color w:val="auto"/>
          <w:sz w:val="32"/>
          <w:szCs w:val="32"/>
          <w:highlight w:val="none"/>
        </w:rPr>
        <w:t>减少</w:t>
      </w:r>
      <w:r>
        <w:rPr>
          <w:rFonts w:hint="eastAsia" w:ascii="仿宋" w:hAnsi="仿宋" w:eastAsia="仿宋" w:cs="仿宋"/>
          <w:color w:val="auto"/>
          <w:sz w:val="32"/>
          <w:szCs w:val="32"/>
          <w:highlight w:val="none"/>
          <w:lang w:val="en-US" w:eastAsia="zh-CN"/>
        </w:rPr>
        <w:t>67.28</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减少</w:t>
      </w:r>
      <w:r>
        <w:rPr>
          <w:rFonts w:hint="eastAsia" w:ascii="仿宋" w:hAnsi="仿宋" w:eastAsia="仿宋" w:cs="仿宋"/>
          <w:color w:val="auto"/>
          <w:sz w:val="32"/>
          <w:szCs w:val="32"/>
          <w:highlight w:val="none"/>
          <w:lang w:val="en-US" w:eastAsia="zh-CN"/>
        </w:rPr>
        <w:t>46.89</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rPr>
        <w:t>主要原因是：严格执行中央入八项规定，</w:t>
      </w:r>
      <w:r>
        <w:rPr>
          <w:rFonts w:hint="eastAsia" w:ascii="仿宋" w:hAnsi="仿宋" w:eastAsia="仿宋" w:cs="仿宋"/>
          <w:color w:val="auto"/>
          <w:kern w:val="0"/>
          <w:sz w:val="32"/>
          <w:szCs w:val="32"/>
          <w:highlight w:val="none"/>
          <w:lang w:eastAsia="zh-CN"/>
        </w:rPr>
        <w:t>厉</w:t>
      </w:r>
      <w:r>
        <w:rPr>
          <w:rFonts w:hint="eastAsia" w:ascii="仿宋" w:hAnsi="仿宋" w:eastAsia="仿宋" w:cs="仿宋"/>
          <w:color w:val="auto"/>
          <w:kern w:val="0"/>
          <w:sz w:val="32"/>
          <w:szCs w:val="32"/>
          <w:highlight w:val="none"/>
        </w:rPr>
        <w:t>行节约，减少了包括办公费、印刷费、邮电费、差旅费、会议费、公务接待费、劳务费、工会经费、其他交通费、其他商品和服务等支出。</w:t>
      </w:r>
    </w:p>
    <w:p w14:paraId="3CB1BAA5">
      <w:pPr>
        <w:pStyle w:val="17"/>
        <w:keepNext w:val="0"/>
        <w:keepLines w:val="0"/>
        <w:pageBreakBefore w:val="0"/>
        <w:numPr>
          <w:ilvl w:val="0"/>
          <w:numId w:val="0"/>
        </w:numPr>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lang w:val="en-US" w:eastAsia="zh-CN" w:bidi="ar-SA"/>
        </w:rPr>
      </w:pPr>
      <w:r>
        <w:rPr>
          <w:rFonts w:hint="eastAsia" w:ascii="黑体" w:hAnsi="黑体" w:eastAsia="黑体" w:cs="黑体"/>
          <w:bCs/>
          <w:color w:val="auto"/>
          <w:sz w:val="32"/>
          <w:szCs w:val="32"/>
          <w:highlight w:val="none"/>
          <w:lang w:val="en-US" w:eastAsia="zh-CN" w:bidi="ar-SA"/>
        </w:rPr>
        <w:t>十、一般性支出情况说明</w:t>
      </w:r>
    </w:p>
    <w:p w14:paraId="0A4AD0A4">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2025</w:t>
      </w:r>
      <w:r>
        <w:rPr>
          <w:rFonts w:hint="eastAsia" w:ascii="仿宋" w:hAnsi="仿宋" w:eastAsia="仿宋" w:cs="仿宋"/>
          <w:color w:val="auto"/>
          <w:sz w:val="32"/>
          <w:szCs w:val="32"/>
          <w:highlight w:val="none"/>
        </w:rPr>
        <w:t>年度会议费支出</w:t>
      </w:r>
      <w:r>
        <w:rPr>
          <w:rFonts w:hint="eastAsia" w:ascii="仿宋" w:hAnsi="仿宋" w:eastAsia="仿宋" w:cs="仿宋"/>
          <w:color w:val="auto"/>
          <w:sz w:val="32"/>
          <w:szCs w:val="32"/>
          <w:highlight w:val="none"/>
          <w:lang w:val="en-US" w:eastAsia="zh-CN"/>
        </w:rPr>
        <w:t>61.62</w:t>
      </w:r>
      <w:r>
        <w:rPr>
          <w:rFonts w:hint="eastAsia" w:ascii="仿宋" w:hAnsi="仿宋" w:eastAsia="仿宋" w:cs="仿宋"/>
          <w:color w:val="auto"/>
          <w:sz w:val="32"/>
          <w:szCs w:val="32"/>
          <w:highlight w:val="none"/>
        </w:rPr>
        <w:t>万元，包括政协全体会议、常务委员会会议、主席会议、主席办公会议、专题协商会议等会议</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人数</w:t>
      </w:r>
      <w:r>
        <w:rPr>
          <w:rFonts w:hint="eastAsia" w:ascii="仿宋" w:hAnsi="仿宋" w:eastAsia="仿宋" w:cs="仿宋"/>
          <w:color w:val="auto"/>
          <w:sz w:val="32"/>
          <w:szCs w:val="32"/>
          <w:highlight w:val="none"/>
          <w:lang w:val="en-US" w:eastAsia="zh-CN"/>
        </w:rPr>
        <w:t>293</w:t>
      </w:r>
      <w:r>
        <w:rPr>
          <w:rFonts w:hint="eastAsia" w:ascii="仿宋" w:hAnsi="仿宋" w:eastAsia="仿宋" w:cs="仿宋"/>
          <w:color w:val="auto"/>
          <w:sz w:val="32"/>
          <w:szCs w:val="32"/>
          <w:highlight w:val="none"/>
        </w:rPr>
        <w:t>人；培训费支出</w:t>
      </w:r>
      <w:r>
        <w:rPr>
          <w:rFonts w:hint="eastAsia" w:ascii="仿宋" w:hAnsi="仿宋" w:eastAsia="仿宋" w:cs="仿宋"/>
          <w:color w:val="auto"/>
          <w:sz w:val="32"/>
          <w:szCs w:val="32"/>
          <w:highlight w:val="none"/>
          <w:lang w:val="en-US" w:eastAsia="zh-CN"/>
        </w:rPr>
        <w:t>21.43</w:t>
      </w:r>
      <w:r>
        <w:rPr>
          <w:rFonts w:hint="eastAsia" w:ascii="仿宋" w:hAnsi="仿宋" w:eastAsia="仿宋" w:cs="仿宋"/>
          <w:color w:val="auto"/>
          <w:sz w:val="32"/>
          <w:szCs w:val="32"/>
          <w:highlight w:val="none"/>
        </w:rPr>
        <w:t>万元，主要用于政协常委及政协委员履职能力提升培训</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人数</w:t>
      </w:r>
      <w:r>
        <w:rPr>
          <w:rFonts w:hint="eastAsia" w:ascii="仿宋" w:hAnsi="仿宋" w:eastAsia="仿宋" w:cs="仿宋"/>
          <w:color w:val="auto"/>
          <w:sz w:val="32"/>
          <w:szCs w:val="32"/>
          <w:highlight w:val="none"/>
          <w:lang w:val="en-US" w:eastAsia="zh-CN"/>
        </w:rPr>
        <w:t>60</w:t>
      </w:r>
      <w:r>
        <w:rPr>
          <w:rFonts w:hint="eastAsia" w:ascii="仿宋" w:hAnsi="仿宋" w:eastAsia="仿宋" w:cs="仿宋"/>
          <w:color w:val="auto"/>
          <w:sz w:val="32"/>
          <w:szCs w:val="32"/>
          <w:highlight w:val="none"/>
        </w:rPr>
        <w:t>人；</w:t>
      </w:r>
      <w:r>
        <w:rPr>
          <w:rFonts w:hint="eastAsia" w:ascii="仿宋" w:hAnsi="仿宋" w:eastAsia="仿宋" w:cs="仿宋"/>
          <w:color w:val="auto"/>
          <w:sz w:val="32"/>
          <w:szCs w:val="32"/>
          <w:highlight w:val="none"/>
          <w:lang w:eastAsia="zh-CN"/>
        </w:rPr>
        <w:t>未</w:t>
      </w:r>
      <w:r>
        <w:rPr>
          <w:rFonts w:hint="eastAsia" w:ascii="仿宋" w:hAnsi="仿宋" w:eastAsia="仿宋" w:cs="仿宋"/>
          <w:color w:val="auto"/>
          <w:sz w:val="32"/>
          <w:szCs w:val="32"/>
          <w:highlight w:val="none"/>
        </w:rPr>
        <w:t>举办节庆、晚会、论坛、赛事</w:t>
      </w:r>
      <w:r>
        <w:rPr>
          <w:rFonts w:hint="eastAsia" w:ascii="仿宋" w:hAnsi="仿宋" w:eastAsia="仿宋" w:cs="仿宋"/>
          <w:color w:val="auto"/>
          <w:sz w:val="32"/>
          <w:szCs w:val="32"/>
          <w:highlight w:val="none"/>
          <w:lang w:eastAsia="zh-CN"/>
        </w:rPr>
        <w:t>等</w:t>
      </w:r>
      <w:r>
        <w:rPr>
          <w:rFonts w:hint="eastAsia" w:ascii="仿宋" w:hAnsi="仿宋" w:eastAsia="仿宋" w:cs="仿宋"/>
          <w:color w:val="auto"/>
          <w:sz w:val="32"/>
          <w:szCs w:val="32"/>
          <w:highlight w:val="none"/>
        </w:rPr>
        <w:t>活动</w:t>
      </w:r>
      <w:r>
        <w:rPr>
          <w:rFonts w:hint="eastAsia" w:ascii="仿宋" w:hAnsi="仿宋" w:eastAsia="仿宋" w:cs="仿宋"/>
          <w:color w:val="auto"/>
          <w:sz w:val="32"/>
          <w:szCs w:val="32"/>
          <w:highlight w:val="none"/>
          <w:lang w:eastAsia="zh-CN"/>
        </w:rPr>
        <w:t>。</w:t>
      </w:r>
    </w:p>
    <w:p w14:paraId="61F234D7">
      <w:pPr>
        <w:pStyle w:val="17"/>
        <w:keepNext w:val="0"/>
        <w:keepLines w:val="0"/>
        <w:pageBreakBefore w:val="0"/>
        <w:numPr>
          <w:ilvl w:val="0"/>
          <w:numId w:val="0"/>
        </w:numPr>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lang w:val="en-US" w:eastAsia="zh-CN" w:bidi="ar-SA"/>
        </w:rPr>
      </w:pPr>
      <w:r>
        <w:rPr>
          <w:rFonts w:hint="eastAsia" w:ascii="黑体" w:hAnsi="黑体" w:eastAsia="黑体" w:cs="黑体"/>
          <w:bCs/>
          <w:color w:val="auto"/>
          <w:sz w:val="32"/>
          <w:szCs w:val="32"/>
          <w:highlight w:val="none"/>
          <w:lang w:val="en-US" w:eastAsia="zh-CN" w:bidi="ar-SA"/>
        </w:rPr>
        <w:t>十一、关于政府采购支出说明</w:t>
      </w:r>
    </w:p>
    <w:p w14:paraId="7D1ACA6D">
      <w:pPr>
        <w:pStyle w:val="17"/>
        <w:keepNext w:val="0"/>
        <w:keepLines w:val="0"/>
        <w:pageBreakBefore w:val="0"/>
        <w:numPr>
          <w:ilvl w:val="0"/>
          <w:numId w:val="0"/>
        </w:numPr>
        <w:shd w:val="clear"/>
        <w:kinsoku/>
        <w:topLinePunct w:val="0"/>
        <w:bidi w:val="0"/>
        <w:spacing w:line="560" w:lineRule="exact"/>
        <w:ind w:left="0" w:leftChars="0" w:firstLine="640" w:firstLineChars="200"/>
        <w:rPr>
          <w:rFonts w:hint="eastAsia" w:ascii="仿宋" w:hAnsi="仿宋" w:eastAsia="仿宋" w:cs="仿宋"/>
          <w:color w:val="auto"/>
          <w:kern w:val="2"/>
          <w:sz w:val="32"/>
          <w:szCs w:val="32"/>
          <w:highlight w:val="none"/>
          <w:u w:val="none"/>
          <w:lang w:val="en-US" w:eastAsia="zh-CN" w:bidi="ar-SA"/>
        </w:rPr>
      </w:pPr>
      <w:r>
        <w:rPr>
          <w:rFonts w:hint="eastAsia" w:ascii="仿宋" w:hAnsi="仿宋" w:eastAsia="仿宋" w:cs="仿宋"/>
          <w:bCs/>
          <w:color w:val="auto"/>
          <w:sz w:val="32"/>
          <w:szCs w:val="32"/>
          <w:highlight w:val="none"/>
          <w:lang w:eastAsia="zh-CN"/>
        </w:rPr>
        <w:t>本单位</w:t>
      </w:r>
      <w:r>
        <w:rPr>
          <w:rFonts w:hint="eastAsia" w:ascii="仿宋" w:hAnsi="仿宋" w:eastAsia="仿宋" w:cs="仿宋"/>
          <w:bCs/>
          <w:color w:val="auto"/>
          <w:sz w:val="32"/>
          <w:szCs w:val="32"/>
          <w:highlight w:val="none"/>
          <w:lang w:val="en-US" w:eastAsia="zh-CN"/>
        </w:rPr>
        <w:t>2025年</w:t>
      </w:r>
      <w:r>
        <w:rPr>
          <w:rFonts w:hint="eastAsia" w:ascii="仿宋" w:hAnsi="仿宋" w:eastAsia="仿宋" w:cs="仿宋"/>
          <w:color w:val="auto"/>
          <w:kern w:val="2"/>
          <w:sz w:val="32"/>
          <w:szCs w:val="32"/>
          <w:highlight w:val="none"/>
          <w:u w:val="none"/>
          <w:lang w:val="en-US" w:eastAsia="zh-CN" w:bidi="ar-SA"/>
        </w:rPr>
        <w:t>度政府采购支出总额73.51万元，其中：政府采购货物支出1.39万元、政府采购工程支出0.30万元、政府采购服务支出71.82万元。授予中小企业合同金额66.03万元，占政府采购支出总额的89.82%，其中：授予小微企业合同金额22.67万元，占授予中小企业合同金额的34.33%；货物采购授予中小企业合同金额占货物支出金额的100%，工程采购授予中小企业合同金额占工程支出金额的100%，服务采购授予中小企业合同金额占服务支出金额的89.59%。</w:t>
      </w:r>
    </w:p>
    <w:p w14:paraId="444F28CF">
      <w:pPr>
        <w:pStyle w:val="17"/>
        <w:keepNext w:val="0"/>
        <w:keepLines w:val="0"/>
        <w:pageBreakBefore w:val="0"/>
        <w:numPr>
          <w:ilvl w:val="0"/>
          <w:numId w:val="0"/>
        </w:numPr>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lang w:val="en-US" w:eastAsia="zh-CN" w:bidi="ar-SA"/>
        </w:rPr>
      </w:pPr>
      <w:r>
        <w:rPr>
          <w:rFonts w:hint="eastAsia" w:ascii="黑体" w:hAnsi="黑体" w:eastAsia="黑体" w:cs="黑体"/>
          <w:bCs/>
          <w:color w:val="auto"/>
          <w:sz w:val="32"/>
          <w:szCs w:val="32"/>
          <w:highlight w:val="none"/>
          <w:lang w:val="en-US" w:eastAsia="zh-CN" w:bidi="ar-SA"/>
        </w:rPr>
        <w:t>十二、关于国有资产占用情况说明</w:t>
      </w:r>
    </w:p>
    <w:p w14:paraId="72998F14">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color w:val="auto"/>
          <w:kern w:val="0"/>
          <w:sz w:val="32"/>
          <w:szCs w:val="32"/>
          <w:highlight w:val="none"/>
        </w:rPr>
        <w:t>截至</w:t>
      </w:r>
      <w:r>
        <w:rPr>
          <w:rFonts w:hint="eastAsia" w:ascii="仿宋" w:hAnsi="仿宋" w:eastAsia="仿宋" w:cs="仿宋"/>
          <w:color w:val="auto"/>
          <w:kern w:val="0"/>
          <w:sz w:val="32"/>
          <w:szCs w:val="32"/>
          <w:highlight w:val="none"/>
          <w:lang w:val="en-US" w:eastAsia="zh-CN"/>
        </w:rPr>
        <w:t>2025</w:t>
      </w:r>
      <w:r>
        <w:rPr>
          <w:rFonts w:hint="eastAsia" w:ascii="仿宋" w:hAnsi="仿宋" w:eastAsia="仿宋" w:cs="仿宋"/>
          <w:color w:val="auto"/>
          <w:kern w:val="0"/>
          <w:sz w:val="32"/>
          <w:szCs w:val="32"/>
          <w:highlight w:val="none"/>
        </w:rPr>
        <w:t>年12月31日，本单位共有车辆0辆，其中，领导干部用车</w:t>
      </w:r>
      <w:r>
        <w:rPr>
          <w:rFonts w:hint="eastAsia" w:ascii="仿宋" w:hAnsi="仿宋" w:eastAsia="仿宋" w:cs="仿宋"/>
          <w:color w:val="auto"/>
          <w:sz w:val="32"/>
          <w:szCs w:val="32"/>
          <w:highlight w:val="none"/>
        </w:rPr>
        <w:t>0</w:t>
      </w:r>
      <w:r>
        <w:rPr>
          <w:rFonts w:hint="eastAsia" w:ascii="仿宋" w:hAnsi="仿宋" w:eastAsia="仿宋" w:cs="仿宋"/>
          <w:color w:val="auto"/>
          <w:kern w:val="0"/>
          <w:sz w:val="32"/>
          <w:szCs w:val="32"/>
          <w:highlight w:val="none"/>
        </w:rPr>
        <w:t>辆、机要通信用车</w:t>
      </w:r>
      <w:r>
        <w:rPr>
          <w:rFonts w:hint="eastAsia" w:ascii="仿宋" w:hAnsi="仿宋" w:eastAsia="仿宋" w:cs="仿宋"/>
          <w:color w:val="auto"/>
          <w:sz w:val="32"/>
          <w:szCs w:val="32"/>
          <w:highlight w:val="none"/>
        </w:rPr>
        <w:t>0</w:t>
      </w:r>
      <w:r>
        <w:rPr>
          <w:rFonts w:hint="eastAsia" w:ascii="仿宋" w:hAnsi="仿宋" w:eastAsia="仿宋" w:cs="仿宋"/>
          <w:color w:val="auto"/>
          <w:kern w:val="0"/>
          <w:sz w:val="32"/>
          <w:szCs w:val="32"/>
          <w:highlight w:val="none"/>
        </w:rPr>
        <w:t>辆、应急保障用车</w:t>
      </w:r>
      <w:r>
        <w:rPr>
          <w:rFonts w:hint="eastAsia" w:ascii="仿宋" w:hAnsi="仿宋" w:eastAsia="仿宋" w:cs="仿宋"/>
          <w:color w:val="auto"/>
          <w:sz w:val="32"/>
          <w:szCs w:val="32"/>
          <w:highlight w:val="none"/>
        </w:rPr>
        <w:t>0</w:t>
      </w:r>
      <w:r>
        <w:rPr>
          <w:rFonts w:hint="eastAsia" w:ascii="仿宋" w:hAnsi="仿宋" w:eastAsia="仿宋" w:cs="仿宋"/>
          <w:color w:val="auto"/>
          <w:kern w:val="0"/>
          <w:sz w:val="32"/>
          <w:szCs w:val="32"/>
          <w:highlight w:val="none"/>
        </w:rPr>
        <w:t>辆、执法执勤用车</w:t>
      </w:r>
      <w:r>
        <w:rPr>
          <w:rFonts w:hint="eastAsia" w:ascii="仿宋" w:hAnsi="仿宋" w:eastAsia="仿宋" w:cs="仿宋"/>
          <w:color w:val="auto"/>
          <w:sz w:val="32"/>
          <w:szCs w:val="32"/>
          <w:highlight w:val="none"/>
        </w:rPr>
        <w:t>0</w:t>
      </w:r>
      <w:r>
        <w:rPr>
          <w:rFonts w:hint="eastAsia" w:ascii="仿宋" w:hAnsi="仿宋" w:eastAsia="仿宋" w:cs="仿宋"/>
          <w:color w:val="auto"/>
          <w:kern w:val="0"/>
          <w:sz w:val="32"/>
          <w:szCs w:val="32"/>
          <w:highlight w:val="none"/>
        </w:rPr>
        <w:t>辆、特种专业技术用车</w:t>
      </w:r>
      <w:r>
        <w:rPr>
          <w:rFonts w:hint="eastAsia" w:ascii="仿宋" w:hAnsi="仿宋" w:eastAsia="仿宋" w:cs="仿宋"/>
          <w:color w:val="auto"/>
          <w:sz w:val="32"/>
          <w:szCs w:val="32"/>
          <w:highlight w:val="none"/>
        </w:rPr>
        <w:t>0</w:t>
      </w:r>
      <w:r>
        <w:rPr>
          <w:rFonts w:hint="eastAsia" w:ascii="仿宋" w:hAnsi="仿宋" w:eastAsia="仿宋" w:cs="仿宋"/>
          <w:color w:val="auto"/>
          <w:kern w:val="0"/>
          <w:sz w:val="32"/>
          <w:szCs w:val="32"/>
          <w:highlight w:val="none"/>
        </w:rPr>
        <w:t>辆、其他用车0辆，其他用车主要是一般公务用车；单位价值50万元以上通用设备</w:t>
      </w:r>
      <w:r>
        <w:rPr>
          <w:rFonts w:hint="eastAsia" w:ascii="仿宋" w:hAnsi="仿宋" w:eastAsia="仿宋" w:cs="仿宋"/>
          <w:color w:val="auto"/>
          <w:sz w:val="32"/>
          <w:szCs w:val="32"/>
          <w:highlight w:val="none"/>
        </w:rPr>
        <w:t>0</w:t>
      </w:r>
      <w:r>
        <w:rPr>
          <w:rFonts w:hint="eastAsia" w:ascii="仿宋" w:hAnsi="仿宋" w:eastAsia="仿宋" w:cs="仿宋"/>
          <w:color w:val="auto"/>
          <w:kern w:val="0"/>
          <w:sz w:val="32"/>
          <w:szCs w:val="32"/>
          <w:highlight w:val="none"/>
        </w:rPr>
        <w:t>台（套）；单位价值100万元以上专用设备</w:t>
      </w:r>
      <w:r>
        <w:rPr>
          <w:rFonts w:hint="eastAsia" w:ascii="仿宋" w:hAnsi="仿宋" w:eastAsia="仿宋" w:cs="仿宋"/>
          <w:color w:val="auto"/>
          <w:sz w:val="32"/>
          <w:szCs w:val="32"/>
          <w:highlight w:val="none"/>
        </w:rPr>
        <w:t>0</w:t>
      </w:r>
      <w:r>
        <w:rPr>
          <w:rFonts w:hint="eastAsia" w:ascii="仿宋" w:hAnsi="仿宋" w:eastAsia="仿宋" w:cs="仿宋"/>
          <w:color w:val="auto"/>
          <w:kern w:val="0"/>
          <w:sz w:val="32"/>
          <w:szCs w:val="32"/>
          <w:highlight w:val="none"/>
        </w:rPr>
        <w:t>台（套</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sz w:val="32"/>
          <w:szCs w:val="32"/>
          <w:highlight w:val="none"/>
        </w:rPr>
        <w:t> </w:t>
      </w:r>
      <w:r>
        <w:rPr>
          <w:rFonts w:hint="eastAsia" w:ascii="仿宋" w:hAnsi="仿宋" w:eastAsia="仿宋" w:cs="仿宋"/>
          <w:color w:val="auto"/>
          <w:sz w:val="32"/>
          <w:szCs w:val="32"/>
          <w:highlight w:val="none"/>
          <w:lang w:eastAsia="zh-CN"/>
        </w:rPr>
        <w:t>。</w:t>
      </w:r>
    </w:p>
    <w:p w14:paraId="5C1B68B6">
      <w:pPr>
        <w:pStyle w:val="17"/>
        <w:keepNext w:val="0"/>
        <w:keepLines w:val="0"/>
        <w:pageBreakBefore w:val="0"/>
        <w:numPr>
          <w:ilvl w:val="0"/>
          <w:numId w:val="0"/>
        </w:numPr>
        <w:shd w:val="clear"/>
        <w:kinsoku/>
        <w:overflowPunct w:val="0"/>
        <w:topLinePunct w:val="0"/>
        <w:autoSpaceDE/>
        <w:autoSpaceDN/>
        <w:bidi w:val="0"/>
        <w:spacing w:line="560" w:lineRule="exact"/>
        <w:ind w:left="0" w:leftChars="0" w:firstLine="640" w:firstLineChars="200"/>
        <w:jc w:val="both"/>
        <w:rPr>
          <w:rFonts w:hint="eastAsia" w:ascii="黑体" w:hAnsi="黑体" w:eastAsia="黑体" w:cs="黑体"/>
          <w:bCs/>
          <w:color w:val="auto"/>
          <w:sz w:val="32"/>
          <w:szCs w:val="32"/>
          <w:highlight w:val="none"/>
          <w:lang w:val="en-US" w:eastAsia="zh-CN" w:bidi="ar-SA"/>
        </w:rPr>
      </w:pPr>
      <w:r>
        <w:rPr>
          <w:rFonts w:hint="eastAsia" w:ascii="黑体" w:hAnsi="黑体" w:eastAsia="黑体" w:cs="黑体"/>
          <w:bCs/>
          <w:color w:val="auto"/>
          <w:sz w:val="32"/>
          <w:szCs w:val="32"/>
          <w:highlight w:val="none"/>
          <w:lang w:val="en-US" w:eastAsia="zh-CN" w:bidi="ar-SA"/>
        </w:rPr>
        <w:t>十三、关于2025年度预算绩效情况的说明</w:t>
      </w:r>
    </w:p>
    <w:p w14:paraId="2A7CBFEE">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rPr>
        <w:t>（一）绩效评价工作开展情况</w:t>
      </w:r>
    </w:p>
    <w:p w14:paraId="6A26A464">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auto"/>
          <w:kern w:val="0"/>
          <w:sz w:val="32"/>
          <w:szCs w:val="32"/>
          <w:highlight w:val="none"/>
        </w:rPr>
      </w:pPr>
      <w:r>
        <w:rPr>
          <w:rFonts w:hint="eastAsia" w:ascii="仿宋" w:hAnsi="仿宋" w:eastAsia="仿宋" w:cs="仿宋"/>
          <w:b/>
          <w:bCs/>
          <w:color w:val="auto"/>
          <w:kern w:val="0"/>
          <w:sz w:val="32"/>
          <w:szCs w:val="32"/>
          <w:highlight w:val="none"/>
        </w:rPr>
        <w:t>一是绩效自评开展情况。</w:t>
      </w:r>
      <w:r>
        <w:rPr>
          <w:rFonts w:hint="eastAsia" w:ascii="仿宋" w:hAnsi="仿宋" w:eastAsia="仿宋" w:cs="仿宋"/>
          <w:color w:val="auto"/>
          <w:kern w:val="0"/>
          <w:sz w:val="32"/>
          <w:szCs w:val="32"/>
          <w:highlight w:val="none"/>
        </w:rPr>
        <w:t>组织对2025年度本部门（单位）整体支出开展绩效自评，涉及项目</w:t>
      </w:r>
      <w:r>
        <w:rPr>
          <w:rFonts w:hint="eastAsia" w:ascii="仿宋" w:hAnsi="仿宋" w:eastAsia="仿宋" w:cs="仿宋"/>
          <w:color w:val="auto"/>
          <w:kern w:val="0"/>
          <w:sz w:val="32"/>
          <w:szCs w:val="32"/>
          <w:highlight w:val="none"/>
          <w:lang w:val="en-US" w:eastAsia="zh-CN"/>
        </w:rPr>
        <w:t>3</w:t>
      </w:r>
      <w:r>
        <w:rPr>
          <w:rFonts w:hint="eastAsia" w:ascii="仿宋" w:hAnsi="仿宋" w:eastAsia="仿宋" w:cs="仿宋"/>
          <w:color w:val="auto"/>
          <w:kern w:val="0"/>
          <w:sz w:val="32"/>
          <w:szCs w:val="32"/>
          <w:highlight w:val="none"/>
        </w:rPr>
        <w:t>个，共涉及资金</w:t>
      </w:r>
      <w:r>
        <w:rPr>
          <w:rFonts w:hint="eastAsia" w:ascii="仿宋" w:hAnsi="仿宋" w:eastAsia="仿宋" w:cs="仿宋"/>
          <w:color w:val="auto"/>
          <w:kern w:val="0"/>
          <w:sz w:val="32"/>
          <w:szCs w:val="32"/>
          <w:highlight w:val="none"/>
          <w:lang w:val="en-US" w:eastAsia="zh-CN"/>
        </w:rPr>
        <w:t>693.30</w:t>
      </w:r>
      <w:r>
        <w:rPr>
          <w:rFonts w:hint="eastAsia" w:ascii="仿宋" w:hAnsi="仿宋" w:eastAsia="仿宋" w:cs="仿宋"/>
          <w:color w:val="auto"/>
          <w:kern w:val="0"/>
          <w:sz w:val="32"/>
          <w:szCs w:val="32"/>
          <w:highlight w:val="none"/>
        </w:rPr>
        <w:t>万元。其中，一般公共预算项目</w:t>
      </w:r>
      <w:r>
        <w:rPr>
          <w:rFonts w:hint="eastAsia" w:ascii="仿宋" w:hAnsi="仿宋" w:eastAsia="仿宋" w:cs="仿宋"/>
          <w:color w:val="auto"/>
          <w:kern w:val="0"/>
          <w:sz w:val="32"/>
          <w:szCs w:val="32"/>
          <w:highlight w:val="none"/>
          <w:lang w:val="en-US" w:eastAsia="zh-CN"/>
        </w:rPr>
        <w:t>3</w:t>
      </w:r>
      <w:r>
        <w:rPr>
          <w:rFonts w:hint="eastAsia" w:ascii="仿宋" w:hAnsi="仿宋" w:eastAsia="仿宋" w:cs="仿宋"/>
          <w:color w:val="auto"/>
          <w:kern w:val="0"/>
          <w:sz w:val="32"/>
          <w:szCs w:val="32"/>
          <w:highlight w:val="none"/>
        </w:rPr>
        <w:t>个</w:t>
      </w:r>
      <w:r>
        <w:rPr>
          <w:rFonts w:hint="eastAsia" w:ascii="仿宋" w:hAnsi="仿宋" w:eastAsia="仿宋" w:cs="仿宋"/>
          <w:color w:val="auto"/>
          <w:kern w:val="0"/>
          <w:sz w:val="32"/>
          <w:szCs w:val="32"/>
          <w:highlight w:val="none"/>
          <w:lang w:val="en-US" w:eastAsia="zh-CN"/>
        </w:rPr>
        <w:t>166.53</w:t>
      </w:r>
      <w:r>
        <w:rPr>
          <w:rFonts w:hint="eastAsia" w:ascii="仿宋" w:hAnsi="仿宋" w:eastAsia="仿宋" w:cs="仿宋"/>
          <w:color w:val="auto"/>
          <w:kern w:val="0"/>
          <w:sz w:val="32"/>
          <w:szCs w:val="32"/>
          <w:highlight w:val="none"/>
        </w:rPr>
        <w:t>万元，占一般公共预算支出总额的</w:t>
      </w:r>
      <w:r>
        <w:rPr>
          <w:rFonts w:hint="eastAsia" w:ascii="仿宋" w:hAnsi="仿宋" w:eastAsia="仿宋" w:cs="仿宋"/>
          <w:color w:val="auto"/>
          <w:kern w:val="0"/>
          <w:sz w:val="32"/>
          <w:szCs w:val="32"/>
          <w:highlight w:val="none"/>
          <w:lang w:val="en-US" w:eastAsia="zh-CN"/>
        </w:rPr>
        <w:t>24.02</w:t>
      </w:r>
      <w:r>
        <w:rPr>
          <w:rFonts w:hint="eastAsia" w:ascii="仿宋" w:hAnsi="仿宋" w:eastAsia="仿宋" w:cs="仿宋"/>
          <w:color w:val="auto"/>
          <w:kern w:val="0"/>
          <w:sz w:val="32"/>
          <w:szCs w:val="32"/>
          <w:highlight w:val="none"/>
        </w:rPr>
        <w:t>%；政府性基金预算项目</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个</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 xml:space="preserve"> 万元，占政府性基金预算支出总额的</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%；国有资本经营预算项目</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 xml:space="preserve"> 个</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 xml:space="preserve"> 万元，占国有资本经营预算支出总额的</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%；社会保险基金预算项目</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个</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万元，占社会保险基金预算支出总额的</w:t>
      </w:r>
      <w:r>
        <w:rPr>
          <w:rFonts w:hint="eastAsia" w:ascii="仿宋" w:hAnsi="仿宋" w:eastAsia="仿宋" w:cs="仿宋"/>
          <w:color w:val="auto"/>
          <w:kern w:val="0"/>
          <w:sz w:val="32"/>
          <w:szCs w:val="32"/>
          <w:highlight w:val="none"/>
          <w:lang w:val="en-US" w:eastAsia="zh-CN"/>
        </w:rPr>
        <w:t>0</w:t>
      </w:r>
      <w:r>
        <w:rPr>
          <w:rFonts w:hint="eastAsia" w:ascii="仿宋" w:hAnsi="仿宋" w:eastAsia="仿宋" w:cs="仿宋"/>
          <w:color w:val="auto"/>
          <w:kern w:val="0"/>
          <w:sz w:val="32"/>
          <w:szCs w:val="32"/>
          <w:highlight w:val="none"/>
        </w:rPr>
        <w:t>%。</w:t>
      </w:r>
    </w:p>
    <w:p w14:paraId="66C7971F">
      <w:pPr>
        <w:keepNext w:val="0"/>
        <w:keepLines w:val="0"/>
        <w:pageBreakBefore w:val="0"/>
        <w:shd w:val="clear"/>
        <w:kinsoku/>
        <w:overflowPunct w:val="0"/>
        <w:topLinePunct w:val="0"/>
        <w:bidi w:val="0"/>
        <w:spacing w:line="560" w:lineRule="exact"/>
        <w:ind w:left="0" w:leftChars="0" w:firstLine="640" w:firstLineChars="200"/>
        <w:rPr>
          <w:rFonts w:hint="eastAsia" w:ascii="仿宋" w:hAnsi="仿宋" w:eastAsia="仿宋" w:cs="仿宋"/>
          <w:color w:val="auto"/>
          <w:kern w:val="0"/>
          <w:sz w:val="32"/>
          <w:szCs w:val="32"/>
          <w:highlight w:val="none"/>
        </w:rPr>
      </w:pPr>
      <w:r>
        <w:rPr>
          <w:rFonts w:hint="eastAsia" w:ascii="仿宋" w:hAnsi="仿宋" w:eastAsia="仿宋" w:cs="仿宋"/>
          <w:b/>
          <w:bCs/>
          <w:color w:val="auto"/>
          <w:kern w:val="0"/>
          <w:sz w:val="32"/>
          <w:szCs w:val="32"/>
          <w:highlight w:val="none"/>
        </w:rPr>
        <w:t>二是部门评价开展情况。</w:t>
      </w:r>
      <w:r>
        <w:rPr>
          <w:rFonts w:hint="eastAsia" w:ascii="仿宋" w:hAnsi="仿宋" w:eastAsia="仿宋" w:cs="仿宋"/>
          <w:color w:val="auto"/>
          <w:kern w:val="0"/>
          <w:sz w:val="32"/>
          <w:szCs w:val="32"/>
          <w:highlight w:val="none"/>
        </w:rPr>
        <w:t>组织对所属单位2025年度“</w:t>
      </w:r>
      <w:r>
        <w:rPr>
          <w:rFonts w:hint="eastAsia" w:ascii="仿宋" w:hAnsi="仿宋" w:eastAsia="仿宋" w:cs="仿宋"/>
          <w:color w:val="auto"/>
          <w:sz w:val="32"/>
          <w:szCs w:val="32"/>
          <w:highlight w:val="none"/>
        </w:rPr>
        <w:t>会议经费</w:t>
      </w:r>
      <w:r>
        <w:rPr>
          <w:rFonts w:hint="eastAsia" w:ascii="仿宋" w:hAnsi="仿宋" w:eastAsia="仿宋" w:cs="仿宋"/>
          <w:color w:val="auto"/>
          <w:kern w:val="0"/>
          <w:sz w:val="32"/>
          <w:szCs w:val="32"/>
          <w:highlight w:val="none"/>
        </w:rPr>
        <w:t>”“</w:t>
      </w:r>
      <w:r>
        <w:rPr>
          <w:rFonts w:hint="eastAsia" w:ascii="仿宋" w:hAnsi="仿宋" w:eastAsia="仿宋" w:cs="仿宋"/>
          <w:color w:val="auto"/>
          <w:sz w:val="32"/>
          <w:szCs w:val="32"/>
          <w:highlight w:val="none"/>
        </w:rPr>
        <w:t>政协委员履职经费</w:t>
      </w:r>
      <w:r>
        <w:rPr>
          <w:rFonts w:hint="eastAsia" w:ascii="仿宋" w:hAnsi="仿宋" w:eastAsia="仿宋" w:cs="仿宋"/>
          <w:color w:val="auto"/>
          <w:kern w:val="0"/>
          <w:sz w:val="32"/>
          <w:szCs w:val="32"/>
          <w:highlight w:val="none"/>
        </w:rPr>
        <w:t>”</w:t>
      </w:r>
      <w:r>
        <w:rPr>
          <w:rFonts w:hint="eastAsia" w:ascii="仿宋" w:hAnsi="仿宋" w:eastAsia="仿宋" w:cs="仿宋"/>
          <w:color w:val="auto"/>
          <w:kern w:val="0"/>
          <w:sz w:val="32"/>
          <w:szCs w:val="32"/>
          <w:highlight w:val="none"/>
          <w:lang w:eastAsia="zh-CN"/>
        </w:rPr>
        <w:t>“市委推进政协工作向基层延伸运转经费”</w:t>
      </w:r>
      <w:r>
        <w:rPr>
          <w:rFonts w:hint="eastAsia" w:ascii="仿宋" w:hAnsi="仿宋" w:eastAsia="仿宋" w:cs="仿宋"/>
          <w:color w:val="auto"/>
          <w:kern w:val="0"/>
          <w:sz w:val="32"/>
          <w:szCs w:val="32"/>
          <w:highlight w:val="none"/>
        </w:rPr>
        <w:t>等</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kern w:val="0"/>
          <w:sz w:val="32"/>
          <w:szCs w:val="32"/>
          <w:highlight w:val="none"/>
        </w:rPr>
        <w:t>个项目开展了部门评价，涉及一般公共预算支出</w:t>
      </w:r>
      <w:r>
        <w:rPr>
          <w:rFonts w:hint="eastAsia" w:ascii="仿宋" w:hAnsi="仿宋" w:eastAsia="仿宋" w:cs="仿宋"/>
          <w:color w:val="auto"/>
          <w:sz w:val="32"/>
          <w:szCs w:val="32"/>
          <w:highlight w:val="none"/>
          <w:lang w:val="en-US" w:eastAsia="zh-CN"/>
        </w:rPr>
        <w:t>166.53</w:t>
      </w:r>
      <w:r>
        <w:rPr>
          <w:rFonts w:hint="eastAsia" w:ascii="仿宋" w:hAnsi="仿宋" w:eastAsia="仿宋" w:cs="仿宋"/>
          <w:color w:val="auto"/>
          <w:kern w:val="0"/>
          <w:sz w:val="32"/>
          <w:szCs w:val="32"/>
          <w:highlight w:val="none"/>
        </w:rPr>
        <w:t>万元，政府性基金预算支出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kern w:val="0"/>
          <w:sz w:val="32"/>
          <w:szCs w:val="32"/>
          <w:highlight w:val="none"/>
        </w:rPr>
        <w:t>万元，国有资本经营预算支出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kern w:val="0"/>
          <w:sz w:val="32"/>
          <w:szCs w:val="32"/>
          <w:highlight w:val="none"/>
        </w:rPr>
        <w:t>万元，社会保险基金预算支出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kern w:val="0"/>
          <w:sz w:val="32"/>
          <w:szCs w:val="32"/>
          <w:highlight w:val="none"/>
        </w:rPr>
        <w:t>万元。</w:t>
      </w:r>
    </w:p>
    <w:p w14:paraId="16FF9BCC">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rPr>
        <w:t>（二）绩效评价结果</w:t>
      </w:r>
    </w:p>
    <w:p w14:paraId="25E1C51F">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kern w:val="0"/>
          <w:sz w:val="32"/>
          <w:szCs w:val="32"/>
          <w:highlight w:val="none"/>
        </w:rPr>
        <w:t>一是绩效自评结果</w:t>
      </w:r>
      <w:r>
        <w:rPr>
          <w:rFonts w:hint="eastAsia" w:ascii="仿宋" w:hAnsi="仿宋" w:eastAsia="仿宋" w:cs="仿宋"/>
          <w:b/>
          <w:bCs/>
          <w:color w:val="auto"/>
          <w:kern w:val="0"/>
          <w:sz w:val="32"/>
          <w:szCs w:val="32"/>
          <w:highlight w:val="none"/>
          <w:lang w:eastAsia="zh-CN"/>
        </w:rPr>
        <w:t>：</w:t>
      </w:r>
      <w:r>
        <w:rPr>
          <w:rFonts w:hint="eastAsia" w:ascii="仿宋" w:hAnsi="仿宋" w:eastAsia="仿宋" w:cs="仿宋"/>
          <w:color w:val="auto"/>
          <w:kern w:val="0"/>
          <w:sz w:val="32"/>
          <w:szCs w:val="32"/>
          <w:highlight w:val="none"/>
        </w:rPr>
        <w:t>2025年度本部门（单位）整体支出</w:t>
      </w:r>
      <w:r>
        <w:rPr>
          <w:rFonts w:hint="eastAsia" w:ascii="仿宋" w:hAnsi="仿宋" w:eastAsia="仿宋" w:cs="仿宋"/>
          <w:color w:val="auto"/>
          <w:sz w:val="32"/>
          <w:szCs w:val="32"/>
          <w:highlight w:val="none"/>
        </w:rPr>
        <w:t>全年预算数751.9</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万元，执行数</w:t>
      </w:r>
      <w:r>
        <w:rPr>
          <w:rFonts w:hint="eastAsia" w:ascii="仿宋" w:hAnsi="仿宋" w:eastAsia="仿宋" w:cs="仿宋"/>
          <w:color w:val="auto"/>
          <w:sz w:val="32"/>
          <w:szCs w:val="32"/>
          <w:highlight w:val="none"/>
          <w:lang w:eastAsia="zh-CN"/>
        </w:rPr>
        <w:t>693.30</w:t>
      </w:r>
      <w:r>
        <w:rPr>
          <w:rFonts w:hint="eastAsia" w:ascii="仿宋" w:hAnsi="仿宋" w:eastAsia="仿宋" w:cs="仿宋"/>
          <w:color w:val="auto"/>
          <w:sz w:val="32"/>
          <w:szCs w:val="32"/>
          <w:highlight w:val="none"/>
        </w:rPr>
        <w:t>万元，完成预算的</w:t>
      </w:r>
      <w:r>
        <w:rPr>
          <w:rFonts w:hint="eastAsia" w:ascii="仿宋" w:hAnsi="仿宋" w:eastAsia="仿宋" w:cs="仿宋"/>
          <w:color w:val="auto"/>
          <w:sz w:val="32"/>
          <w:szCs w:val="32"/>
          <w:highlight w:val="none"/>
          <w:lang w:val="en-US" w:eastAsia="zh-CN"/>
        </w:rPr>
        <w:t>92.21</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rPr>
        <w:t>，绩效自评得分</w:t>
      </w:r>
      <w:r>
        <w:rPr>
          <w:rFonts w:hint="eastAsia" w:ascii="仿宋" w:hAnsi="仿宋" w:eastAsia="仿宋" w:cs="仿宋"/>
          <w:color w:val="auto"/>
          <w:sz w:val="32"/>
          <w:szCs w:val="32"/>
          <w:highlight w:val="none"/>
          <w:lang w:val="en-US" w:eastAsia="zh-CN"/>
        </w:rPr>
        <w:t>99</w:t>
      </w:r>
      <w:r>
        <w:rPr>
          <w:rFonts w:hint="eastAsia" w:ascii="仿宋" w:hAnsi="仿宋" w:eastAsia="仿宋" w:cs="仿宋"/>
          <w:color w:val="auto"/>
          <w:sz w:val="32"/>
          <w:szCs w:val="32"/>
          <w:highlight w:val="none"/>
        </w:rPr>
        <w:t>分</w:t>
      </w:r>
      <w:r>
        <w:rPr>
          <w:rFonts w:hint="eastAsia" w:ascii="仿宋" w:hAnsi="仿宋" w:eastAsia="仿宋" w:cs="仿宋"/>
          <w:color w:val="auto"/>
          <w:kern w:val="0"/>
          <w:sz w:val="32"/>
          <w:szCs w:val="32"/>
          <w:highlight w:val="none"/>
        </w:rPr>
        <w:t>，评价等级为</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良好</w:t>
      </w:r>
      <w:r>
        <w:rPr>
          <w:rFonts w:hint="eastAsia" w:ascii="仿宋" w:hAnsi="仿宋" w:eastAsia="仿宋" w:cs="仿宋"/>
          <w:color w:val="auto"/>
          <w:sz w:val="32"/>
          <w:szCs w:val="32"/>
          <w:highlight w:val="none"/>
        </w:rPr>
        <w:t>”。</w:t>
      </w:r>
      <w:r>
        <w:rPr>
          <w:rFonts w:hint="eastAsia" w:ascii="仿宋" w:hAnsi="仿宋" w:eastAsia="仿宋" w:cs="仿宋"/>
          <w:b/>
          <w:bCs/>
          <w:color w:val="auto"/>
          <w:kern w:val="0"/>
          <w:sz w:val="32"/>
          <w:szCs w:val="32"/>
          <w:highlight w:val="none"/>
          <w:lang w:eastAsia="zh-CN"/>
        </w:rPr>
        <w:t>二是</w:t>
      </w:r>
      <w:r>
        <w:rPr>
          <w:rFonts w:hint="eastAsia" w:ascii="仿宋" w:hAnsi="仿宋" w:eastAsia="仿宋" w:cs="仿宋"/>
          <w:b/>
          <w:bCs/>
          <w:color w:val="auto"/>
          <w:kern w:val="0"/>
          <w:sz w:val="32"/>
          <w:szCs w:val="32"/>
          <w:highlight w:val="none"/>
        </w:rPr>
        <w:t>绩效目标完成情况：</w:t>
      </w:r>
      <w:r>
        <w:rPr>
          <w:rFonts w:hint="eastAsia" w:ascii="仿宋" w:hAnsi="仿宋" w:eastAsia="仿宋" w:cs="仿宋"/>
          <w:b w:val="0"/>
          <w:bCs w:val="0"/>
          <w:color w:val="auto"/>
          <w:kern w:val="0"/>
          <w:sz w:val="32"/>
          <w:szCs w:val="32"/>
          <w:highlight w:val="none"/>
          <w:lang w:val="en-US" w:eastAsia="zh-CN"/>
        </w:rPr>
        <w:t>2025</w:t>
      </w:r>
      <w:r>
        <w:rPr>
          <w:rFonts w:hint="eastAsia" w:ascii="仿宋" w:hAnsi="仿宋" w:eastAsia="仿宋" w:cs="仿宋"/>
          <w:b w:val="0"/>
          <w:bCs w:val="0"/>
          <w:color w:val="auto"/>
          <w:kern w:val="0"/>
          <w:sz w:val="32"/>
          <w:szCs w:val="32"/>
          <w:highlight w:val="none"/>
        </w:rPr>
        <w:t>年度召开全会1次、</w:t>
      </w:r>
      <w:r>
        <w:rPr>
          <w:rFonts w:hint="eastAsia" w:ascii="仿宋" w:hAnsi="仿宋" w:eastAsia="仿宋" w:cs="仿宋"/>
          <w:b w:val="0"/>
          <w:bCs w:val="0"/>
          <w:color w:val="auto"/>
          <w:kern w:val="0"/>
          <w:sz w:val="32"/>
          <w:szCs w:val="32"/>
          <w:highlight w:val="none"/>
          <w:lang w:eastAsia="zh-CN"/>
        </w:rPr>
        <w:t>政协党组、</w:t>
      </w:r>
      <w:r>
        <w:rPr>
          <w:rFonts w:hint="eastAsia" w:ascii="仿宋" w:hAnsi="仿宋" w:eastAsia="仿宋" w:cs="仿宋"/>
          <w:b w:val="0"/>
          <w:bCs w:val="0"/>
          <w:color w:val="auto"/>
          <w:kern w:val="0"/>
          <w:sz w:val="32"/>
          <w:szCs w:val="32"/>
          <w:highlight w:val="none"/>
        </w:rPr>
        <w:t>主席会议1</w:t>
      </w:r>
      <w:r>
        <w:rPr>
          <w:rFonts w:hint="eastAsia" w:ascii="仿宋" w:hAnsi="仿宋" w:eastAsia="仿宋" w:cs="仿宋"/>
          <w:b w:val="0"/>
          <w:bCs w:val="0"/>
          <w:color w:val="auto"/>
          <w:kern w:val="0"/>
          <w:sz w:val="32"/>
          <w:szCs w:val="32"/>
          <w:highlight w:val="none"/>
          <w:lang w:val="en-US" w:eastAsia="zh-CN"/>
        </w:rPr>
        <w:t>2</w:t>
      </w:r>
      <w:r>
        <w:rPr>
          <w:rFonts w:hint="eastAsia" w:ascii="仿宋" w:hAnsi="仿宋" w:eastAsia="仿宋" w:cs="仿宋"/>
          <w:b w:val="0"/>
          <w:bCs w:val="0"/>
          <w:color w:val="auto"/>
          <w:kern w:val="0"/>
          <w:sz w:val="32"/>
          <w:szCs w:val="32"/>
          <w:highlight w:val="none"/>
        </w:rPr>
        <w:t>次、常委会议4次；“双月协商”</w:t>
      </w:r>
      <w:r>
        <w:rPr>
          <w:rFonts w:hint="eastAsia" w:ascii="仿宋" w:hAnsi="仿宋" w:eastAsia="仿宋" w:cs="仿宋"/>
          <w:b w:val="0"/>
          <w:bCs w:val="0"/>
          <w:color w:val="auto"/>
          <w:kern w:val="0"/>
          <w:sz w:val="32"/>
          <w:szCs w:val="32"/>
          <w:highlight w:val="none"/>
          <w:lang w:val="en-US" w:eastAsia="zh-CN"/>
        </w:rPr>
        <w:t>3</w:t>
      </w:r>
      <w:r>
        <w:rPr>
          <w:rFonts w:hint="eastAsia" w:ascii="仿宋" w:hAnsi="仿宋" w:eastAsia="仿宋" w:cs="仿宋"/>
          <w:b w:val="0"/>
          <w:bCs w:val="0"/>
          <w:color w:val="auto"/>
          <w:kern w:val="0"/>
          <w:sz w:val="32"/>
          <w:szCs w:val="32"/>
          <w:highlight w:val="none"/>
        </w:rPr>
        <w:t>次；专题协商</w:t>
      </w:r>
      <w:r>
        <w:rPr>
          <w:rFonts w:hint="eastAsia" w:ascii="仿宋" w:hAnsi="仿宋" w:eastAsia="仿宋" w:cs="仿宋"/>
          <w:b w:val="0"/>
          <w:bCs w:val="0"/>
          <w:color w:val="auto"/>
          <w:kern w:val="0"/>
          <w:sz w:val="32"/>
          <w:szCs w:val="32"/>
          <w:highlight w:val="none"/>
          <w:lang w:val="en-US" w:eastAsia="zh-CN"/>
        </w:rPr>
        <w:t>2</w:t>
      </w:r>
      <w:r>
        <w:rPr>
          <w:rFonts w:hint="eastAsia" w:ascii="仿宋" w:hAnsi="仿宋" w:eastAsia="仿宋" w:cs="仿宋"/>
          <w:b w:val="0"/>
          <w:bCs w:val="0"/>
          <w:color w:val="auto"/>
          <w:kern w:val="0"/>
          <w:sz w:val="32"/>
          <w:szCs w:val="32"/>
          <w:highlight w:val="none"/>
        </w:rPr>
        <w:t>次；重点提案督办</w:t>
      </w:r>
      <w:r>
        <w:rPr>
          <w:rFonts w:hint="eastAsia" w:ascii="仿宋" w:hAnsi="仿宋" w:eastAsia="仿宋" w:cs="仿宋"/>
          <w:b w:val="0"/>
          <w:bCs w:val="0"/>
          <w:color w:val="auto"/>
          <w:kern w:val="0"/>
          <w:sz w:val="32"/>
          <w:szCs w:val="32"/>
          <w:highlight w:val="none"/>
          <w:lang w:val="en-US" w:eastAsia="zh-CN"/>
        </w:rPr>
        <w:t>28场</w:t>
      </w:r>
      <w:r>
        <w:rPr>
          <w:rFonts w:hint="eastAsia" w:ascii="仿宋" w:hAnsi="仿宋" w:eastAsia="仿宋" w:cs="仿宋"/>
          <w:b w:val="0"/>
          <w:bCs w:val="0"/>
          <w:color w:val="auto"/>
          <w:kern w:val="0"/>
          <w:sz w:val="32"/>
          <w:szCs w:val="32"/>
          <w:highlight w:val="none"/>
        </w:rPr>
        <w:t>次；组织市政协常委赴外地考察交流</w:t>
      </w:r>
      <w:r>
        <w:rPr>
          <w:rFonts w:hint="eastAsia" w:ascii="仿宋" w:hAnsi="仿宋" w:eastAsia="仿宋" w:cs="仿宋"/>
          <w:b w:val="0"/>
          <w:bCs w:val="0"/>
          <w:color w:val="auto"/>
          <w:kern w:val="0"/>
          <w:sz w:val="32"/>
          <w:szCs w:val="32"/>
          <w:highlight w:val="none"/>
          <w:lang w:val="en-US" w:eastAsia="zh-CN"/>
        </w:rPr>
        <w:t>6</w:t>
      </w:r>
      <w:r>
        <w:rPr>
          <w:rFonts w:hint="eastAsia" w:ascii="仿宋" w:hAnsi="仿宋" w:eastAsia="仿宋" w:cs="仿宋"/>
          <w:b w:val="0"/>
          <w:bCs w:val="0"/>
          <w:color w:val="auto"/>
          <w:kern w:val="0"/>
          <w:sz w:val="32"/>
          <w:szCs w:val="32"/>
          <w:highlight w:val="none"/>
        </w:rPr>
        <w:t>批次；组织政协常委及界别组长</w:t>
      </w:r>
      <w:r>
        <w:rPr>
          <w:rFonts w:hint="eastAsia" w:ascii="仿宋" w:hAnsi="仿宋" w:eastAsia="仿宋" w:cs="仿宋"/>
          <w:b w:val="0"/>
          <w:bCs w:val="0"/>
          <w:color w:val="auto"/>
          <w:kern w:val="0"/>
          <w:sz w:val="32"/>
          <w:szCs w:val="32"/>
          <w:highlight w:val="none"/>
          <w:lang w:eastAsia="zh-CN"/>
        </w:rPr>
        <w:t>到山东大学</w:t>
      </w:r>
      <w:r>
        <w:rPr>
          <w:rFonts w:hint="eastAsia" w:ascii="仿宋" w:hAnsi="仿宋" w:eastAsia="仿宋" w:cs="仿宋"/>
          <w:b w:val="0"/>
          <w:bCs w:val="0"/>
          <w:color w:val="auto"/>
          <w:kern w:val="0"/>
          <w:sz w:val="32"/>
          <w:szCs w:val="32"/>
          <w:highlight w:val="none"/>
        </w:rPr>
        <w:t>进行</w:t>
      </w:r>
      <w:r>
        <w:rPr>
          <w:rFonts w:hint="eastAsia" w:ascii="仿宋" w:hAnsi="仿宋" w:eastAsia="仿宋" w:cs="仿宋"/>
          <w:b w:val="0"/>
          <w:bCs w:val="0"/>
          <w:color w:val="auto"/>
          <w:kern w:val="0"/>
          <w:sz w:val="32"/>
          <w:szCs w:val="32"/>
          <w:highlight w:val="none"/>
          <w:lang w:eastAsia="zh-CN"/>
        </w:rPr>
        <w:t>履职能力提升</w:t>
      </w:r>
      <w:r>
        <w:rPr>
          <w:rFonts w:hint="eastAsia" w:ascii="仿宋" w:hAnsi="仿宋" w:eastAsia="仿宋" w:cs="仿宋"/>
          <w:b w:val="0"/>
          <w:bCs w:val="0"/>
          <w:color w:val="auto"/>
          <w:kern w:val="0"/>
          <w:sz w:val="32"/>
          <w:szCs w:val="32"/>
          <w:highlight w:val="none"/>
        </w:rPr>
        <w:t>培训1次；</w:t>
      </w:r>
      <w:r>
        <w:rPr>
          <w:rFonts w:hint="eastAsia" w:ascii="仿宋" w:hAnsi="仿宋" w:eastAsia="仿宋" w:cs="仿宋"/>
          <w:b w:val="0"/>
          <w:bCs w:val="0"/>
          <w:color w:val="auto"/>
          <w:sz w:val="32"/>
          <w:szCs w:val="32"/>
          <w:highlight w:val="none"/>
          <w:lang w:eastAsia="zh-CN"/>
        </w:rPr>
        <w:t>立案</w:t>
      </w:r>
      <w:r>
        <w:rPr>
          <w:rFonts w:hint="eastAsia" w:ascii="仿宋" w:hAnsi="仿宋" w:eastAsia="仿宋" w:cs="仿宋"/>
          <w:b w:val="0"/>
          <w:bCs w:val="0"/>
          <w:color w:val="auto"/>
          <w:sz w:val="32"/>
          <w:szCs w:val="32"/>
          <w:highlight w:val="none"/>
        </w:rPr>
        <w:t>提案</w:t>
      </w:r>
      <w:r>
        <w:rPr>
          <w:rFonts w:hint="eastAsia" w:ascii="仿宋" w:hAnsi="仿宋" w:eastAsia="仿宋" w:cs="仿宋"/>
          <w:b w:val="0"/>
          <w:bCs w:val="0"/>
          <w:color w:val="auto"/>
          <w:sz w:val="32"/>
          <w:szCs w:val="32"/>
          <w:highlight w:val="none"/>
          <w:lang w:val="en-US" w:eastAsia="zh-CN"/>
        </w:rPr>
        <w:t>206</w:t>
      </w:r>
      <w:r>
        <w:rPr>
          <w:rFonts w:hint="eastAsia" w:ascii="仿宋" w:hAnsi="仿宋" w:eastAsia="仿宋" w:cs="仿宋"/>
          <w:b w:val="0"/>
          <w:bCs w:val="0"/>
          <w:color w:val="auto"/>
          <w:sz w:val="32"/>
          <w:szCs w:val="32"/>
          <w:highlight w:val="none"/>
        </w:rPr>
        <w:t>件；撰写调研报告</w:t>
      </w:r>
      <w:r>
        <w:rPr>
          <w:rFonts w:hint="eastAsia" w:ascii="仿宋" w:hAnsi="仿宋" w:eastAsia="仿宋" w:cs="仿宋"/>
          <w:b w:val="0"/>
          <w:bCs w:val="0"/>
          <w:color w:val="auto"/>
          <w:sz w:val="32"/>
          <w:szCs w:val="32"/>
          <w:highlight w:val="none"/>
          <w:lang w:val="en-US" w:eastAsia="zh-CN"/>
        </w:rPr>
        <w:t>7</w:t>
      </w:r>
      <w:r>
        <w:rPr>
          <w:rFonts w:hint="eastAsia" w:ascii="仿宋" w:hAnsi="仿宋" w:eastAsia="仿宋" w:cs="仿宋"/>
          <w:b w:val="0"/>
          <w:bCs w:val="0"/>
          <w:color w:val="auto"/>
          <w:sz w:val="32"/>
          <w:szCs w:val="32"/>
          <w:highlight w:val="none"/>
        </w:rPr>
        <w:t>篇，被永州市政协评为年度优秀调研报告1篇；</w:t>
      </w:r>
      <w:r>
        <w:rPr>
          <w:rFonts w:hint="eastAsia" w:ascii="仿宋" w:hAnsi="仿宋" w:eastAsia="仿宋" w:cs="仿宋"/>
          <w:b w:val="0"/>
          <w:bCs w:val="0"/>
          <w:color w:val="auto"/>
          <w:sz w:val="32"/>
          <w:szCs w:val="32"/>
          <w:highlight w:val="none"/>
          <w:lang w:eastAsia="zh-CN"/>
        </w:rPr>
        <w:t>上报</w:t>
      </w:r>
      <w:r>
        <w:rPr>
          <w:rFonts w:hint="eastAsia" w:ascii="仿宋" w:hAnsi="仿宋" w:eastAsia="仿宋" w:cs="仿宋"/>
          <w:b w:val="0"/>
          <w:bCs w:val="0"/>
          <w:color w:val="auto"/>
          <w:sz w:val="32"/>
          <w:szCs w:val="32"/>
          <w:highlight w:val="none"/>
        </w:rPr>
        <w:t>社情民意信息</w:t>
      </w:r>
      <w:r>
        <w:rPr>
          <w:rFonts w:hint="eastAsia" w:ascii="仿宋" w:hAnsi="仿宋" w:eastAsia="仿宋" w:cs="仿宋"/>
          <w:b w:val="0"/>
          <w:bCs w:val="0"/>
          <w:color w:val="auto"/>
          <w:sz w:val="32"/>
          <w:szCs w:val="32"/>
          <w:highlight w:val="none"/>
          <w:lang w:val="en-US" w:eastAsia="zh-CN"/>
        </w:rPr>
        <w:t>69</w:t>
      </w:r>
      <w:r>
        <w:rPr>
          <w:rFonts w:hint="eastAsia" w:ascii="仿宋" w:hAnsi="仿宋" w:eastAsia="仿宋" w:cs="仿宋"/>
          <w:b w:val="0"/>
          <w:bCs w:val="0"/>
          <w:color w:val="auto"/>
          <w:sz w:val="32"/>
          <w:szCs w:val="32"/>
          <w:highlight w:val="none"/>
        </w:rPr>
        <w:t>条</w:t>
      </w:r>
      <w:r>
        <w:rPr>
          <w:rFonts w:hint="eastAsia" w:ascii="仿宋" w:hAnsi="仿宋" w:eastAsia="仿宋" w:cs="仿宋"/>
          <w:b w:val="0"/>
          <w:bCs w:val="0"/>
          <w:color w:val="auto"/>
          <w:sz w:val="32"/>
          <w:szCs w:val="32"/>
          <w:highlight w:val="none"/>
          <w:lang w:eastAsia="zh-CN"/>
        </w:rPr>
        <w:t>，其中向上级政协报送</w:t>
      </w:r>
      <w:r>
        <w:rPr>
          <w:rFonts w:hint="eastAsia" w:ascii="仿宋" w:hAnsi="仿宋" w:eastAsia="仿宋" w:cs="仿宋"/>
          <w:b w:val="0"/>
          <w:bCs w:val="0"/>
          <w:color w:val="auto"/>
          <w:sz w:val="32"/>
          <w:szCs w:val="32"/>
          <w:highlight w:val="none"/>
          <w:lang w:val="en-US" w:eastAsia="zh-CN"/>
        </w:rPr>
        <w:t>30篇，被采编采用4篇</w:t>
      </w:r>
      <w:r>
        <w:rPr>
          <w:rFonts w:hint="eastAsia" w:ascii="仿宋" w:hAnsi="仿宋" w:eastAsia="仿宋" w:cs="仿宋"/>
          <w:b w:val="0"/>
          <w:bCs w:val="0"/>
          <w:color w:val="auto"/>
          <w:sz w:val="32"/>
          <w:szCs w:val="32"/>
          <w:highlight w:val="none"/>
        </w:rPr>
        <w:t>；微建议</w:t>
      </w:r>
      <w:r>
        <w:rPr>
          <w:rFonts w:hint="eastAsia" w:ascii="仿宋" w:hAnsi="仿宋" w:eastAsia="仿宋" w:cs="仿宋"/>
          <w:b w:val="0"/>
          <w:bCs w:val="0"/>
          <w:color w:val="auto"/>
          <w:sz w:val="32"/>
          <w:szCs w:val="32"/>
          <w:highlight w:val="none"/>
          <w:lang w:val="en-US" w:eastAsia="zh-CN"/>
        </w:rPr>
        <w:t>96条</w:t>
      </w:r>
      <w:r>
        <w:rPr>
          <w:rFonts w:hint="eastAsia" w:ascii="仿宋" w:hAnsi="仿宋" w:eastAsia="仿宋" w:cs="仿宋"/>
          <w:b w:val="0"/>
          <w:bCs w:val="0"/>
          <w:color w:val="auto"/>
          <w:sz w:val="32"/>
          <w:szCs w:val="32"/>
          <w:highlight w:val="none"/>
          <w:lang w:eastAsia="zh-CN"/>
        </w:rPr>
        <w:t>和</w:t>
      </w:r>
      <w:r>
        <w:rPr>
          <w:rFonts w:hint="eastAsia" w:ascii="仿宋" w:hAnsi="仿宋" w:eastAsia="仿宋" w:cs="仿宋"/>
          <w:b w:val="0"/>
          <w:bCs w:val="0"/>
          <w:color w:val="auto"/>
          <w:sz w:val="32"/>
          <w:szCs w:val="32"/>
          <w:highlight w:val="none"/>
          <w:lang w:val="en-US" w:eastAsia="zh-CN"/>
        </w:rPr>
        <w:t>10篇大会发言。</w:t>
      </w:r>
      <w:r>
        <w:rPr>
          <w:rFonts w:hint="eastAsia" w:ascii="仿宋" w:hAnsi="仿宋" w:eastAsia="仿宋" w:cs="仿宋"/>
          <w:color w:val="auto"/>
          <w:sz w:val="32"/>
          <w:szCs w:val="32"/>
          <w:highlight w:val="none"/>
          <w:lang w:eastAsia="zh-CN"/>
        </w:rPr>
        <w:t>很好地完成了</w:t>
      </w:r>
      <w:r>
        <w:rPr>
          <w:rFonts w:hint="eastAsia" w:ascii="仿宋" w:hAnsi="仿宋" w:eastAsia="仿宋" w:cs="仿宋"/>
          <w:color w:val="auto"/>
          <w:sz w:val="32"/>
          <w:szCs w:val="32"/>
          <w:highlight w:val="none"/>
          <w:lang w:val="en-US" w:eastAsia="zh-CN"/>
        </w:rPr>
        <w:t>2025年的绩效目标。</w:t>
      </w:r>
    </w:p>
    <w:p w14:paraId="03ACDC6E">
      <w:pPr>
        <w:pStyle w:val="11"/>
        <w:keepNext w:val="0"/>
        <w:keepLines w:val="0"/>
        <w:pageBreakBefore w:val="0"/>
        <w:shd w:val="clea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发现的主要问题及原因</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一是对省、市各项财务制度的学习要进一步加强</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深入研究，融会贯通，进一步</w:t>
      </w:r>
      <w:r>
        <w:rPr>
          <w:rFonts w:hint="eastAsia" w:ascii="仿宋" w:hAnsi="仿宋" w:eastAsia="仿宋" w:cs="仿宋"/>
          <w:color w:val="auto"/>
          <w:sz w:val="32"/>
          <w:szCs w:val="32"/>
          <w:highlight w:val="none"/>
        </w:rPr>
        <w:t>健全</w:t>
      </w:r>
      <w:r>
        <w:rPr>
          <w:rFonts w:hint="eastAsia" w:ascii="仿宋" w:hAnsi="仿宋" w:eastAsia="仿宋" w:cs="仿宋"/>
          <w:color w:val="auto"/>
          <w:sz w:val="32"/>
          <w:szCs w:val="32"/>
          <w:highlight w:val="none"/>
          <w:lang w:eastAsia="zh-CN"/>
        </w:rPr>
        <w:t>完善政协机关</w:t>
      </w:r>
      <w:r>
        <w:rPr>
          <w:rFonts w:hint="eastAsia" w:ascii="仿宋" w:hAnsi="仿宋" w:eastAsia="仿宋" w:cs="仿宋"/>
          <w:color w:val="auto"/>
          <w:sz w:val="32"/>
          <w:szCs w:val="32"/>
          <w:highlight w:val="none"/>
        </w:rPr>
        <w:t>财务制度。</w:t>
      </w:r>
      <w:r>
        <w:rPr>
          <w:rFonts w:hint="eastAsia" w:ascii="仿宋" w:hAnsi="仿宋" w:eastAsia="仿宋" w:cs="仿宋"/>
          <w:color w:val="auto"/>
          <w:sz w:val="32"/>
          <w:szCs w:val="32"/>
          <w:highlight w:val="none"/>
          <w:lang w:eastAsia="zh-CN"/>
        </w:rPr>
        <w:t>二是</w:t>
      </w:r>
      <w:r>
        <w:rPr>
          <w:rFonts w:hint="eastAsia" w:ascii="仿宋" w:hAnsi="仿宋" w:eastAsia="仿宋" w:cs="仿宋"/>
          <w:color w:val="auto"/>
          <w:sz w:val="32"/>
          <w:szCs w:val="32"/>
          <w:highlight w:val="none"/>
        </w:rPr>
        <w:t>对项目开支作进一步的详细规划，严格按计划执行，做到厉行节约。</w:t>
      </w:r>
      <w:r>
        <w:rPr>
          <w:rFonts w:hint="eastAsia" w:ascii="仿宋" w:hAnsi="仿宋" w:eastAsia="仿宋" w:cs="仿宋"/>
          <w:color w:val="auto"/>
          <w:sz w:val="32"/>
          <w:szCs w:val="32"/>
          <w:highlight w:val="none"/>
          <w:lang w:eastAsia="zh-CN"/>
        </w:rPr>
        <w:t>三是</w:t>
      </w:r>
      <w:r>
        <w:rPr>
          <w:rFonts w:hint="eastAsia" w:ascii="仿宋" w:hAnsi="仿宋" w:eastAsia="仿宋" w:cs="仿宋"/>
          <w:color w:val="auto"/>
          <w:sz w:val="32"/>
          <w:szCs w:val="32"/>
          <w:highlight w:val="none"/>
        </w:rPr>
        <w:t>规范基本支出，严格按年初预算标准执行。</w:t>
      </w:r>
    </w:p>
    <w:p w14:paraId="52660993">
      <w:pPr>
        <w:pStyle w:val="11"/>
        <w:keepNext w:val="0"/>
        <w:keepLines w:val="0"/>
        <w:pageBreakBefore w:val="0"/>
        <w:shd w:val="clear"/>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下一步改进措施</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一是</w:t>
      </w:r>
      <w:r>
        <w:rPr>
          <w:rFonts w:hint="eastAsia" w:ascii="仿宋" w:hAnsi="仿宋" w:eastAsia="仿宋" w:cs="仿宋"/>
          <w:b w:val="0"/>
          <w:bCs w:val="0"/>
          <w:color w:val="auto"/>
          <w:sz w:val="32"/>
          <w:szCs w:val="32"/>
          <w:highlight w:val="none"/>
        </w:rPr>
        <w:t>严格执行财务制度</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color w:val="auto"/>
          <w:sz w:val="32"/>
          <w:szCs w:val="32"/>
          <w:highlight w:val="none"/>
        </w:rPr>
        <w:t>机关进一步建立健全</w:t>
      </w:r>
      <w:r>
        <w:rPr>
          <w:rFonts w:hint="eastAsia" w:ascii="仿宋" w:hAnsi="仿宋" w:eastAsia="仿宋" w:cs="仿宋"/>
          <w:color w:val="auto"/>
          <w:sz w:val="32"/>
          <w:szCs w:val="32"/>
          <w:highlight w:val="none"/>
          <w:lang w:eastAsia="zh-CN"/>
        </w:rPr>
        <w:t>政协机关</w:t>
      </w:r>
      <w:r>
        <w:rPr>
          <w:rFonts w:hint="eastAsia" w:ascii="仿宋" w:hAnsi="仿宋" w:eastAsia="仿宋" w:cs="仿宋"/>
          <w:color w:val="auto"/>
          <w:sz w:val="32"/>
          <w:szCs w:val="32"/>
          <w:highlight w:val="none"/>
        </w:rPr>
        <w:t>财务管理制度，办公室、各委室认真对照机关财务管理制度，严格执行并落实。</w:t>
      </w:r>
      <w:r>
        <w:rPr>
          <w:rFonts w:hint="eastAsia" w:ascii="仿宋" w:hAnsi="仿宋" w:eastAsia="仿宋" w:cs="仿宋"/>
          <w:b w:val="0"/>
          <w:bCs w:val="0"/>
          <w:color w:val="auto"/>
          <w:sz w:val="32"/>
          <w:szCs w:val="32"/>
          <w:highlight w:val="none"/>
          <w:lang w:eastAsia="zh-CN"/>
        </w:rPr>
        <w:t>二是</w:t>
      </w:r>
      <w:r>
        <w:rPr>
          <w:rFonts w:hint="eastAsia" w:ascii="仿宋" w:hAnsi="仿宋" w:eastAsia="仿宋" w:cs="仿宋"/>
          <w:b w:val="0"/>
          <w:bCs w:val="0"/>
          <w:color w:val="auto"/>
          <w:sz w:val="32"/>
          <w:szCs w:val="32"/>
          <w:highlight w:val="none"/>
        </w:rPr>
        <w:t>完善财务审批和会审联签制度</w:t>
      </w:r>
      <w:r>
        <w:rPr>
          <w:rFonts w:hint="eastAsia" w:ascii="仿宋" w:hAnsi="仿宋" w:eastAsia="仿宋" w:cs="仿宋"/>
          <w:b/>
          <w:bCs/>
          <w:color w:val="auto"/>
          <w:sz w:val="32"/>
          <w:szCs w:val="32"/>
          <w:highlight w:val="none"/>
        </w:rPr>
        <w:t>。</w:t>
      </w:r>
      <w:r>
        <w:rPr>
          <w:rFonts w:hint="eastAsia" w:ascii="仿宋" w:hAnsi="仿宋" w:eastAsia="仿宋" w:cs="仿宋"/>
          <w:color w:val="auto"/>
          <w:sz w:val="32"/>
          <w:szCs w:val="32"/>
          <w:highlight w:val="none"/>
        </w:rPr>
        <w:t>办公室、各委室严格按照财务审批制度进行报账，并建立好相关台账，各类凭证要真实、规范。财务室需进行认真审核，剔除不合规的发票，对发票及金额进行严格把关。加强财务监督和管理，各类报账发票需经会审联签审核方能</w:t>
      </w:r>
      <w:r>
        <w:rPr>
          <w:rFonts w:hint="eastAsia" w:ascii="仿宋" w:hAnsi="仿宋" w:eastAsia="仿宋" w:cs="仿宋"/>
          <w:color w:val="auto"/>
          <w:sz w:val="32"/>
          <w:szCs w:val="32"/>
          <w:highlight w:val="none"/>
          <w:lang w:eastAsia="zh-CN"/>
        </w:rPr>
        <w:t>付款</w:t>
      </w:r>
      <w:r>
        <w:rPr>
          <w:rFonts w:hint="eastAsia" w:ascii="仿宋" w:hAnsi="仿宋" w:eastAsia="仿宋" w:cs="仿宋"/>
          <w:color w:val="auto"/>
          <w:sz w:val="32"/>
          <w:szCs w:val="32"/>
          <w:highlight w:val="none"/>
        </w:rPr>
        <w:t>。</w:t>
      </w:r>
    </w:p>
    <w:p w14:paraId="53C9926F">
      <w:pPr>
        <w:pStyle w:val="11"/>
        <w:keepNext w:val="0"/>
        <w:keepLines w:val="0"/>
        <w:pageBreakBefore w:val="0"/>
        <w:shd w:val="clear"/>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三是</w:t>
      </w:r>
      <w:r>
        <w:rPr>
          <w:rFonts w:hint="eastAsia" w:ascii="仿宋" w:hAnsi="仿宋" w:eastAsia="仿宋" w:cs="仿宋"/>
          <w:b w:val="0"/>
          <w:bCs w:val="0"/>
          <w:color w:val="auto"/>
          <w:sz w:val="32"/>
          <w:szCs w:val="32"/>
          <w:highlight w:val="none"/>
        </w:rPr>
        <w:t>强化开支计划性，合理安排项目经费。</w:t>
      </w:r>
      <w:r>
        <w:rPr>
          <w:rFonts w:hint="eastAsia" w:ascii="仿宋" w:hAnsi="仿宋" w:eastAsia="仿宋" w:cs="仿宋"/>
          <w:color w:val="auto"/>
          <w:sz w:val="32"/>
          <w:szCs w:val="32"/>
          <w:highlight w:val="none"/>
        </w:rPr>
        <w:t>计划制定后，还必须严格执行，防止前紧后松，保证计划的有效性</w:t>
      </w:r>
    </w:p>
    <w:p w14:paraId="4858E9AC">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lang w:val="en-US" w:eastAsia="zh-CN"/>
        </w:rPr>
        <w:t>（三）</w:t>
      </w:r>
      <w:r>
        <w:rPr>
          <w:rFonts w:hint="eastAsia" w:ascii="楷体" w:hAnsi="楷体" w:eastAsia="楷体" w:cs="楷体"/>
          <w:b/>
          <w:bCs/>
          <w:color w:val="auto"/>
          <w:sz w:val="32"/>
          <w:szCs w:val="32"/>
          <w:highlight w:val="none"/>
        </w:rPr>
        <w:t>评价结果应用情况</w:t>
      </w:r>
    </w:p>
    <w:p w14:paraId="7D9E4DD9">
      <w:pPr>
        <w:pStyle w:val="17"/>
        <w:keepNext w:val="0"/>
        <w:keepLines w:val="0"/>
        <w:pageBreakBefore w:val="0"/>
        <w:numPr>
          <w:ilvl w:val="0"/>
          <w:numId w:val="0"/>
        </w:numPr>
        <w:shd w:val="clear"/>
        <w:kinsoku/>
        <w:wordWrap/>
        <w:overflowPunct/>
        <w:topLinePunct w:val="0"/>
        <w:bidi w:val="0"/>
        <w:spacing w:line="56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）一般公共服务支出（201）政协事务（20102）一般行政管理事务（2010202）</w:t>
      </w:r>
      <w:r>
        <w:rPr>
          <w:rFonts w:hint="eastAsia" w:ascii="仿宋" w:hAnsi="仿宋" w:eastAsia="仿宋" w:cs="仿宋"/>
          <w:color w:val="auto"/>
          <w:sz w:val="32"/>
          <w:szCs w:val="32"/>
          <w:highlight w:val="none"/>
          <w:lang w:eastAsia="zh-CN"/>
        </w:rPr>
        <w:t>主要用于</w:t>
      </w:r>
      <w:r>
        <w:rPr>
          <w:rFonts w:hint="eastAsia" w:ascii="仿宋" w:hAnsi="仿宋" w:eastAsia="仿宋" w:cs="仿宋"/>
          <w:color w:val="auto"/>
          <w:sz w:val="32"/>
          <w:szCs w:val="32"/>
          <w:highlight w:val="none"/>
        </w:rPr>
        <w:t>政协常委履职能力提升培训</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政协常委</w:t>
      </w:r>
      <w:r>
        <w:rPr>
          <w:rFonts w:hint="eastAsia" w:ascii="仿宋" w:hAnsi="仿宋" w:eastAsia="仿宋" w:cs="仿宋"/>
          <w:color w:val="auto"/>
          <w:sz w:val="32"/>
          <w:szCs w:val="32"/>
          <w:highlight w:val="none"/>
          <w:lang w:eastAsia="zh-CN"/>
        </w:rPr>
        <w:t>委员、兼职委员、</w:t>
      </w:r>
      <w:r>
        <w:rPr>
          <w:rFonts w:hint="eastAsia" w:ascii="仿宋" w:hAnsi="仿宋" w:eastAsia="仿宋" w:cs="仿宋"/>
          <w:color w:val="auto"/>
          <w:sz w:val="32"/>
          <w:szCs w:val="32"/>
          <w:highlight w:val="none"/>
        </w:rPr>
        <w:t>政协委员履职</w:t>
      </w:r>
      <w:r>
        <w:rPr>
          <w:rFonts w:hint="eastAsia" w:ascii="仿宋" w:hAnsi="仿宋" w:eastAsia="仿宋" w:cs="仿宋"/>
          <w:color w:val="auto"/>
          <w:sz w:val="32"/>
          <w:szCs w:val="32"/>
          <w:highlight w:val="none"/>
          <w:lang w:eastAsia="zh-CN"/>
        </w:rPr>
        <w:t>调研活动支出。</w:t>
      </w:r>
      <w:r>
        <w:rPr>
          <w:rFonts w:hint="eastAsia" w:ascii="仿宋" w:hAnsi="仿宋" w:eastAsia="仿宋" w:cs="仿宋"/>
          <w:color w:val="auto"/>
          <w:sz w:val="32"/>
          <w:szCs w:val="32"/>
          <w:highlight w:val="none"/>
        </w:rPr>
        <w:t>年初预算为86.3万元，支出决算为</w:t>
      </w:r>
      <w:r>
        <w:rPr>
          <w:rFonts w:hint="eastAsia" w:ascii="仿宋" w:hAnsi="仿宋" w:eastAsia="仿宋" w:cs="仿宋"/>
          <w:color w:val="auto"/>
          <w:sz w:val="32"/>
          <w:szCs w:val="32"/>
          <w:highlight w:val="none"/>
          <w:lang w:val="en-US" w:eastAsia="zh-CN"/>
        </w:rPr>
        <w:t>69.7</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80.76</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w:t>
      </w:r>
    </w:p>
    <w:p w14:paraId="05B27D04">
      <w:pPr>
        <w:pStyle w:val="17"/>
        <w:keepNext w:val="0"/>
        <w:keepLines w:val="0"/>
        <w:pageBreakBefore w:val="0"/>
        <w:shd w:val="clear"/>
        <w:kinsoku/>
        <w:wordWrap/>
        <w:overflowPunct/>
        <w:topLinePunct w:val="0"/>
        <w:bidi w:val="0"/>
        <w:spacing w:line="56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）一般公共服务支出（201）政协事务（20102）政协会议（2010204）</w:t>
      </w:r>
      <w:r>
        <w:rPr>
          <w:rFonts w:hint="eastAsia" w:ascii="仿宋" w:hAnsi="仿宋" w:eastAsia="仿宋" w:cs="仿宋"/>
          <w:color w:val="auto"/>
          <w:sz w:val="32"/>
          <w:szCs w:val="32"/>
          <w:highlight w:val="none"/>
          <w:lang w:eastAsia="zh-CN"/>
        </w:rPr>
        <w:t>主</w:t>
      </w:r>
      <w:r>
        <w:rPr>
          <w:rFonts w:hint="eastAsia" w:ascii="仿宋" w:hAnsi="仿宋" w:eastAsia="仿宋" w:cs="仿宋"/>
          <w:color w:val="auto"/>
          <w:sz w:val="32"/>
          <w:szCs w:val="32"/>
          <w:highlight w:val="none"/>
          <w:shd w:val="clear" w:color="auto" w:fill="FFFFFF"/>
          <w:lang w:eastAsia="zh-CN"/>
        </w:rPr>
        <w:t>要用于召开</w:t>
      </w:r>
      <w:r>
        <w:rPr>
          <w:rFonts w:hint="eastAsia" w:ascii="仿宋" w:hAnsi="仿宋" w:eastAsia="仿宋" w:cs="仿宋"/>
          <w:color w:val="auto"/>
          <w:sz w:val="32"/>
          <w:szCs w:val="32"/>
          <w:highlight w:val="none"/>
        </w:rPr>
        <w:t>包括政协全体会议、常务委员会会议、主席会议、主席办公会议、专题协商会议等会议支出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年初预算为80元，支出决算为</w:t>
      </w:r>
      <w:r>
        <w:rPr>
          <w:rFonts w:hint="eastAsia" w:ascii="仿宋" w:hAnsi="仿宋" w:eastAsia="仿宋" w:cs="仿宋"/>
          <w:color w:val="auto"/>
          <w:sz w:val="32"/>
          <w:szCs w:val="32"/>
          <w:highlight w:val="none"/>
          <w:lang w:val="en-US" w:eastAsia="zh-CN"/>
        </w:rPr>
        <w:t>61.62</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77.03</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p>
    <w:p w14:paraId="49189CDA">
      <w:pPr>
        <w:pStyle w:val="17"/>
        <w:keepNext w:val="0"/>
        <w:keepLines w:val="0"/>
        <w:pageBreakBefore w:val="0"/>
        <w:shd w:val="clear"/>
        <w:kinsoku/>
        <w:wordWrap/>
        <w:overflowPunct/>
        <w:topLinePunct w:val="0"/>
        <w:bidi w:val="0"/>
        <w:spacing w:line="560" w:lineRule="exact"/>
        <w:ind w:left="0" w:leftChars="0"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）一般公共预算财政拨款县委摧进政协工作向基层延伸运转经费</w:t>
      </w:r>
      <w:r>
        <w:rPr>
          <w:rFonts w:hint="eastAsia" w:ascii="仿宋" w:hAnsi="仿宋" w:eastAsia="仿宋" w:cs="仿宋"/>
          <w:color w:val="auto"/>
          <w:sz w:val="32"/>
          <w:szCs w:val="32"/>
          <w:highlight w:val="none"/>
          <w:lang w:val="en-US" w:eastAsia="zh-CN"/>
        </w:rPr>
        <w:t>42万元</w:t>
      </w:r>
      <w:r>
        <w:rPr>
          <w:rFonts w:hint="eastAsia" w:ascii="仿宋" w:hAnsi="仿宋" w:eastAsia="仿宋" w:cs="仿宋"/>
          <w:color w:val="auto"/>
          <w:sz w:val="32"/>
          <w:szCs w:val="32"/>
          <w:highlight w:val="none"/>
        </w:rPr>
        <w:t>，支出决算为</w:t>
      </w:r>
      <w:r>
        <w:rPr>
          <w:rFonts w:hint="eastAsia" w:ascii="仿宋" w:hAnsi="仿宋" w:eastAsia="仿宋" w:cs="仿宋"/>
          <w:color w:val="auto"/>
          <w:sz w:val="32"/>
          <w:szCs w:val="32"/>
          <w:highlight w:val="none"/>
          <w:lang w:val="en-US" w:eastAsia="zh-CN"/>
        </w:rPr>
        <w:t>35.2</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完成年初预算的</w:t>
      </w:r>
      <w:r>
        <w:rPr>
          <w:rFonts w:hint="eastAsia" w:ascii="仿宋" w:hAnsi="仿宋" w:eastAsia="仿宋" w:cs="仿宋"/>
          <w:color w:val="auto"/>
          <w:sz w:val="32"/>
          <w:szCs w:val="32"/>
          <w:highlight w:val="none"/>
          <w:lang w:val="en-US" w:eastAsia="zh-CN"/>
        </w:rPr>
        <w:t>88</w:t>
      </w:r>
      <w:r>
        <w:rPr>
          <w:rFonts w:hint="eastAsia" w:ascii="仿宋" w:hAnsi="仿宋" w:eastAsia="仿宋" w:cs="仿宋"/>
          <w:color w:val="auto"/>
          <w:sz w:val="32"/>
          <w:szCs w:val="32"/>
          <w:highlight w:val="none"/>
        </w:rPr>
        <w:t>%</w:t>
      </w:r>
    </w:p>
    <w:p w14:paraId="2D583E90">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72"/>
          <w:szCs w:val="72"/>
          <w:highlight w:val="none"/>
        </w:rPr>
      </w:pPr>
      <w:r>
        <w:rPr>
          <w:rFonts w:hint="eastAsia" w:ascii="仿宋" w:hAnsi="仿宋" w:eastAsia="仿宋" w:cs="仿宋"/>
          <w:color w:val="auto"/>
          <w:sz w:val="32"/>
          <w:szCs w:val="32"/>
          <w:highlight w:val="none"/>
        </w:rPr>
        <w:t>根据2025年度绩效自评结果、部门评价结果、财政评价结果对本部门2025年度预算安排，支出结构调整，资金管理，制度建设等方面结果运用进行简要说明。</w:t>
      </w:r>
    </w:p>
    <w:p w14:paraId="457DCC9B">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b/>
          <w:bCs/>
          <w:color w:val="auto"/>
          <w:kern w:val="0"/>
          <w:sz w:val="32"/>
          <w:szCs w:val="32"/>
          <w:highlight w:val="none"/>
          <w:lang w:val="en-US" w:eastAsia="zh-CN" w:bidi="ar-SA"/>
        </w:rPr>
        <w:t>一是预算安排方面。</w:t>
      </w:r>
      <w:r>
        <w:rPr>
          <w:rFonts w:hint="eastAsia" w:ascii="仿宋" w:hAnsi="仿宋" w:eastAsia="仿宋" w:cs="仿宋"/>
          <w:color w:val="auto"/>
          <w:sz w:val="32"/>
          <w:szCs w:val="32"/>
          <w:highlight w:val="none"/>
        </w:rPr>
        <w:t>请将绩效结果作为预算安排的重要依据。对绩效优良、产出和效益达标项目，优先保障、足额安排；对绩效评价中发现执行慢、效益偏低的项目，相应压减预算；对低效无效、长期沉淀资金项目，取消或调整，做到"花钱必问效、无效必问责"。</w:t>
      </w:r>
    </w:p>
    <w:p w14:paraId="0E8F1FF5">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b/>
          <w:bCs/>
          <w:color w:val="auto"/>
          <w:kern w:val="0"/>
          <w:sz w:val="32"/>
          <w:szCs w:val="32"/>
          <w:highlight w:val="none"/>
          <w:lang w:val="en-US" w:eastAsia="zh-CN" w:bidi="ar-SA"/>
        </w:rPr>
        <w:t>二是支出结构调整方面</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围绕评价指出的问题，优化支出结构。压减非重点、非刚性支出，集中财力保障核心履职和重点工作任务；向产出效果好、社会效益高的项目倾斜，提高资金使用聚焦度。</w:t>
      </w:r>
    </w:p>
    <w:p w14:paraId="26966EDD">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32"/>
          <w:szCs w:val="32"/>
          <w:highlight w:val="none"/>
        </w:rPr>
      </w:pPr>
      <w:r>
        <w:rPr>
          <w:rFonts w:hint="eastAsia" w:ascii="仿宋" w:hAnsi="仿宋" w:eastAsia="仿宋" w:cs="仿宋"/>
          <w:b/>
          <w:bCs/>
          <w:color w:val="auto"/>
          <w:kern w:val="0"/>
          <w:sz w:val="32"/>
          <w:szCs w:val="32"/>
          <w:highlight w:val="none"/>
          <w:lang w:val="en-US" w:eastAsia="zh-CN" w:bidi="ar-SA"/>
        </w:rPr>
        <w:t>三是资金管理方面。</w:t>
      </w:r>
      <w:r>
        <w:rPr>
          <w:rFonts w:hint="eastAsia" w:ascii="仿宋" w:hAnsi="仿宋" w:eastAsia="仿宋" w:cs="仿宋"/>
          <w:color w:val="auto"/>
          <w:sz w:val="32"/>
          <w:szCs w:val="32"/>
          <w:highlight w:val="none"/>
        </w:rPr>
        <w:t>针对自评和财政评价中反映的资金执行率、拨付进度、使用规范性问题，加强预算执行监控，加快资金拨付；盘活存量资金，减少资金闲置沉淀；严格落实专款专用，规范会计核算。</w:t>
      </w:r>
    </w:p>
    <w:p w14:paraId="452BB71E">
      <w:pPr>
        <w:pStyle w:val="17"/>
        <w:keepNext w:val="0"/>
        <w:keepLines w:val="0"/>
        <w:pageBreakBefore w:val="0"/>
        <w:shd w:val="clear"/>
        <w:kinsoku/>
        <w:overflowPunct w:val="0"/>
        <w:topLinePunct w:val="0"/>
        <w:autoSpaceDE/>
        <w:autoSpaceDN/>
        <w:bidi w:val="0"/>
        <w:spacing w:line="560" w:lineRule="exact"/>
        <w:ind w:left="0" w:leftChars="0" w:firstLine="640" w:firstLineChars="200"/>
        <w:jc w:val="both"/>
        <w:rPr>
          <w:rFonts w:hint="eastAsia" w:ascii="仿宋" w:hAnsi="仿宋" w:eastAsia="仿宋" w:cs="仿宋"/>
          <w:color w:val="auto"/>
          <w:sz w:val="72"/>
          <w:szCs w:val="72"/>
          <w:highlight w:val="none"/>
        </w:rPr>
      </w:pPr>
      <w:r>
        <w:rPr>
          <w:rFonts w:hint="eastAsia" w:ascii="仿宋" w:hAnsi="仿宋" w:eastAsia="仿宋" w:cs="仿宋"/>
          <w:b/>
          <w:bCs/>
          <w:color w:val="auto"/>
          <w:kern w:val="0"/>
          <w:sz w:val="32"/>
          <w:szCs w:val="32"/>
          <w:highlight w:val="none"/>
          <w:lang w:val="en-US" w:eastAsia="zh-CN" w:bidi="ar-SA"/>
        </w:rPr>
        <w:t>四、制度建设方面。</w:t>
      </w:r>
      <w:r>
        <w:rPr>
          <w:rFonts w:hint="eastAsia" w:ascii="仿宋" w:hAnsi="仿宋" w:eastAsia="仿宋" w:cs="仿宋"/>
          <w:color w:val="auto"/>
          <w:sz w:val="32"/>
          <w:szCs w:val="32"/>
          <w:highlight w:val="none"/>
        </w:rPr>
        <w:t>以问题整改为抓手，健全绩效管理制度。完善项目入库评审、绩效目标设置、运行监控、评价结果公开及反馈整改机制，将绩效评价结果纳入内部考核，形成闭环管理。</w:t>
      </w:r>
    </w:p>
    <w:p w14:paraId="260BB09B">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7C920088">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1765341E">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78EC7C14">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78277B6D">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1A989E11">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4CC0B6AA">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35A68F6A">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1A6B5BF4">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5C9263B2">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0CCA4019">
      <w:pPr>
        <w:pStyle w:val="17"/>
        <w:keepNext w:val="0"/>
        <w:keepLines w:val="0"/>
        <w:pageBreakBefore w:val="0"/>
        <w:shd w:val="clear"/>
        <w:kinsoku/>
        <w:topLinePunct w:val="0"/>
        <w:bidi w:val="0"/>
        <w:spacing w:line="560" w:lineRule="exact"/>
        <w:ind w:left="0" w:leftChars="0" w:firstLine="1440" w:firstLineChars="200"/>
        <w:jc w:val="both"/>
        <w:rPr>
          <w:rFonts w:hint="eastAsia" w:ascii="仿宋" w:hAnsi="仿宋" w:eastAsia="仿宋" w:cs="仿宋"/>
          <w:color w:val="auto"/>
          <w:sz w:val="72"/>
          <w:szCs w:val="72"/>
          <w:highlight w:val="none"/>
        </w:rPr>
      </w:pPr>
    </w:p>
    <w:p w14:paraId="64C4297B">
      <w:pPr>
        <w:shd w:val="clear"/>
        <w:rPr>
          <w:rFonts w:hint="eastAsia" w:ascii="仿宋" w:hAnsi="仿宋" w:eastAsia="仿宋" w:cs="仿宋"/>
          <w:color w:val="auto"/>
          <w:sz w:val="52"/>
          <w:szCs w:val="52"/>
          <w:highlight w:val="none"/>
        </w:rPr>
      </w:pPr>
      <w:r>
        <w:rPr>
          <w:rFonts w:hint="eastAsia" w:ascii="仿宋" w:hAnsi="仿宋" w:eastAsia="仿宋" w:cs="仿宋"/>
          <w:color w:val="auto"/>
          <w:sz w:val="52"/>
          <w:szCs w:val="52"/>
          <w:highlight w:val="none"/>
        </w:rPr>
        <w:br w:type="page"/>
      </w:r>
    </w:p>
    <w:p w14:paraId="4EFBC26B">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116F94A5">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1582B06C">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612FD2BC">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258D23E6">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253B8DF2">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5645D221">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3A695FAC">
      <w:pPr>
        <w:pStyle w:val="17"/>
        <w:keepNext w:val="0"/>
        <w:keepLines w:val="0"/>
        <w:pageBreakBefore w:val="0"/>
        <w:shd w:val="clear"/>
        <w:kinsoku/>
        <w:topLinePunct w:val="0"/>
        <w:bidi w:val="0"/>
        <w:spacing w:line="560" w:lineRule="exact"/>
        <w:ind w:left="0" w:leftChars="0" w:firstLine="1040" w:firstLineChars="200"/>
        <w:jc w:val="center"/>
        <w:rPr>
          <w:rFonts w:hint="eastAsia" w:ascii="仿宋" w:hAnsi="仿宋" w:eastAsia="仿宋" w:cs="仿宋"/>
          <w:color w:val="auto"/>
          <w:sz w:val="52"/>
          <w:szCs w:val="52"/>
          <w:highlight w:val="none"/>
        </w:rPr>
      </w:pPr>
    </w:p>
    <w:p w14:paraId="1A15F633">
      <w:pPr>
        <w:pStyle w:val="17"/>
        <w:keepNext w:val="0"/>
        <w:keepLines w:val="0"/>
        <w:pageBreakBefore w:val="0"/>
        <w:widowControl w:val="0"/>
        <w:shd w:val="clear"/>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第四部分    名词解释</w:t>
      </w:r>
    </w:p>
    <w:p w14:paraId="5C6D188B">
      <w:pPr>
        <w:keepNext w:val="0"/>
        <w:keepLines w:val="0"/>
        <w:pageBreakBefore w:val="0"/>
        <w:widowControl/>
        <w:shd w:val="clear"/>
        <w:kinsoku/>
        <w:topLinePunct w:val="0"/>
        <w:bidi w:val="0"/>
        <w:spacing w:line="560" w:lineRule="exact"/>
        <w:ind w:left="0" w:leftChars="0" w:firstLine="640" w:firstLineChars="200"/>
        <w:jc w:val="left"/>
        <w:rPr>
          <w:rFonts w:hint="eastAsia" w:ascii="仿宋" w:hAnsi="仿宋" w:eastAsia="仿宋" w:cs="仿宋"/>
          <w:color w:val="auto"/>
          <w:kern w:val="0"/>
          <w:sz w:val="32"/>
          <w:szCs w:val="32"/>
          <w:highlight w:val="none"/>
        </w:rPr>
      </w:pPr>
    </w:p>
    <w:p w14:paraId="08771797">
      <w:pPr>
        <w:shd w:val="clear"/>
        <w:rPr>
          <w:rFonts w:hint="eastAsia" w:ascii="仿宋" w:hAnsi="仿宋" w:eastAsia="仿宋" w:cs="仿宋"/>
          <w:i w:val="0"/>
          <w:iCs w:val="0"/>
          <w:caps w:val="0"/>
          <w:color w:val="auto"/>
          <w:spacing w:val="0"/>
          <w:sz w:val="32"/>
          <w:szCs w:val="32"/>
          <w:highlight w:val="none"/>
          <w:u w:val="none"/>
          <w:shd w:val="clear" w:color="auto" w:fill="FFFFFF"/>
        </w:rPr>
      </w:pPr>
      <w:r>
        <w:rPr>
          <w:rFonts w:hint="eastAsia" w:ascii="仿宋" w:hAnsi="仿宋" w:eastAsia="仿宋" w:cs="仿宋"/>
          <w:i w:val="0"/>
          <w:iCs w:val="0"/>
          <w:caps w:val="0"/>
          <w:color w:val="auto"/>
          <w:spacing w:val="0"/>
          <w:sz w:val="32"/>
          <w:szCs w:val="32"/>
          <w:highlight w:val="none"/>
          <w:u w:val="none"/>
          <w:shd w:val="clear" w:color="auto" w:fill="FFFFFF"/>
        </w:rPr>
        <w:br w:type="page"/>
      </w:r>
    </w:p>
    <w:p w14:paraId="2E71D9F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jc w:val="left"/>
        <w:rPr>
          <w:rFonts w:hint="eastAsia" w:ascii="黑体" w:hAnsi="黑体" w:eastAsia="黑体" w:cs="黑体"/>
          <w:i w:val="0"/>
          <w:iCs w:val="0"/>
          <w:caps w:val="0"/>
          <w:color w:val="auto"/>
          <w:spacing w:val="0"/>
          <w:sz w:val="32"/>
          <w:szCs w:val="32"/>
          <w:highlight w:val="none"/>
          <w:u w:val="none"/>
        </w:rPr>
      </w:pPr>
      <w:r>
        <w:rPr>
          <w:rFonts w:hint="eastAsia" w:ascii="黑体" w:hAnsi="黑体" w:eastAsia="黑体" w:cs="黑体"/>
          <w:i w:val="0"/>
          <w:iCs w:val="0"/>
          <w:caps w:val="0"/>
          <w:color w:val="auto"/>
          <w:spacing w:val="0"/>
          <w:sz w:val="32"/>
          <w:szCs w:val="32"/>
          <w:highlight w:val="none"/>
          <w:u w:val="none"/>
          <w:shd w:val="clear" w:color="auto" w:fill="FFFFFF"/>
        </w:rPr>
        <w:t>一、收入科目</w:t>
      </w:r>
    </w:p>
    <w:p w14:paraId="3FA128A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1、财政拨款收入：</w:t>
      </w:r>
      <w:r>
        <w:rPr>
          <w:rFonts w:hint="eastAsia" w:ascii="仿宋" w:hAnsi="仿宋" w:eastAsia="仿宋" w:cs="仿宋"/>
          <w:i w:val="0"/>
          <w:iCs w:val="0"/>
          <w:caps w:val="0"/>
          <w:color w:val="auto"/>
          <w:spacing w:val="0"/>
          <w:sz w:val="32"/>
          <w:szCs w:val="32"/>
          <w:highlight w:val="none"/>
          <w:u w:val="none"/>
          <w:shd w:val="clear" w:color="auto" w:fill="FFFFFF"/>
        </w:rPr>
        <w:t>指财政当年拨付的资金。</w:t>
      </w:r>
    </w:p>
    <w:p w14:paraId="6FB1E7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2、事业收入：</w:t>
      </w:r>
      <w:r>
        <w:rPr>
          <w:rFonts w:hint="eastAsia" w:ascii="仿宋" w:hAnsi="仿宋" w:eastAsia="仿宋" w:cs="仿宋"/>
          <w:i w:val="0"/>
          <w:iCs w:val="0"/>
          <w:caps w:val="0"/>
          <w:color w:val="auto"/>
          <w:spacing w:val="0"/>
          <w:sz w:val="32"/>
          <w:szCs w:val="32"/>
          <w:highlight w:val="none"/>
          <w:u w:val="none"/>
          <w:shd w:val="clear" w:color="auto" w:fill="FFFFFF"/>
        </w:rPr>
        <w:t>指事业单位开展专业业务活动及辅助活动取得的收入。</w:t>
      </w:r>
    </w:p>
    <w:p w14:paraId="22304FF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3、经营收入：</w:t>
      </w:r>
      <w:r>
        <w:rPr>
          <w:rFonts w:hint="eastAsia" w:ascii="仿宋" w:hAnsi="仿宋" w:eastAsia="仿宋" w:cs="仿宋"/>
          <w:i w:val="0"/>
          <w:iCs w:val="0"/>
          <w:caps w:val="0"/>
          <w:color w:val="auto"/>
          <w:spacing w:val="0"/>
          <w:sz w:val="32"/>
          <w:szCs w:val="32"/>
          <w:highlight w:val="none"/>
          <w:u w:val="none"/>
          <w:shd w:val="clear" w:color="auto" w:fill="FFFFFF"/>
        </w:rPr>
        <w:t>指事业单位在专业业务活动及其辅助活动之外开展非独立核算经营活动取得的收入。</w:t>
      </w:r>
    </w:p>
    <w:p w14:paraId="7E65C3D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4、其他收入：</w:t>
      </w:r>
      <w:r>
        <w:rPr>
          <w:rFonts w:hint="eastAsia" w:ascii="仿宋" w:hAnsi="仿宋" w:eastAsia="仿宋" w:cs="仿宋"/>
          <w:i w:val="0"/>
          <w:iCs w:val="0"/>
          <w:caps w:val="0"/>
          <w:color w:val="auto"/>
          <w:spacing w:val="0"/>
          <w:sz w:val="32"/>
          <w:szCs w:val="32"/>
          <w:highlight w:val="none"/>
          <w:u w:val="none"/>
          <w:shd w:val="clear" w:color="auto" w:fill="FFFFFF"/>
        </w:rPr>
        <w:t>指除上述“财政拨款收入”、“事业收入”、“经营收入”等以外的收入。</w:t>
      </w:r>
    </w:p>
    <w:p w14:paraId="4E7DA54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5、用事业基金弥补收支差额：</w:t>
      </w:r>
      <w:r>
        <w:rPr>
          <w:rFonts w:hint="eastAsia" w:ascii="仿宋" w:hAnsi="仿宋" w:eastAsia="仿宋" w:cs="仿宋"/>
          <w:i w:val="0"/>
          <w:iCs w:val="0"/>
          <w:caps w:val="0"/>
          <w:color w:val="auto"/>
          <w:spacing w:val="0"/>
          <w:sz w:val="32"/>
          <w:szCs w:val="32"/>
          <w:highlight w:val="none"/>
          <w:u w:val="none"/>
          <w:shd w:val="clear" w:color="auto" w:fill="FFFFFF"/>
        </w:rPr>
        <w:t>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441D890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6、上年结转：</w:t>
      </w:r>
      <w:r>
        <w:rPr>
          <w:rFonts w:hint="eastAsia" w:ascii="仿宋" w:hAnsi="仿宋" w:eastAsia="仿宋" w:cs="仿宋"/>
          <w:i w:val="0"/>
          <w:iCs w:val="0"/>
          <w:caps w:val="0"/>
          <w:color w:val="auto"/>
          <w:spacing w:val="0"/>
          <w:sz w:val="32"/>
          <w:szCs w:val="32"/>
          <w:highlight w:val="none"/>
          <w:u w:val="none"/>
          <w:shd w:val="clear" w:color="auto" w:fill="FFFFFF"/>
        </w:rPr>
        <w:t>指以前年尚未完成、结转到本年按有关规定继续使用的资金。</w:t>
      </w:r>
    </w:p>
    <w:p w14:paraId="322DC2E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jc w:val="left"/>
        <w:rPr>
          <w:rFonts w:hint="eastAsia" w:ascii="黑体" w:hAnsi="黑体" w:eastAsia="黑体" w:cs="黑体"/>
          <w:i w:val="0"/>
          <w:iCs w:val="0"/>
          <w:caps w:val="0"/>
          <w:color w:val="auto"/>
          <w:spacing w:val="0"/>
          <w:sz w:val="32"/>
          <w:szCs w:val="32"/>
          <w:highlight w:val="none"/>
          <w:u w:val="none"/>
          <w:shd w:val="clear" w:color="auto" w:fill="FFFFFF"/>
        </w:rPr>
      </w:pPr>
      <w:r>
        <w:rPr>
          <w:rFonts w:hint="eastAsia" w:ascii="黑体" w:hAnsi="黑体" w:eastAsia="黑体" w:cs="黑体"/>
          <w:i w:val="0"/>
          <w:iCs w:val="0"/>
          <w:caps w:val="0"/>
          <w:color w:val="auto"/>
          <w:spacing w:val="0"/>
          <w:sz w:val="32"/>
          <w:szCs w:val="32"/>
          <w:highlight w:val="none"/>
          <w:u w:val="none"/>
          <w:shd w:val="clear" w:color="auto" w:fill="FFFFFF"/>
        </w:rPr>
        <w:t>二、支出科目</w:t>
      </w:r>
    </w:p>
    <w:p w14:paraId="037FC11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1、基本支出：</w:t>
      </w:r>
      <w:r>
        <w:rPr>
          <w:rFonts w:hint="eastAsia" w:ascii="仿宋" w:hAnsi="仿宋" w:eastAsia="仿宋" w:cs="仿宋"/>
          <w:i w:val="0"/>
          <w:iCs w:val="0"/>
          <w:caps w:val="0"/>
          <w:color w:val="auto"/>
          <w:spacing w:val="0"/>
          <w:sz w:val="32"/>
          <w:szCs w:val="32"/>
          <w:highlight w:val="none"/>
          <w:u w:val="none"/>
          <w:shd w:val="clear" w:color="auto" w:fill="FFFFFF"/>
        </w:rPr>
        <w:t>是为保障其机构正常运转、完成日常工作任务而发生的人员支出和公用支出。</w:t>
      </w:r>
    </w:p>
    <w:p w14:paraId="7D9FE70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2、项目支出：</w:t>
      </w:r>
      <w:r>
        <w:rPr>
          <w:rFonts w:hint="eastAsia" w:ascii="仿宋" w:hAnsi="仿宋" w:eastAsia="仿宋" w:cs="仿宋"/>
          <w:i w:val="0"/>
          <w:iCs w:val="0"/>
          <w:caps w:val="0"/>
          <w:color w:val="auto"/>
          <w:spacing w:val="0"/>
          <w:sz w:val="32"/>
          <w:szCs w:val="32"/>
          <w:highlight w:val="none"/>
          <w:u w:val="none"/>
          <w:shd w:val="clear" w:color="auto" w:fill="FFFFFF"/>
        </w:rPr>
        <w:t>是指在基本支出之外完成特定行政任务和事业发展目标所发生的支出。</w:t>
      </w:r>
    </w:p>
    <w:p w14:paraId="58BE824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3、工资福利支出：</w:t>
      </w:r>
      <w:r>
        <w:rPr>
          <w:rFonts w:hint="eastAsia" w:ascii="仿宋" w:hAnsi="仿宋" w:eastAsia="仿宋" w:cs="仿宋"/>
          <w:i w:val="0"/>
          <w:iCs w:val="0"/>
          <w:caps w:val="0"/>
          <w:color w:val="auto"/>
          <w:spacing w:val="0"/>
          <w:sz w:val="32"/>
          <w:szCs w:val="32"/>
          <w:highlight w:val="none"/>
          <w:u w:val="none"/>
          <w:shd w:val="clear" w:color="auto" w:fill="FFFFFF"/>
        </w:rPr>
        <w:t>反映单位开支的在职职工和编制外长期聘用人员的各类劳动报酬，以及为上述人员缴纳的各项社会保险费等。</w:t>
      </w:r>
    </w:p>
    <w:p w14:paraId="4E67E50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4、商品和服务支出：</w:t>
      </w:r>
      <w:r>
        <w:rPr>
          <w:rFonts w:hint="eastAsia" w:ascii="仿宋" w:hAnsi="仿宋" w:eastAsia="仿宋" w:cs="仿宋"/>
          <w:i w:val="0"/>
          <w:iCs w:val="0"/>
          <w:caps w:val="0"/>
          <w:color w:val="auto"/>
          <w:spacing w:val="0"/>
          <w:sz w:val="32"/>
          <w:szCs w:val="32"/>
          <w:highlight w:val="none"/>
          <w:u w:val="none"/>
          <w:shd w:val="clear" w:color="auto" w:fill="FFFFFF"/>
        </w:rPr>
        <w:t>反映单位购买商品和服务的支出。</w:t>
      </w:r>
    </w:p>
    <w:p w14:paraId="33EFC0F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i w:val="0"/>
          <w:iCs w:val="0"/>
          <w:caps w:val="0"/>
          <w:color w:val="auto"/>
          <w:spacing w:val="0"/>
          <w:sz w:val="32"/>
          <w:szCs w:val="32"/>
          <w:highlight w:val="none"/>
          <w:u w:val="none"/>
          <w:shd w:val="clear" w:color="auto" w:fill="FFFFFF"/>
        </w:rPr>
        <w:t>5、对个人和家庭的补助：反映单位用于对个人和家庭的补助支出。</w:t>
      </w:r>
    </w:p>
    <w:p w14:paraId="3B1D74E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jc w:val="left"/>
        <w:rPr>
          <w:rFonts w:hint="eastAsia" w:ascii="黑体" w:hAnsi="黑体" w:eastAsia="黑体" w:cs="黑体"/>
          <w:i w:val="0"/>
          <w:iCs w:val="0"/>
          <w:caps w:val="0"/>
          <w:color w:val="auto"/>
          <w:spacing w:val="0"/>
          <w:sz w:val="32"/>
          <w:szCs w:val="32"/>
          <w:highlight w:val="none"/>
          <w:u w:val="none"/>
          <w:shd w:val="clear" w:color="auto" w:fill="FFFFFF"/>
        </w:rPr>
      </w:pPr>
      <w:r>
        <w:rPr>
          <w:rFonts w:hint="eastAsia" w:ascii="黑体" w:hAnsi="黑体" w:eastAsia="黑体" w:cs="黑体"/>
          <w:i w:val="0"/>
          <w:iCs w:val="0"/>
          <w:caps w:val="0"/>
          <w:color w:val="auto"/>
          <w:spacing w:val="0"/>
          <w:sz w:val="32"/>
          <w:szCs w:val="32"/>
          <w:highlight w:val="none"/>
          <w:u w:val="none"/>
          <w:shd w:val="clear" w:color="auto" w:fill="FFFFFF"/>
        </w:rPr>
        <w:t>三、机关运行经费</w:t>
      </w:r>
    </w:p>
    <w:p w14:paraId="58038BB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jc w:val="both"/>
        <w:rPr>
          <w:rFonts w:hint="eastAsia" w:ascii="仿宋" w:hAnsi="仿宋" w:eastAsia="仿宋" w:cs="仿宋"/>
          <w:i w:val="0"/>
          <w:iCs w:val="0"/>
          <w:caps w:val="0"/>
          <w:color w:val="auto"/>
          <w:spacing w:val="0"/>
          <w:sz w:val="21"/>
          <w:szCs w:val="21"/>
          <w:highlight w:val="none"/>
          <w:u w:val="none"/>
        </w:rPr>
      </w:pPr>
      <w:r>
        <w:rPr>
          <w:rFonts w:hint="eastAsia" w:ascii="仿宋" w:hAnsi="仿宋" w:eastAsia="仿宋" w:cs="仿宋"/>
          <w:i w:val="0"/>
          <w:iCs w:val="0"/>
          <w:caps w:val="0"/>
          <w:color w:val="auto"/>
          <w:spacing w:val="0"/>
          <w:sz w:val="32"/>
          <w:szCs w:val="32"/>
          <w:highlight w:val="none"/>
          <w:u w:val="none"/>
          <w:shd w:val="clear" w:color="auto" w:fill="FFFFFF"/>
        </w:rPr>
        <w:t>是指各部门的公用经费，包括办公费、印刷费、邮电费、差旅费、会议费、福利费、日常维修费、专用材料及一般设备购置费、办公用房水电费、办公用房取暖费、办公用房物业管理费、公务用车运行维护费以及其他费用。</w:t>
      </w:r>
    </w:p>
    <w:p w14:paraId="4B16796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jc w:val="left"/>
        <w:rPr>
          <w:rFonts w:hint="eastAsia" w:ascii="黑体" w:hAnsi="黑体" w:eastAsia="黑体" w:cs="黑体"/>
          <w:i w:val="0"/>
          <w:iCs w:val="0"/>
          <w:caps w:val="0"/>
          <w:color w:val="auto"/>
          <w:spacing w:val="0"/>
          <w:sz w:val="32"/>
          <w:szCs w:val="32"/>
          <w:highlight w:val="none"/>
          <w:u w:val="none"/>
          <w:shd w:val="clear" w:color="auto" w:fill="FFFFFF"/>
        </w:rPr>
      </w:pPr>
      <w:r>
        <w:rPr>
          <w:rFonts w:hint="eastAsia" w:ascii="黑体" w:hAnsi="黑体" w:eastAsia="黑体" w:cs="黑体"/>
          <w:i w:val="0"/>
          <w:iCs w:val="0"/>
          <w:caps w:val="0"/>
          <w:color w:val="auto"/>
          <w:spacing w:val="0"/>
          <w:sz w:val="32"/>
          <w:szCs w:val="32"/>
          <w:highlight w:val="none"/>
          <w:u w:val="none"/>
          <w:shd w:val="clear" w:color="auto" w:fill="FFFFFF"/>
        </w:rPr>
        <w:t>四、“三公”经费科目</w:t>
      </w:r>
    </w:p>
    <w:p w14:paraId="2755DF4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1、因公出国（境）费用：</w:t>
      </w:r>
      <w:r>
        <w:rPr>
          <w:rFonts w:hint="eastAsia" w:ascii="仿宋" w:hAnsi="仿宋" w:eastAsia="仿宋" w:cs="仿宋"/>
          <w:i w:val="0"/>
          <w:iCs w:val="0"/>
          <w:caps w:val="0"/>
          <w:color w:val="auto"/>
          <w:spacing w:val="0"/>
          <w:sz w:val="32"/>
          <w:szCs w:val="32"/>
          <w:highlight w:val="none"/>
          <w:u w:val="none"/>
          <w:shd w:val="clear" w:color="auto" w:fill="FFFFFF"/>
        </w:rPr>
        <w:t>反映单位公务出国（境）的国际旅费、国内城市间交通费、住宿费、伙食费、培训费、公杂费等支出。</w:t>
      </w:r>
    </w:p>
    <w:p w14:paraId="3DEE38A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2、公务接待费：</w:t>
      </w:r>
      <w:r>
        <w:rPr>
          <w:rFonts w:hint="eastAsia" w:ascii="仿宋" w:hAnsi="仿宋" w:eastAsia="仿宋" w:cs="仿宋"/>
          <w:i w:val="0"/>
          <w:iCs w:val="0"/>
          <w:caps w:val="0"/>
          <w:color w:val="auto"/>
          <w:spacing w:val="0"/>
          <w:sz w:val="32"/>
          <w:szCs w:val="32"/>
          <w:highlight w:val="none"/>
          <w:u w:val="none"/>
          <w:shd w:val="clear" w:color="auto" w:fill="FFFFFF"/>
        </w:rPr>
        <w:t>反映单位按规定开支的各类公务接待（含外宾接待）费用。</w:t>
      </w:r>
    </w:p>
    <w:p w14:paraId="1D039D9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topLinePunct w:val="0"/>
        <w:bidi w:val="0"/>
        <w:spacing w:beforeAutospacing="0" w:afterAutospacing="0" w:line="560" w:lineRule="exact"/>
        <w:ind w:left="0" w:leftChars="0" w:right="0" w:firstLine="640" w:firstLineChars="200"/>
        <w:rPr>
          <w:rFonts w:hint="eastAsia" w:ascii="仿宋" w:hAnsi="仿宋" w:eastAsia="仿宋" w:cs="仿宋"/>
          <w:i w:val="0"/>
          <w:iCs w:val="0"/>
          <w:caps w:val="0"/>
          <w:color w:val="auto"/>
          <w:spacing w:val="0"/>
          <w:sz w:val="24"/>
          <w:szCs w:val="24"/>
          <w:highlight w:val="none"/>
          <w:u w:val="none"/>
        </w:rPr>
      </w:pPr>
      <w:r>
        <w:rPr>
          <w:rFonts w:hint="eastAsia" w:ascii="仿宋" w:hAnsi="仿宋" w:eastAsia="仿宋" w:cs="仿宋"/>
          <w:b/>
          <w:bCs/>
          <w:i w:val="0"/>
          <w:iCs w:val="0"/>
          <w:caps w:val="0"/>
          <w:color w:val="auto"/>
          <w:spacing w:val="0"/>
          <w:sz w:val="32"/>
          <w:szCs w:val="32"/>
          <w:highlight w:val="none"/>
          <w:u w:val="none"/>
          <w:shd w:val="clear" w:color="auto" w:fill="FFFFFF"/>
        </w:rPr>
        <w:t>3、公务用车购置及运行维护费：</w:t>
      </w:r>
      <w:r>
        <w:rPr>
          <w:rFonts w:hint="eastAsia" w:ascii="仿宋" w:hAnsi="仿宋" w:eastAsia="仿宋" w:cs="仿宋"/>
          <w:i w:val="0"/>
          <w:iCs w:val="0"/>
          <w:caps w:val="0"/>
          <w:color w:val="auto"/>
          <w:spacing w:val="0"/>
          <w:sz w:val="32"/>
          <w:szCs w:val="32"/>
          <w:highlight w:val="none"/>
          <w:u w:val="none"/>
          <w:shd w:val="clear" w:color="auto" w:fill="FFFFFF"/>
        </w:rPr>
        <w:t>反映单位公务用车车辆购置支出（含车辆购置税），以及燃料费、维修费、过路过桥费、保险费等支出。</w:t>
      </w:r>
    </w:p>
    <w:p w14:paraId="2C88603F">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77F355CB">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5466F24D">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3C194DCC">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6C082A79">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5FBF87C7">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18983894">
      <w:pPr>
        <w:pStyle w:val="17"/>
        <w:keepNext w:val="0"/>
        <w:keepLines w:val="0"/>
        <w:pageBreakBefore w:val="0"/>
        <w:shd w:val="clear"/>
        <w:kinsoku/>
        <w:topLinePunct w:val="0"/>
        <w:bidi w:val="0"/>
        <w:spacing w:line="560" w:lineRule="exact"/>
        <w:ind w:left="0" w:leftChars="0" w:firstLine="1440" w:firstLineChars="200"/>
        <w:jc w:val="center"/>
        <w:rPr>
          <w:rFonts w:hint="eastAsia" w:ascii="仿宋" w:hAnsi="仿宋" w:eastAsia="仿宋" w:cs="仿宋"/>
          <w:color w:val="auto"/>
          <w:sz w:val="72"/>
          <w:szCs w:val="72"/>
          <w:highlight w:val="none"/>
        </w:rPr>
      </w:pPr>
    </w:p>
    <w:p w14:paraId="4CC9C31D">
      <w:pPr>
        <w:pStyle w:val="17"/>
        <w:keepNext w:val="0"/>
        <w:keepLines w:val="0"/>
        <w:pageBreakBefore w:val="0"/>
        <w:shd w:val="clear"/>
        <w:kinsoku/>
        <w:topLinePunct w:val="0"/>
        <w:bidi w:val="0"/>
        <w:spacing w:line="560" w:lineRule="exact"/>
        <w:ind w:left="0" w:leftChars="0" w:firstLine="1440" w:firstLineChars="200"/>
        <w:jc w:val="both"/>
        <w:rPr>
          <w:rFonts w:hint="eastAsia" w:ascii="仿宋" w:hAnsi="仿宋" w:eastAsia="仿宋" w:cs="仿宋"/>
          <w:color w:val="auto"/>
          <w:sz w:val="72"/>
          <w:szCs w:val="72"/>
          <w:highlight w:val="none"/>
        </w:rPr>
      </w:pPr>
    </w:p>
    <w:p w14:paraId="7B0BC4D9">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52"/>
          <w:szCs w:val="52"/>
          <w:highlight w:val="none"/>
        </w:rPr>
      </w:pPr>
    </w:p>
    <w:p w14:paraId="58A10289">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52"/>
          <w:szCs w:val="52"/>
          <w:highlight w:val="none"/>
        </w:rPr>
      </w:pPr>
    </w:p>
    <w:p w14:paraId="7120C404">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72"/>
          <w:szCs w:val="72"/>
          <w:highlight w:val="none"/>
          <w:lang w:val="en-US" w:eastAsia="zh-CN" w:bidi="ar-SA"/>
        </w:rPr>
      </w:pPr>
    </w:p>
    <w:p w14:paraId="393FD66E">
      <w:pPr>
        <w:pStyle w:val="2"/>
        <w:shd w:val="clear"/>
        <w:rPr>
          <w:rFonts w:hint="eastAsia"/>
          <w:color w:val="auto"/>
          <w:highlight w:val="none"/>
          <w:lang w:val="en-US" w:eastAsia="zh-CN"/>
        </w:rPr>
      </w:pPr>
    </w:p>
    <w:p w14:paraId="1ADEC8A0">
      <w:pPr>
        <w:keepNext w:val="0"/>
        <w:keepLines w:val="0"/>
        <w:pageBreakBefore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color w:val="auto"/>
          <w:kern w:val="0"/>
          <w:sz w:val="72"/>
          <w:szCs w:val="72"/>
          <w:highlight w:val="none"/>
          <w:lang w:val="en-US" w:eastAsia="zh-CN" w:bidi="ar-SA"/>
        </w:rPr>
      </w:pPr>
      <w:r>
        <w:rPr>
          <w:rFonts w:hint="eastAsia" w:ascii="仿宋" w:hAnsi="仿宋" w:eastAsia="仿宋" w:cs="仿宋"/>
          <w:b/>
          <w:bCs/>
          <w:color w:val="auto"/>
          <w:kern w:val="0"/>
          <w:sz w:val="72"/>
          <w:szCs w:val="72"/>
          <w:highlight w:val="none"/>
          <w:lang w:val="en-US" w:eastAsia="zh-CN" w:bidi="ar-SA"/>
        </w:rPr>
        <w:t>第五部分   附 件</w:t>
      </w:r>
    </w:p>
    <w:p w14:paraId="5352414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b/>
          <w:bCs/>
          <w:color w:val="auto"/>
          <w:kern w:val="0"/>
          <w:sz w:val="72"/>
          <w:szCs w:val="72"/>
          <w:highlight w:val="none"/>
          <w:lang w:val="en-US" w:eastAsia="zh-CN" w:bidi="ar-SA"/>
        </w:rPr>
      </w:pPr>
    </w:p>
    <w:p w14:paraId="4A1BFCA6">
      <w:pPr>
        <w:pStyle w:val="11"/>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left="0" w:leftChars="0" w:right="0" w:firstLine="0" w:firstLineChars="0"/>
        <w:jc w:val="center"/>
        <w:textAlignment w:val="auto"/>
        <w:rPr>
          <w:rFonts w:hint="eastAsia" w:ascii="仿宋" w:hAnsi="仿宋" w:eastAsia="仿宋" w:cs="仿宋"/>
          <w:b/>
          <w:bCs/>
          <w:color w:val="auto"/>
          <w:kern w:val="0"/>
          <w:sz w:val="72"/>
          <w:szCs w:val="72"/>
          <w:highlight w:val="none"/>
          <w:lang w:val="en-US" w:eastAsia="zh-CN" w:bidi="ar-SA"/>
        </w:rPr>
      </w:pPr>
      <w:r>
        <w:rPr>
          <w:rFonts w:hint="eastAsia" w:ascii="仿宋" w:hAnsi="仿宋" w:eastAsia="仿宋" w:cs="仿宋"/>
          <w:b/>
          <w:bCs/>
          <w:color w:val="auto"/>
          <w:kern w:val="0"/>
          <w:sz w:val="72"/>
          <w:szCs w:val="72"/>
          <w:highlight w:val="none"/>
          <w:lang w:val="en-US" w:eastAsia="zh-CN" w:bidi="ar-SA"/>
        </w:rPr>
        <w:t>2025年度祁阳市政协办部门(单位)整体支出绩效</w:t>
      </w:r>
    </w:p>
    <w:p w14:paraId="316A8599">
      <w:pPr>
        <w:pStyle w:val="11"/>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left="0" w:leftChars="0" w:right="0" w:firstLine="0" w:firstLineChars="0"/>
        <w:jc w:val="center"/>
        <w:textAlignment w:val="auto"/>
        <w:rPr>
          <w:rFonts w:hint="eastAsia" w:ascii="仿宋" w:hAnsi="仿宋" w:eastAsia="仿宋" w:cs="仿宋"/>
          <w:b/>
          <w:bCs/>
          <w:color w:val="auto"/>
          <w:kern w:val="0"/>
          <w:sz w:val="72"/>
          <w:szCs w:val="72"/>
          <w:highlight w:val="none"/>
          <w:lang w:val="en-US" w:eastAsia="zh-CN" w:bidi="ar-SA"/>
        </w:rPr>
      </w:pPr>
      <w:r>
        <w:rPr>
          <w:rFonts w:hint="eastAsia" w:ascii="仿宋" w:hAnsi="仿宋" w:eastAsia="仿宋" w:cs="仿宋"/>
          <w:b/>
          <w:bCs/>
          <w:color w:val="auto"/>
          <w:kern w:val="0"/>
          <w:sz w:val="72"/>
          <w:szCs w:val="72"/>
          <w:highlight w:val="none"/>
          <w:lang w:val="en-US" w:eastAsia="zh-CN" w:bidi="ar-SA"/>
        </w:rPr>
        <w:t>自评报告</w:t>
      </w:r>
    </w:p>
    <w:p w14:paraId="6A71EF8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03C58A2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7CAB9A2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30AF30C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7CFE196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202FCA8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09187AA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277F077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3554F52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color w:val="auto"/>
          <w:sz w:val="32"/>
          <w:szCs w:val="32"/>
          <w:highlight w:val="none"/>
          <w:lang w:eastAsia="zh-CN"/>
        </w:rPr>
      </w:pPr>
    </w:p>
    <w:p w14:paraId="62BDA837">
      <w:pPr>
        <w:shd w:val="clear"/>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br w:type="page"/>
      </w:r>
    </w:p>
    <w:p w14:paraId="09CF3FA1">
      <w:pPr>
        <w:keepNext w:val="0"/>
        <w:keepLines w:val="0"/>
        <w:pageBreakBefore w:val="0"/>
        <w:widowControl w:val="0"/>
        <w:numPr>
          <w:ilvl w:val="0"/>
          <w:numId w:val="0"/>
        </w:numPr>
        <w:shd w:val="clea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lang w:eastAsia="zh-CN"/>
        </w:rPr>
        <w:t>一、</w:t>
      </w:r>
      <w:r>
        <w:rPr>
          <w:rFonts w:hint="eastAsia" w:ascii="黑体" w:hAnsi="黑体" w:eastAsia="黑体" w:cs="黑体"/>
          <w:b w:val="0"/>
          <w:bCs w:val="0"/>
          <w:color w:val="auto"/>
          <w:sz w:val="32"/>
          <w:szCs w:val="32"/>
          <w:highlight w:val="none"/>
        </w:rPr>
        <w:t>部门（单位）基本情况</w:t>
      </w:r>
    </w:p>
    <w:p w14:paraId="5A12BFD9">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楷体" w:hAnsi="楷体" w:eastAsia="楷体" w:cs="楷体"/>
          <w:b/>
          <w:bCs/>
          <w:color w:val="auto"/>
          <w:sz w:val="32"/>
          <w:szCs w:val="32"/>
          <w:highlight w:val="none"/>
          <w:lang w:eastAsia="zh-CN"/>
        </w:rPr>
      </w:pPr>
      <w:r>
        <w:rPr>
          <w:rFonts w:hint="eastAsia" w:ascii="楷体" w:hAnsi="楷体" w:eastAsia="楷体" w:cs="楷体"/>
          <w:b/>
          <w:bCs/>
          <w:color w:val="auto"/>
          <w:sz w:val="32"/>
          <w:szCs w:val="32"/>
          <w:highlight w:val="none"/>
          <w:lang w:eastAsia="zh-CN"/>
        </w:rPr>
        <w:t>（一）部门职能职责</w:t>
      </w:r>
    </w:p>
    <w:p w14:paraId="4692C909">
      <w:pPr>
        <w:keepNext w:val="0"/>
        <w:keepLines w:val="0"/>
        <w:pageBreakBefore w:val="0"/>
        <w:shd w:val="clear"/>
        <w:kinsoku/>
        <w:wordWrap/>
        <w:overflowPunct/>
        <w:topLinePunct w:val="0"/>
        <w:bidi w:val="0"/>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kern w:val="0"/>
          <w:sz w:val="32"/>
          <w:szCs w:val="32"/>
          <w:highlight w:val="none"/>
          <w:shd w:val="clear" w:color="auto" w:fill="FFFFFF"/>
          <w:lang w:val="en-US" w:eastAsia="zh-CN" w:bidi="ar"/>
        </w:rPr>
      </w:pPr>
      <w:r>
        <w:rPr>
          <w:rFonts w:hint="eastAsia" w:ascii="仿宋" w:hAnsi="仿宋" w:eastAsia="仿宋" w:cs="仿宋"/>
          <w:b w:val="0"/>
          <w:bCs w:val="0"/>
          <w:color w:val="auto"/>
          <w:kern w:val="0"/>
          <w:sz w:val="32"/>
          <w:szCs w:val="32"/>
          <w:highlight w:val="none"/>
          <w:shd w:val="clear" w:color="auto" w:fill="FFFFFF"/>
          <w:lang w:val="en-US" w:eastAsia="zh-CN" w:bidi="ar"/>
        </w:rPr>
        <w:t xml:space="preserve"> 祁阳市政协办公室是政协祁阳市委员会的工作机构，承担为祁阳市政协履行政治协商、民主监督、参政议政职能服务的各项工作。</w:t>
      </w:r>
    </w:p>
    <w:p w14:paraId="38A52706">
      <w:pPr>
        <w:keepNext w:val="0"/>
        <w:keepLines w:val="0"/>
        <w:pageBreakBefore w:val="0"/>
        <w:shd w:val="clear"/>
        <w:kinsoku/>
        <w:wordWrap/>
        <w:overflowPunct/>
        <w:topLinePunct w:val="0"/>
        <w:bidi w:val="0"/>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shd w:val="clear" w:color="auto" w:fill="FFFFFF"/>
        </w:rPr>
        <w:t> 1、负责市政协全体会议、常务委员会议、主席会议、主席办公会议、常务委员专题会议和专门委员会的会务工作，负责上述会议所形成的决议、决定、建议案的组织实施。　　　</w:t>
      </w:r>
    </w:p>
    <w:p w14:paraId="4F0B370E">
      <w:pPr>
        <w:pStyle w:val="11"/>
        <w:keepNext w:val="0"/>
        <w:keepLines w:val="0"/>
        <w:pageBreakBefore w:val="0"/>
        <w:widowControl/>
        <w:shd w:val="clear" w:color="auto"/>
        <w:kinsoku/>
        <w:wordWrap/>
        <w:overflowPunct/>
        <w:topLinePunct w:val="0"/>
        <w:autoSpaceDE/>
        <w:autoSpaceDN/>
        <w:bidi w:val="0"/>
        <w:adjustRightInd/>
        <w:snapToGrid/>
        <w:spacing w:beforeAutospacing="0" w:afterAutospacing="0"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shd w:val="clear" w:color="auto" w:fill="FFFFFF"/>
        </w:rPr>
        <w:t>2、协调市政协各专门委员会的工作，充分发挥市政协委员的作用，履行好政治协商、民主监督、参政议政的基本职责。　　</w:t>
      </w:r>
    </w:p>
    <w:p w14:paraId="53143976">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shd w:val="clear" w:color="auto" w:fill="FFFFFF"/>
        </w:rPr>
      </w:pPr>
      <w:r>
        <w:rPr>
          <w:rFonts w:hint="eastAsia" w:ascii="仿宋" w:hAnsi="仿宋" w:eastAsia="仿宋" w:cs="仿宋"/>
          <w:b w:val="0"/>
          <w:bCs w:val="0"/>
          <w:color w:val="auto"/>
          <w:sz w:val="32"/>
          <w:szCs w:val="32"/>
          <w:highlight w:val="none"/>
          <w:shd w:val="clear" w:color="auto" w:fill="FFFFFF"/>
        </w:rPr>
        <w:t>3、负责市政协委员进行视察、参观、调查、座谈、学习、研讨等日常活动的服务和具体组织工作。</w:t>
      </w:r>
    </w:p>
    <w:p w14:paraId="02D13900">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4、研究统一战线和人民政协的理论、政策，调查研究地方政协的共同性问题及其解决办法。</w:t>
      </w:r>
    </w:p>
    <w:p w14:paraId="7D521970">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5、宣传人民政协的方针政策、工作业绩、经验及政协委员的先进事迹，收集和反映市政协委员和各界人士的意见和建议，综合反映社情民意。</w:t>
      </w:r>
    </w:p>
    <w:p w14:paraId="53938A14">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6、联系工商联、各人民团体和无党派人士。联系市直各部门，互通信息，协调工作。</w:t>
      </w:r>
    </w:p>
    <w:p w14:paraId="17879801">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7、负责“政协云”平台运行、管理和维护工作。</w:t>
      </w:r>
    </w:p>
    <w:p w14:paraId="1D986537">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8、负责市政协开展各项活动的有关后勤服务管理工作和市政协机关行政事务管理工作。</w:t>
      </w:r>
    </w:p>
    <w:p w14:paraId="7B6D3829">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9、负责权限范围内人事任免。</w:t>
      </w:r>
    </w:p>
    <w:p w14:paraId="024C956C">
      <w:pPr>
        <w:keepNext w:val="0"/>
        <w:keepLines w:val="0"/>
        <w:pageBreakBefore w:val="0"/>
        <w:shd w:val="clear"/>
        <w:kinsoku/>
        <w:wordWrap/>
        <w:overflowPunct/>
        <w:topLinePunct w:val="0"/>
        <w:autoSpaceDE/>
        <w:autoSpaceDN/>
        <w:bidi w:val="0"/>
        <w:adjustRightInd/>
        <w:snapToGrid/>
        <w:spacing w:line="580" w:lineRule="exact"/>
        <w:ind w:left="0" w:leftChars="0" w:right="0" w:rightChars="0" w:firstLine="596" w:firstLineChars="200"/>
        <w:textAlignment w:val="auto"/>
        <w:outlineLvl w:val="9"/>
        <w:rPr>
          <w:rFonts w:hint="eastAsia" w:ascii="仿宋" w:hAnsi="仿宋" w:eastAsia="仿宋" w:cs="仿宋"/>
          <w:b w:val="0"/>
          <w:bCs w:val="0"/>
          <w:color w:val="auto"/>
          <w:spacing w:val="-11"/>
          <w:sz w:val="32"/>
          <w:szCs w:val="32"/>
          <w:highlight w:val="none"/>
        </w:rPr>
      </w:pPr>
      <w:r>
        <w:rPr>
          <w:rFonts w:hint="eastAsia" w:ascii="仿宋" w:hAnsi="仿宋" w:eastAsia="仿宋" w:cs="仿宋"/>
          <w:b w:val="0"/>
          <w:bCs w:val="0"/>
          <w:color w:val="auto"/>
          <w:spacing w:val="-11"/>
          <w:sz w:val="32"/>
          <w:szCs w:val="32"/>
          <w:highlight w:val="none"/>
        </w:rPr>
        <w:t>10、负责接待来祁访问的海内外有关友好人士和对外联谊工作。</w:t>
      </w:r>
    </w:p>
    <w:p w14:paraId="701899EF">
      <w:pPr>
        <w:pStyle w:val="11"/>
        <w:keepNext w:val="0"/>
        <w:keepLines w:val="0"/>
        <w:pageBreakBefore w:val="0"/>
        <w:widowControl/>
        <w:shd w:val="clear" w:color="auto"/>
        <w:kinsoku/>
        <w:wordWrap/>
        <w:overflowPunct/>
        <w:topLinePunct w:val="0"/>
        <w:autoSpaceDE/>
        <w:autoSpaceDN/>
        <w:bidi w:val="0"/>
        <w:adjustRightInd/>
        <w:snapToGrid/>
        <w:spacing w:beforeAutospacing="0" w:afterAutospacing="0"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kern w:val="2"/>
          <w:sz w:val="32"/>
          <w:szCs w:val="32"/>
          <w:highlight w:val="none"/>
        </w:rPr>
        <w:t>11、承办市委交办的其他工作</w:t>
      </w:r>
    </w:p>
    <w:p w14:paraId="298B0C9F">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楷体" w:hAnsi="楷体" w:eastAsia="楷体" w:cs="楷体"/>
          <w:b/>
          <w:bCs/>
          <w:color w:val="auto"/>
          <w:sz w:val="32"/>
          <w:szCs w:val="32"/>
          <w:highlight w:val="none"/>
          <w:lang w:eastAsia="zh-CN"/>
        </w:rPr>
      </w:pPr>
      <w:r>
        <w:rPr>
          <w:rFonts w:hint="eastAsia" w:ascii="楷体" w:hAnsi="楷体" w:eastAsia="楷体" w:cs="楷体"/>
          <w:b/>
          <w:bCs/>
          <w:color w:val="auto"/>
          <w:sz w:val="32"/>
          <w:szCs w:val="32"/>
          <w:highlight w:val="none"/>
          <w:lang w:eastAsia="zh-CN"/>
        </w:rPr>
        <w:t>（二）机构设置情况</w:t>
      </w:r>
    </w:p>
    <w:p w14:paraId="4EA1F906">
      <w:pPr>
        <w:keepNext w:val="0"/>
        <w:keepLines w:val="0"/>
        <w:pageBreakBefore w:val="0"/>
        <w:widowControl w:val="0"/>
        <w:shd w:val="clea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color w:val="auto"/>
          <w:sz w:val="32"/>
          <w:szCs w:val="32"/>
          <w:highlight w:val="none"/>
          <w:shd w:val="clear" w:color="auto" w:fill="FFFFFF"/>
        </w:rPr>
      </w:pPr>
      <w:r>
        <w:rPr>
          <w:rFonts w:hint="eastAsia" w:ascii="仿宋" w:hAnsi="仿宋" w:eastAsia="仿宋" w:cs="仿宋"/>
          <w:b w:val="0"/>
          <w:bCs w:val="0"/>
          <w:color w:val="auto"/>
          <w:sz w:val="32"/>
          <w:szCs w:val="32"/>
          <w:highlight w:val="none"/>
          <w:shd w:val="clear" w:color="auto" w:fill="FFFFFF"/>
        </w:rPr>
        <w:t> 根据祁阳市编委办核定，政协祁阳市委员会由办公室、提案委员会、委员学习联络委会、经济科技和外事委员会、文教卫体和文史委员会、农业农村和人口资源环境委员会、社会法制和民族宗教委员会、政协云管理中心组成，市政协系市属一级预算行政单位，经费来源由市财政全额拨入，执行行政单位会计制度。</w:t>
      </w:r>
    </w:p>
    <w:p w14:paraId="3EAD7186">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楷体" w:hAnsi="楷体" w:eastAsia="楷体" w:cs="楷体"/>
          <w:b/>
          <w:bCs/>
          <w:color w:val="auto"/>
          <w:sz w:val="32"/>
          <w:szCs w:val="32"/>
          <w:highlight w:val="none"/>
          <w:lang w:eastAsia="zh-CN"/>
        </w:rPr>
      </w:pPr>
      <w:r>
        <w:rPr>
          <w:rFonts w:hint="eastAsia" w:ascii="楷体" w:hAnsi="楷体" w:eastAsia="楷体" w:cs="楷体"/>
          <w:b/>
          <w:bCs/>
          <w:color w:val="auto"/>
          <w:sz w:val="32"/>
          <w:szCs w:val="32"/>
          <w:highlight w:val="none"/>
          <w:lang w:eastAsia="zh-CN"/>
        </w:rPr>
        <w:t>（三）人员编制情况</w:t>
      </w:r>
    </w:p>
    <w:p w14:paraId="6736A520">
      <w:pPr>
        <w:keepNext w:val="0"/>
        <w:keepLines w:val="0"/>
        <w:pageBreakBefore w:val="0"/>
        <w:shd w:val="clear"/>
        <w:kinsoku/>
        <w:wordWrap/>
        <w:overflowPunct/>
        <w:topLinePunct w:val="0"/>
        <w:bidi w:val="0"/>
        <w:snapToGrid w:val="0"/>
        <w:spacing w:line="580" w:lineRule="exact"/>
        <w:ind w:left="0" w:leftChars="0" w:firstLine="640" w:firstLineChars="200"/>
        <w:textAlignment w:val="auto"/>
        <w:outlineLvl w:val="0"/>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shd w:val="clear" w:color="auto" w:fill="FFFFFF"/>
        </w:rPr>
        <w:t>市编委办核定</w:t>
      </w:r>
      <w:r>
        <w:rPr>
          <w:rFonts w:hint="eastAsia" w:ascii="仿宋" w:hAnsi="仿宋" w:eastAsia="仿宋" w:cs="仿宋"/>
          <w:b w:val="0"/>
          <w:bCs w:val="0"/>
          <w:color w:val="auto"/>
          <w:sz w:val="32"/>
          <w:szCs w:val="32"/>
          <w:highlight w:val="none"/>
          <w:shd w:val="clear" w:color="auto" w:fill="FFFFFF"/>
          <w:lang w:eastAsia="zh-CN"/>
        </w:rPr>
        <w:t>祁阳市政协</w:t>
      </w:r>
      <w:r>
        <w:rPr>
          <w:rFonts w:hint="eastAsia" w:ascii="仿宋" w:hAnsi="仿宋" w:eastAsia="仿宋" w:cs="仿宋"/>
          <w:b w:val="0"/>
          <w:bCs w:val="0"/>
          <w:color w:val="auto"/>
          <w:sz w:val="32"/>
          <w:szCs w:val="32"/>
          <w:highlight w:val="none"/>
          <w:shd w:val="clear" w:color="auto" w:fill="FFFFFF"/>
        </w:rPr>
        <w:t>委员会编制共2</w:t>
      </w:r>
      <w:r>
        <w:rPr>
          <w:rFonts w:hint="eastAsia" w:ascii="仿宋" w:hAnsi="仿宋" w:eastAsia="仿宋" w:cs="仿宋"/>
          <w:b w:val="0"/>
          <w:bCs w:val="0"/>
          <w:color w:val="auto"/>
          <w:sz w:val="32"/>
          <w:szCs w:val="32"/>
          <w:highlight w:val="none"/>
          <w:shd w:val="clear" w:color="auto" w:fill="FFFFFF"/>
          <w:lang w:val="en-US" w:eastAsia="zh-CN"/>
        </w:rPr>
        <w:t>2</w:t>
      </w:r>
      <w:r>
        <w:rPr>
          <w:rFonts w:hint="eastAsia" w:ascii="仿宋" w:hAnsi="仿宋" w:eastAsia="仿宋" w:cs="仿宋"/>
          <w:b w:val="0"/>
          <w:bCs w:val="0"/>
          <w:color w:val="auto"/>
          <w:sz w:val="32"/>
          <w:szCs w:val="32"/>
          <w:highlight w:val="none"/>
          <w:shd w:val="clear" w:color="auto" w:fill="FFFFFF"/>
        </w:rPr>
        <w:t>人，其中行政编制19人，工勤编制0人，事业编制3人。</w:t>
      </w:r>
      <w:r>
        <w:rPr>
          <w:rFonts w:hint="eastAsia" w:ascii="仿宋" w:hAnsi="仿宋" w:eastAsia="仿宋" w:cs="仿宋"/>
          <w:b w:val="0"/>
          <w:bCs w:val="0"/>
          <w:color w:val="auto"/>
          <w:kern w:val="0"/>
          <w:sz w:val="32"/>
          <w:szCs w:val="32"/>
          <w:highlight w:val="none"/>
        </w:rPr>
        <w:t>祁阳市政协</w:t>
      </w:r>
      <w:r>
        <w:rPr>
          <w:rFonts w:hint="eastAsia" w:ascii="仿宋" w:hAnsi="仿宋" w:eastAsia="仿宋" w:cs="仿宋"/>
          <w:b w:val="0"/>
          <w:bCs w:val="0"/>
          <w:color w:val="auto"/>
          <w:sz w:val="32"/>
          <w:szCs w:val="32"/>
          <w:highlight w:val="none"/>
          <w:shd w:val="clear" w:color="auto" w:fill="FFFFFF"/>
        </w:rPr>
        <w:t>委员会</w:t>
      </w:r>
      <w:r>
        <w:rPr>
          <w:rFonts w:hint="eastAsia" w:ascii="仿宋" w:hAnsi="仿宋" w:eastAsia="仿宋" w:cs="仿宋"/>
          <w:b w:val="0"/>
          <w:bCs w:val="0"/>
          <w:color w:val="auto"/>
          <w:kern w:val="0"/>
          <w:sz w:val="32"/>
          <w:szCs w:val="32"/>
          <w:highlight w:val="none"/>
        </w:rPr>
        <w:t>年</w:t>
      </w:r>
      <w:r>
        <w:rPr>
          <w:rFonts w:hint="eastAsia" w:ascii="仿宋" w:hAnsi="仿宋" w:eastAsia="仿宋" w:cs="仿宋"/>
          <w:b w:val="0"/>
          <w:bCs w:val="0"/>
          <w:color w:val="auto"/>
          <w:kern w:val="0"/>
          <w:sz w:val="32"/>
          <w:szCs w:val="32"/>
          <w:highlight w:val="none"/>
          <w:lang w:eastAsia="zh-CN"/>
        </w:rPr>
        <w:t>末</w:t>
      </w:r>
      <w:r>
        <w:rPr>
          <w:rFonts w:hint="eastAsia" w:ascii="仿宋" w:hAnsi="仿宋" w:eastAsia="仿宋" w:cs="仿宋"/>
          <w:b w:val="0"/>
          <w:bCs w:val="0"/>
          <w:color w:val="auto"/>
          <w:kern w:val="0"/>
          <w:sz w:val="32"/>
          <w:szCs w:val="32"/>
          <w:highlight w:val="none"/>
        </w:rPr>
        <w:t>在职</w:t>
      </w:r>
      <w:r>
        <w:rPr>
          <w:rFonts w:hint="eastAsia" w:ascii="仿宋" w:hAnsi="仿宋" w:eastAsia="仿宋" w:cs="仿宋"/>
          <w:b w:val="0"/>
          <w:bCs w:val="0"/>
          <w:color w:val="auto"/>
          <w:kern w:val="0"/>
          <w:sz w:val="32"/>
          <w:szCs w:val="32"/>
          <w:highlight w:val="none"/>
          <w:lang w:val="en-US" w:eastAsia="zh-CN"/>
        </w:rPr>
        <w:t>28</w:t>
      </w:r>
      <w:r>
        <w:rPr>
          <w:rFonts w:hint="eastAsia" w:ascii="仿宋" w:hAnsi="仿宋" w:eastAsia="仿宋" w:cs="仿宋"/>
          <w:b w:val="0"/>
          <w:bCs w:val="0"/>
          <w:color w:val="auto"/>
          <w:kern w:val="0"/>
          <w:sz w:val="32"/>
          <w:szCs w:val="32"/>
          <w:highlight w:val="none"/>
        </w:rPr>
        <w:t>人，其中行政人员</w:t>
      </w:r>
      <w:r>
        <w:rPr>
          <w:rFonts w:hint="eastAsia" w:ascii="仿宋" w:hAnsi="仿宋" w:eastAsia="仿宋" w:cs="仿宋"/>
          <w:b w:val="0"/>
          <w:bCs w:val="0"/>
          <w:color w:val="auto"/>
          <w:kern w:val="0"/>
          <w:sz w:val="32"/>
          <w:szCs w:val="32"/>
          <w:highlight w:val="none"/>
          <w:lang w:val="en-US" w:eastAsia="zh-CN"/>
        </w:rPr>
        <w:t>25</w:t>
      </w:r>
      <w:r>
        <w:rPr>
          <w:rFonts w:hint="eastAsia" w:ascii="仿宋" w:hAnsi="仿宋" w:eastAsia="仿宋" w:cs="仿宋"/>
          <w:b w:val="0"/>
          <w:bCs w:val="0"/>
          <w:color w:val="auto"/>
          <w:kern w:val="0"/>
          <w:sz w:val="32"/>
          <w:szCs w:val="32"/>
          <w:highlight w:val="none"/>
        </w:rPr>
        <w:t>人，事业人员3人</w:t>
      </w:r>
      <w:r>
        <w:rPr>
          <w:rFonts w:hint="eastAsia" w:ascii="仿宋" w:hAnsi="仿宋" w:eastAsia="仿宋" w:cs="仿宋"/>
          <w:b w:val="0"/>
          <w:bCs w:val="0"/>
          <w:color w:val="auto"/>
          <w:kern w:val="0"/>
          <w:sz w:val="32"/>
          <w:szCs w:val="32"/>
          <w:highlight w:val="none"/>
          <w:lang w:eastAsia="zh-CN"/>
        </w:rPr>
        <w:t>；</w:t>
      </w:r>
      <w:r>
        <w:rPr>
          <w:rFonts w:hint="eastAsia" w:ascii="仿宋" w:hAnsi="仿宋" w:eastAsia="仿宋" w:cs="仿宋"/>
          <w:b w:val="0"/>
          <w:bCs w:val="0"/>
          <w:color w:val="auto"/>
          <w:kern w:val="0"/>
          <w:sz w:val="32"/>
          <w:szCs w:val="32"/>
          <w:highlight w:val="none"/>
        </w:rPr>
        <w:t>退休</w:t>
      </w:r>
      <w:r>
        <w:rPr>
          <w:rFonts w:hint="eastAsia" w:ascii="仿宋" w:hAnsi="仿宋" w:eastAsia="仿宋" w:cs="仿宋"/>
          <w:b w:val="0"/>
          <w:bCs w:val="0"/>
          <w:color w:val="auto"/>
          <w:kern w:val="0"/>
          <w:sz w:val="32"/>
          <w:szCs w:val="32"/>
          <w:highlight w:val="none"/>
          <w:lang w:val="en-US" w:eastAsia="zh-CN"/>
        </w:rPr>
        <w:t>32</w:t>
      </w:r>
      <w:r>
        <w:rPr>
          <w:rFonts w:hint="eastAsia" w:ascii="仿宋" w:hAnsi="仿宋" w:eastAsia="仿宋" w:cs="仿宋"/>
          <w:b w:val="0"/>
          <w:bCs w:val="0"/>
          <w:color w:val="auto"/>
          <w:kern w:val="0"/>
          <w:sz w:val="32"/>
          <w:szCs w:val="32"/>
          <w:highlight w:val="none"/>
        </w:rPr>
        <w:t>人</w:t>
      </w:r>
      <w:r>
        <w:rPr>
          <w:rFonts w:hint="eastAsia" w:ascii="仿宋" w:hAnsi="仿宋" w:eastAsia="仿宋" w:cs="仿宋"/>
          <w:b w:val="0"/>
          <w:bCs w:val="0"/>
          <w:color w:val="auto"/>
          <w:kern w:val="0"/>
          <w:sz w:val="32"/>
          <w:szCs w:val="32"/>
          <w:highlight w:val="none"/>
          <w:lang w:eastAsia="zh-CN"/>
        </w:rPr>
        <w:t>；</w:t>
      </w:r>
      <w:r>
        <w:rPr>
          <w:rFonts w:hint="eastAsia" w:ascii="仿宋" w:hAnsi="仿宋" w:eastAsia="仿宋" w:cs="仿宋"/>
          <w:b w:val="0"/>
          <w:bCs w:val="0"/>
          <w:color w:val="auto"/>
          <w:kern w:val="0"/>
          <w:sz w:val="32"/>
          <w:szCs w:val="32"/>
          <w:highlight w:val="none"/>
        </w:rPr>
        <w:t>遗嘱抚恤年</w:t>
      </w:r>
      <w:r>
        <w:rPr>
          <w:rFonts w:hint="eastAsia" w:ascii="仿宋" w:hAnsi="仿宋" w:eastAsia="仿宋" w:cs="仿宋"/>
          <w:b w:val="0"/>
          <w:bCs w:val="0"/>
          <w:color w:val="auto"/>
          <w:kern w:val="0"/>
          <w:sz w:val="32"/>
          <w:szCs w:val="32"/>
          <w:highlight w:val="none"/>
          <w:lang w:eastAsia="zh-CN"/>
        </w:rPr>
        <w:t>末</w:t>
      </w:r>
      <w:r>
        <w:rPr>
          <w:rFonts w:hint="eastAsia" w:ascii="仿宋" w:hAnsi="仿宋" w:eastAsia="仿宋" w:cs="仿宋"/>
          <w:b w:val="0"/>
          <w:bCs w:val="0"/>
          <w:color w:val="auto"/>
          <w:kern w:val="0"/>
          <w:sz w:val="32"/>
          <w:szCs w:val="32"/>
          <w:highlight w:val="none"/>
        </w:rPr>
        <w:t>人员</w:t>
      </w:r>
      <w:r>
        <w:rPr>
          <w:rFonts w:hint="eastAsia" w:ascii="仿宋" w:hAnsi="仿宋" w:eastAsia="仿宋" w:cs="仿宋"/>
          <w:b w:val="0"/>
          <w:bCs w:val="0"/>
          <w:color w:val="auto"/>
          <w:kern w:val="0"/>
          <w:sz w:val="32"/>
          <w:szCs w:val="32"/>
          <w:highlight w:val="none"/>
          <w:lang w:val="en-US" w:eastAsia="zh-CN"/>
        </w:rPr>
        <w:t>2</w:t>
      </w:r>
      <w:r>
        <w:rPr>
          <w:rFonts w:hint="eastAsia" w:ascii="仿宋" w:hAnsi="仿宋" w:eastAsia="仿宋" w:cs="仿宋"/>
          <w:b w:val="0"/>
          <w:bCs w:val="0"/>
          <w:color w:val="auto"/>
          <w:kern w:val="0"/>
          <w:sz w:val="32"/>
          <w:szCs w:val="32"/>
          <w:highlight w:val="none"/>
        </w:rPr>
        <w:t>人</w:t>
      </w:r>
      <w:r>
        <w:rPr>
          <w:rFonts w:hint="eastAsia" w:ascii="仿宋" w:hAnsi="仿宋" w:eastAsia="仿宋" w:cs="仿宋"/>
          <w:b w:val="0"/>
          <w:bCs w:val="0"/>
          <w:color w:val="auto"/>
          <w:kern w:val="0"/>
          <w:sz w:val="32"/>
          <w:szCs w:val="32"/>
          <w:highlight w:val="none"/>
          <w:lang w:eastAsia="zh-CN"/>
        </w:rPr>
        <w:t>；</w:t>
      </w:r>
      <w:r>
        <w:rPr>
          <w:rFonts w:hint="eastAsia" w:ascii="仿宋" w:hAnsi="仿宋" w:eastAsia="仿宋" w:cs="仿宋"/>
          <w:b w:val="0"/>
          <w:bCs w:val="0"/>
          <w:color w:val="auto"/>
          <w:kern w:val="0"/>
          <w:sz w:val="32"/>
          <w:szCs w:val="32"/>
          <w:highlight w:val="none"/>
        </w:rPr>
        <w:t>伤残补助年</w:t>
      </w:r>
      <w:r>
        <w:rPr>
          <w:rFonts w:hint="eastAsia" w:ascii="仿宋" w:hAnsi="仿宋" w:eastAsia="仿宋" w:cs="仿宋"/>
          <w:b w:val="0"/>
          <w:bCs w:val="0"/>
          <w:color w:val="auto"/>
          <w:kern w:val="0"/>
          <w:sz w:val="32"/>
          <w:szCs w:val="32"/>
          <w:highlight w:val="none"/>
          <w:lang w:eastAsia="zh-CN"/>
        </w:rPr>
        <w:t>末</w:t>
      </w:r>
      <w:r>
        <w:rPr>
          <w:rFonts w:hint="eastAsia" w:ascii="仿宋" w:hAnsi="仿宋" w:eastAsia="仿宋" w:cs="仿宋"/>
          <w:b w:val="0"/>
          <w:bCs w:val="0"/>
          <w:color w:val="auto"/>
          <w:kern w:val="0"/>
          <w:sz w:val="32"/>
          <w:szCs w:val="32"/>
          <w:highlight w:val="none"/>
        </w:rPr>
        <w:t>人员</w:t>
      </w:r>
      <w:r>
        <w:rPr>
          <w:rFonts w:hint="eastAsia" w:ascii="仿宋" w:hAnsi="仿宋" w:eastAsia="仿宋" w:cs="仿宋"/>
          <w:b w:val="0"/>
          <w:bCs w:val="0"/>
          <w:color w:val="auto"/>
          <w:kern w:val="0"/>
          <w:sz w:val="32"/>
          <w:szCs w:val="32"/>
          <w:highlight w:val="none"/>
          <w:lang w:val="en-US" w:eastAsia="zh-CN"/>
        </w:rPr>
        <w:t>1</w:t>
      </w:r>
      <w:r>
        <w:rPr>
          <w:rFonts w:hint="eastAsia" w:ascii="仿宋" w:hAnsi="仿宋" w:eastAsia="仿宋" w:cs="仿宋"/>
          <w:b w:val="0"/>
          <w:bCs w:val="0"/>
          <w:color w:val="auto"/>
          <w:kern w:val="0"/>
          <w:sz w:val="32"/>
          <w:szCs w:val="32"/>
          <w:highlight w:val="none"/>
        </w:rPr>
        <w:t>人。</w:t>
      </w:r>
      <w:r>
        <w:rPr>
          <w:rFonts w:hint="eastAsia" w:ascii="仿宋" w:hAnsi="仿宋" w:eastAsia="仿宋" w:cs="仿宋"/>
          <w:b w:val="0"/>
          <w:bCs w:val="0"/>
          <w:color w:val="auto"/>
          <w:sz w:val="32"/>
          <w:szCs w:val="32"/>
          <w:highlight w:val="none"/>
          <w:shd w:val="clear" w:color="auto" w:fill="FFFFFF"/>
        </w:rPr>
        <w:t>本部门无下属单位。</w:t>
      </w:r>
    </w:p>
    <w:p w14:paraId="7782AC62">
      <w:pPr>
        <w:keepNext w:val="0"/>
        <w:keepLines w:val="0"/>
        <w:pageBreakBefore w:val="0"/>
        <w:widowControl w:val="0"/>
        <w:numPr>
          <w:ilvl w:val="0"/>
          <w:numId w:val="0"/>
        </w:numPr>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b w:val="0"/>
          <w:bCs w:val="0"/>
          <w:color w:val="auto"/>
          <w:sz w:val="32"/>
          <w:szCs w:val="32"/>
          <w:highlight w:val="none"/>
        </w:rPr>
      </w:pPr>
      <w:r>
        <w:rPr>
          <w:rFonts w:hint="eastAsia" w:ascii="楷体" w:hAnsi="楷体" w:eastAsia="楷体" w:cs="楷体"/>
          <w:b/>
          <w:bCs/>
          <w:color w:val="auto"/>
          <w:sz w:val="32"/>
          <w:szCs w:val="32"/>
          <w:highlight w:val="none"/>
          <w:lang w:val="en-US" w:eastAsia="zh-CN"/>
        </w:rPr>
        <w:t>（四）</w:t>
      </w:r>
      <w:r>
        <w:rPr>
          <w:rFonts w:hint="eastAsia" w:ascii="楷体" w:hAnsi="楷体" w:eastAsia="楷体" w:cs="楷体"/>
          <w:b/>
          <w:bCs/>
          <w:color w:val="auto"/>
          <w:sz w:val="32"/>
          <w:szCs w:val="32"/>
          <w:highlight w:val="none"/>
          <w:lang w:eastAsia="zh-CN"/>
        </w:rPr>
        <w:t>部门（单位）整体支出规模、使用方向和主要内容、涉及范围等</w:t>
      </w:r>
    </w:p>
    <w:p w14:paraId="2871F13E">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2025</w:t>
      </w:r>
      <w:r>
        <w:rPr>
          <w:rFonts w:hint="eastAsia" w:ascii="仿宋" w:hAnsi="仿宋" w:eastAsia="仿宋" w:cs="仿宋"/>
          <w:b w:val="0"/>
          <w:bCs w:val="0"/>
          <w:color w:val="auto"/>
          <w:sz w:val="32"/>
          <w:szCs w:val="32"/>
          <w:highlight w:val="none"/>
        </w:rPr>
        <w:t>年度支出合计</w:t>
      </w:r>
      <w:r>
        <w:rPr>
          <w:rFonts w:hint="eastAsia" w:ascii="仿宋" w:hAnsi="仿宋" w:eastAsia="仿宋" w:cs="仿宋"/>
          <w:b w:val="0"/>
          <w:bCs w:val="0"/>
          <w:color w:val="auto"/>
          <w:sz w:val="32"/>
          <w:szCs w:val="32"/>
          <w:highlight w:val="none"/>
          <w:lang w:eastAsia="zh-CN"/>
        </w:rPr>
        <w:t>693.30</w:t>
      </w:r>
      <w:r>
        <w:rPr>
          <w:rFonts w:hint="eastAsia" w:ascii="仿宋" w:hAnsi="仿宋" w:eastAsia="仿宋" w:cs="仿宋"/>
          <w:b w:val="0"/>
          <w:bCs w:val="0"/>
          <w:color w:val="auto"/>
          <w:sz w:val="32"/>
          <w:szCs w:val="32"/>
          <w:highlight w:val="none"/>
        </w:rPr>
        <w:t>万元, 支出按经济科目分类：其中：工资福利支出</w:t>
      </w:r>
      <w:r>
        <w:rPr>
          <w:rFonts w:hint="eastAsia" w:ascii="仿宋" w:hAnsi="仿宋" w:eastAsia="仿宋" w:cs="仿宋"/>
          <w:b w:val="0"/>
          <w:bCs w:val="0"/>
          <w:color w:val="auto"/>
          <w:sz w:val="32"/>
          <w:szCs w:val="32"/>
          <w:highlight w:val="none"/>
          <w:lang w:val="en-US" w:eastAsia="zh-CN"/>
        </w:rPr>
        <w:t>434.26</w:t>
      </w:r>
      <w:r>
        <w:rPr>
          <w:rFonts w:hint="eastAsia" w:ascii="仿宋" w:hAnsi="仿宋" w:eastAsia="仿宋" w:cs="仿宋"/>
          <w:b w:val="0"/>
          <w:bCs w:val="0"/>
          <w:color w:val="auto"/>
          <w:sz w:val="32"/>
          <w:szCs w:val="32"/>
          <w:highlight w:val="none"/>
        </w:rPr>
        <w:t>万元，占支出的</w:t>
      </w:r>
      <w:r>
        <w:rPr>
          <w:rFonts w:hint="eastAsia" w:ascii="仿宋" w:hAnsi="仿宋" w:eastAsia="仿宋" w:cs="仿宋"/>
          <w:b w:val="0"/>
          <w:bCs w:val="0"/>
          <w:color w:val="auto"/>
          <w:sz w:val="32"/>
          <w:szCs w:val="32"/>
          <w:highlight w:val="none"/>
          <w:lang w:val="en-US" w:eastAsia="zh-CN"/>
        </w:rPr>
        <w:t>62.64</w:t>
      </w:r>
      <w:r>
        <w:rPr>
          <w:rFonts w:hint="eastAsia" w:ascii="仿宋" w:hAnsi="仿宋" w:eastAsia="仿宋" w:cs="仿宋"/>
          <w:b w:val="0"/>
          <w:bCs w:val="0"/>
          <w:color w:val="auto"/>
          <w:sz w:val="32"/>
          <w:szCs w:val="32"/>
          <w:highlight w:val="none"/>
        </w:rPr>
        <w:t>%，比上年</w:t>
      </w:r>
      <w:r>
        <w:rPr>
          <w:rFonts w:hint="eastAsia" w:ascii="仿宋" w:hAnsi="仿宋" w:eastAsia="仿宋" w:cs="仿宋"/>
          <w:b w:val="0"/>
          <w:bCs w:val="0"/>
          <w:color w:val="auto"/>
          <w:sz w:val="32"/>
          <w:szCs w:val="32"/>
          <w:highlight w:val="none"/>
          <w:lang w:eastAsia="zh-CN"/>
        </w:rPr>
        <w:t>减少</w:t>
      </w:r>
      <w:r>
        <w:rPr>
          <w:rFonts w:hint="eastAsia" w:ascii="仿宋" w:hAnsi="仿宋" w:eastAsia="仿宋" w:cs="仿宋"/>
          <w:b w:val="0"/>
          <w:bCs w:val="0"/>
          <w:color w:val="auto"/>
          <w:sz w:val="32"/>
          <w:szCs w:val="32"/>
          <w:highlight w:val="none"/>
          <w:lang w:val="en-US" w:eastAsia="zh-CN"/>
        </w:rPr>
        <w:t>3.79</w:t>
      </w:r>
      <w:r>
        <w:rPr>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rPr>
        <w:t>主要包括基本工资、津贴补贴、奖金、机关事业单位基本养老保险缴费、职工基本医疗保险缴费、住房公积金、其它工资福利支出</w:t>
      </w:r>
      <w:r>
        <w:rPr>
          <w:rFonts w:hint="eastAsia" w:ascii="仿宋" w:hAnsi="仿宋" w:eastAsia="仿宋" w:cs="仿宋"/>
          <w:b w:val="0"/>
          <w:bCs w:val="0"/>
          <w:color w:val="auto"/>
          <w:sz w:val="32"/>
          <w:szCs w:val="32"/>
          <w:highlight w:val="none"/>
          <w:lang w:eastAsia="zh-CN"/>
        </w:rPr>
        <w:t>，减少的</w:t>
      </w:r>
      <w:r>
        <w:rPr>
          <w:rFonts w:hint="eastAsia" w:ascii="仿宋" w:hAnsi="仿宋" w:eastAsia="仿宋" w:cs="仿宋"/>
          <w:b w:val="0"/>
          <w:bCs w:val="0"/>
          <w:color w:val="auto"/>
          <w:sz w:val="32"/>
          <w:szCs w:val="32"/>
          <w:highlight w:val="none"/>
        </w:rPr>
        <w:t>主要原因是：</w:t>
      </w:r>
      <w:r>
        <w:rPr>
          <w:rFonts w:hint="eastAsia" w:ascii="仿宋" w:hAnsi="仿宋" w:eastAsia="仿宋" w:cs="仿宋"/>
          <w:b w:val="0"/>
          <w:bCs w:val="0"/>
          <w:color w:val="auto"/>
          <w:sz w:val="32"/>
          <w:szCs w:val="32"/>
          <w:highlight w:val="none"/>
          <w:lang w:eastAsia="zh-CN"/>
        </w:rPr>
        <w:t>人员退休和离职；</w:t>
      </w:r>
      <w:r>
        <w:rPr>
          <w:rFonts w:hint="eastAsia" w:ascii="仿宋" w:hAnsi="仿宋" w:eastAsia="仿宋" w:cs="仿宋"/>
          <w:b w:val="0"/>
          <w:bCs w:val="0"/>
          <w:color w:val="auto"/>
          <w:sz w:val="32"/>
          <w:szCs w:val="32"/>
          <w:highlight w:val="none"/>
        </w:rPr>
        <w:t>抚恤金等</w:t>
      </w:r>
      <w:r>
        <w:rPr>
          <w:rFonts w:hint="eastAsia" w:ascii="仿宋" w:hAnsi="仿宋" w:eastAsia="仿宋" w:cs="仿宋"/>
          <w:b w:val="0"/>
          <w:bCs w:val="0"/>
          <w:color w:val="auto"/>
          <w:sz w:val="32"/>
          <w:szCs w:val="32"/>
          <w:highlight w:val="none"/>
          <w:shd w:val="clear" w:color="auto" w:fill="FFFFFF"/>
        </w:rPr>
        <w:t>对个人和家庭补助支出</w:t>
      </w:r>
      <w:r>
        <w:rPr>
          <w:rFonts w:hint="eastAsia" w:ascii="仿宋" w:hAnsi="仿宋" w:eastAsia="仿宋" w:cs="仿宋"/>
          <w:b w:val="0"/>
          <w:bCs w:val="0"/>
          <w:color w:val="auto"/>
          <w:sz w:val="32"/>
          <w:szCs w:val="32"/>
          <w:highlight w:val="none"/>
          <w:shd w:val="clear" w:color="auto" w:fill="FFFFFF"/>
          <w:lang w:val="en-US" w:eastAsia="zh-CN"/>
        </w:rPr>
        <w:t>16.32</w:t>
      </w:r>
      <w:r>
        <w:rPr>
          <w:rFonts w:hint="eastAsia" w:ascii="仿宋" w:hAnsi="仿宋" w:eastAsia="仿宋" w:cs="仿宋"/>
          <w:b w:val="0"/>
          <w:bCs w:val="0"/>
          <w:color w:val="auto"/>
          <w:sz w:val="32"/>
          <w:szCs w:val="32"/>
          <w:highlight w:val="none"/>
          <w:shd w:val="clear" w:color="auto" w:fill="FFFFFF"/>
        </w:rPr>
        <w:t>万元，</w:t>
      </w:r>
      <w:r>
        <w:rPr>
          <w:rFonts w:hint="eastAsia" w:ascii="仿宋" w:hAnsi="仿宋" w:eastAsia="仿宋" w:cs="仿宋"/>
          <w:b w:val="0"/>
          <w:bCs w:val="0"/>
          <w:color w:val="auto"/>
          <w:sz w:val="32"/>
          <w:szCs w:val="32"/>
          <w:highlight w:val="none"/>
        </w:rPr>
        <w:t>占支出的</w:t>
      </w:r>
      <w:r>
        <w:rPr>
          <w:rFonts w:hint="eastAsia" w:ascii="仿宋" w:hAnsi="仿宋" w:eastAsia="仿宋" w:cs="仿宋"/>
          <w:b w:val="0"/>
          <w:bCs w:val="0"/>
          <w:color w:val="auto"/>
          <w:sz w:val="32"/>
          <w:szCs w:val="32"/>
          <w:highlight w:val="none"/>
          <w:lang w:val="en-US" w:eastAsia="zh-CN"/>
        </w:rPr>
        <w:t>2.35</w:t>
      </w:r>
      <w:r>
        <w:rPr>
          <w:rFonts w:hint="eastAsia" w:ascii="仿宋" w:hAnsi="仿宋" w:eastAsia="仿宋" w:cs="仿宋"/>
          <w:b w:val="0"/>
          <w:bCs w:val="0"/>
          <w:color w:val="auto"/>
          <w:sz w:val="32"/>
          <w:szCs w:val="32"/>
          <w:highlight w:val="none"/>
        </w:rPr>
        <w:t>%；比上年</w:t>
      </w:r>
      <w:r>
        <w:rPr>
          <w:rFonts w:hint="eastAsia" w:ascii="仿宋" w:hAnsi="仿宋" w:eastAsia="仿宋" w:cs="仿宋"/>
          <w:b w:val="0"/>
          <w:bCs w:val="0"/>
          <w:color w:val="auto"/>
          <w:sz w:val="32"/>
          <w:szCs w:val="32"/>
          <w:highlight w:val="none"/>
          <w:lang w:eastAsia="zh-CN"/>
        </w:rPr>
        <w:t>减少</w:t>
      </w:r>
      <w:r>
        <w:rPr>
          <w:rFonts w:hint="eastAsia" w:ascii="仿宋" w:hAnsi="仿宋" w:eastAsia="仿宋" w:cs="仿宋"/>
          <w:b w:val="0"/>
          <w:bCs w:val="0"/>
          <w:color w:val="auto"/>
          <w:sz w:val="32"/>
          <w:szCs w:val="32"/>
          <w:highlight w:val="none"/>
          <w:lang w:val="en-US" w:eastAsia="zh-CN"/>
        </w:rPr>
        <w:t>48.63</w:t>
      </w:r>
      <w:r>
        <w:rPr>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lang w:eastAsia="zh-CN"/>
        </w:rPr>
        <w:t>，减少</w:t>
      </w:r>
      <w:r>
        <w:rPr>
          <w:rFonts w:hint="eastAsia" w:ascii="仿宋" w:hAnsi="仿宋" w:eastAsia="仿宋" w:cs="仿宋"/>
          <w:b w:val="0"/>
          <w:bCs w:val="0"/>
          <w:color w:val="auto"/>
          <w:sz w:val="32"/>
          <w:szCs w:val="32"/>
          <w:highlight w:val="none"/>
        </w:rPr>
        <w:t>主要原因是：</w:t>
      </w:r>
      <w:r>
        <w:rPr>
          <w:rFonts w:hint="eastAsia" w:ascii="仿宋" w:hAnsi="仿宋" w:eastAsia="仿宋" w:cs="仿宋"/>
          <w:b w:val="0"/>
          <w:bCs w:val="0"/>
          <w:color w:val="auto"/>
          <w:sz w:val="32"/>
          <w:szCs w:val="32"/>
          <w:highlight w:val="none"/>
          <w:lang w:eastAsia="zh-CN"/>
        </w:rPr>
        <w:t>减少死亡抚恤支出；</w:t>
      </w:r>
      <w:r>
        <w:rPr>
          <w:rFonts w:hint="eastAsia" w:ascii="仿宋" w:hAnsi="仿宋" w:eastAsia="仿宋" w:cs="仿宋"/>
          <w:b w:val="0"/>
          <w:bCs w:val="0"/>
          <w:color w:val="auto"/>
          <w:sz w:val="32"/>
          <w:szCs w:val="32"/>
          <w:highlight w:val="none"/>
        </w:rPr>
        <w:t>商品和服务支出</w:t>
      </w:r>
      <w:r>
        <w:rPr>
          <w:rFonts w:hint="eastAsia" w:ascii="仿宋" w:hAnsi="仿宋" w:eastAsia="仿宋" w:cs="仿宋"/>
          <w:b w:val="0"/>
          <w:bCs w:val="0"/>
          <w:color w:val="auto"/>
          <w:sz w:val="32"/>
          <w:szCs w:val="32"/>
          <w:highlight w:val="none"/>
          <w:lang w:val="en-US" w:eastAsia="zh-CN"/>
        </w:rPr>
        <w:t>242.73</w:t>
      </w:r>
      <w:r>
        <w:rPr>
          <w:rFonts w:hint="eastAsia" w:ascii="仿宋" w:hAnsi="仿宋" w:eastAsia="仿宋" w:cs="仿宋"/>
          <w:b w:val="0"/>
          <w:bCs w:val="0"/>
          <w:color w:val="auto"/>
          <w:sz w:val="32"/>
          <w:szCs w:val="32"/>
          <w:highlight w:val="none"/>
        </w:rPr>
        <w:t>万元，占支出的</w:t>
      </w:r>
      <w:r>
        <w:rPr>
          <w:rFonts w:hint="eastAsia" w:ascii="仿宋" w:hAnsi="仿宋" w:eastAsia="仿宋" w:cs="仿宋"/>
          <w:b w:val="0"/>
          <w:bCs w:val="0"/>
          <w:color w:val="auto"/>
          <w:sz w:val="32"/>
          <w:szCs w:val="32"/>
          <w:highlight w:val="none"/>
          <w:lang w:val="en-US" w:eastAsia="zh-CN"/>
        </w:rPr>
        <w:t>35.01</w:t>
      </w:r>
      <w:r>
        <w:rPr>
          <w:rFonts w:hint="eastAsia" w:ascii="仿宋" w:hAnsi="仿宋" w:eastAsia="仿宋" w:cs="仿宋"/>
          <w:b w:val="0"/>
          <w:bCs w:val="0"/>
          <w:color w:val="auto"/>
          <w:sz w:val="32"/>
          <w:szCs w:val="32"/>
          <w:highlight w:val="none"/>
        </w:rPr>
        <w:t>%，比上年</w:t>
      </w:r>
      <w:r>
        <w:rPr>
          <w:rFonts w:hint="eastAsia" w:ascii="仿宋" w:hAnsi="仿宋" w:eastAsia="仿宋" w:cs="仿宋"/>
          <w:b w:val="0"/>
          <w:bCs w:val="0"/>
          <w:color w:val="auto"/>
          <w:sz w:val="32"/>
          <w:szCs w:val="32"/>
          <w:highlight w:val="none"/>
          <w:lang w:eastAsia="zh-CN"/>
        </w:rPr>
        <w:t>减少</w:t>
      </w:r>
      <w:r>
        <w:rPr>
          <w:rFonts w:hint="eastAsia" w:ascii="仿宋" w:hAnsi="仿宋" w:eastAsia="仿宋" w:cs="仿宋"/>
          <w:b w:val="0"/>
          <w:bCs w:val="0"/>
          <w:color w:val="auto"/>
          <w:sz w:val="32"/>
          <w:szCs w:val="32"/>
          <w:highlight w:val="none"/>
          <w:lang w:val="en-US" w:eastAsia="zh-CN"/>
        </w:rPr>
        <w:t>25.65</w:t>
      </w:r>
      <w:r>
        <w:rPr>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rPr>
        <w:t>主要包括办公费、印刷费、差旅费、会议费、培训费、劳务费、工会经费、其他商品和服务支出等。增加主要原因是：工作需要，</w:t>
      </w:r>
      <w:r>
        <w:rPr>
          <w:rFonts w:hint="eastAsia" w:ascii="仿宋" w:hAnsi="仿宋" w:eastAsia="仿宋" w:cs="仿宋"/>
          <w:b w:val="0"/>
          <w:bCs w:val="0"/>
          <w:color w:val="auto"/>
          <w:sz w:val="32"/>
          <w:szCs w:val="32"/>
          <w:highlight w:val="none"/>
          <w:lang w:eastAsia="zh-CN"/>
        </w:rPr>
        <w:t>增加各项支出</w:t>
      </w:r>
      <w:r>
        <w:rPr>
          <w:rFonts w:hint="eastAsia" w:ascii="仿宋" w:hAnsi="仿宋" w:eastAsia="仿宋" w:cs="仿宋"/>
          <w:b w:val="0"/>
          <w:bCs w:val="0"/>
          <w:color w:val="auto"/>
          <w:sz w:val="32"/>
          <w:szCs w:val="32"/>
          <w:highlight w:val="none"/>
        </w:rPr>
        <w:t>。</w:t>
      </w:r>
    </w:p>
    <w:p w14:paraId="0B3F48BE">
      <w:pPr>
        <w:keepNext w:val="0"/>
        <w:keepLines w:val="0"/>
        <w:pageBreakBefore w:val="0"/>
        <w:widowControl w:val="0"/>
        <w:numPr>
          <w:ilvl w:val="0"/>
          <w:numId w:val="0"/>
        </w:numPr>
        <w:shd w:val="clea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二、部门（单位）整体支出管理及使用情况</w:t>
      </w:r>
    </w:p>
    <w:p w14:paraId="2F2D871A">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楷体" w:hAnsi="楷体" w:eastAsia="楷体" w:cs="楷体"/>
          <w:b/>
          <w:bCs/>
          <w:color w:val="auto"/>
          <w:sz w:val="32"/>
          <w:szCs w:val="32"/>
          <w:highlight w:val="none"/>
          <w:lang w:eastAsia="zh-CN"/>
        </w:rPr>
      </w:pPr>
      <w:r>
        <w:rPr>
          <w:rFonts w:hint="eastAsia" w:ascii="楷体" w:hAnsi="楷体" w:eastAsia="楷体" w:cs="楷体"/>
          <w:b/>
          <w:bCs/>
          <w:color w:val="auto"/>
          <w:sz w:val="32"/>
          <w:szCs w:val="32"/>
          <w:highlight w:val="none"/>
          <w:lang w:eastAsia="zh-CN"/>
        </w:rPr>
        <w:t>（一）基本支出</w:t>
      </w:r>
    </w:p>
    <w:p w14:paraId="53C5A19E">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rPr>
        <w:t>202</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rPr>
        <w:t>年度</w:t>
      </w:r>
      <w:r>
        <w:rPr>
          <w:rFonts w:hint="eastAsia" w:ascii="仿宋" w:hAnsi="仿宋" w:eastAsia="仿宋" w:cs="仿宋"/>
          <w:b w:val="0"/>
          <w:bCs w:val="0"/>
          <w:color w:val="auto"/>
          <w:sz w:val="32"/>
          <w:szCs w:val="32"/>
          <w:highlight w:val="none"/>
          <w:lang w:eastAsia="zh-CN"/>
        </w:rPr>
        <w:t>一般公共预算</w:t>
      </w:r>
      <w:r>
        <w:rPr>
          <w:rFonts w:hint="eastAsia" w:ascii="仿宋" w:hAnsi="仿宋" w:eastAsia="仿宋" w:cs="仿宋"/>
          <w:b w:val="0"/>
          <w:bCs w:val="0"/>
          <w:color w:val="auto"/>
          <w:sz w:val="32"/>
          <w:szCs w:val="32"/>
          <w:highlight w:val="none"/>
        </w:rPr>
        <w:t>财政拨款</w:t>
      </w:r>
      <w:r>
        <w:rPr>
          <w:rFonts w:hint="eastAsia" w:ascii="仿宋" w:hAnsi="仿宋" w:eastAsia="仿宋" w:cs="仿宋"/>
          <w:b w:val="0"/>
          <w:bCs w:val="0"/>
          <w:color w:val="auto"/>
          <w:sz w:val="32"/>
          <w:szCs w:val="32"/>
          <w:highlight w:val="none"/>
          <w:lang w:eastAsia="zh-CN"/>
        </w:rPr>
        <w:t>安排</w:t>
      </w:r>
      <w:r>
        <w:rPr>
          <w:rFonts w:hint="eastAsia" w:ascii="仿宋" w:hAnsi="仿宋" w:eastAsia="仿宋" w:cs="仿宋"/>
          <w:b w:val="0"/>
          <w:bCs w:val="0"/>
          <w:color w:val="auto"/>
          <w:sz w:val="32"/>
          <w:szCs w:val="32"/>
          <w:highlight w:val="none"/>
        </w:rPr>
        <w:t>基本支出年初预算为</w:t>
      </w:r>
      <w:r>
        <w:rPr>
          <w:rFonts w:hint="eastAsia" w:ascii="仿宋" w:hAnsi="仿宋" w:eastAsia="仿宋" w:cs="仿宋"/>
          <w:b w:val="0"/>
          <w:bCs w:val="0"/>
          <w:color w:val="auto"/>
          <w:sz w:val="32"/>
          <w:szCs w:val="32"/>
          <w:highlight w:val="none"/>
          <w:lang w:val="en-US" w:eastAsia="zh-CN"/>
        </w:rPr>
        <w:t>543.61</w:t>
      </w:r>
      <w:r>
        <w:rPr>
          <w:rFonts w:hint="eastAsia" w:ascii="仿宋" w:hAnsi="仿宋" w:eastAsia="仿宋" w:cs="仿宋"/>
          <w:b w:val="0"/>
          <w:bCs w:val="0"/>
          <w:color w:val="auto"/>
          <w:sz w:val="32"/>
          <w:szCs w:val="32"/>
          <w:highlight w:val="none"/>
        </w:rPr>
        <w:t>万元</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rPr>
        <w:t>支出决算为</w:t>
      </w:r>
      <w:r>
        <w:rPr>
          <w:rFonts w:hint="eastAsia" w:ascii="仿宋" w:hAnsi="仿宋" w:eastAsia="仿宋" w:cs="仿宋"/>
          <w:b w:val="0"/>
          <w:bCs w:val="0"/>
          <w:color w:val="auto"/>
          <w:sz w:val="32"/>
          <w:szCs w:val="32"/>
          <w:highlight w:val="none"/>
          <w:lang w:val="en-US" w:eastAsia="zh-CN"/>
        </w:rPr>
        <w:t>526.78</w:t>
      </w:r>
      <w:r>
        <w:rPr>
          <w:rFonts w:hint="eastAsia" w:ascii="仿宋" w:hAnsi="仿宋" w:eastAsia="仿宋" w:cs="仿宋"/>
          <w:b w:val="0"/>
          <w:bCs w:val="0"/>
          <w:color w:val="auto"/>
          <w:sz w:val="32"/>
          <w:szCs w:val="32"/>
          <w:highlight w:val="none"/>
        </w:rPr>
        <w:t>万元，完成年初预算的</w:t>
      </w:r>
      <w:r>
        <w:rPr>
          <w:rFonts w:hint="eastAsia" w:ascii="仿宋" w:hAnsi="仿宋" w:eastAsia="仿宋" w:cs="仿宋"/>
          <w:b w:val="0"/>
          <w:bCs w:val="0"/>
          <w:color w:val="auto"/>
          <w:sz w:val="32"/>
          <w:szCs w:val="32"/>
          <w:highlight w:val="none"/>
          <w:lang w:val="en-US" w:eastAsia="zh-CN"/>
        </w:rPr>
        <w:t>96.90</w:t>
      </w:r>
      <w:r>
        <w:rPr>
          <w:rFonts w:hint="eastAsia" w:ascii="仿宋" w:hAnsi="仿宋" w:eastAsia="仿宋" w:cs="仿宋"/>
          <w:b w:val="0"/>
          <w:bCs w:val="0"/>
          <w:color w:val="auto"/>
          <w:sz w:val="32"/>
          <w:szCs w:val="32"/>
          <w:highlight w:val="none"/>
        </w:rPr>
        <w:t>%，决算数小于年初预算数的主要原因是：严格执行中央八项规定，</w:t>
      </w:r>
      <w:r>
        <w:rPr>
          <w:rFonts w:hint="eastAsia" w:ascii="仿宋" w:hAnsi="仿宋" w:eastAsia="仿宋" w:cs="仿宋"/>
          <w:b w:val="0"/>
          <w:bCs w:val="0"/>
          <w:color w:val="auto"/>
          <w:sz w:val="32"/>
          <w:szCs w:val="32"/>
          <w:highlight w:val="none"/>
          <w:lang w:eastAsia="zh-CN"/>
        </w:rPr>
        <w:t>厉</w:t>
      </w:r>
      <w:r>
        <w:rPr>
          <w:rFonts w:hint="eastAsia" w:ascii="仿宋" w:hAnsi="仿宋" w:eastAsia="仿宋" w:cs="仿宋"/>
          <w:b w:val="0"/>
          <w:bCs w:val="0"/>
          <w:color w:val="auto"/>
          <w:sz w:val="32"/>
          <w:szCs w:val="32"/>
          <w:highlight w:val="none"/>
        </w:rPr>
        <w:t>行节约，控制各项不必要的开支。其中：人员经费</w:t>
      </w:r>
      <w:r>
        <w:rPr>
          <w:rFonts w:hint="eastAsia" w:ascii="仿宋" w:hAnsi="仿宋" w:eastAsia="仿宋" w:cs="仿宋"/>
          <w:b w:val="0"/>
          <w:bCs w:val="0"/>
          <w:color w:val="auto"/>
          <w:sz w:val="32"/>
          <w:szCs w:val="32"/>
          <w:highlight w:val="none"/>
          <w:lang w:val="en-US" w:eastAsia="zh-CN"/>
        </w:rPr>
        <w:t>450.57</w:t>
      </w:r>
      <w:r>
        <w:rPr>
          <w:rFonts w:hint="eastAsia" w:ascii="仿宋" w:hAnsi="仿宋" w:eastAsia="仿宋" w:cs="仿宋"/>
          <w:b w:val="0"/>
          <w:bCs w:val="0"/>
          <w:color w:val="auto"/>
          <w:sz w:val="32"/>
          <w:szCs w:val="32"/>
          <w:highlight w:val="none"/>
        </w:rPr>
        <w:t>万元，占基本支出的</w:t>
      </w:r>
      <w:r>
        <w:rPr>
          <w:rFonts w:hint="eastAsia" w:ascii="仿宋" w:hAnsi="仿宋" w:eastAsia="仿宋" w:cs="仿宋"/>
          <w:b w:val="0"/>
          <w:bCs w:val="0"/>
          <w:color w:val="auto"/>
          <w:sz w:val="32"/>
          <w:szCs w:val="32"/>
          <w:highlight w:val="none"/>
          <w:lang w:val="en-US" w:eastAsia="zh-CN"/>
        </w:rPr>
        <w:t>85.53</w:t>
      </w:r>
      <w:r>
        <w:rPr>
          <w:rFonts w:hint="eastAsia" w:ascii="仿宋" w:hAnsi="仿宋" w:eastAsia="仿宋" w:cs="仿宋"/>
          <w:b w:val="0"/>
          <w:bCs w:val="0"/>
          <w:color w:val="auto"/>
          <w:sz w:val="32"/>
          <w:szCs w:val="32"/>
          <w:highlight w:val="none"/>
        </w:rPr>
        <w:t>%，主要包括基本工资、津贴补贴、奖金、机关事业单位基本养老保险缴费、职工基本医疗保险缴费、住房公积金、其它工资福利支出</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rPr>
        <w:t>抚恤金等</w:t>
      </w:r>
      <w:r>
        <w:rPr>
          <w:rFonts w:hint="eastAsia" w:ascii="仿宋" w:hAnsi="仿宋" w:eastAsia="仿宋" w:cs="仿宋"/>
          <w:b w:val="0"/>
          <w:bCs w:val="0"/>
          <w:color w:val="auto"/>
          <w:sz w:val="32"/>
          <w:szCs w:val="32"/>
          <w:highlight w:val="none"/>
          <w:shd w:val="clear" w:color="auto" w:fill="FFFFFF"/>
        </w:rPr>
        <w:t>对个人和家庭补助支出</w:t>
      </w:r>
      <w:r>
        <w:rPr>
          <w:rFonts w:hint="eastAsia" w:ascii="仿宋" w:hAnsi="仿宋" w:eastAsia="仿宋" w:cs="仿宋"/>
          <w:b w:val="0"/>
          <w:bCs w:val="0"/>
          <w:color w:val="auto"/>
          <w:sz w:val="32"/>
          <w:szCs w:val="32"/>
          <w:highlight w:val="none"/>
          <w:shd w:val="clear" w:color="auto" w:fill="FFFFFF"/>
          <w:lang w:eastAsia="zh-CN"/>
        </w:rPr>
        <w:t>；</w:t>
      </w:r>
      <w:r>
        <w:rPr>
          <w:rFonts w:hint="eastAsia" w:ascii="仿宋" w:hAnsi="仿宋" w:eastAsia="仿宋" w:cs="仿宋"/>
          <w:b w:val="0"/>
          <w:bCs w:val="0"/>
          <w:color w:val="auto"/>
          <w:sz w:val="32"/>
          <w:szCs w:val="32"/>
          <w:highlight w:val="none"/>
        </w:rPr>
        <w:t>公用经费</w:t>
      </w:r>
      <w:r>
        <w:rPr>
          <w:rFonts w:hint="eastAsia" w:ascii="仿宋" w:hAnsi="仿宋" w:eastAsia="仿宋" w:cs="仿宋"/>
          <w:b w:val="0"/>
          <w:bCs w:val="0"/>
          <w:color w:val="auto"/>
          <w:sz w:val="32"/>
          <w:szCs w:val="32"/>
          <w:highlight w:val="none"/>
          <w:lang w:val="en-US" w:eastAsia="zh-CN"/>
        </w:rPr>
        <w:t>76.21</w:t>
      </w:r>
      <w:r>
        <w:rPr>
          <w:rFonts w:hint="eastAsia" w:ascii="仿宋" w:hAnsi="仿宋" w:eastAsia="仿宋" w:cs="仿宋"/>
          <w:b w:val="0"/>
          <w:bCs w:val="0"/>
          <w:color w:val="auto"/>
          <w:sz w:val="32"/>
          <w:szCs w:val="32"/>
          <w:highlight w:val="none"/>
        </w:rPr>
        <w:t>万元，占基本支出的</w:t>
      </w:r>
      <w:r>
        <w:rPr>
          <w:rFonts w:hint="eastAsia" w:ascii="仿宋" w:hAnsi="仿宋" w:eastAsia="仿宋" w:cs="仿宋"/>
          <w:b w:val="0"/>
          <w:bCs w:val="0"/>
          <w:color w:val="auto"/>
          <w:sz w:val="32"/>
          <w:szCs w:val="32"/>
          <w:highlight w:val="none"/>
          <w:lang w:val="en-US" w:eastAsia="zh-CN"/>
        </w:rPr>
        <w:t>14.47</w:t>
      </w:r>
      <w:r>
        <w:rPr>
          <w:rFonts w:hint="eastAsia" w:ascii="仿宋" w:hAnsi="仿宋" w:eastAsia="仿宋" w:cs="仿宋"/>
          <w:b w:val="0"/>
          <w:bCs w:val="0"/>
          <w:color w:val="auto"/>
          <w:sz w:val="32"/>
          <w:szCs w:val="32"/>
          <w:highlight w:val="none"/>
        </w:rPr>
        <w:t>%，主要包括办公费、印刷费、差旅费、会议费、培训费、劳务费、工会经费、其他商品和服务支出等。</w:t>
      </w:r>
    </w:p>
    <w:p w14:paraId="0491D82D">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楷体" w:hAnsi="楷体" w:eastAsia="楷体" w:cs="楷体"/>
          <w:b/>
          <w:bCs/>
          <w:color w:val="auto"/>
          <w:sz w:val="32"/>
          <w:szCs w:val="32"/>
          <w:highlight w:val="none"/>
          <w:lang w:eastAsia="zh-CN"/>
        </w:rPr>
      </w:pPr>
      <w:r>
        <w:rPr>
          <w:rFonts w:hint="eastAsia" w:ascii="楷体" w:hAnsi="楷体" w:eastAsia="楷体" w:cs="楷体"/>
          <w:b/>
          <w:bCs/>
          <w:color w:val="auto"/>
          <w:sz w:val="32"/>
          <w:szCs w:val="32"/>
          <w:highlight w:val="none"/>
          <w:lang w:eastAsia="zh-CN"/>
        </w:rPr>
        <w:t>（二）项目支出</w:t>
      </w:r>
    </w:p>
    <w:p w14:paraId="13367364">
      <w:pPr>
        <w:pStyle w:val="17"/>
        <w:keepNext w:val="0"/>
        <w:keepLines w:val="0"/>
        <w:pageBreakBefore w:val="0"/>
        <w:numPr>
          <w:ilvl w:val="0"/>
          <w:numId w:val="0"/>
        </w:numPr>
        <w:shd w:val="clear"/>
        <w:kinsoku/>
        <w:wordWrap/>
        <w:overflowPunct/>
        <w:topLinePunct w:val="0"/>
        <w:bidi w:val="0"/>
        <w:snapToGrid/>
        <w:spacing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val="en-US"/>
        </w:rPr>
        <w:t>2024</w:t>
      </w:r>
      <w:r>
        <w:rPr>
          <w:rFonts w:hint="eastAsia" w:ascii="仿宋" w:hAnsi="仿宋" w:eastAsia="仿宋" w:cs="仿宋"/>
          <w:b w:val="0"/>
          <w:bCs w:val="0"/>
          <w:color w:val="auto"/>
          <w:sz w:val="32"/>
          <w:szCs w:val="32"/>
          <w:highlight w:val="none"/>
        </w:rPr>
        <w:t>年度年初</w:t>
      </w:r>
      <w:r>
        <w:rPr>
          <w:rFonts w:hint="eastAsia" w:ascii="仿宋" w:hAnsi="仿宋" w:eastAsia="仿宋" w:cs="仿宋"/>
          <w:b w:val="0"/>
          <w:bCs w:val="0"/>
          <w:color w:val="auto"/>
          <w:sz w:val="32"/>
          <w:szCs w:val="32"/>
          <w:highlight w:val="none"/>
          <w:lang w:eastAsia="zh-CN"/>
        </w:rPr>
        <w:t>一般公共预算</w:t>
      </w:r>
      <w:r>
        <w:rPr>
          <w:rFonts w:hint="eastAsia" w:ascii="仿宋" w:hAnsi="仿宋" w:eastAsia="仿宋" w:cs="仿宋"/>
          <w:b w:val="0"/>
          <w:bCs w:val="0"/>
          <w:color w:val="auto"/>
          <w:sz w:val="32"/>
          <w:szCs w:val="32"/>
          <w:highlight w:val="none"/>
        </w:rPr>
        <w:t>财政拨款</w:t>
      </w:r>
      <w:r>
        <w:rPr>
          <w:rFonts w:hint="eastAsia" w:ascii="仿宋" w:hAnsi="仿宋" w:eastAsia="仿宋" w:cs="仿宋"/>
          <w:b w:val="0"/>
          <w:bCs w:val="0"/>
          <w:color w:val="auto"/>
          <w:sz w:val="32"/>
          <w:szCs w:val="32"/>
          <w:highlight w:val="none"/>
          <w:lang w:eastAsia="zh-CN"/>
        </w:rPr>
        <w:t>安排项目资金</w:t>
      </w:r>
      <w:r>
        <w:rPr>
          <w:rFonts w:hint="eastAsia" w:ascii="仿宋" w:hAnsi="仿宋" w:eastAsia="仿宋" w:cs="仿宋"/>
          <w:b w:val="0"/>
          <w:bCs w:val="0"/>
          <w:color w:val="auto"/>
          <w:sz w:val="32"/>
          <w:szCs w:val="32"/>
          <w:highlight w:val="none"/>
        </w:rPr>
        <w:t>预算支出</w:t>
      </w:r>
      <w:r>
        <w:rPr>
          <w:rFonts w:hint="eastAsia" w:ascii="仿宋" w:hAnsi="仿宋" w:eastAsia="仿宋" w:cs="仿宋"/>
          <w:b w:val="0"/>
          <w:bCs w:val="0"/>
          <w:color w:val="auto"/>
          <w:sz w:val="32"/>
          <w:szCs w:val="32"/>
          <w:highlight w:val="none"/>
          <w:lang w:eastAsia="zh-CN"/>
        </w:rPr>
        <w:t>总计</w:t>
      </w:r>
      <w:r>
        <w:rPr>
          <w:rFonts w:hint="eastAsia" w:ascii="仿宋" w:hAnsi="仿宋" w:eastAsia="仿宋" w:cs="仿宋"/>
          <w:b w:val="0"/>
          <w:bCs w:val="0"/>
          <w:color w:val="auto"/>
          <w:sz w:val="32"/>
          <w:szCs w:val="32"/>
          <w:highlight w:val="none"/>
        </w:rPr>
        <w:t>为</w:t>
      </w:r>
      <w:r>
        <w:rPr>
          <w:rFonts w:hint="eastAsia" w:ascii="仿宋" w:hAnsi="仿宋" w:eastAsia="仿宋" w:cs="仿宋"/>
          <w:b w:val="0"/>
          <w:bCs w:val="0"/>
          <w:color w:val="auto"/>
          <w:sz w:val="32"/>
          <w:szCs w:val="32"/>
          <w:highlight w:val="none"/>
          <w:lang w:val="en-US" w:eastAsia="zh-CN"/>
        </w:rPr>
        <w:t>208.3</w:t>
      </w:r>
      <w:r>
        <w:rPr>
          <w:rFonts w:hint="eastAsia" w:ascii="仿宋" w:hAnsi="仿宋" w:eastAsia="仿宋" w:cs="仿宋"/>
          <w:b w:val="0"/>
          <w:bCs w:val="0"/>
          <w:color w:val="auto"/>
          <w:sz w:val="32"/>
          <w:szCs w:val="32"/>
          <w:highlight w:val="none"/>
        </w:rPr>
        <w:t>万元，支出决算</w:t>
      </w:r>
      <w:r>
        <w:rPr>
          <w:rFonts w:hint="eastAsia" w:ascii="仿宋" w:hAnsi="仿宋" w:eastAsia="仿宋" w:cs="仿宋"/>
          <w:b w:val="0"/>
          <w:bCs w:val="0"/>
          <w:color w:val="auto"/>
          <w:sz w:val="32"/>
          <w:szCs w:val="32"/>
          <w:highlight w:val="none"/>
          <w:lang w:eastAsia="zh-CN"/>
        </w:rPr>
        <w:t>总计</w:t>
      </w:r>
      <w:r>
        <w:rPr>
          <w:rFonts w:hint="eastAsia" w:ascii="仿宋" w:hAnsi="仿宋" w:eastAsia="仿宋" w:cs="仿宋"/>
          <w:b w:val="0"/>
          <w:bCs w:val="0"/>
          <w:color w:val="auto"/>
          <w:sz w:val="32"/>
          <w:szCs w:val="32"/>
          <w:highlight w:val="none"/>
        </w:rPr>
        <w:t>为</w:t>
      </w:r>
      <w:r>
        <w:rPr>
          <w:rFonts w:hint="eastAsia" w:ascii="仿宋" w:hAnsi="仿宋" w:eastAsia="仿宋" w:cs="仿宋"/>
          <w:b w:val="0"/>
          <w:bCs w:val="0"/>
          <w:color w:val="auto"/>
          <w:sz w:val="32"/>
          <w:szCs w:val="32"/>
          <w:highlight w:val="none"/>
          <w:lang w:val="en-US" w:eastAsia="zh-CN"/>
        </w:rPr>
        <w:t>164.22</w:t>
      </w:r>
      <w:r>
        <w:rPr>
          <w:rFonts w:hint="eastAsia" w:ascii="仿宋" w:hAnsi="仿宋" w:eastAsia="仿宋" w:cs="仿宋"/>
          <w:b w:val="0"/>
          <w:bCs w:val="0"/>
          <w:color w:val="auto"/>
          <w:sz w:val="32"/>
          <w:szCs w:val="32"/>
          <w:highlight w:val="none"/>
        </w:rPr>
        <w:t>万元，完成年初预算的</w:t>
      </w:r>
      <w:r>
        <w:rPr>
          <w:rFonts w:hint="eastAsia" w:ascii="仿宋" w:hAnsi="仿宋" w:eastAsia="仿宋" w:cs="仿宋"/>
          <w:b w:val="0"/>
          <w:bCs w:val="0"/>
          <w:color w:val="auto"/>
          <w:sz w:val="32"/>
          <w:szCs w:val="32"/>
          <w:highlight w:val="none"/>
          <w:lang w:val="en-US" w:eastAsia="zh-CN"/>
        </w:rPr>
        <w:t>79.94</w:t>
      </w:r>
      <w:r>
        <w:rPr>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shd w:val="clear" w:color="auto" w:fill="FFFFFF"/>
          <w:lang w:eastAsia="zh-CN"/>
        </w:rPr>
        <w:t>，主要用于召开</w:t>
      </w:r>
      <w:r>
        <w:rPr>
          <w:rFonts w:hint="eastAsia" w:ascii="仿宋" w:hAnsi="仿宋" w:eastAsia="仿宋" w:cs="仿宋"/>
          <w:b w:val="0"/>
          <w:bCs w:val="0"/>
          <w:color w:val="auto"/>
          <w:sz w:val="32"/>
          <w:szCs w:val="32"/>
          <w:highlight w:val="none"/>
        </w:rPr>
        <w:t>包括政协全体会议、常务委员会会议、主席会议、主席办公会议、专题协商会议等会议支出</w:t>
      </w:r>
      <w:r>
        <w:rPr>
          <w:rFonts w:hint="eastAsia" w:ascii="仿宋" w:hAnsi="仿宋" w:eastAsia="仿宋" w:cs="仿宋"/>
          <w:b w:val="0"/>
          <w:bCs w:val="0"/>
          <w:color w:val="auto"/>
          <w:sz w:val="32"/>
          <w:szCs w:val="32"/>
          <w:highlight w:val="none"/>
          <w:shd w:val="clear" w:color="auto" w:fill="FFFFFF"/>
          <w:lang w:eastAsia="zh-CN"/>
        </w:rPr>
        <w:t>、</w:t>
      </w:r>
      <w:r>
        <w:rPr>
          <w:rFonts w:hint="eastAsia" w:ascii="仿宋" w:hAnsi="仿宋" w:eastAsia="仿宋" w:cs="仿宋"/>
          <w:b w:val="0"/>
          <w:bCs w:val="0"/>
          <w:color w:val="auto"/>
          <w:sz w:val="32"/>
          <w:szCs w:val="32"/>
          <w:highlight w:val="none"/>
        </w:rPr>
        <w:t>政协常委履职能力提升培训</w:t>
      </w:r>
      <w:r>
        <w:rPr>
          <w:rFonts w:hint="eastAsia" w:ascii="仿宋" w:hAnsi="仿宋" w:eastAsia="仿宋" w:cs="仿宋"/>
          <w:b w:val="0"/>
          <w:bCs w:val="0"/>
          <w:color w:val="auto"/>
          <w:sz w:val="32"/>
          <w:szCs w:val="32"/>
          <w:highlight w:val="none"/>
          <w:lang w:eastAsia="zh-CN"/>
        </w:rPr>
        <w:t>支出、</w:t>
      </w:r>
      <w:r>
        <w:rPr>
          <w:rFonts w:hint="eastAsia" w:ascii="仿宋" w:hAnsi="仿宋" w:eastAsia="仿宋" w:cs="仿宋"/>
          <w:b w:val="0"/>
          <w:bCs w:val="0"/>
          <w:color w:val="auto"/>
          <w:sz w:val="32"/>
          <w:szCs w:val="32"/>
          <w:highlight w:val="none"/>
        </w:rPr>
        <w:t>政协常委</w:t>
      </w:r>
      <w:r>
        <w:rPr>
          <w:rFonts w:hint="eastAsia" w:ascii="仿宋" w:hAnsi="仿宋" w:eastAsia="仿宋" w:cs="仿宋"/>
          <w:b w:val="0"/>
          <w:bCs w:val="0"/>
          <w:color w:val="auto"/>
          <w:sz w:val="32"/>
          <w:szCs w:val="32"/>
          <w:highlight w:val="none"/>
          <w:lang w:eastAsia="zh-CN"/>
        </w:rPr>
        <w:t>委员、兼职委员、</w:t>
      </w:r>
      <w:r>
        <w:rPr>
          <w:rFonts w:hint="eastAsia" w:ascii="仿宋" w:hAnsi="仿宋" w:eastAsia="仿宋" w:cs="仿宋"/>
          <w:b w:val="0"/>
          <w:bCs w:val="0"/>
          <w:color w:val="auto"/>
          <w:sz w:val="32"/>
          <w:szCs w:val="32"/>
          <w:highlight w:val="none"/>
        </w:rPr>
        <w:t>政协委员履职</w:t>
      </w:r>
      <w:r>
        <w:rPr>
          <w:rFonts w:hint="eastAsia" w:ascii="仿宋" w:hAnsi="仿宋" w:eastAsia="仿宋" w:cs="仿宋"/>
          <w:b w:val="0"/>
          <w:bCs w:val="0"/>
          <w:color w:val="auto"/>
          <w:sz w:val="32"/>
          <w:szCs w:val="32"/>
          <w:highlight w:val="none"/>
          <w:lang w:eastAsia="zh-CN"/>
        </w:rPr>
        <w:t>调研活动支出，与上年相比减少了</w:t>
      </w:r>
      <w:r>
        <w:rPr>
          <w:rFonts w:hint="eastAsia" w:ascii="仿宋" w:hAnsi="仿宋" w:eastAsia="仿宋" w:cs="仿宋"/>
          <w:b w:val="0"/>
          <w:bCs w:val="0"/>
          <w:color w:val="auto"/>
          <w:sz w:val="32"/>
          <w:szCs w:val="32"/>
          <w:highlight w:val="none"/>
          <w:lang w:val="en-US" w:eastAsia="zh-CN"/>
        </w:rPr>
        <w:t>3.11%，</w:t>
      </w:r>
      <w:r>
        <w:rPr>
          <w:rFonts w:hint="eastAsia" w:ascii="仿宋" w:hAnsi="仿宋" w:eastAsia="仿宋" w:cs="仿宋"/>
          <w:b w:val="0"/>
          <w:bCs w:val="0"/>
          <w:color w:val="auto"/>
          <w:sz w:val="32"/>
          <w:szCs w:val="32"/>
          <w:highlight w:val="none"/>
        </w:rPr>
        <w:t>主要原因是：严格执行中央八项规定，历行节约，</w:t>
      </w:r>
      <w:r>
        <w:rPr>
          <w:rFonts w:hint="eastAsia" w:ascii="仿宋" w:hAnsi="仿宋" w:eastAsia="仿宋" w:cs="仿宋"/>
          <w:b w:val="0"/>
          <w:bCs w:val="0"/>
          <w:color w:val="auto"/>
          <w:sz w:val="32"/>
          <w:szCs w:val="32"/>
          <w:highlight w:val="none"/>
          <w:lang w:eastAsia="zh-CN"/>
        </w:rPr>
        <w:t>严格</w:t>
      </w:r>
      <w:r>
        <w:rPr>
          <w:rFonts w:hint="eastAsia" w:ascii="仿宋" w:hAnsi="仿宋" w:eastAsia="仿宋" w:cs="仿宋"/>
          <w:b w:val="0"/>
          <w:bCs w:val="0"/>
          <w:color w:val="auto"/>
          <w:sz w:val="32"/>
          <w:szCs w:val="32"/>
          <w:highlight w:val="none"/>
        </w:rPr>
        <w:t>控制各项开支。</w:t>
      </w:r>
    </w:p>
    <w:p w14:paraId="6F445472">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2、项目资金安排和实际使用情况分析</w:t>
      </w:r>
    </w:p>
    <w:p w14:paraId="7DE058EA">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（1）一般公共服务支出（201）政协事务（20102）一般行政管理事务（2010202）</w:t>
      </w:r>
    </w:p>
    <w:p w14:paraId="2EEC4853">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rPr>
        <w:t>年初预算为</w:t>
      </w:r>
      <w:r>
        <w:rPr>
          <w:rFonts w:hint="eastAsia" w:ascii="仿宋" w:hAnsi="仿宋" w:eastAsia="仿宋" w:cs="仿宋"/>
          <w:b w:val="0"/>
          <w:bCs w:val="0"/>
          <w:color w:val="auto"/>
          <w:sz w:val="32"/>
          <w:szCs w:val="32"/>
          <w:highlight w:val="none"/>
          <w:lang w:val="en-US" w:eastAsia="zh-CN"/>
        </w:rPr>
        <w:t>208.3</w:t>
      </w:r>
      <w:r>
        <w:rPr>
          <w:rFonts w:hint="eastAsia" w:ascii="仿宋" w:hAnsi="仿宋" w:eastAsia="仿宋" w:cs="仿宋"/>
          <w:b w:val="0"/>
          <w:bCs w:val="0"/>
          <w:color w:val="auto"/>
          <w:sz w:val="32"/>
          <w:szCs w:val="32"/>
          <w:highlight w:val="none"/>
        </w:rPr>
        <w:t>万元，支出决算为</w:t>
      </w:r>
      <w:r>
        <w:rPr>
          <w:rFonts w:hint="eastAsia" w:ascii="仿宋" w:hAnsi="仿宋" w:eastAsia="仿宋" w:cs="仿宋"/>
          <w:b w:val="0"/>
          <w:bCs w:val="0"/>
          <w:color w:val="auto"/>
          <w:sz w:val="32"/>
          <w:szCs w:val="32"/>
          <w:highlight w:val="none"/>
          <w:lang w:val="en-US" w:eastAsia="zh-CN"/>
        </w:rPr>
        <w:t>164.22</w:t>
      </w:r>
      <w:r>
        <w:rPr>
          <w:rFonts w:hint="eastAsia" w:ascii="仿宋" w:hAnsi="仿宋" w:eastAsia="仿宋" w:cs="仿宋"/>
          <w:b w:val="0"/>
          <w:bCs w:val="0"/>
          <w:color w:val="auto"/>
          <w:sz w:val="32"/>
          <w:szCs w:val="32"/>
          <w:highlight w:val="none"/>
        </w:rPr>
        <w:t>万元，完成年初预算的</w:t>
      </w:r>
      <w:r>
        <w:rPr>
          <w:rFonts w:hint="eastAsia" w:ascii="仿宋" w:hAnsi="仿宋" w:eastAsia="仿宋" w:cs="仿宋"/>
          <w:b w:val="0"/>
          <w:bCs w:val="0"/>
          <w:color w:val="auto"/>
          <w:sz w:val="32"/>
          <w:szCs w:val="32"/>
          <w:highlight w:val="none"/>
          <w:lang w:val="en-US" w:eastAsia="zh-CN"/>
        </w:rPr>
        <w:t>78.84</w:t>
      </w:r>
      <w:r>
        <w:rPr>
          <w:rFonts w:hint="eastAsia" w:ascii="仿宋" w:hAnsi="仿宋" w:eastAsia="仿宋" w:cs="仿宋"/>
          <w:b w:val="0"/>
          <w:bCs w:val="0"/>
          <w:color w:val="auto"/>
          <w:sz w:val="32"/>
          <w:szCs w:val="32"/>
          <w:highlight w:val="none"/>
        </w:rPr>
        <w:t>%，决算数</w:t>
      </w:r>
      <w:r>
        <w:rPr>
          <w:rFonts w:hint="eastAsia" w:ascii="仿宋" w:hAnsi="仿宋" w:eastAsia="仿宋" w:cs="仿宋"/>
          <w:b w:val="0"/>
          <w:bCs w:val="0"/>
          <w:color w:val="auto"/>
          <w:sz w:val="32"/>
          <w:szCs w:val="32"/>
          <w:highlight w:val="none"/>
          <w:lang w:eastAsia="zh-CN"/>
        </w:rPr>
        <w:t>大</w:t>
      </w:r>
      <w:r>
        <w:rPr>
          <w:rFonts w:hint="eastAsia" w:ascii="仿宋" w:hAnsi="仿宋" w:eastAsia="仿宋" w:cs="仿宋"/>
          <w:b w:val="0"/>
          <w:bCs w:val="0"/>
          <w:color w:val="auto"/>
          <w:sz w:val="32"/>
          <w:szCs w:val="32"/>
          <w:highlight w:val="none"/>
        </w:rPr>
        <w:t>于年初预算数的主要原因是：严格执行中央八项规定，</w:t>
      </w:r>
      <w:r>
        <w:rPr>
          <w:rFonts w:hint="eastAsia" w:ascii="仿宋" w:hAnsi="仿宋" w:eastAsia="仿宋" w:cs="仿宋"/>
          <w:b w:val="0"/>
          <w:bCs w:val="0"/>
          <w:color w:val="auto"/>
          <w:sz w:val="32"/>
          <w:szCs w:val="32"/>
          <w:highlight w:val="none"/>
          <w:lang w:eastAsia="zh-CN"/>
        </w:rPr>
        <w:t>厉</w:t>
      </w:r>
      <w:r>
        <w:rPr>
          <w:rFonts w:hint="eastAsia" w:ascii="仿宋" w:hAnsi="仿宋" w:eastAsia="仿宋" w:cs="仿宋"/>
          <w:b w:val="0"/>
          <w:bCs w:val="0"/>
          <w:color w:val="auto"/>
          <w:sz w:val="32"/>
          <w:szCs w:val="32"/>
          <w:highlight w:val="none"/>
        </w:rPr>
        <w:t>行节约，</w:t>
      </w:r>
      <w:r>
        <w:rPr>
          <w:rFonts w:hint="eastAsia" w:ascii="仿宋" w:hAnsi="仿宋" w:eastAsia="仿宋" w:cs="仿宋"/>
          <w:b w:val="0"/>
          <w:bCs w:val="0"/>
          <w:color w:val="auto"/>
          <w:sz w:val="32"/>
          <w:szCs w:val="32"/>
          <w:highlight w:val="none"/>
          <w:lang w:eastAsia="zh-CN"/>
        </w:rPr>
        <w:t>严格</w:t>
      </w:r>
      <w:r>
        <w:rPr>
          <w:rFonts w:hint="eastAsia" w:ascii="仿宋" w:hAnsi="仿宋" w:eastAsia="仿宋" w:cs="仿宋"/>
          <w:b w:val="0"/>
          <w:bCs w:val="0"/>
          <w:color w:val="auto"/>
          <w:sz w:val="32"/>
          <w:szCs w:val="32"/>
          <w:highlight w:val="none"/>
        </w:rPr>
        <w:t>控制各项开支</w:t>
      </w:r>
      <w:r>
        <w:rPr>
          <w:rFonts w:hint="eastAsia" w:ascii="仿宋" w:hAnsi="仿宋" w:eastAsia="仿宋" w:cs="仿宋"/>
          <w:b w:val="0"/>
          <w:bCs w:val="0"/>
          <w:color w:val="auto"/>
          <w:sz w:val="32"/>
          <w:szCs w:val="32"/>
          <w:highlight w:val="none"/>
          <w:lang w:eastAsia="zh-CN"/>
        </w:rPr>
        <w:t>。</w:t>
      </w:r>
    </w:p>
    <w:p w14:paraId="3D575278">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rPr>
        <w:t>）一般公共服务支出（201）政协事务（20102）其他政协事务（2010299）</w:t>
      </w:r>
    </w:p>
    <w:p w14:paraId="019B816E">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年初预算为0万元，支出决算为</w:t>
      </w:r>
      <w:r>
        <w:rPr>
          <w:rFonts w:hint="eastAsia" w:ascii="仿宋" w:hAnsi="仿宋" w:eastAsia="仿宋" w:cs="仿宋"/>
          <w:b w:val="0"/>
          <w:bCs w:val="0"/>
          <w:color w:val="auto"/>
          <w:sz w:val="32"/>
          <w:szCs w:val="32"/>
          <w:highlight w:val="none"/>
          <w:lang w:val="en-US" w:eastAsia="zh-CN"/>
        </w:rPr>
        <w:t>2.31</w:t>
      </w:r>
      <w:r>
        <w:rPr>
          <w:rFonts w:hint="eastAsia" w:ascii="仿宋" w:hAnsi="仿宋" w:eastAsia="仿宋" w:cs="仿宋"/>
          <w:b w:val="0"/>
          <w:bCs w:val="0"/>
          <w:color w:val="auto"/>
          <w:sz w:val="32"/>
          <w:szCs w:val="32"/>
          <w:highlight w:val="none"/>
        </w:rPr>
        <w:t>万元，决算数大于年初预算数的主要原因是：工作需要，追加预算。</w:t>
      </w:r>
    </w:p>
    <w:p w14:paraId="78CB5CC6">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3.项目资金绩效情况分析，包括产出、效益情况等</w:t>
      </w:r>
    </w:p>
    <w:p w14:paraId="0CF31E50">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kern w:val="0"/>
          <w:sz w:val="32"/>
          <w:szCs w:val="32"/>
          <w:highlight w:val="none"/>
          <w:lang w:val="en-US" w:eastAsia="zh-CN"/>
        </w:rPr>
        <w:t>2025</w:t>
      </w:r>
      <w:r>
        <w:rPr>
          <w:rFonts w:hint="eastAsia" w:ascii="仿宋" w:hAnsi="仿宋" w:eastAsia="仿宋" w:cs="仿宋"/>
          <w:b w:val="0"/>
          <w:bCs w:val="0"/>
          <w:color w:val="auto"/>
          <w:kern w:val="0"/>
          <w:sz w:val="32"/>
          <w:szCs w:val="32"/>
          <w:highlight w:val="none"/>
        </w:rPr>
        <w:t>年度召开全会1次、</w:t>
      </w:r>
      <w:r>
        <w:rPr>
          <w:rFonts w:hint="eastAsia" w:ascii="仿宋" w:hAnsi="仿宋" w:eastAsia="仿宋" w:cs="仿宋"/>
          <w:b w:val="0"/>
          <w:bCs w:val="0"/>
          <w:color w:val="auto"/>
          <w:kern w:val="0"/>
          <w:sz w:val="32"/>
          <w:szCs w:val="32"/>
          <w:highlight w:val="none"/>
          <w:lang w:eastAsia="zh-CN"/>
        </w:rPr>
        <w:t>政协党组、</w:t>
      </w:r>
      <w:r>
        <w:rPr>
          <w:rFonts w:hint="eastAsia" w:ascii="仿宋" w:hAnsi="仿宋" w:eastAsia="仿宋" w:cs="仿宋"/>
          <w:b w:val="0"/>
          <w:bCs w:val="0"/>
          <w:color w:val="auto"/>
          <w:kern w:val="0"/>
          <w:sz w:val="32"/>
          <w:szCs w:val="32"/>
          <w:highlight w:val="none"/>
        </w:rPr>
        <w:t>主席会议1</w:t>
      </w:r>
      <w:r>
        <w:rPr>
          <w:rFonts w:hint="eastAsia" w:ascii="仿宋" w:hAnsi="仿宋" w:eastAsia="仿宋" w:cs="仿宋"/>
          <w:b w:val="0"/>
          <w:bCs w:val="0"/>
          <w:color w:val="auto"/>
          <w:kern w:val="0"/>
          <w:sz w:val="32"/>
          <w:szCs w:val="32"/>
          <w:highlight w:val="none"/>
          <w:lang w:val="en-US" w:eastAsia="zh-CN"/>
        </w:rPr>
        <w:t>2</w:t>
      </w:r>
      <w:r>
        <w:rPr>
          <w:rFonts w:hint="eastAsia" w:ascii="仿宋" w:hAnsi="仿宋" w:eastAsia="仿宋" w:cs="仿宋"/>
          <w:b w:val="0"/>
          <w:bCs w:val="0"/>
          <w:color w:val="auto"/>
          <w:kern w:val="0"/>
          <w:sz w:val="32"/>
          <w:szCs w:val="32"/>
          <w:highlight w:val="none"/>
        </w:rPr>
        <w:t>次、常委会议4次；“双月协商”</w:t>
      </w:r>
      <w:r>
        <w:rPr>
          <w:rFonts w:hint="eastAsia" w:ascii="仿宋" w:hAnsi="仿宋" w:eastAsia="仿宋" w:cs="仿宋"/>
          <w:b w:val="0"/>
          <w:bCs w:val="0"/>
          <w:color w:val="auto"/>
          <w:kern w:val="0"/>
          <w:sz w:val="32"/>
          <w:szCs w:val="32"/>
          <w:highlight w:val="none"/>
          <w:lang w:val="en-US" w:eastAsia="zh-CN"/>
        </w:rPr>
        <w:t>3</w:t>
      </w:r>
      <w:r>
        <w:rPr>
          <w:rFonts w:hint="eastAsia" w:ascii="仿宋" w:hAnsi="仿宋" w:eastAsia="仿宋" w:cs="仿宋"/>
          <w:b w:val="0"/>
          <w:bCs w:val="0"/>
          <w:color w:val="auto"/>
          <w:kern w:val="0"/>
          <w:sz w:val="32"/>
          <w:szCs w:val="32"/>
          <w:highlight w:val="none"/>
        </w:rPr>
        <w:t>次；专题协商</w:t>
      </w:r>
      <w:r>
        <w:rPr>
          <w:rFonts w:hint="eastAsia" w:ascii="仿宋" w:hAnsi="仿宋" w:eastAsia="仿宋" w:cs="仿宋"/>
          <w:b w:val="0"/>
          <w:bCs w:val="0"/>
          <w:color w:val="auto"/>
          <w:kern w:val="0"/>
          <w:sz w:val="32"/>
          <w:szCs w:val="32"/>
          <w:highlight w:val="none"/>
          <w:lang w:val="en-US" w:eastAsia="zh-CN"/>
        </w:rPr>
        <w:t>2</w:t>
      </w:r>
      <w:r>
        <w:rPr>
          <w:rFonts w:hint="eastAsia" w:ascii="仿宋" w:hAnsi="仿宋" w:eastAsia="仿宋" w:cs="仿宋"/>
          <w:b w:val="0"/>
          <w:bCs w:val="0"/>
          <w:color w:val="auto"/>
          <w:kern w:val="0"/>
          <w:sz w:val="32"/>
          <w:szCs w:val="32"/>
          <w:highlight w:val="none"/>
        </w:rPr>
        <w:t>次；重点提案督办</w:t>
      </w:r>
      <w:r>
        <w:rPr>
          <w:rFonts w:hint="eastAsia" w:ascii="仿宋" w:hAnsi="仿宋" w:eastAsia="仿宋" w:cs="仿宋"/>
          <w:b w:val="0"/>
          <w:bCs w:val="0"/>
          <w:color w:val="auto"/>
          <w:kern w:val="0"/>
          <w:sz w:val="32"/>
          <w:szCs w:val="32"/>
          <w:highlight w:val="none"/>
          <w:lang w:val="en-US" w:eastAsia="zh-CN"/>
        </w:rPr>
        <w:t>28场</w:t>
      </w:r>
      <w:r>
        <w:rPr>
          <w:rFonts w:hint="eastAsia" w:ascii="仿宋" w:hAnsi="仿宋" w:eastAsia="仿宋" w:cs="仿宋"/>
          <w:b w:val="0"/>
          <w:bCs w:val="0"/>
          <w:color w:val="auto"/>
          <w:kern w:val="0"/>
          <w:sz w:val="32"/>
          <w:szCs w:val="32"/>
          <w:highlight w:val="none"/>
        </w:rPr>
        <w:t>次；组织市政协常委赴外地考察交流</w:t>
      </w:r>
      <w:r>
        <w:rPr>
          <w:rFonts w:hint="eastAsia" w:ascii="仿宋" w:hAnsi="仿宋" w:eastAsia="仿宋" w:cs="仿宋"/>
          <w:b w:val="0"/>
          <w:bCs w:val="0"/>
          <w:color w:val="auto"/>
          <w:kern w:val="0"/>
          <w:sz w:val="32"/>
          <w:szCs w:val="32"/>
          <w:highlight w:val="none"/>
          <w:lang w:val="en-US" w:eastAsia="zh-CN"/>
        </w:rPr>
        <w:t>6</w:t>
      </w:r>
      <w:r>
        <w:rPr>
          <w:rFonts w:hint="eastAsia" w:ascii="仿宋" w:hAnsi="仿宋" w:eastAsia="仿宋" w:cs="仿宋"/>
          <w:b w:val="0"/>
          <w:bCs w:val="0"/>
          <w:color w:val="auto"/>
          <w:kern w:val="0"/>
          <w:sz w:val="32"/>
          <w:szCs w:val="32"/>
          <w:highlight w:val="none"/>
        </w:rPr>
        <w:t>批次；组织政协常委及界别组长</w:t>
      </w:r>
      <w:r>
        <w:rPr>
          <w:rFonts w:hint="eastAsia" w:ascii="仿宋" w:hAnsi="仿宋" w:eastAsia="仿宋" w:cs="仿宋"/>
          <w:b w:val="0"/>
          <w:bCs w:val="0"/>
          <w:color w:val="auto"/>
          <w:kern w:val="0"/>
          <w:sz w:val="32"/>
          <w:szCs w:val="32"/>
          <w:highlight w:val="none"/>
          <w:lang w:eastAsia="zh-CN"/>
        </w:rPr>
        <w:t>到厦门大学</w:t>
      </w:r>
      <w:r>
        <w:rPr>
          <w:rFonts w:hint="eastAsia" w:ascii="仿宋" w:hAnsi="仿宋" w:eastAsia="仿宋" w:cs="仿宋"/>
          <w:b w:val="0"/>
          <w:bCs w:val="0"/>
          <w:color w:val="auto"/>
          <w:kern w:val="0"/>
          <w:sz w:val="32"/>
          <w:szCs w:val="32"/>
          <w:highlight w:val="none"/>
        </w:rPr>
        <w:t>进行</w:t>
      </w:r>
      <w:r>
        <w:rPr>
          <w:rFonts w:hint="eastAsia" w:ascii="仿宋" w:hAnsi="仿宋" w:eastAsia="仿宋" w:cs="仿宋"/>
          <w:b w:val="0"/>
          <w:bCs w:val="0"/>
          <w:color w:val="auto"/>
          <w:kern w:val="0"/>
          <w:sz w:val="32"/>
          <w:szCs w:val="32"/>
          <w:highlight w:val="none"/>
          <w:lang w:eastAsia="zh-CN"/>
        </w:rPr>
        <w:t>履职能力提升</w:t>
      </w:r>
      <w:r>
        <w:rPr>
          <w:rFonts w:hint="eastAsia" w:ascii="仿宋" w:hAnsi="仿宋" w:eastAsia="仿宋" w:cs="仿宋"/>
          <w:b w:val="0"/>
          <w:bCs w:val="0"/>
          <w:color w:val="auto"/>
          <w:kern w:val="0"/>
          <w:sz w:val="32"/>
          <w:szCs w:val="32"/>
          <w:highlight w:val="none"/>
        </w:rPr>
        <w:t>培训1次；</w:t>
      </w:r>
      <w:r>
        <w:rPr>
          <w:rFonts w:hint="eastAsia" w:ascii="仿宋" w:hAnsi="仿宋" w:eastAsia="仿宋" w:cs="仿宋"/>
          <w:b w:val="0"/>
          <w:bCs w:val="0"/>
          <w:color w:val="auto"/>
          <w:sz w:val="32"/>
          <w:szCs w:val="32"/>
          <w:highlight w:val="none"/>
          <w:lang w:eastAsia="zh-CN"/>
        </w:rPr>
        <w:t>立案</w:t>
      </w:r>
      <w:r>
        <w:rPr>
          <w:rFonts w:hint="eastAsia" w:ascii="仿宋" w:hAnsi="仿宋" w:eastAsia="仿宋" w:cs="仿宋"/>
          <w:b w:val="0"/>
          <w:bCs w:val="0"/>
          <w:color w:val="auto"/>
          <w:sz w:val="32"/>
          <w:szCs w:val="32"/>
          <w:highlight w:val="none"/>
        </w:rPr>
        <w:t>提案</w:t>
      </w:r>
      <w:r>
        <w:rPr>
          <w:rFonts w:hint="eastAsia" w:ascii="仿宋" w:hAnsi="仿宋" w:eastAsia="仿宋" w:cs="仿宋"/>
          <w:b w:val="0"/>
          <w:bCs w:val="0"/>
          <w:color w:val="auto"/>
          <w:sz w:val="32"/>
          <w:szCs w:val="32"/>
          <w:highlight w:val="none"/>
          <w:lang w:val="en-US" w:eastAsia="zh-CN"/>
        </w:rPr>
        <w:t>206</w:t>
      </w:r>
      <w:r>
        <w:rPr>
          <w:rFonts w:hint="eastAsia" w:ascii="仿宋" w:hAnsi="仿宋" w:eastAsia="仿宋" w:cs="仿宋"/>
          <w:b w:val="0"/>
          <w:bCs w:val="0"/>
          <w:color w:val="auto"/>
          <w:sz w:val="32"/>
          <w:szCs w:val="32"/>
          <w:highlight w:val="none"/>
        </w:rPr>
        <w:t>件；撰写调研报告</w:t>
      </w:r>
      <w:r>
        <w:rPr>
          <w:rFonts w:hint="eastAsia" w:ascii="仿宋" w:hAnsi="仿宋" w:eastAsia="仿宋" w:cs="仿宋"/>
          <w:b w:val="0"/>
          <w:bCs w:val="0"/>
          <w:color w:val="auto"/>
          <w:sz w:val="32"/>
          <w:szCs w:val="32"/>
          <w:highlight w:val="none"/>
          <w:lang w:val="en-US" w:eastAsia="zh-CN"/>
        </w:rPr>
        <w:t>7</w:t>
      </w:r>
      <w:r>
        <w:rPr>
          <w:rFonts w:hint="eastAsia" w:ascii="仿宋" w:hAnsi="仿宋" w:eastAsia="仿宋" w:cs="仿宋"/>
          <w:b w:val="0"/>
          <w:bCs w:val="0"/>
          <w:color w:val="auto"/>
          <w:sz w:val="32"/>
          <w:szCs w:val="32"/>
          <w:highlight w:val="none"/>
        </w:rPr>
        <w:t>篇，被永州市政协评为年度优秀调研报告1篇；</w:t>
      </w:r>
      <w:r>
        <w:rPr>
          <w:rFonts w:hint="eastAsia" w:ascii="仿宋" w:hAnsi="仿宋" w:eastAsia="仿宋" w:cs="仿宋"/>
          <w:b w:val="0"/>
          <w:bCs w:val="0"/>
          <w:color w:val="auto"/>
          <w:sz w:val="32"/>
          <w:szCs w:val="32"/>
          <w:highlight w:val="none"/>
          <w:lang w:eastAsia="zh-CN"/>
        </w:rPr>
        <w:t>上报</w:t>
      </w:r>
      <w:r>
        <w:rPr>
          <w:rFonts w:hint="eastAsia" w:ascii="仿宋" w:hAnsi="仿宋" w:eastAsia="仿宋" w:cs="仿宋"/>
          <w:b w:val="0"/>
          <w:bCs w:val="0"/>
          <w:color w:val="auto"/>
          <w:sz w:val="32"/>
          <w:szCs w:val="32"/>
          <w:highlight w:val="none"/>
        </w:rPr>
        <w:t>社情民意信息</w:t>
      </w:r>
      <w:r>
        <w:rPr>
          <w:rFonts w:hint="eastAsia" w:ascii="仿宋" w:hAnsi="仿宋" w:eastAsia="仿宋" w:cs="仿宋"/>
          <w:b w:val="0"/>
          <w:bCs w:val="0"/>
          <w:color w:val="auto"/>
          <w:sz w:val="32"/>
          <w:szCs w:val="32"/>
          <w:highlight w:val="none"/>
          <w:lang w:val="en-US" w:eastAsia="zh-CN"/>
        </w:rPr>
        <w:t>69</w:t>
      </w:r>
      <w:r>
        <w:rPr>
          <w:rFonts w:hint="eastAsia" w:ascii="仿宋" w:hAnsi="仿宋" w:eastAsia="仿宋" w:cs="仿宋"/>
          <w:b w:val="0"/>
          <w:bCs w:val="0"/>
          <w:color w:val="auto"/>
          <w:sz w:val="32"/>
          <w:szCs w:val="32"/>
          <w:highlight w:val="none"/>
        </w:rPr>
        <w:t>条</w:t>
      </w:r>
      <w:r>
        <w:rPr>
          <w:rFonts w:hint="eastAsia" w:ascii="仿宋" w:hAnsi="仿宋" w:eastAsia="仿宋" w:cs="仿宋"/>
          <w:b w:val="0"/>
          <w:bCs w:val="0"/>
          <w:color w:val="auto"/>
          <w:sz w:val="32"/>
          <w:szCs w:val="32"/>
          <w:highlight w:val="none"/>
          <w:lang w:eastAsia="zh-CN"/>
        </w:rPr>
        <w:t>，其中向上级政协报送</w:t>
      </w:r>
      <w:r>
        <w:rPr>
          <w:rFonts w:hint="eastAsia" w:ascii="仿宋" w:hAnsi="仿宋" w:eastAsia="仿宋" w:cs="仿宋"/>
          <w:b w:val="0"/>
          <w:bCs w:val="0"/>
          <w:color w:val="auto"/>
          <w:sz w:val="32"/>
          <w:szCs w:val="32"/>
          <w:highlight w:val="none"/>
          <w:lang w:val="en-US" w:eastAsia="zh-CN"/>
        </w:rPr>
        <w:t>30篇，被采编采用4篇</w:t>
      </w:r>
      <w:r>
        <w:rPr>
          <w:rFonts w:hint="eastAsia" w:ascii="仿宋" w:hAnsi="仿宋" w:eastAsia="仿宋" w:cs="仿宋"/>
          <w:b w:val="0"/>
          <w:bCs w:val="0"/>
          <w:color w:val="auto"/>
          <w:sz w:val="32"/>
          <w:szCs w:val="32"/>
          <w:highlight w:val="none"/>
        </w:rPr>
        <w:t>；微建议</w:t>
      </w:r>
      <w:r>
        <w:rPr>
          <w:rFonts w:hint="eastAsia" w:ascii="仿宋" w:hAnsi="仿宋" w:eastAsia="仿宋" w:cs="仿宋"/>
          <w:b w:val="0"/>
          <w:bCs w:val="0"/>
          <w:color w:val="auto"/>
          <w:sz w:val="32"/>
          <w:szCs w:val="32"/>
          <w:highlight w:val="none"/>
          <w:lang w:val="en-US" w:eastAsia="zh-CN"/>
        </w:rPr>
        <w:t>96条</w:t>
      </w:r>
      <w:r>
        <w:rPr>
          <w:rFonts w:hint="eastAsia" w:ascii="仿宋" w:hAnsi="仿宋" w:eastAsia="仿宋" w:cs="仿宋"/>
          <w:b w:val="0"/>
          <w:bCs w:val="0"/>
          <w:color w:val="auto"/>
          <w:sz w:val="32"/>
          <w:szCs w:val="32"/>
          <w:highlight w:val="none"/>
          <w:lang w:eastAsia="zh-CN"/>
        </w:rPr>
        <w:t>和</w:t>
      </w:r>
      <w:r>
        <w:rPr>
          <w:rFonts w:hint="eastAsia" w:ascii="仿宋" w:hAnsi="仿宋" w:eastAsia="仿宋" w:cs="仿宋"/>
          <w:b w:val="0"/>
          <w:bCs w:val="0"/>
          <w:color w:val="auto"/>
          <w:sz w:val="32"/>
          <w:szCs w:val="32"/>
          <w:highlight w:val="none"/>
          <w:lang w:val="en-US" w:eastAsia="zh-CN"/>
        </w:rPr>
        <w:t>10篇大会发言。</w:t>
      </w:r>
    </w:p>
    <w:p w14:paraId="6810E7E3">
      <w:pPr>
        <w:pStyle w:val="17"/>
        <w:keepNext w:val="0"/>
        <w:keepLines w:val="0"/>
        <w:pageBreakBefore w:val="0"/>
        <w:shd w:val="clear"/>
        <w:kinsoku/>
        <w:wordWrap/>
        <w:overflowPunct/>
        <w:topLinePunct w:val="0"/>
        <w:bidi w:val="0"/>
        <w:spacing w:line="580" w:lineRule="exact"/>
        <w:ind w:left="0" w:leftChars="0" w:firstLine="640" w:firstLineChars="200"/>
        <w:textAlignment w:val="auto"/>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eastAsia="zh-CN"/>
        </w:rPr>
        <w:t>坚持履职为民，开展</w:t>
      </w:r>
      <w:r>
        <w:rPr>
          <w:rFonts w:hint="eastAsia" w:ascii="仿宋" w:hAnsi="仿宋" w:eastAsia="仿宋" w:cs="仿宋"/>
          <w:b w:val="0"/>
          <w:bCs w:val="0"/>
          <w:color w:val="auto"/>
          <w:sz w:val="32"/>
          <w:szCs w:val="32"/>
          <w:highlight w:val="none"/>
        </w:rPr>
        <w:t>“拓展产业帮扶路径”</w:t>
      </w:r>
      <w:r>
        <w:rPr>
          <w:rFonts w:hint="eastAsia" w:ascii="仿宋" w:hAnsi="仿宋" w:eastAsia="仿宋" w:cs="仿宋"/>
          <w:b w:val="0"/>
          <w:bCs w:val="0"/>
          <w:color w:val="auto"/>
          <w:sz w:val="32"/>
          <w:szCs w:val="32"/>
          <w:highlight w:val="none"/>
          <w:lang w:eastAsia="zh-CN"/>
        </w:rPr>
        <w:t>“助力发展银发经济”</w:t>
      </w:r>
      <w:r>
        <w:rPr>
          <w:rFonts w:hint="eastAsia" w:ascii="仿宋" w:hAnsi="仿宋" w:eastAsia="仿宋" w:cs="仿宋"/>
          <w:b w:val="0"/>
          <w:bCs w:val="0"/>
          <w:color w:val="auto"/>
          <w:sz w:val="32"/>
          <w:szCs w:val="32"/>
          <w:highlight w:val="none"/>
        </w:rPr>
        <w:t>等</w:t>
      </w:r>
      <w:r>
        <w:rPr>
          <w:rFonts w:hint="eastAsia" w:ascii="仿宋" w:hAnsi="仿宋" w:eastAsia="仿宋" w:cs="仿宋"/>
          <w:b w:val="0"/>
          <w:bCs w:val="0"/>
          <w:color w:val="auto"/>
          <w:sz w:val="32"/>
          <w:szCs w:val="32"/>
          <w:highlight w:val="none"/>
          <w:lang w:val="en-US" w:eastAsia="zh-CN"/>
        </w:rPr>
        <w:t>6个</w:t>
      </w:r>
      <w:r>
        <w:rPr>
          <w:rFonts w:hint="eastAsia" w:ascii="仿宋" w:hAnsi="仿宋" w:eastAsia="仿宋" w:cs="仿宋"/>
          <w:b w:val="0"/>
          <w:bCs w:val="0"/>
          <w:color w:val="auto"/>
          <w:sz w:val="32"/>
          <w:szCs w:val="32"/>
          <w:highlight w:val="none"/>
          <w:lang w:eastAsia="zh-CN"/>
        </w:rPr>
        <w:t>课题</w:t>
      </w:r>
      <w:r>
        <w:rPr>
          <w:rFonts w:hint="eastAsia" w:ascii="仿宋" w:hAnsi="仿宋" w:eastAsia="仿宋" w:cs="仿宋"/>
          <w:b w:val="0"/>
          <w:bCs w:val="0"/>
          <w:color w:val="auto"/>
          <w:sz w:val="32"/>
          <w:szCs w:val="32"/>
          <w:highlight w:val="none"/>
        </w:rPr>
        <w:t>调研，形成调研成果</w:t>
      </w:r>
      <w:r>
        <w:rPr>
          <w:rFonts w:hint="eastAsia" w:ascii="仿宋" w:hAnsi="仿宋" w:eastAsia="仿宋" w:cs="仿宋"/>
          <w:b w:val="0"/>
          <w:bCs w:val="0"/>
          <w:color w:val="auto"/>
          <w:sz w:val="32"/>
          <w:szCs w:val="32"/>
          <w:highlight w:val="none"/>
          <w:lang w:val="en-US" w:eastAsia="zh-CN"/>
        </w:rPr>
        <w:t>6</w:t>
      </w:r>
      <w:r>
        <w:rPr>
          <w:rFonts w:hint="eastAsia" w:ascii="仿宋" w:hAnsi="仿宋" w:eastAsia="仿宋" w:cs="仿宋"/>
          <w:b w:val="0"/>
          <w:bCs w:val="0"/>
          <w:color w:val="auto"/>
          <w:sz w:val="32"/>
          <w:szCs w:val="32"/>
          <w:highlight w:val="none"/>
        </w:rPr>
        <w:t>个，30多条</w:t>
      </w:r>
      <w:r>
        <w:rPr>
          <w:rFonts w:hint="eastAsia" w:ascii="仿宋" w:hAnsi="仿宋" w:eastAsia="仿宋" w:cs="仿宋"/>
          <w:b w:val="0"/>
          <w:bCs w:val="0"/>
          <w:color w:val="auto"/>
          <w:sz w:val="32"/>
          <w:szCs w:val="32"/>
          <w:highlight w:val="none"/>
          <w:lang w:eastAsia="zh-CN"/>
        </w:rPr>
        <w:t>意见</w:t>
      </w:r>
      <w:r>
        <w:rPr>
          <w:rFonts w:hint="eastAsia" w:ascii="仿宋" w:hAnsi="仿宋" w:eastAsia="仿宋" w:cs="仿宋"/>
          <w:b w:val="0"/>
          <w:bCs w:val="0"/>
          <w:color w:val="auto"/>
          <w:sz w:val="32"/>
          <w:szCs w:val="32"/>
          <w:highlight w:val="none"/>
        </w:rPr>
        <w:t>建议为编制“十五五”规划采用</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全年常态化开展改善生态环境民主监督，围绕</w:t>
      </w:r>
      <w:r>
        <w:rPr>
          <w:rFonts w:hint="eastAsia" w:ascii="仿宋" w:hAnsi="仿宋" w:eastAsia="仿宋" w:cs="仿宋"/>
          <w:b w:val="0"/>
          <w:bCs w:val="0"/>
          <w:color w:val="auto"/>
          <w:sz w:val="32"/>
          <w:szCs w:val="32"/>
          <w:highlight w:val="none"/>
          <w:lang w:eastAsia="zh-CN"/>
        </w:rPr>
        <w:t>秸秆综合利用、校园餐安全和安全生产开展专项民主监督。全年</w:t>
      </w:r>
      <w:r>
        <w:rPr>
          <w:rFonts w:hint="eastAsia" w:ascii="仿宋" w:hAnsi="仿宋" w:eastAsia="仿宋" w:cs="仿宋"/>
          <w:b w:val="0"/>
          <w:bCs w:val="0"/>
          <w:color w:val="auto"/>
          <w:sz w:val="32"/>
          <w:szCs w:val="32"/>
          <w:highlight w:val="none"/>
          <w:lang w:val="en-US" w:eastAsia="zh-CN"/>
        </w:rPr>
        <w:t>13个</w:t>
      </w:r>
      <w:r>
        <w:rPr>
          <w:rFonts w:hint="eastAsia" w:ascii="仿宋" w:hAnsi="仿宋" w:eastAsia="仿宋" w:cs="仿宋"/>
          <w:b w:val="0"/>
          <w:bCs w:val="0"/>
          <w:color w:val="auto"/>
          <w:sz w:val="32"/>
          <w:szCs w:val="32"/>
          <w:highlight w:val="none"/>
          <w:lang w:eastAsia="zh-CN"/>
        </w:rPr>
        <w:t>界别</w:t>
      </w:r>
      <w:r>
        <w:rPr>
          <w:rFonts w:hint="eastAsia" w:ascii="仿宋" w:hAnsi="仿宋" w:eastAsia="仿宋" w:cs="仿宋"/>
          <w:b w:val="0"/>
          <w:bCs w:val="0"/>
          <w:color w:val="auto"/>
          <w:sz w:val="32"/>
          <w:szCs w:val="32"/>
          <w:highlight w:val="none"/>
        </w:rPr>
        <w:t>累计开展专项</w:t>
      </w:r>
      <w:r>
        <w:rPr>
          <w:rFonts w:hint="eastAsia" w:ascii="仿宋" w:hAnsi="仿宋" w:eastAsia="仿宋" w:cs="仿宋"/>
          <w:b w:val="0"/>
          <w:bCs w:val="0"/>
          <w:color w:val="auto"/>
          <w:sz w:val="32"/>
          <w:szCs w:val="32"/>
          <w:highlight w:val="none"/>
          <w:lang w:eastAsia="zh-CN"/>
        </w:rPr>
        <w:t>民主</w:t>
      </w:r>
      <w:r>
        <w:rPr>
          <w:rFonts w:hint="eastAsia" w:ascii="仿宋" w:hAnsi="仿宋" w:eastAsia="仿宋" w:cs="仿宋"/>
          <w:b w:val="0"/>
          <w:bCs w:val="0"/>
          <w:color w:val="auto"/>
          <w:sz w:val="32"/>
          <w:szCs w:val="32"/>
          <w:highlight w:val="none"/>
        </w:rPr>
        <w:t>监督</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rPr>
        <w:t>0余次，</w:t>
      </w:r>
      <w:r>
        <w:rPr>
          <w:rFonts w:hint="eastAsia" w:ascii="仿宋" w:hAnsi="仿宋" w:eastAsia="仿宋" w:cs="仿宋"/>
          <w:b w:val="0"/>
          <w:bCs w:val="0"/>
          <w:color w:val="auto"/>
          <w:sz w:val="32"/>
          <w:szCs w:val="32"/>
          <w:highlight w:val="none"/>
          <w:lang w:eastAsia="zh-CN"/>
        </w:rPr>
        <w:t>有力促进</w:t>
      </w:r>
      <w:r>
        <w:rPr>
          <w:rFonts w:hint="eastAsia" w:ascii="仿宋" w:hAnsi="仿宋" w:eastAsia="仿宋" w:cs="仿宋"/>
          <w:b w:val="0"/>
          <w:bCs w:val="0"/>
          <w:color w:val="auto"/>
          <w:sz w:val="32"/>
          <w:szCs w:val="32"/>
          <w:highlight w:val="none"/>
          <w:lang w:val="en-US" w:eastAsia="zh-CN"/>
        </w:rPr>
        <w:t>70</w:t>
      </w:r>
      <w:r>
        <w:rPr>
          <w:rFonts w:hint="eastAsia" w:ascii="仿宋" w:hAnsi="仿宋" w:eastAsia="仿宋" w:cs="仿宋"/>
          <w:b w:val="0"/>
          <w:bCs w:val="0"/>
          <w:color w:val="auto"/>
          <w:sz w:val="32"/>
          <w:szCs w:val="32"/>
          <w:highlight w:val="none"/>
          <w:lang w:eastAsia="zh-CN"/>
        </w:rPr>
        <w:t>多个问题整改见效。</w:t>
      </w:r>
      <w:r>
        <w:rPr>
          <w:rFonts w:hint="eastAsia" w:ascii="仿宋" w:hAnsi="仿宋" w:eastAsia="仿宋" w:cs="仿宋"/>
          <w:b w:val="0"/>
          <w:bCs w:val="0"/>
          <w:color w:val="auto"/>
          <w:kern w:val="21"/>
          <w:sz w:val="32"/>
          <w:szCs w:val="32"/>
          <w:highlight w:val="none"/>
          <w:shd w:val="clear" w:color="auto" w:fill="FFFFFF"/>
        </w:rPr>
        <w:t>在完成《神州大地祁阳人》第四辑编撰出版的基础上，深入挖掘歌咏祁阳山水人文的诗赋作品，精心编纂出版《山水祁阳好歌吟》，助力文化和旅游深度融合。同时，积极参与《寻根探源·都是文章——永州历史文化深度回望》文史资料征集工作</w:t>
      </w:r>
      <w:r>
        <w:rPr>
          <w:rFonts w:hint="eastAsia" w:ascii="仿宋" w:hAnsi="仿宋" w:eastAsia="仿宋" w:cs="仿宋"/>
          <w:b w:val="0"/>
          <w:bCs w:val="0"/>
          <w:color w:val="auto"/>
          <w:kern w:val="21"/>
          <w:sz w:val="32"/>
          <w:szCs w:val="32"/>
          <w:highlight w:val="none"/>
          <w:shd w:val="clear" w:color="auto" w:fill="FFFFFF"/>
          <w:lang w:eastAsia="zh-CN"/>
        </w:rPr>
        <w:t>。</w:t>
      </w:r>
    </w:p>
    <w:p w14:paraId="0E1C95ED">
      <w:pPr>
        <w:keepNext w:val="0"/>
        <w:keepLines w:val="0"/>
        <w:pageBreakBefore w:val="0"/>
        <w:widowControl w:val="0"/>
        <w:numPr>
          <w:ilvl w:val="0"/>
          <w:numId w:val="0"/>
        </w:numPr>
        <w:shd w:val="clea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三、部门（单位）整体支出绩效情况</w:t>
      </w:r>
    </w:p>
    <w:p w14:paraId="3B9DCA27">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kern w:val="0"/>
          <w:sz w:val="32"/>
          <w:szCs w:val="32"/>
          <w:highlight w:val="none"/>
          <w:lang w:val="en-US" w:eastAsia="zh-CN"/>
        </w:rPr>
        <w:t>2025</w:t>
      </w:r>
      <w:r>
        <w:rPr>
          <w:rFonts w:hint="eastAsia" w:ascii="仿宋" w:hAnsi="仿宋" w:eastAsia="仿宋" w:cs="仿宋"/>
          <w:b w:val="0"/>
          <w:bCs w:val="0"/>
          <w:color w:val="auto"/>
          <w:kern w:val="0"/>
          <w:sz w:val="32"/>
          <w:szCs w:val="32"/>
          <w:highlight w:val="none"/>
        </w:rPr>
        <w:t>年度召开全会1次、</w:t>
      </w:r>
      <w:r>
        <w:rPr>
          <w:rFonts w:hint="eastAsia" w:ascii="仿宋" w:hAnsi="仿宋" w:eastAsia="仿宋" w:cs="仿宋"/>
          <w:b w:val="0"/>
          <w:bCs w:val="0"/>
          <w:color w:val="auto"/>
          <w:kern w:val="0"/>
          <w:sz w:val="32"/>
          <w:szCs w:val="32"/>
          <w:highlight w:val="none"/>
          <w:lang w:eastAsia="zh-CN"/>
        </w:rPr>
        <w:t>政协党组、</w:t>
      </w:r>
      <w:r>
        <w:rPr>
          <w:rFonts w:hint="eastAsia" w:ascii="仿宋" w:hAnsi="仿宋" w:eastAsia="仿宋" w:cs="仿宋"/>
          <w:b w:val="0"/>
          <w:bCs w:val="0"/>
          <w:color w:val="auto"/>
          <w:kern w:val="0"/>
          <w:sz w:val="32"/>
          <w:szCs w:val="32"/>
          <w:highlight w:val="none"/>
        </w:rPr>
        <w:t>主席会议1</w:t>
      </w:r>
      <w:r>
        <w:rPr>
          <w:rFonts w:hint="eastAsia" w:ascii="仿宋" w:hAnsi="仿宋" w:eastAsia="仿宋" w:cs="仿宋"/>
          <w:b w:val="0"/>
          <w:bCs w:val="0"/>
          <w:color w:val="auto"/>
          <w:kern w:val="0"/>
          <w:sz w:val="32"/>
          <w:szCs w:val="32"/>
          <w:highlight w:val="none"/>
          <w:lang w:val="en-US" w:eastAsia="zh-CN"/>
        </w:rPr>
        <w:t>2</w:t>
      </w:r>
      <w:r>
        <w:rPr>
          <w:rFonts w:hint="eastAsia" w:ascii="仿宋" w:hAnsi="仿宋" w:eastAsia="仿宋" w:cs="仿宋"/>
          <w:b w:val="0"/>
          <w:bCs w:val="0"/>
          <w:color w:val="auto"/>
          <w:kern w:val="0"/>
          <w:sz w:val="32"/>
          <w:szCs w:val="32"/>
          <w:highlight w:val="none"/>
        </w:rPr>
        <w:t>次、常委会议4次；“双月协商”</w:t>
      </w:r>
      <w:r>
        <w:rPr>
          <w:rFonts w:hint="eastAsia" w:ascii="仿宋" w:hAnsi="仿宋" w:eastAsia="仿宋" w:cs="仿宋"/>
          <w:b w:val="0"/>
          <w:bCs w:val="0"/>
          <w:color w:val="auto"/>
          <w:kern w:val="0"/>
          <w:sz w:val="32"/>
          <w:szCs w:val="32"/>
          <w:highlight w:val="none"/>
          <w:lang w:val="en-US" w:eastAsia="zh-CN"/>
        </w:rPr>
        <w:t>3</w:t>
      </w:r>
      <w:r>
        <w:rPr>
          <w:rFonts w:hint="eastAsia" w:ascii="仿宋" w:hAnsi="仿宋" w:eastAsia="仿宋" w:cs="仿宋"/>
          <w:b w:val="0"/>
          <w:bCs w:val="0"/>
          <w:color w:val="auto"/>
          <w:kern w:val="0"/>
          <w:sz w:val="32"/>
          <w:szCs w:val="32"/>
          <w:highlight w:val="none"/>
        </w:rPr>
        <w:t>次；专题协商</w:t>
      </w:r>
      <w:r>
        <w:rPr>
          <w:rFonts w:hint="eastAsia" w:ascii="仿宋" w:hAnsi="仿宋" w:eastAsia="仿宋" w:cs="仿宋"/>
          <w:b w:val="0"/>
          <w:bCs w:val="0"/>
          <w:color w:val="auto"/>
          <w:kern w:val="0"/>
          <w:sz w:val="32"/>
          <w:szCs w:val="32"/>
          <w:highlight w:val="none"/>
          <w:lang w:val="en-US" w:eastAsia="zh-CN"/>
        </w:rPr>
        <w:t>2</w:t>
      </w:r>
      <w:r>
        <w:rPr>
          <w:rFonts w:hint="eastAsia" w:ascii="仿宋" w:hAnsi="仿宋" w:eastAsia="仿宋" w:cs="仿宋"/>
          <w:b w:val="0"/>
          <w:bCs w:val="0"/>
          <w:color w:val="auto"/>
          <w:kern w:val="0"/>
          <w:sz w:val="32"/>
          <w:szCs w:val="32"/>
          <w:highlight w:val="none"/>
        </w:rPr>
        <w:t>次；重点提案督办</w:t>
      </w:r>
      <w:r>
        <w:rPr>
          <w:rFonts w:hint="eastAsia" w:ascii="仿宋" w:hAnsi="仿宋" w:eastAsia="仿宋" w:cs="仿宋"/>
          <w:b w:val="0"/>
          <w:bCs w:val="0"/>
          <w:color w:val="auto"/>
          <w:kern w:val="0"/>
          <w:sz w:val="32"/>
          <w:szCs w:val="32"/>
          <w:highlight w:val="none"/>
          <w:lang w:val="en-US" w:eastAsia="zh-CN"/>
        </w:rPr>
        <w:t>28场</w:t>
      </w:r>
      <w:r>
        <w:rPr>
          <w:rFonts w:hint="eastAsia" w:ascii="仿宋" w:hAnsi="仿宋" w:eastAsia="仿宋" w:cs="仿宋"/>
          <w:b w:val="0"/>
          <w:bCs w:val="0"/>
          <w:color w:val="auto"/>
          <w:kern w:val="0"/>
          <w:sz w:val="32"/>
          <w:szCs w:val="32"/>
          <w:highlight w:val="none"/>
        </w:rPr>
        <w:t>次；组织市政协常委赴外地考察交流</w:t>
      </w:r>
      <w:r>
        <w:rPr>
          <w:rFonts w:hint="eastAsia" w:ascii="仿宋" w:hAnsi="仿宋" w:eastAsia="仿宋" w:cs="仿宋"/>
          <w:b w:val="0"/>
          <w:bCs w:val="0"/>
          <w:color w:val="auto"/>
          <w:kern w:val="0"/>
          <w:sz w:val="32"/>
          <w:szCs w:val="32"/>
          <w:highlight w:val="none"/>
          <w:lang w:val="en-US" w:eastAsia="zh-CN"/>
        </w:rPr>
        <w:t>6</w:t>
      </w:r>
      <w:r>
        <w:rPr>
          <w:rFonts w:hint="eastAsia" w:ascii="仿宋" w:hAnsi="仿宋" w:eastAsia="仿宋" w:cs="仿宋"/>
          <w:b w:val="0"/>
          <w:bCs w:val="0"/>
          <w:color w:val="auto"/>
          <w:kern w:val="0"/>
          <w:sz w:val="32"/>
          <w:szCs w:val="32"/>
          <w:highlight w:val="none"/>
        </w:rPr>
        <w:t>批次；组织政协常委及界别组长</w:t>
      </w:r>
      <w:r>
        <w:rPr>
          <w:rFonts w:hint="eastAsia" w:ascii="仿宋" w:hAnsi="仿宋" w:eastAsia="仿宋" w:cs="仿宋"/>
          <w:b w:val="0"/>
          <w:bCs w:val="0"/>
          <w:color w:val="auto"/>
          <w:kern w:val="0"/>
          <w:sz w:val="32"/>
          <w:szCs w:val="32"/>
          <w:highlight w:val="none"/>
          <w:lang w:eastAsia="zh-CN"/>
        </w:rPr>
        <w:t>到厦门大学</w:t>
      </w:r>
      <w:r>
        <w:rPr>
          <w:rFonts w:hint="eastAsia" w:ascii="仿宋" w:hAnsi="仿宋" w:eastAsia="仿宋" w:cs="仿宋"/>
          <w:b w:val="0"/>
          <w:bCs w:val="0"/>
          <w:color w:val="auto"/>
          <w:kern w:val="0"/>
          <w:sz w:val="32"/>
          <w:szCs w:val="32"/>
          <w:highlight w:val="none"/>
        </w:rPr>
        <w:t>进行</w:t>
      </w:r>
      <w:r>
        <w:rPr>
          <w:rFonts w:hint="eastAsia" w:ascii="仿宋" w:hAnsi="仿宋" w:eastAsia="仿宋" w:cs="仿宋"/>
          <w:b w:val="0"/>
          <w:bCs w:val="0"/>
          <w:color w:val="auto"/>
          <w:kern w:val="0"/>
          <w:sz w:val="32"/>
          <w:szCs w:val="32"/>
          <w:highlight w:val="none"/>
          <w:lang w:eastAsia="zh-CN"/>
        </w:rPr>
        <w:t>履职能力提升</w:t>
      </w:r>
      <w:r>
        <w:rPr>
          <w:rFonts w:hint="eastAsia" w:ascii="仿宋" w:hAnsi="仿宋" w:eastAsia="仿宋" w:cs="仿宋"/>
          <w:b w:val="0"/>
          <w:bCs w:val="0"/>
          <w:color w:val="auto"/>
          <w:kern w:val="0"/>
          <w:sz w:val="32"/>
          <w:szCs w:val="32"/>
          <w:highlight w:val="none"/>
        </w:rPr>
        <w:t>培训1次；</w:t>
      </w:r>
      <w:r>
        <w:rPr>
          <w:rFonts w:hint="eastAsia" w:ascii="仿宋" w:hAnsi="仿宋" w:eastAsia="仿宋" w:cs="仿宋"/>
          <w:b w:val="0"/>
          <w:bCs w:val="0"/>
          <w:color w:val="auto"/>
          <w:sz w:val="32"/>
          <w:szCs w:val="32"/>
          <w:highlight w:val="none"/>
          <w:lang w:eastAsia="zh-CN"/>
        </w:rPr>
        <w:t>立案</w:t>
      </w:r>
      <w:r>
        <w:rPr>
          <w:rFonts w:hint="eastAsia" w:ascii="仿宋" w:hAnsi="仿宋" w:eastAsia="仿宋" w:cs="仿宋"/>
          <w:b w:val="0"/>
          <w:bCs w:val="0"/>
          <w:color w:val="auto"/>
          <w:sz w:val="32"/>
          <w:szCs w:val="32"/>
          <w:highlight w:val="none"/>
        </w:rPr>
        <w:t>提案</w:t>
      </w:r>
      <w:r>
        <w:rPr>
          <w:rFonts w:hint="eastAsia" w:ascii="仿宋" w:hAnsi="仿宋" w:eastAsia="仿宋" w:cs="仿宋"/>
          <w:b w:val="0"/>
          <w:bCs w:val="0"/>
          <w:color w:val="auto"/>
          <w:sz w:val="32"/>
          <w:szCs w:val="32"/>
          <w:highlight w:val="none"/>
          <w:lang w:val="en-US" w:eastAsia="zh-CN"/>
        </w:rPr>
        <w:t>206</w:t>
      </w:r>
      <w:r>
        <w:rPr>
          <w:rFonts w:hint="eastAsia" w:ascii="仿宋" w:hAnsi="仿宋" w:eastAsia="仿宋" w:cs="仿宋"/>
          <w:b w:val="0"/>
          <w:bCs w:val="0"/>
          <w:color w:val="auto"/>
          <w:sz w:val="32"/>
          <w:szCs w:val="32"/>
          <w:highlight w:val="none"/>
        </w:rPr>
        <w:t>件；撰写调研报告</w:t>
      </w:r>
      <w:r>
        <w:rPr>
          <w:rFonts w:hint="eastAsia" w:ascii="仿宋" w:hAnsi="仿宋" w:eastAsia="仿宋" w:cs="仿宋"/>
          <w:b w:val="0"/>
          <w:bCs w:val="0"/>
          <w:color w:val="auto"/>
          <w:sz w:val="32"/>
          <w:szCs w:val="32"/>
          <w:highlight w:val="none"/>
          <w:lang w:val="en-US" w:eastAsia="zh-CN"/>
        </w:rPr>
        <w:t>7</w:t>
      </w:r>
      <w:r>
        <w:rPr>
          <w:rFonts w:hint="eastAsia" w:ascii="仿宋" w:hAnsi="仿宋" w:eastAsia="仿宋" w:cs="仿宋"/>
          <w:b w:val="0"/>
          <w:bCs w:val="0"/>
          <w:color w:val="auto"/>
          <w:sz w:val="32"/>
          <w:szCs w:val="32"/>
          <w:highlight w:val="none"/>
        </w:rPr>
        <w:t>篇，被永州市政协评为年度优秀调研报告1篇；</w:t>
      </w:r>
      <w:r>
        <w:rPr>
          <w:rFonts w:hint="eastAsia" w:ascii="仿宋" w:hAnsi="仿宋" w:eastAsia="仿宋" w:cs="仿宋"/>
          <w:b w:val="0"/>
          <w:bCs w:val="0"/>
          <w:color w:val="auto"/>
          <w:sz w:val="32"/>
          <w:szCs w:val="32"/>
          <w:highlight w:val="none"/>
          <w:lang w:eastAsia="zh-CN"/>
        </w:rPr>
        <w:t>上报</w:t>
      </w:r>
      <w:r>
        <w:rPr>
          <w:rFonts w:hint="eastAsia" w:ascii="仿宋" w:hAnsi="仿宋" w:eastAsia="仿宋" w:cs="仿宋"/>
          <w:b w:val="0"/>
          <w:bCs w:val="0"/>
          <w:color w:val="auto"/>
          <w:sz w:val="32"/>
          <w:szCs w:val="32"/>
          <w:highlight w:val="none"/>
        </w:rPr>
        <w:t>社情民意信息</w:t>
      </w:r>
      <w:r>
        <w:rPr>
          <w:rFonts w:hint="eastAsia" w:ascii="仿宋" w:hAnsi="仿宋" w:eastAsia="仿宋" w:cs="仿宋"/>
          <w:b w:val="0"/>
          <w:bCs w:val="0"/>
          <w:color w:val="auto"/>
          <w:sz w:val="32"/>
          <w:szCs w:val="32"/>
          <w:highlight w:val="none"/>
          <w:lang w:val="en-US" w:eastAsia="zh-CN"/>
        </w:rPr>
        <w:t>69</w:t>
      </w:r>
      <w:r>
        <w:rPr>
          <w:rFonts w:hint="eastAsia" w:ascii="仿宋" w:hAnsi="仿宋" w:eastAsia="仿宋" w:cs="仿宋"/>
          <w:b w:val="0"/>
          <w:bCs w:val="0"/>
          <w:color w:val="auto"/>
          <w:sz w:val="32"/>
          <w:szCs w:val="32"/>
          <w:highlight w:val="none"/>
        </w:rPr>
        <w:t>条</w:t>
      </w:r>
      <w:r>
        <w:rPr>
          <w:rFonts w:hint="eastAsia" w:ascii="仿宋" w:hAnsi="仿宋" w:eastAsia="仿宋" w:cs="仿宋"/>
          <w:b w:val="0"/>
          <w:bCs w:val="0"/>
          <w:color w:val="auto"/>
          <w:sz w:val="32"/>
          <w:szCs w:val="32"/>
          <w:highlight w:val="none"/>
          <w:lang w:eastAsia="zh-CN"/>
        </w:rPr>
        <w:t>，其中向上级政协报送</w:t>
      </w:r>
      <w:r>
        <w:rPr>
          <w:rFonts w:hint="eastAsia" w:ascii="仿宋" w:hAnsi="仿宋" w:eastAsia="仿宋" w:cs="仿宋"/>
          <w:b w:val="0"/>
          <w:bCs w:val="0"/>
          <w:color w:val="auto"/>
          <w:sz w:val="32"/>
          <w:szCs w:val="32"/>
          <w:highlight w:val="none"/>
          <w:lang w:val="en-US" w:eastAsia="zh-CN"/>
        </w:rPr>
        <w:t>30篇，被采编采用4篇</w:t>
      </w:r>
      <w:r>
        <w:rPr>
          <w:rFonts w:hint="eastAsia" w:ascii="仿宋" w:hAnsi="仿宋" w:eastAsia="仿宋" w:cs="仿宋"/>
          <w:b w:val="0"/>
          <w:bCs w:val="0"/>
          <w:color w:val="auto"/>
          <w:sz w:val="32"/>
          <w:szCs w:val="32"/>
          <w:highlight w:val="none"/>
        </w:rPr>
        <w:t>；微建议</w:t>
      </w:r>
      <w:r>
        <w:rPr>
          <w:rFonts w:hint="eastAsia" w:ascii="仿宋" w:hAnsi="仿宋" w:eastAsia="仿宋" w:cs="仿宋"/>
          <w:b w:val="0"/>
          <w:bCs w:val="0"/>
          <w:color w:val="auto"/>
          <w:sz w:val="32"/>
          <w:szCs w:val="32"/>
          <w:highlight w:val="none"/>
          <w:lang w:val="en-US" w:eastAsia="zh-CN"/>
        </w:rPr>
        <w:t>96条</w:t>
      </w:r>
      <w:r>
        <w:rPr>
          <w:rFonts w:hint="eastAsia" w:ascii="仿宋" w:hAnsi="仿宋" w:eastAsia="仿宋" w:cs="仿宋"/>
          <w:b w:val="0"/>
          <w:bCs w:val="0"/>
          <w:color w:val="auto"/>
          <w:sz w:val="32"/>
          <w:szCs w:val="32"/>
          <w:highlight w:val="none"/>
          <w:lang w:eastAsia="zh-CN"/>
        </w:rPr>
        <w:t>和</w:t>
      </w:r>
      <w:r>
        <w:rPr>
          <w:rFonts w:hint="eastAsia" w:ascii="仿宋" w:hAnsi="仿宋" w:eastAsia="仿宋" w:cs="仿宋"/>
          <w:b w:val="0"/>
          <w:bCs w:val="0"/>
          <w:color w:val="auto"/>
          <w:sz w:val="32"/>
          <w:szCs w:val="32"/>
          <w:highlight w:val="none"/>
          <w:lang w:val="en-US" w:eastAsia="zh-CN"/>
        </w:rPr>
        <w:t>10篇大会发言。</w:t>
      </w:r>
    </w:p>
    <w:p w14:paraId="48E23F15">
      <w:pPr>
        <w:keepNext w:val="0"/>
        <w:keepLines w:val="0"/>
        <w:pageBreakBefore w:val="0"/>
        <w:widowControl w:val="0"/>
        <w:shd w:val="clear"/>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eastAsia="zh-CN"/>
        </w:rPr>
        <w:t>坚持履职为民，开展</w:t>
      </w:r>
      <w:r>
        <w:rPr>
          <w:rFonts w:hint="eastAsia" w:ascii="仿宋" w:hAnsi="仿宋" w:eastAsia="仿宋" w:cs="仿宋"/>
          <w:b w:val="0"/>
          <w:bCs w:val="0"/>
          <w:color w:val="auto"/>
          <w:sz w:val="32"/>
          <w:szCs w:val="32"/>
          <w:highlight w:val="none"/>
        </w:rPr>
        <w:t>“拓展产业帮扶路径”</w:t>
      </w:r>
      <w:r>
        <w:rPr>
          <w:rFonts w:hint="eastAsia" w:ascii="仿宋" w:hAnsi="仿宋" w:eastAsia="仿宋" w:cs="仿宋"/>
          <w:b w:val="0"/>
          <w:bCs w:val="0"/>
          <w:color w:val="auto"/>
          <w:sz w:val="32"/>
          <w:szCs w:val="32"/>
          <w:highlight w:val="none"/>
          <w:lang w:eastAsia="zh-CN"/>
        </w:rPr>
        <w:t>“助力发展银发经济”</w:t>
      </w:r>
      <w:r>
        <w:rPr>
          <w:rFonts w:hint="eastAsia" w:ascii="仿宋" w:hAnsi="仿宋" w:eastAsia="仿宋" w:cs="仿宋"/>
          <w:b w:val="0"/>
          <w:bCs w:val="0"/>
          <w:color w:val="auto"/>
          <w:sz w:val="32"/>
          <w:szCs w:val="32"/>
          <w:highlight w:val="none"/>
        </w:rPr>
        <w:t>等</w:t>
      </w:r>
      <w:r>
        <w:rPr>
          <w:rFonts w:hint="eastAsia" w:ascii="仿宋" w:hAnsi="仿宋" w:eastAsia="仿宋" w:cs="仿宋"/>
          <w:b w:val="0"/>
          <w:bCs w:val="0"/>
          <w:color w:val="auto"/>
          <w:sz w:val="32"/>
          <w:szCs w:val="32"/>
          <w:highlight w:val="none"/>
          <w:lang w:val="en-US" w:eastAsia="zh-CN"/>
        </w:rPr>
        <w:t>6个</w:t>
      </w:r>
      <w:r>
        <w:rPr>
          <w:rFonts w:hint="eastAsia" w:ascii="仿宋" w:hAnsi="仿宋" w:eastAsia="仿宋" w:cs="仿宋"/>
          <w:b w:val="0"/>
          <w:bCs w:val="0"/>
          <w:color w:val="auto"/>
          <w:sz w:val="32"/>
          <w:szCs w:val="32"/>
          <w:highlight w:val="none"/>
          <w:lang w:eastAsia="zh-CN"/>
        </w:rPr>
        <w:t>课题</w:t>
      </w:r>
      <w:r>
        <w:rPr>
          <w:rFonts w:hint="eastAsia" w:ascii="仿宋" w:hAnsi="仿宋" w:eastAsia="仿宋" w:cs="仿宋"/>
          <w:b w:val="0"/>
          <w:bCs w:val="0"/>
          <w:color w:val="auto"/>
          <w:sz w:val="32"/>
          <w:szCs w:val="32"/>
          <w:highlight w:val="none"/>
        </w:rPr>
        <w:t>调研，形成调研成果</w:t>
      </w:r>
      <w:r>
        <w:rPr>
          <w:rFonts w:hint="eastAsia" w:ascii="仿宋" w:hAnsi="仿宋" w:eastAsia="仿宋" w:cs="仿宋"/>
          <w:b w:val="0"/>
          <w:bCs w:val="0"/>
          <w:color w:val="auto"/>
          <w:sz w:val="32"/>
          <w:szCs w:val="32"/>
          <w:highlight w:val="none"/>
          <w:lang w:val="en-US" w:eastAsia="zh-CN"/>
        </w:rPr>
        <w:t>6</w:t>
      </w:r>
      <w:r>
        <w:rPr>
          <w:rFonts w:hint="eastAsia" w:ascii="仿宋" w:hAnsi="仿宋" w:eastAsia="仿宋" w:cs="仿宋"/>
          <w:b w:val="0"/>
          <w:bCs w:val="0"/>
          <w:color w:val="auto"/>
          <w:sz w:val="32"/>
          <w:szCs w:val="32"/>
          <w:highlight w:val="none"/>
        </w:rPr>
        <w:t>个，30多条</w:t>
      </w:r>
      <w:r>
        <w:rPr>
          <w:rFonts w:hint="eastAsia" w:ascii="仿宋" w:hAnsi="仿宋" w:eastAsia="仿宋" w:cs="仿宋"/>
          <w:b w:val="0"/>
          <w:bCs w:val="0"/>
          <w:color w:val="auto"/>
          <w:sz w:val="32"/>
          <w:szCs w:val="32"/>
          <w:highlight w:val="none"/>
          <w:lang w:eastAsia="zh-CN"/>
        </w:rPr>
        <w:t>意见</w:t>
      </w:r>
      <w:r>
        <w:rPr>
          <w:rFonts w:hint="eastAsia" w:ascii="仿宋" w:hAnsi="仿宋" w:eastAsia="仿宋" w:cs="仿宋"/>
          <w:b w:val="0"/>
          <w:bCs w:val="0"/>
          <w:color w:val="auto"/>
          <w:sz w:val="32"/>
          <w:szCs w:val="32"/>
          <w:highlight w:val="none"/>
        </w:rPr>
        <w:t>建议为编制“十五五”规划采用</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全年常态化开展改善生态环境民主监督，围绕</w:t>
      </w:r>
      <w:r>
        <w:rPr>
          <w:rFonts w:hint="eastAsia" w:ascii="仿宋" w:hAnsi="仿宋" w:eastAsia="仿宋" w:cs="仿宋"/>
          <w:b w:val="0"/>
          <w:bCs w:val="0"/>
          <w:color w:val="auto"/>
          <w:sz w:val="32"/>
          <w:szCs w:val="32"/>
          <w:highlight w:val="none"/>
          <w:lang w:eastAsia="zh-CN"/>
        </w:rPr>
        <w:t>秸秆综合利用、校园餐安全和安全生产开展专项民主监督。全年</w:t>
      </w:r>
      <w:r>
        <w:rPr>
          <w:rFonts w:hint="eastAsia" w:ascii="仿宋" w:hAnsi="仿宋" w:eastAsia="仿宋" w:cs="仿宋"/>
          <w:b w:val="0"/>
          <w:bCs w:val="0"/>
          <w:color w:val="auto"/>
          <w:sz w:val="32"/>
          <w:szCs w:val="32"/>
          <w:highlight w:val="none"/>
          <w:lang w:val="en-US" w:eastAsia="zh-CN"/>
        </w:rPr>
        <w:t>13个</w:t>
      </w:r>
      <w:r>
        <w:rPr>
          <w:rFonts w:hint="eastAsia" w:ascii="仿宋" w:hAnsi="仿宋" w:eastAsia="仿宋" w:cs="仿宋"/>
          <w:b w:val="0"/>
          <w:bCs w:val="0"/>
          <w:color w:val="auto"/>
          <w:sz w:val="32"/>
          <w:szCs w:val="32"/>
          <w:highlight w:val="none"/>
          <w:lang w:eastAsia="zh-CN"/>
        </w:rPr>
        <w:t>界别</w:t>
      </w:r>
      <w:r>
        <w:rPr>
          <w:rFonts w:hint="eastAsia" w:ascii="仿宋" w:hAnsi="仿宋" w:eastAsia="仿宋" w:cs="仿宋"/>
          <w:b w:val="0"/>
          <w:bCs w:val="0"/>
          <w:color w:val="auto"/>
          <w:sz w:val="32"/>
          <w:szCs w:val="32"/>
          <w:highlight w:val="none"/>
        </w:rPr>
        <w:t>累计开展专项</w:t>
      </w:r>
      <w:r>
        <w:rPr>
          <w:rFonts w:hint="eastAsia" w:ascii="仿宋" w:hAnsi="仿宋" w:eastAsia="仿宋" w:cs="仿宋"/>
          <w:b w:val="0"/>
          <w:bCs w:val="0"/>
          <w:color w:val="auto"/>
          <w:sz w:val="32"/>
          <w:szCs w:val="32"/>
          <w:highlight w:val="none"/>
          <w:lang w:eastAsia="zh-CN"/>
        </w:rPr>
        <w:t>民主</w:t>
      </w:r>
      <w:r>
        <w:rPr>
          <w:rFonts w:hint="eastAsia" w:ascii="仿宋" w:hAnsi="仿宋" w:eastAsia="仿宋" w:cs="仿宋"/>
          <w:b w:val="0"/>
          <w:bCs w:val="0"/>
          <w:color w:val="auto"/>
          <w:sz w:val="32"/>
          <w:szCs w:val="32"/>
          <w:highlight w:val="none"/>
        </w:rPr>
        <w:t>监督</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rPr>
        <w:t>0余次，</w:t>
      </w:r>
      <w:r>
        <w:rPr>
          <w:rFonts w:hint="eastAsia" w:ascii="仿宋" w:hAnsi="仿宋" w:eastAsia="仿宋" w:cs="仿宋"/>
          <w:b w:val="0"/>
          <w:bCs w:val="0"/>
          <w:color w:val="auto"/>
          <w:sz w:val="32"/>
          <w:szCs w:val="32"/>
          <w:highlight w:val="none"/>
          <w:lang w:eastAsia="zh-CN"/>
        </w:rPr>
        <w:t>有力促进</w:t>
      </w:r>
      <w:r>
        <w:rPr>
          <w:rFonts w:hint="eastAsia" w:ascii="仿宋" w:hAnsi="仿宋" w:eastAsia="仿宋" w:cs="仿宋"/>
          <w:b w:val="0"/>
          <w:bCs w:val="0"/>
          <w:color w:val="auto"/>
          <w:sz w:val="32"/>
          <w:szCs w:val="32"/>
          <w:highlight w:val="none"/>
          <w:lang w:val="en-US" w:eastAsia="zh-CN"/>
        </w:rPr>
        <w:t>70</w:t>
      </w:r>
      <w:r>
        <w:rPr>
          <w:rFonts w:hint="eastAsia" w:ascii="仿宋" w:hAnsi="仿宋" w:eastAsia="仿宋" w:cs="仿宋"/>
          <w:b w:val="0"/>
          <w:bCs w:val="0"/>
          <w:color w:val="auto"/>
          <w:sz w:val="32"/>
          <w:szCs w:val="32"/>
          <w:highlight w:val="none"/>
          <w:lang w:eastAsia="zh-CN"/>
        </w:rPr>
        <w:t>多个问题整改见效。</w:t>
      </w:r>
      <w:r>
        <w:rPr>
          <w:rFonts w:hint="eastAsia" w:ascii="仿宋" w:hAnsi="仿宋" w:eastAsia="仿宋" w:cs="仿宋"/>
          <w:b w:val="0"/>
          <w:bCs w:val="0"/>
          <w:color w:val="auto"/>
          <w:kern w:val="21"/>
          <w:sz w:val="32"/>
          <w:szCs w:val="32"/>
          <w:highlight w:val="none"/>
          <w:shd w:val="clear" w:color="auto" w:fill="FFFFFF"/>
          <w:lang w:eastAsia="zh-CN"/>
        </w:rPr>
        <w:t>积极参与省、市、县三级</w:t>
      </w:r>
      <w:r>
        <w:rPr>
          <w:rFonts w:hint="eastAsia" w:ascii="仿宋" w:hAnsi="仿宋" w:eastAsia="仿宋" w:cs="仿宋"/>
          <w:b w:val="0"/>
          <w:bCs w:val="0"/>
          <w:color w:val="auto"/>
          <w:kern w:val="21"/>
          <w:sz w:val="32"/>
          <w:szCs w:val="32"/>
          <w:highlight w:val="none"/>
          <w:shd w:val="clear" w:color="auto" w:fill="FFFFFF"/>
        </w:rPr>
        <w:t>政协组织联动履职</w:t>
      </w:r>
      <w:r>
        <w:rPr>
          <w:rFonts w:hint="eastAsia" w:ascii="仿宋" w:hAnsi="仿宋" w:eastAsia="仿宋" w:cs="仿宋"/>
          <w:b w:val="0"/>
          <w:bCs w:val="0"/>
          <w:color w:val="auto"/>
          <w:kern w:val="21"/>
          <w:sz w:val="32"/>
          <w:szCs w:val="32"/>
          <w:highlight w:val="none"/>
          <w:shd w:val="clear" w:color="auto" w:fill="FFFFFF"/>
          <w:lang w:eastAsia="zh-CN"/>
        </w:rPr>
        <w:t>，</w:t>
      </w:r>
      <w:r>
        <w:rPr>
          <w:rFonts w:hint="eastAsia" w:ascii="仿宋" w:hAnsi="仿宋" w:eastAsia="仿宋" w:cs="仿宋"/>
          <w:b w:val="0"/>
          <w:bCs w:val="0"/>
          <w:color w:val="auto"/>
          <w:kern w:val="21"/>
          <w:sz w:val="32"/>
          <w:szCs w:val="32"/>
          <w:highlight w:val="none"/>
          <w:shd w:val="clear" w:color="auto" w:fill="FFFFFF"/>
        </w:rPr>
        <w:t>配合省政协，联动株洲、岳阳、常德等地市政协，隆回、耒阳、江永等县市政协，围绕“健全文旅深度融合机制”“助推经济大县发展”“委员工作室建设”“推动工业经济高质量发展”“提升园区产业集聚度”等主题，开展</w:t>
      </w:r>
      <w:r>
        <w:rPr>
          <w:rFonts w:hint="eastAsia" w:ascii="仿宋" w:hAnsi="仿宋" w:eastAsia="仿宋" w:cs="仿宋"/>
          <w:b w:val="0"/>
          <w:bCs w:val="0"/>
          <w:color w:val="auto"/>
          <w:kern w:val="21"/>
          <w:sz w:val="32"/>
          <w:szCs w:val="32"/>
          <w:highlight w:val="none"/>
          <w:shd w:val="clear" w:color="auto" w:fill="FFFFFF"/>
          <w:lang w:eastAsia="zh-CN"/>
        </w:rPr>
        <w:t>联动</w:t>
      </w:r>
      <w:r>
        <w:rPr>
          <w:rFonts w:hint="eastAsia" w:ascii="仿宋" w:hAnsi="仿宋" w:eastAsia="仿宋" w:cs="仿宋"/>
          <w:b w:val="0"/>
          <w:bCs w:val="0"/>
          <w:color w:val="auto"/>
          <w:kern w:val="21"/>
          <w:sz w:val="32"/>
          <w:szCs w:val="32"/>
          <w:highlight w:val="none"/>
          <w:shd w:val="clear" w:color="auto" w:fill="FFFFFF"/>
        </w:rPr>
        <w:t>调研</w:t>
      </w:r>
      <w:r>
        <w:rPr>
          <w:rFonts w:hint="eastAsia" w:ascii="仿宋" w:hAnsi="仿宋" w:eastAsia="仿宋" w:cs="仿宋"/>
          <w:b w:val="0"/>
          <w:bCs w:val="0"/>
          <w:color w:val="auto"/>
          <w:kern w:val="21"/>
          <w:sz w:val="32"/>
          <w:szCs w:val="32"/>
          <w:highlight w:val="none"/>
          <w:shd w:val="clear" w:color="auto" w:fill="FFFFFF"/>
          <w:lang w:eastAsia="zh-CN"/>
        </w:rPr>
        <w:t>、民主监督</w:t>
      </w:r>
      <w:r>
        <w:rPr>
          <w:rFonts w:hint="eastAsia" w:ascii="仿宋" w:hAnsi="仿宋" w:eastAsia="仿宋" w:cs="仿宋"/>
          <w:b w:val="0"/>
          <w:bCs w:val="0"/>
          <w:color w:val="auto"/>
          <w:kern w:val="21"/>
          <w:sz w:val="32"/>
          <w:szCs w:val="32"/>
          <w:highlight w:val="none"/>
          <w:shd w:val="clear" w:color="auto" w:fill="FFFFFF"/>
        </w:rPr>
        <w:t>20余次</w:t>
      </w:r>
      <w:r>
        <w:rPr>
          <w:rFonts w:hint="eastAsia" w:ascii="仿宋" w:hAnsi="仿宋" w:eastAsia="仿宋" w:cs="仿宋"/>
          <w:b w:val="0"/>
          <w:bCs w:val="0"/>
          <w:color w:val="auto"/>
          <w:kern w:val="21"/>
          <w:sz w:val="32"/>
          <w:szCs w:val="32"/>
          <w:highlight w:val="none"/>
          <w:shd w:val="clear" w:color="auto" w:fill="FFFFFF"/>
          <w:lang w:eastAsia="zh-CN"/>
        </w:rPr>
        <w:t>；</w:t>
      </w:r>
      <w:r>
        <w:rPr>
          <w:rFonts w:hint="eastAsia" w:ascii="仿宋" w:hAnsi="仿宋" w:eastAsia="仿宋" w:cs="仿宋"/>
          <w:b w:val="0"/>
          <w:bCs w:val="0"/>
          <w:color w:val="auto"/>
          <w:kern w:val="21"/>
          <w:sz w:val="32"/>
          <w:szCs w:val="32"/>
          <w:highlight w:val="none"/>
          <w:shd w:val="clear" w:color="auto" w:fill="FFFFFF"/>
        </w:rPr>
        <w:t>依托委员工作室，举办“看清时代趋势 把握未来机遇 做好2025战略决策”读书分享会，邀请祁阳市工商联界别委员与永州各县区工商联企业代表共聚一堂，为祁阳中小微企业发展把脉建言</w:t>
      </w:r>
      <w:r>
        <w:rPr>
          <w:rFonts w:hint="eastAsia" w:ascii="仿宋" w:hAnsi="仿宋" w:eastAsia="仿宋" w:cs="仿宋"/>
          <w:b w:val="0"/>
          <w:bCs w:val="0"/>
          <w:color w:val="auto"/>
          <w:kern w:val="21"/>
          <w:sz w:val="32"/>
          <w:szCs w:val="32"/>
          <w:highlight w:val="none"/>
          <w:shd w:val="clear" w:color="auto" w:fill="FFFFFF"/>
          <w:lang w:eastAsia="zh-CN"/>
        </w:rPr>
        <w:t>，</w:t>
      </w:r>
      <w:r>
        <w:rPr>
          <w:rFonts w:hint="eastAsia" w:ascii="仿宋" w:hAnsi="仿宋" w:eastAsia="仿宋" w:cs="仿宋"/>
          <w:b w:val="0"/>
          <w:bCs w:val="0"/>
          <w:color w:val="auto"/>
          <w:kern w:val="21"/>
          <w:sz w:val="32"/>
          <w:szCs w:val="32"/>
          <w:highlight w:val="none"/>
          <w:shd w:val="clear" w:color="auto" w:fill="FFFFFF"/>
        </w:rPr>
        <w:t>增强企业家扎根祁阳、投资祁阳的信心与决心</w:t>
      </w:r>
      <w:r>
        <w:rPr>
          <w:rFonts w:hint="eastAsia" w:ascii="仿宋" w:hAnsi="仿宋" w:eastAsia="仿宋" w:cs="仿宋"/>
          <w:b w:val="0"/>
          <w:bCs w:val="0"/>
          <w:color w:val="auto"/>
          <w:kern w:val="21"/>
          <w:sz w:val="32"/>
          <w:szCs w:val="32"/>
          <w:highlight w:val="none"/>
          <w:shd w:val="clear" w:color="auto" w:fill="FFFFFF"/>
          <w:lang w:eastAsia="zh-CN"/>
        </w:rPr>
        <w:t>；</w:t>
      </w:r>
      <w:r>
        <w:rPr>
          <w:rFonts w:hint="eastAsia" w:ascii="仿宋" w:hAnsi="仿宋" w:eastAsia="仿宋" w:cs="仿宋"/>
          <w:b w:val="0"/>
          <w:bCs w:val="0"/>
          <w:color w:val="auto"/>
          <w:kern w:val="21"/>
          <w:sz w:val="32"/>
          <w:szCs w:val="32"/>
          <w:highlight w:val="none"/>
          <w:shd w:val="clear" w:color="auto" w:fill="FFFFFF"/>
        </w:rPr>
        <w:t>充分发挥文史工作“存史、资政、团结、育人”的独特作用。在完成《神州大地祁阳人》第四辑编撰出版的基础上，深入挖掘歌咏祁阳山水人文的诗赋作品，精心编纂出版《山水祁阳好歌吟》，助力文化和旅游深度融合。同时，积极参与《寻根探源·都是文章——永州历史文化深度回望》文史资料征集工作</w:t>
      </w:r>
      <w:r>
        <w:rPr>
          <w:rFonts w:hint="eastAsia" w:ascii="仿宋" w:hAnsi="仿宋" w:eastAsia="仿宋" w:cs="仿宋"/>
          <w:b w:val="0"/>
          <w:bCs w:val="0"/>
          <w:color w:val="auto"/>
          <w:kern w:val="21"/>
          <w:sz w:val="32"/>
          <w:szCs w:val="32"/>
          <w:highlight w:val="none"/>
          <w:shd w:val="clear" w:color="auto" w:fill="FFFFFF"/>
          <w:lang w:eastAsia="zh-CN"/>
        </w:rPr>
        <w:t>；</w:t>
      </w:r>
      <w:r>
        <w:rPr>
          <w:rFonts w:hint="eastAsia" w:ascii="仿宋" w:hAnsi="仿宋" w:eastAsia="仿宋" w:cs="仿宋"/>
          <w:b w:val="0"/>
          <w:bCs w:val="0"/>
          <w:color w:val="auto"/>
          <w:kern w:val="21"/>
          <w:sz w:val="32"/>
          <w:szCs w:val="32"/>
          <w:highlight w:val="none"/>
          <w:shd w:val="clear" w:color="auto" w:fill="FFFFFF"/>
        </w:rPr>
        <w:t>29</w:t>
      </w:r>
      <w:r>
        <w:rPr>
          <w:rFonts w:hint="eastAsia" w:ascii="仿宋" w:hAnsi="仿宋" w:eastAsia="仿宋" w:cs="仿宋"/>
          <w:b w:val="0"/>
          <w:bCs w:val="0"/>
          <w:color w:val="auto"/>
          <w:kern w:val="21"/>
          <w:sz w:val="32"/>
          <w:szCs w:val="32"/>
          <w:highlight w:val="none"/>
          <w:shd w:val="clear" w:color="auto" w:fill="FFFFFF"/>
          <w:lang w:val="en-US" w:eastAsia="zh-CN"/>
        </w:rPr>
        <w:t>1</w:t>
      </w:r>
      <w:r>
        <w:rPr>
          <w:rFonts w:hint="eastAsia" w:ascii="仿宋" w:hAnsi="仿宋" w:eastAsia="仿宋" w:cs="仿宋"/>
          <w:b w:val="0"/>
          <w:bCs w:val="0"/>
          <w:color w:val="auto"/>
          <w:kern w:val="21"/>
          <w:sz w:val="32"/>
          <w:szCs w:val="32"/>
          <w:highlight w:val="none"/>
          <w:shd w:val="clear" w:color="auto" w:fill="FFFFFF"/>
        </w:rPr>
        <w:t>名委员立足各自工作岗位，</w:t>
      </w:r>
      <w:r>
        <w:rPr>
          <w:rFonts w:hint="eastAsia" w:ascii="仿宋" w:hAnsi="仿宋" w:eastAsia="仿宋" w:cs="仿宋"/>
          <w:b w:val="0"/>
          <w:bCs w:val="0"/>
          <w:color w:val="auto"/>
          <w:kern w:val="21"/>
          <w:sz w:val="32"/>
          <w:szCs w:val="32"/>
          <w:highlight w:val="none"/>
          <w:shd w:val="clear" w:color="auto" w:fill="FFFFFF"/>
          <w:lang w:eastAsia="zh-CN"/>
        </w:rPr>
        <w:t>展现履职为民的风采和情怀</w:t>
      </w:r>
      <w:r>
        <w:rPr>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kern w:val="21"/>
          <w:sz w:val="32"/>
          <w:szCs w:val="32"/>
          <w:highlight w:val="none"/>
          <w:shd w:val="clear" w:color="auto" w:fill="FFFFFF"/>
          <w:lang w:eastAsia="zh-CN"/>
        </w:rPr>
        <w:t>科技界别委员立足畜禽粪污、秸秆焚烧难题，投资办企，推动其肥料化、原料化，每年回收利用秸秆</w:t>
      </w:r>
      <w:r>
        <w:rPr>
          <w:rFonts w:hint="eastAsia" w:ascii="仿宋" w:hAnsi="仿宋" w:eastAsia="仿宋" w:cs="仿宋"/>
          <w:b w:val="0"/>
          <w:bCs w:val="0"/>
          <w:color w:val="auto"/>
          <w:kern w:val="21"/>
          <w:sz w:val="32"/>
          <w:szCs w:val="32"/>
          <w:highlight w:val="none"/>
          <w:shd w:val="clear" w:color="auto" w:fill="FFFFFF"/>
          <w:lang w:val="en-US" w:eastAsia="zh-CN"/>
        </w:rPr>
        <w:t>5万余吨、畜禽粪污近20万余吨，为秸秆综合利用和农民增收找到结合之路；经济界别委员</w:t>
      </w:r>
      <w:r>
        <w:rPr>
          <w:rFonts w:hint="eastAsia" w:ascii="仿宋" w:hAnsi="仿宋" w:eastAsia="仿宋" w:cs="仿宋"/>
          <w:b w:val="0"/>
          <w:bCs w:val="0"/>
          <w:color w:val="auto"/>
          <w:kern w:val="21"/>
          <w:sz w:val="32"/>
          <w:szCs w:val="32"/>
          <w:highlight w:val="none"/>
          <w:shd w:val="clear" w:color="auto" w:fill="FFFFFF"/>
          <w:lang w:eastAsia="zh-CN"/>
        </w:rPr>
        <w:t>出资</w:t>
      </w:r>
      <w:r>
        <w:rPr>
          <w:rFonts w:hint="eastAsia" w:ascii="仿宋" w:hAnsi="仿宋" w:eastAsia="仿宋" w:cs="仿宋"/>
          <w:b w:val="0"/>
          <w:bCs w:val="0"/>
          <w:color w:val="auto"/>
          <w:kern w:val="21"/>
          <w:sz w:val="32"/>
          <w:szCs w:val="32"/>
          <w:highlight w:val="none"/>
          <w:shd w:val="clear" w:color="auto" w:fill="FFFFFF"/>
          <w:lang w:val="en-US" w:eastAsia="zh-CN"/>
        </w:rPr>
        <w:t>10万元在</w:t>
      </w:r>
      <w:r>
        <w:rPr>
          <w:rFonts w:hint="eastAsia" w:ascii="仿宋" w:hAnsi="仿宋" w:eastAsia="仿宋" w:cs="仿宋"/>
          <w:b w:val="0"/>
          <w:bCs w:val="0"/>
          <w:color w:val="auto"/>
          <w:kern w:val="21"/>
          <w:sz w:val="32"/>
          <w:szCs w:val="32"/>
          <w:highlight w:val="none"/>
          <w:shd w:val="clear" w:color="auto" w:fill="FFFFFF"/>
          <w:lang w:eastAsia="zh-CN"/>
        </w:rPr>
        <w:t>陶铸广场搭建湘超冠军巅峰对决第三现场电子“显示屏”，有力诠释了“永冲锋、祁荣耀”精神，</w:t>
      </w:r>
      <w:r>
        <w:rPr>
          <w:rFonts w:hint="eastAsia" w:ascii="仿宋" w:hAnsi="仿宋" w:eastAsia="仿宋" w:cs="仿宋"/>
          <w:b w:val="0"/>
          <w:bCs w:val="0"/>
          <w:color w:val="auto"/>
          <w:kern w:val="21"/>
          <w:sz w:val="32"/>
          <w:szCs w:val="32"/>
          <w:highlight w:val="none"/>
          <w:shd w:val="clear" w:color="auto" w:fill="FFFFFF"/>
          <w:lang w:val="en-US" w:eastAsia="zh-CN"/>
        </w:rPr>
        <w:t>指导科力尔电机成功申报省“揭榜挂帅”项目，为企业争取创新资金320万元。新文体界别委员</w:t>
      </w:r>
      <w:r>
        <w:rPr>
          <w:rFonts w:hint="eastAsia" w:ascii="仿宋" w:hAnsi="仿宋" w:eastAsia="仿宋" w:cs="仿宋"/>
          <w:b w:val="0"/>
          <w:bCs w:val="0"/>
          <w:color w:val="auto"/>
          <w:sz w:val="32"/>
          <w:szCs w:val="32"/>
          <w:highlight w:val="none"/>
        </w:rPr>
        <w:t>提交的《滨江公园“网红打卡地”存</w:t>
      </w:r>
      <w:r>
        <w:rPr>
          <w:rFonts w:hint="eastAsia" w:ascii="仿宋" w:hAnsi="仿宋" w:eastAsia="仿宋" w:cs="仿宋"/>
          <w:b w:val="0"/>
          <w:bCs w:val="0"/>
          <w:color w:val="auto"/>
          <w:sz w:val="32"/>
          <w:szCs w:val="32"/>
          <w:highlight w:val="none"/>
          <w:lang w:eastAsia="zh-CN"/>
        </w:rPr>
        <w:t>在</w:t>
      </w:r>
      <w:r>
        <w:rPr>
          <w:rFonts w:hint="eastAsia" w:ascii="仿宋" w:hAnsi="仿宋" w:eastAsia="仿宋" w:cs="仿宋"/>
          <w:b w:val="0"/>
          <w:bCs w:val="0"/>
          <w:color w:val="auto"/>
          <w:sz w:val="32"/>
          <w:szCs w:val="32"/>
          <w:highlight w:val="none"/>
        </w:rPr>
        <w:t>安全隐患，亟须引起重视》社情民意建议，得到市委市政府高度重视，</w:t>
      </w:r>
      <w:r>
        <w:rPr>
          <w:rFonts w:hint="eastAsia" w:ascii="仿宋" w:hAnsi="仿宋" w:eastAsia="仿宋" w:cs="仿宋"/>
          <w:b w:val="0"/>
          <w:bCs w:val="0"/>
          <w:color w:val="auto"/>
          <w:sz w:val="32"/>
          <w:szCs w:val="32"/>
          <w:highlight w:val="none"/>
          <w:lang w:eastAsia="zh-CN"/>
        </w:rPr>
        <w:t>促进</w:t>
      </w:r>
      <w:r>
        <w:rPr>
          <w:rFonts w:hint="eastAsia" w:ascii="仿宋" w:hAnsi="仿宋" w:eastAsia="仿宋" w:cs="仿宋"/>
          <w:b w:val="0"/>
          <w:bCs w:val="0"/>
          <w:color w:val="auto"/>
          <w:sz w:val="32"/>
          <w:szCs w:val="32"/>
          <w:highlight w:val="none"/>
        </w:rPr>
        <w:t>“祁阳外滩”完美升级改造，安全保障设施更趋完善。</w:t>
      </w:r>
      <w:r>
        <w:rPr>
          <w:rFonts w:hint="eastAsia" w:ascii="仿宋" w:hAnsi="仿宋" w:eastAsia="仿宋" w:cs="仿宋"/>
          <w:b w:val="0"/>
          <w:bCs w:val="0"/>
          <w:color w:val="auto"/>
          <w:kern w:val="21"/>
          <w:sz w:val="32"/>
          <w:szCs w:val="32"/>
          <w:highlight w:val="none"/>
          <w:shd w:val="clear" w:color="auto" w:fill="FFFFFF"/>
        </w:rPr>
        <w:t>13个界别通过视察调研、界别协商、民主监督等形式激活履职动力。</w:t>
      </w:r>
      <w:r>
        <w:rPr>
          <w:rFonts w:hint="eastAsia" w:ascii="仿宋" w:hAnsi="仿宋" w:eastAsia="仿宋" w:cs="仿宋"/>
          <w:b w:val="0"/>
          <w:bCs w:val="0"/>
          <w:color w:val="auto"/>
          <w:sz w:val="32"/>
          <w:szCs w:val="32"/>
          <w:highlight w:val="none"/>
        </w:rPr>
        <w:t>教育界别开展“落实‘双减’政策 聚焦高效课堂”送教下乡活动12场，</w:t>
      </w:r>
      <w:r>
        <w:rPr>
          <w:rFonts w:hint="eastAsia" w:ascii="仿宋" w:hAnsi="仿宋" w:eastAsia="仿宋" w:cs="仿宋"/>
          <w:b w:val="0"/>
          <w:bCs w:val="0"/>
          <w:color w:val="auto"/>
          <w:sz w:val="32"/>
          <w:szCs w:val="32"/>
          <w:highlight w:val="none"/>
          <w:lang w:eastAsia="zh-CN"/>
        </w:rPr>
        <w:t>组织</w:t>
      </w:r>
      <w:r>
        <w:rPr>
          <w:rFonts w:hint="eastAsia" w:ascii="仿宋" w:hAnsi="仿宋" w:eastAsia="仿宋" w:cs="仿宋"/>
          <w:b w:val="0"/>
          <w:bCs w:val="0"/>
          <w:color w:val="auto"/>
          <w:sz w:val="32"/>
          <w:szCs w:val="32"/>
          <w:highlight w:val="none"/>
        </w:rPr>
        <w:t>乡村教师300余人次</w:t>
      </w:r>
      <w:r>
        <w:rPr>
          <w:rFonts w:hint="eastAsia" w:ascii="仿宋" w:hAnsi="仿宋" w:eastAsia="仿宋" w:cs="仿宋"/>
          <w:b w:val="0"/>
          <w:bCs w:val="0"/>
          <w:color w:val="auto"/>
          <w:sz w:val="32"/>
          <w:szCs w:val="32"/>
          <w:highlight w:val="none"/>
          <w:lang w:eastAsia="zh-CN"/>
        </w:rPr>
        <w:t>参加</w:t>
      </w:r>
      <w:r>
        <w:rPr>
          <w:rFonts w:hint="eastAsia" w:ascii="仿宋" w:hAnsi="仿宋" w:eastAsia="仿宋" w:cs="仿宋"/>
          <w:b w:val="0"/>
          <w:bCs w:val="0"/>
          <w:color w:val="auto"/>
          <w:sz w:val="32"/>
          <w:szCs w:val="32"/>
          <w:highlight w:val="none"/>
        </w:rPr>
        <w:t>；医卫社保界别组织委员赴重点镇开展肝吸虫病防治专题调研3次，为筑牢基层群众健康防线建言献策；工商联界</w:t>
      </w:r>
      <w:r>
        <w:rPr>
          <w:rFonts w:hint="eastAsia" w:ascii="仿宋" w:hAnsi="仿宋" w:eastAsia="仿宋" w:cs="仿宋"/>
          <w:b w:val="0"/>
          <w:bCs w:val="0"/>
          <w:color w:val="auto"/>
          <w:sz w:val="32"/>
          <w:szCs w:val="32"/>
          <w:highlight w:val="none"/>
          <w:lang w:eastAsia="zh-CN"/>
        </w:rPr>
        <w:t>别</w:t>
      </w:r>
      <w:r>
        <w:rPr>
          <w:rFonts w:hint="eastAsia" w:ascii="仿宋" w:hAnsi="仿宋" w:eastAsia="仿宋" w:cs="仿宋"/>
          <w:b w:val="0"/>
          <w:bCs w:val="0"/>
          <w:color w:val="auto"/>
          <w:sz w:val="32"/>
          <w:szCs w:val="32"/>
          <w:highlight w:val="none"/>
        </w:rPr>
        <w:t>开展“访企问需纾困增效”活动，走访民营企业30余家，</w:t>
      </w:r>
      <w:r>
        <w:rPr>
          <w:rFonts w:hint="eastAsia" w:ascii="仿宋" w:hAnsi="仿宋" w:eastAsia="仿宋" w:cs="仿宋"/>
          <w:b w:val="0"/>
          <w:bCs w:val="0"/>
          <w:color w:val="auto"/>
          <w:kern w:val="21"/>
          <w:sz w:val="32"/>
          <w:szCs w:val="32"/>
          <w:highlight w:val="none"/>
          <w:shd w:val="clear" w:color="auto" w:fill="FFFFFF"/>
        </w:rPr>
        <w:t>组织</w:t>
      </w:r>
      <w:r>
        <w:rPr>
          <w:rFonts w:hint="eastAsia" w:ascii="仿宋" w:hAnsi="仿宋" w:eastAsia="仿宋" w:cs="仿宋"/>
          <w:b w:val="0"/>
          <w:bCs w:val="0"/>
          <w:color w:val="auto"/>
          <w:kern w:val="21"/>
          <w:sz w:val="32"/>
          <w:szCs w:val="32"/>
          <w:highlight w:val="none"/>
          <w:shd w:val="clear" w:color="auto" w:fill="FFFFFF"/>
          <w:lang w:eastAsia="zh-CN"/>
        </w:rPr>
        <w:t>界别</w:t>
      </w:r>
      <w:r>
        <w:rPr>
          <w:rFonts w:hint="eastAsia" w:ascii="仿宋" w:hAnsi="仿宋" w:eastAsia="仿宋" w:cs="仿宋"/>
          <w:b w:val="0"/>
          <w:bCs w:val="0"/>
          <w:color w:val="auto"/>
          <w:kern w:val="21"/>
          <w:sz w:val="32"/>
          <w:szCs w:val="32"/>
          <w:highlight w:val="none"/>
          <w:shd w:val="clear" w:color="auto" w:fill="FFFFFF"/>
        </w:rPr>
        <w:t>委员参与“政企早茶会”“园区恳谈会”10余场，</w:t>
      </w:r>
      <w:r>
        <w:rPr>
          <w:rFonts w:hint="eastAsia" w:ascii="仿宋" w:hAnsi="仿宋" w:eastAsia="仿宋" w:cs="仿宋"/>
          <w:b w:val="0"/>
          <w:bCs w:val="0"/>
          <w:color w:val="auto"/>
          <w:sz w:val="32"/>
          <w:szCs w:val="32"/>
          <w:highlight w:val="none"/>
        </w:rPr>
        <w:t>协调解决用地、用工、融资等难题20余个。坚持</w:t>
      </w:r>
      <w:r>
        <w:rPr>
          <w:rFonts w:hint="eastAsia" w:ascii="仿宋" w:hAnsi="仿宋" w:eastAsia="仿宋" w:cs="仿宋"/>
          <w:b w:val="0"/>
          <w:bCs w:val="0"/>
          <w:color w:val="auto"/>
          <w:sz w:val="32"/>
          <w:szCs w:val="32"/>
          <w:highlight w:val="none"/>
          <w:lang w:eastAsia="zh-CN"/>
        </w:rPr>
        <w:t>以</w:t>
      </w:r>
      <w:r>
        <w:rPr>
          <w:rFonts w:hint="eastAsia" w:ascii="仿宋" w:hAnsi="仿宋" w:eastAsia="仿宋" w:cs="仿宋"/>
          <w:b w:val="0"/>
          <w:bCs w:val="0"/>
          <w:color w:val="auto"/>
          <w:sz w:val="32"/>
          <w:szCs w:val="32"/>
          <w:highlight w:val="none"/>
        </w:rPr>
        <w:t>“三项机制”和“两力两率”考核为指挥棒，不断激发机关党员干部勤勉干事、奋发作为。</w:t>
      </w:r>
      <w:r>
        <w:rPr>
          <w:rFonts w:hint="eastAsia" w:ascii="仿宋" w:hAnsi="仿宋" w:eastAsia="仿宋" w:cs="仿宋"/>
          <w:b w:val="0"/>
          <w:bCs w:val="0"/>
          <w:color w:val="auto"/>
          <w:sz w:val="32"/>
          <w:szCs w:val="32"/>
          <w:highlight w:val="none"/>
          <w:lang w:eastAsia="zh-CN"/>
        </w:rPr>
        <w:t>常态化</w:t>
      </w:r>
      <w:r>
        <w:rPr>
          <w:rFonts w:hint="eastAsia" w:ascii="仿宋" w:hAnsi="仿宋" w:eastAsia="仿宋" w:cs="仿宋"/>
          <w:b w:val="0"/>
          <w:bCs w:val="0"/>
          <w:color w:val="auto"/>
          <w:sz w:val="32"/>
          <w:szCs w:val="32"/>
          <w:highlight w:val="none"/>
        </w:rPr>
        <w:t>开展“走找想促”活动，助</w:t>
      </w:r>
      <w:r>
        <w:rPr>
          <w:rFonts w:hint="eastAsia" w:ascii="仿宋" w:hAnsi="仿宋" w:eastAsia="仿宋" w:cs="仿宋"/>
          <w:b w:val="0"/>
          <w:bCs w:val="0"/>
          <w:color w:val="auto"/>
          <w:sz w:val="32"/>
          <w:szCs w:val="32"/>
          <w:highlight w:val="none"/>
          <w:lang w:eastAsia="zh-CN"/>
        </w:rPr>
        <w:t>力</w:t>
      </w:r>
      <w:r>
        <w:rPr>
          <w:rFonts w:hint="eastAsia" w:ascii="仿宋" w:hAnsi="仿宋" w:eastAsia="仿宋" w:cs="仿宋"/>
          <w:b w:val="0"/>
          <w:bCs w:val="0"/>
          <w:color w:val="auto"/>
          <w:sz w:val="32"/>
          <w:szCs w:val="32"/>
          <w:highlight w:val="none"/>
        </w:rPr>
        <w:t>办好民生实事</w:t>
      </w:r>
      <w:r>
        <w:rPr>
          <w:rFonts w:hint="eastAsia" w:ascii="仿宋" w:hAnsi="仿宋" w:eastAsia="仿宋" w:cs="仿宋"/>
          <w:b w:val="0"/>
          <w:bCs w:val="0"/>
          <w:color w:val="auto"/>
          <w:sz w:val="32"/>
          <w:szCs w:val="32"/>
          <w:highlight w:val="none"/>
          <w:lang w:val="en-US" w:eastAsia="zh-CN"/>
        </w:rPr>
        <w:t>4</w:t>
      </w:r>
      <w:r>
        <w:rPr>
          <w:rFonts w:hint="eastAsia" w:ascii="仿宋" w:hAnsi="仿宋" w:eastAsia="仿宋" w:cs="仿宋"/>
          <w:b w:val="0"/>
          <w:bCs w:val="0"/>
          <w:color w:val="auto"/>
          <w:sz w:val="32"/>
          <w:szCs w:val="32"/>
          <w:highlight w:val="none"/>
        </w:rPr>
        <w:t>0余件。</w:t>
      </w:r>
      <w:r>
        <w:rPr>
          <w:rFonts w:hint="eastAsia" w:ascii="仿宋" w:hAnsi="仿宋" w:eastAsia="仿宋" w:cs="仿宋"/>
          <w:b w:val="0"/>
          <w:bCs w:val="0"/>
          <w:color w:val="auto"/>
          <w:sz w:val="32"/>
          <w:szCs w:val="32"/>
          <w:highlight w:val="none"/>
          <w:lang w:eastAsia="zh-CN"/>
        </w:rPr>
        <w:t>政协人接续奋斗，牵线科力尔电机投身公益慈善事业，连续</w:t>
      </w:r>
      <w:r>
        <w:rPr>
          <w:rFonts w:hint="eastAsia" w:ascii="仿宋" w:hAnsi="仿宋" w:eastAsia="仿宋" w:cs="仿宋"/>
          <w:b w:val="0"/>
          <w:bCs w:val="0"/>
          <w:color w:val="auto"/>
          <w:sz w:val="32"/>
          <w:szCs w:val="32"/>
          <w:highlight w:val="none"/>
          <w:lang w:val="en-US" w:eastAsia="zh-CN"/>
        </w:rPr>
        <w:t>10年通过科力尔慈善基金会奖励资助师生1140人，发放奖励奖金285万元。</w:t>
      </w:r>
    </w:p>
    <w:p w14:paraId="42DBC3FE">
      <w:pPr>
        <w:pStyle w:val="11"/>
        <w:keepNext w:val="0"/>
        <w:keepLines w:val="0"/>
        <w:pageBreakBefore w:val="0"/>
        <w:widowControl/>
        <w:numPr>
          <w:ilvl w:val="0"/>
          <w:numId w:val="0"/>
        </w:numPr>
        <w:shd w:val="clear" w:color="auto"/>
        <w:kinsoku/>
        <w:wordWrap/>
        <w:overflowPunct/>
        <w:topLinePunct w:val="0"/>
        <w:autoSpaceDE/>
        <w:autoSpaceDN/>
        <w:bidi w:val="0"/>
        <w:adjustRightInd/>
        <w:snapToGrid/>
        <w:spacing w:beforeAutospacing="0" w:afterAutospacing="0" w:line="580" w:lineRule="exact"/>
        <w:ind w:left="0" w:leftChars="0" w:right="0" w:rightChars="0" w:firstLine="640" w:firstLineChars="200"/>
        <w:textAlignment w:val="auto"/>
        <w:outlineLvl w:val="9"/>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kern w:val="2"/>
          <w:sz w:val="32"/>
          <w:szCs w:val="32"/>
          <w:highlight w:val="none"/>
          <w:lang w:val="en-US" w:eastAsia="zh-CN" w:bidi="ar-SA"/>
        </w:rPr>
        <w:t>四、</w:t>
      </w:r>
      <w:r>
        <w:rPr>
          <w:rFonts w:hint="eastAsia" w:ascii="黑体" w:hAnsi="黑体" w:eastAsia="黑体" w:cs="黑体"/>
          <w:b w:val="0"/>
          <w:bCs w:val="0"/>
          <w:color w:val="auto"/>
          <w:sz w:val="32"/>
          <w:szCs w:val="32"/>
          <w:highlight w:val="none"/>
        </w:rPr>
        <w:t>绩效评价结论</w:t>
      </w:r>
    </w:p>
    <w:p w14:paraId="2BD1298F">
      <w:pPr>
        <w:pStyle w:val="11"/>
        <w:keepNext w:val="0"/>
        <w:keepLines w:val="0"/>
        <w:pageBreakBefore w:val="0"/>
        <w:widowControl/>
        <w:numPr>
          <w:ilvl w:val="0"/>
          <w:numId w:val="0"/>
        </w:numPr>
        <w:shd w:val="clear" w:color="auto"/>
        <w:kinsoku/>
        <w:wordWrap/>
        <w:overflowPunct/>
        <w:topLinePunct w:val="0"/>
        <w:autoSpaceDE/>
        <w:autoSpaceDN/>
        <w:bidi w:val="0"/>
        <w:adjustRightInd/>
        <w:snapToGrid/>
        <w:spacing w:beforeAutospacing="0" w:afterAutospacing="0" w:line="580" w:lineRule="exact"/>
        <w:ind w:left="0" w:leftChars="0" w:right="0" w:rightChars="0"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shd w:val="clear" w:color="auto" w:fill="FFFFFF"/>
        </w:rPr>
        <w:t>经综合考评，</w:t>
      </w:r>
      <w:r>
        <w:rPr>
          <w:rFonts w:hint="eastAsia" w:ascii="仿宋" w:hAnsi="仿宋" w:eastAsia="仿宋" w:cs="仿宋"/>
          <w:b w:val="0"/>
          <w:bCs w:val="0"/>
          <w:color w:val="auto"/>
          <w:sz w:val="32"/>
          <w:szCs w:val="32"/>
          <w:highlight w:val="none"/>
          <w:shd w:val="clear" w:color="auto" w:fill="FFFFFF"/>
          <w:lang w:eastAsia="zh-CN"/>
        </w:rPr>
        <w:t>202</w:t>
      </w:r>
      <w:r>
        <w:rPr>
          <w:rFonts w:hint="eastAsia" w:ascii="仿宋" w:hAnsi="仿宋" w:eastAsia="仿宋" w:cs="仿宋"/>
          <w:b w:val="0"/>
          <w:bCs w:val="0"/>
          <w:color w:val="auto"/>
          <w:sz w:val="32"/>
          <w:szCs w:val="32"/>
          <w:highlight w:val="none"/>
          <w:shd w:val="clear" w:color="auto" w:fill="FFFFFF"/>
          <w:lang w:val="en-US" w:eastAsia="zh-CN"/>
        </w:rPr>
        <w:t>5</w:t>
      </w:r>
      <w:r>
        <w:rPr>
          <w:rFonts w:hint="eastAsia" w:ascii="仿宋" w:hAnsi="仿宋" w:eastAsia="仿宋" w:cs="仿宋"/>
          <w:b w:val="0"/>
          <w:bCs w:val="0"/>
          <w:color w:val="auto"/>
          <w:sz w:val="32"/>
          <w:szCs w:val="32"/>
          <w:highlight w:val="none"/>
          <w:shd w:val="clear" w:color="auto" w:fill="FFFFFF"/>
        </w:rPr>
        <w:t>年祁阳市政协办整体支出总体绩效评价</w:t>
      </w:r>
      <w:r>
        <w:rPr>
          <w:rFonts w:hint="eastAsia" w:ascii="仿宋" w:hAnsi="仿宋" w:eastAsia="仿宋" w:cs="仿宋"/>
          <w:b w:val="0"/>
          <w:bCs w:val="0"/>
          <w:color w:val="auto"/>
          <w:sz w:val="32"/>
          <w:szCs w:val="32"/>
          <w:highlight w:val="none"/>
          <w:shd w:val="clear" w:color="auto" w:fill="FFFFFF"/>
          <w:lang w:val="en-US" w:eastAsia="zh-CN"/>
        </w:rPr>
        <w:t>99</w:t>
      </w:r>
      <w:r>
        <w:rPr>
          <w:rFonts w:hint="eastAsia" w:ascii="仿宋" w:hAnsi="仿宋" w:eastAsia="仿宋" w:cs="仿宋"/>
          <w:b w:val="0"/>
          <w:bCs w:val="0"/>
          <w:color w:val="auto"/>
          <w:sz w:val="32"/>
          <w:szCs w:val="32"/>
          <w:highlight w:val="none"/>
          <w:shd w:val="clear" w:color="auto" w:fill="FFFFFF"/>
        </w:rPr>
        <w:t>分，评价等级为：</w:t>
      </w:r>
      <w:r>
        <w:rPr>
          <w:rFonts w:hint="eastAsia" w:ascii="仿宋" w:hAnsi="仿宋" w:eastAsia="仿宋" w:cs="仿宋"/>
          <w:b w:val="0"/>
          <w:bCs w:val="0"/>
          <w:color w:val="auto"/>
          <w:sz w:val="32"/>
          <w:szCs w:val="32"/>
          <w:highlight w:val="none"/>
          <w:shd w:val="clear" w:color="auto" w:fill="FFFFFF"/>
          <w:lang w:eastAsia="zh-CN"/>
        </w:rPr>
        <w:t>良好</w:t>
      </w:r>
      <w:r>
        <w:rPr>
          <w:rFonts w:hint="eastAsia" w:ascii="仿宋" w:hAnsi="仿宋" w:eastAsia="仿宋" w:cs="仿宋"/>
          <w:b w:val="0"/>
          <w:bCs w:val="0"/>
          <w:color w:val="auto"/>
          <w:sz w:val="32"/>
          <w:szCs w:val="32"/>
          <w:highlight w:val="none"/>
          <w:shd w:val="clear" w:color="auto" w:fill="FFFFFF"/>
        </w:rPr>
        <w:t>。</w:t>
      </w:r>
    </w:p>
    <w:p w14:paraId="33F8A87C">
      <w:pPr>
        <w:pStyle w:val="17"/>
        <w:keepNext w:val="0"/>
        <w:keepLines w:val="0"/>
        <w:pageBreakBefore w:val="0"/>
        <w:shd w:val="clear"/>
        <w:kinsoku/>
        <w:topLinePunct w:val="0"/>
        <w:bidi w:val="0"/>
        <w:spacing w:line="560" w:lineRule="exact"/>
        <w:ind w:left="0" w:leftChars="0" w:firstLine="640" w:firstLineChars="200"/>
        <w:rPr>
          <w:rFonts w:hint="eastAsia" w:ascii="仿宋" w:hAnsi="仿宋" w:eastAsia="仿宋" w:cs="仿宋"/>
          <w:b w:val="0"/>
          <w:bCs w:val="0"/>
          <w:color w:val="auto"/>
          <w:sz w:val="32"/>
          <w:szCs w:val="32"/>
          <w:highlight w:val="none"/>
        </w:rPr>
      </w:pPr>
    </w:p>
    <w:p w14:paraId="407C9521">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b w:val="0"/>
          <w:bCs w:val="0"/>
          <w:color w:val="auto"/>
          <w:sz w:val="32"/>
          <w:szCs w:val="32"/>
          <w:highlight w:val="none"/>
        </w:rPr>
      </w:pPr>
    </w:p>
    <w:p w14:paraId="5A6F6DDC">
      <w:pPr>
        <w:pStyle w:val="17"/>
        <w:keepNext w:val="0"/>
        <w:keepLines w:val="0"/>
        <w:pageBreakBefore w:val="0"/>
        <w:shd w:val="clear"/>
        <w:kinsoku/>
        <w:topLinePunct w:val="0"/>
        <w:bidi w:val="0"/>
        <w:spacing w:line="560" w:lineRule="exact"/>
        <w:ind w:left="0" w:leftChars="0" w:firstLine="640" w:firstLineChars="200"/>
        <w:jc w:val="center"/>
        <w:rPr>
          <w:rFonts w:hint="eastAsia" w:ascii="仿宋" w:hAnsi="仿宋" w:eastAsia="仿宋" w:cs="仿宋"/>
          <w:b w:val="0"/>
          <w:bCs w:val="0"/>
          <w:color w:val="auto"/>
          <w:sz w:val="32"/>
          <w:szCs w:val="32"/>
          <w:highlight w:val="none"/>
        </w:rPr>
      </w:pPr>
    </w:p>
    <w:p w14:paraId="63CED63C">
      <w:pPr>
        <w:keepNext w:val="0"/>
        <w:keepLines w:val="0"/>
        <w:pageBreakBefore w:val="0"/>
        <w:shd w:val="clear"/>
        <w:kinsoku/>
        <w:topLinePunct w:val="0"/>
        <w:bidi w:val="0"/>
        <w:spacing w:line="560" w:lineRule="exact"/>
        <w:ind w:left="0" w:leftChars="0" w:firstLine="640" w:firstLineChars="200"/>
        <w:jc w:val="left"/>
        <w:rPr>
          <w:rFonts w:hint="eastAsia" w:ascii="仿宋" w:hAnsi="仿宋" w:eastAsia="仿宋" w:cs="仿宋"/>
          <w:b w:val="0"/>
          <w:bCs w:val="0"/>
          <w:color w:val="auto"/>
          <w:kern w:val="0"/>
          <w:sz w:val="32"/>
          <w:szCs w:val="32"/>
          <w:highlight w:val="none"/>
        </w:rPr>
      </w:pPr>
    </w:p>
    <w:sectPr>
      <w:pgSz w:w="11906" w:h="16838"/>
      <w:pgMar w:top="1417" w:right="1417" w:bottom="1417" w:left="1417" w:header="851" w:footer="992" w:gutter="0"/>
      <w:pgBorders>
        <w:top w:val="none" w:sz="0" w:space="0"/>
        <w:left w:val="none" w:sz="0" w:space="0"/>
        <w:bottom w:val="none" w:sz="0" w:space="0"/>
        <w:right w:val="none" w:sz="0" w:space="0"/>
      </w:pgBorders>
      <w:pgNumType w:fmt="numberInDash"/>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81FB0">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14DD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40E21">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18F1C">
                          <w:pPr>
                            <w:pStyle w:val="7"/>
                          </w:pPr>
                          <w:r>
                            <w:rPr>
                              <w:rFonts w:hint="default" w:ascii="Times New Roman" w:hAnsi="Times New Roman" w:cs="Times New Roman"/>
                              <w:b/>
                              <w:bCs/>
                              <w:sz w:val="24"/>
                              <w:szCs w:val="24"/>
                            </w:rPr>
                            <w:fldChar w:fldCharType="begin"/>
                          </w:r>
                          <w:r>
                            <w:rPr>
                              <w:rFonts w:hint="default" w:ascii="Times New Roman" w:hAnsi="Times New Roman" w:cs="Times New Roman"/>
                              <w:b/>
                              <w:bCs/>
                              <w:sz w:val="24"/>
                              <w:szCs w:val="24"/>
                            </w:rPr>
                            <w:instrText xml:space="preserve"> PAGE  \* MERGEFORMAT </w:instrText>
                          </w:r>
                          <w:r>
                            <w:rPr>
                              <w:rFonts w:hint="default" w:ascii="Times New Roman" w:hAnsi="Times New Roman" w:cs="Times New Roman"/>
                              <w:b/>
                              <w:bCs/>
                              <w:sz w:val="24"/>
                              <w:szCs w:val="24"/>
                            </w:rPr>
                            <w:fldChar w:fldCharType="separate"/>
                          </w:r>
                          <w:r>
                            <w:rPr>
                              <w:rFonts w:hint="default" w:ascii="Times New Roman" w:hAnsi="Times New Roman" w:cs="Times New Roman"/>
                              <w:b/>
                              <w:bCs/>
                              <w:sz w:val="24"/>
                              <w:szCs w:val="24"/>
                            </w:rPr>
                            <w:t>6</w:t>
                          </w:r>
                          <w:r>
                            <w:rPr>
                              <w:rFonts w:hint="default" w:ascii="Times New Roman" w:hAnsi="Times New Roman" w:cs="Times New Roman"/>
                              <w:b/>
                              <w:bCs/>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BD18F1C">
                    <w:pPr>
                      <w:pStyle w:val="7"/>
                    </w:pPr>
                    <w:r>
                      <w:rPr>
                        <w:rFonts w:hint="default" w:ascii="Times New Roman" w:hAnsi="Times New Roman" w:cs="Times New Roman"/>
                        <w:b/>
                        <w:bCs/>
                        <w:sz w:val="24"/>
                        <w:szCs w:val="24"/>
                      </w:rPr>
                      <w:fldChar w:fldCharType="begin"/>
                    </w:r>
                    <w:r>
                      <w:rPr>
                        <w:rFonts w:hint="default" w:ascii="Times New Roman" w:hAnsi="Times New Roman" w:cs="Times New Roman"/>
                        <w:b/>
                        <w:bCs/>
                        <w:sz w:val="24"/>
                        <w:szCs w:val="24"/>
                      </w:rPr>
                      <w:instrText xml:space="preserve"> PAGE  \* MERGEFORMAT </w:instrText>
                    </w:r>
                    <w:r>
                      <w:rPr>
                        <w:rFonts w:hint="default" w:ascii="Times New Roman" w:hAnsi="Times New Roman" w:cs="Times New Roman"/>
                        <w:b/>
                        <w:bCs/>
                        <w:sz w:val="24"/>
                        <w:szCs w:val="24"/>
                      </w:rPr>
                      <w:fldChar w:fldCharType="separate"/>
                    </w:r>
                    <w:r>
                      <w:rPr>
                        <w:rFonts w:hint="default" w:ascii="Times New Roman" w:hAnsi="Times New Roman" w:cs="Times New Roman"/>
                        <w:b/>
                        <w:bCs/>
                        <w:sz w:val="24"/>
                        <w:szCs w:val="24"/>
                      </w:rPr>
                      <w:t>6</w:t>
                    </w:r>
                    <w:r>
                      <w:rPr>
                        <w:rFonts w:hint="default" w:ascii="Times New Roman" w:hAnsi="Times New Roman" w:cs="Times New Roman"/>
                        <w:b/>
                        <w:bCs/>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97406"/>
    <w:rsid w:val="0BD716D7"/>
    <w:rsid w:val="0C721D7E"/>
    <w:rsid w:val="0F4E618A"/>
    <w:rsid w:val="14163B4C"/>
    <w:rsid w:val="19595E57"/>
    <w:rsid w:val="1F5E5F75"/>
    <w:rsid w:val="2A8B79FF"/>
    <w:rsid w:val="3DAA07A3"/>
    <w:rsid w:val="446E1F07"/>
    <w:rsid w:val="483376F0"/>
    <w:rsid w:val="4C064134"/>
    <w:rsid w:val="51B64EEE"/>
    <w:rsid w:val="584D6D0A"/>
    <w:rsid w:val="5B622969"/>
    <w:rsid w:val="5FC0660C"/>
    <w:rsid w:val="64992502"/>
    <w:rsid w:val="65EC6755"/>
    <w:rsid w:val="66731A6D"/>
    <w:rsid w:val="6C8E0AE9"/>
    <w:rsid w:val="748E78D8"/>
    <w:rsid w:val="75E35A02"/>
    <w:rsid w:val="789957A8"/>
    <w:rsid w:val="7AE41C51"/>
    <w:rsid w:val="7B93603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nhideWhenUsed="0" w:uiPriority="99" w:semiHidden="0" w:name="Note Heading"/>
    <w:lsdException w:qFormat="1"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nhideWhenUsed="0" w:uiPriority="99"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Body Text Indent 2"/>
    <w:basedOn w:val="1"/>
    <w:qFormat/>
    <w:uiPriority w:val="0"/>
    <w:pPr>
      <w:spacing w:after="120" w:line="480" w:lineRule="auto"/>
      <w:ind w:left="420" w:left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9"/>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Body Text 2"/>
    <w:basedOn w:val="1"/>
    <w:unhideWhenUsed/>
    <w:qFormat/>
    <w:uiPriority w:val="0"/>
    <w:pPr>
      <w:spacing w:after="120" w:line="480" w:lineRule="auto"/>
    </w:pPr>
  </w:style>
  <w:style w:type="paragraph" w:styleId="11">
    <w:name w:val="Normal (Web)"/>
    <w:basedOn w:val="1"/>
    <w:unhideWhenUsed/>
    <w:qFormat/>
    <w:uiPriority w:val="0"/>
    <w:rPr>
      <w:sz w:val="24"/>
    </w:rPr>
  </w:style>
  <w:style w:type="table" w:styleId="13">
    <w:name w:val="Table Grid"/>
    <w:qFormat/>
    <w:uiPriority w:val="0"/>
    <w:tblPr>
      <w:tblBorders>
        <w:top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5">
    <w:name w:val="页眉 Char"/>
    <w:basedOn w:val="14"/>
    <w:link w:val="8"/>
    <w:qFormat/>
    <w:uiPriority w:val="99"/>
    <w:rPr>
      <w:sz w:val="18"/>
      <w:szCs w:val="18"/>
    </w:rPr>
  </w:style>
  <w:style w:type="character" w:customStyle="1" w:styleId="16">
    <w:name w:val="页脚 Char"/>
    <w:basedOn w:val="14"/>
    <w:link w:val="7"/>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6"/>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38C00-8A9A-44A4-98BB-92F03F680DC9}">
  <ds:schemaRefs/>
</ds:datastoreItem>
</file>

<file path=customXml/itemProps3.xml><?xml version="1.0" encoding="utf-8"?>
<ds:datastoreItem xmlns:ds="http://schemas.openxmlformats.org/officeDocument/2006/customXml" ds:itemID="{79f1fa5a-0b65-4779-bb1f-57439dd0c37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12658</Words>
  <Characters>14405</Characters>
  <Lines>71</Lines>
  <Paragraphs>20</Paragraphs>
  <TotalTime>15</TotalTime>
  <ScaleCrop>false</ScaleCrop>
  <LinksUpToDate>false</LinksUpToDate>
  <CharactersWithSpaces>15866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苏苏</cp:lastModifiedBy>
  <cp:lastPrinted>2024-08-10T02:20:00Z</cp:lastPrinted>
  <dcterms:modified xsi:type="dcterms:W3CDTF">2026-10-29T10:22:25Z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eyJoZGlkIjoiZDYzYWI5YTM5YzJiMDJmNzk2MWRmMmMyZWZiYTEzZDIiLCJ1c2VySWQiOiIxMDE3MTA1NzUyIn0=</vt:lpwstr>
  </property>
</Properties>
</file>